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41B" w:rsidRDefault="003E041B">
      <w:pPr>
        <w:spacing w:before="1600"/>
      </w:pPr>
      <w:bookmarkStart w:id="0" w:name="_GoBack"/>
      <w:bookmarkEnd w:id="0"/>
    </w:p>
    <w:p w:rsidR="003E041B" w:rsidRDefault="00B759CD">
      <w:pPr>
        <w:spacing w:after="120"/>
        <w:jc w:val="center"/>
      </w:pPr>
      <w:r>
        <w:rPr>
          <w:b/>
          <w:bCs/>
          <w:color w:val="0033AD"/>
          <w:sz w:val="56"/>
          <w:szCs w:val="56"/>
        </w:rPr>
        <w:t>Catalyst Accountability Tracker</w:t>
      </w:r>
    </w:p>
    <w:p w:rsidR="003E041B" w:rsidRDefault="00B759CD">
      <w:pPr>
        <w:spacing w:after="480"/>
        <w:jc w:val="center"/>
      </w:pPr>
      <w:r>
        <w:rPr>
          <w:i/>
          <w:iCs/>
          <w:sz w:val="30"/>
          <w:szCs w:val="30"/>
        </w:rPr>
        <w:t>An On-Chain Milestone Escrow for Accountable Grant Disbursement on Cardano</w:t>
      </w:r>
    </w:p>
    <w:p w:rsidR="003E041B" w:rsidRDefault="00B759CD">
      <w:pPr>
        <w:spacing w:after="80"/>
        <w:jc w:val="center"/>
      </w:pPr>
      <w:r>
        <w:rPr>
          <w:b/>
          <w:bCs/>
          <w:sz w:val="24"/>
          <w:szCs w:val="24"/>
        </w:rPr>
        <w:t>A Project White Paper</w:t>
      </w:r>
    </w:p>
    <w:p w:rsidR="003E041B" w:rsidRDefault="00B759CD">
      <w:pPr>
        <w:spacing w:before="800"/>
        <w:jc w:val="center"/>
      </w:pPr>
      <w:r>
        <w:rPr>
          <w:sz w:val="24"/>
          <w:szCs w:val="24"/>
        </w:rPr>
        <w:t>Online Group 03 — DDiB 2026 Summer School</w:t>
      </w:r>
    </w:p>
    <w:p w:rsidR="003E041B" w:rsidRDefault="00B759CD">
      <w:pPr>
        <w:spacing w:after="40"/>
        <w:jc w:val="center"/>
      </w:pPr>
      <w:r>
        <w:t>University of Zürich · UZH Blockchain Center</w:t>
      </w:r>
    </w:p>
    <w:p w:rsidR="003E041B" w:rsidRDefault="00B759CD">
      <w:pPr>
        <w:spacing w:after="480"/>
        <w:jc w:val="center"/>
      </w:pPr>
      <w:r>
        <w:rPr>
          <w:i/>
          <w:iCs/>
          <w:sz w:val="20"/>
          <w:szCs w:val="20"/>
        </w:rPr>
        <w:t>in cooperation with Platform for Legal Innovation (PLI)</w:t>
      </w:r>
    </w:p>
    <w:p w:rsidR="003E041B" w:rsidRDefault="00B759CD">
      <w:pPr>
        <w:spacing w:after="40"/>
        <w:jc w:val="center"/>
      </w:pPr>
      <w:r>
        <w:rPr>
          <w:b/>
          <w:bCs/>
        </w:rPr>
        <w:t>Authors: Ishaaq Ziyan · Gurvy Kavei · Philip Wakah</w:t>
      </w:r>
    </w:p>
    <w:p w:rsidR="003E041B" w:rsidRDefault="00B759CD">
      <w:pPr>
        <w:spacing w:after="720"/>
        <w:jc w:val="center"/>
      </w:pPr>
      <w:r>
        <w:t>July 2026</w:t>
      </w:r>
    </w:p>
    <w:p w:rsidR="003E041B" w:rsidRDefault="00B759CD">
      <w:pPr>
        <w:spacing w:before="1200"/>
        <w:jc w:val="center"/>
      </w:pPr>
      <w:r>
        <w:rPr>
          <w:i/>
          <w:iCs/>
          <w:color w:val="555555"/>
          <w:sz w:val="18"/>
          <w:szCs w:val="18"/>
        </w:rPr>
        <w:t>Repository: github.com/ishaaqziyan/cardanoproj — On-chain validator (Aiken, Plutus V3), off-chain transaction-building API (Rust/Axum/Block</w:t>
      </w:r>
      <w:r>
        <w:rPr>
          <w:i/>
          <w:iCs/>
          <w:color w:val="555555"/>
          <w:sz w:val="18"/>
          <w:szCs w:val="18"/>
        </w:rPr>
        <w:t>frost), and wallet-connected frontend (Astro), deployed and independently verified end-to-end on the Cardano preview testnet.</w:t>
      </w:r>
    </w:p>
    <w:p w:rsidR="003E041B" w:rsidRDefault="00B759CD">
      <w:r>
        <w:br w:type="page"/>
      </w:r>
    </w:p>
    <w:p w:rsidR="003E041B" w:rsidRDefault="00B759CD">
      <w:pPr>
        <w:pStyle w:val="Heading1"/>
        <w:spacing w:before="480" w:after="240"/>
      </w:pPr>
      <w:bookmarkStart w:id="1" w:name="_Toc235473305"/>
      <w:r>
        <w:rPr>
          <w:b/>
          <w:bCs/>
          <w:color w:val="0033AD"/>
        </w:rPr>
        <w:lastRenderedPageBreak/>
        <w:t>Table of Contents</w:t>
      </w:r>
      <w:bookmarkEnd w:id="1"/>
    </w:p>
    <w:sdt>
      <w:sdtPr>
        <w:alias w:val="Table of Contents"/>
        <w:id w:val="467710635"/>
      </w:sdtPr>
      <w:sdtEndPr/>
      <w:sdtContent>
        <w:p w:rsidR="00E76EE5" w:rsidRDefault="00B759CD">
          <w:pPr>
            <w:pStyle w:val="TOC1"/>
            <w:tabs>
              <w:tab w:val="right" w:leader="dot" w:pos="9350"/>
            </w:tabs>
            <w:rPr>
              <w:noProof/>
            </w:rPr>
          </w:pPr>
          <w:r>
            <w:fldChar w:fldCharType="begin"/>
          </w:r>
          <w:r>
            <w:instrText>TOC \h \o "1-3"</w:instrText>
          </w:r>
          <w:r>
            <w:fldChar w:fldCharType="separate"/>
          </w:r>
          <w:hyperlink w:anchor="_Toc235473305" w:history="1">
            <w:r w:rsidR="00E76EE5" w:rsidRPr="001C40FC">
              <w:rPr>
                <w:rStyle w:val="Hyperlink"/>
                <w:b/>
                <w:bCs/>
                <w:noProof/>
              </w:rPr>
              <w:t>Table of Contents</w:t>
            </w:r>
            <w:r w:rsidR="00E76EE5">
              <w:rPr>
                <w:noProof/>
              </w:rPr>
              <w:tab/>
            </w:r>
            <w:r w:rsidR="00E76EE5">
              <w:rPr>
                <w:noProof/>
              </w:rPr>
              <w:fldChar w:fldCharType="begin"/>
            </w:r>
            <w:r w:rsidR="00E76EE5">
              <w:rPr>
                <w:noProof/>
              </w:rPr>
              <w:instrText xml:space="preserve"> PAGEREF _Toc235473305 \h </w:instrText>
            </w:r>
            <w:r w:rsidR="00E76EE5">
              <w:rPr>
                <w:noProof/>
              </w:rPr>
            </w:r>
            <w:r w:rsidR="00E76EE5">
              <w:rPr>
                <w:noProof/>
              </w:rPr>
              <w:fldChar w:fldCharType="separate"/>
            </w:r>
            <w:r w:rsidR="00E76EE5">
              <w:rPr>
                <w:noProof/>
              </w:rPr>
              <w:t>2</w:t>
            </w:r>
            <w:r w:rsidR="00E76EE5">
              <w:rPr>
                <w:noProof/>
              </w:rPr>
              <w:fldChar w:fldCharType="end"/>
            </w:r>
          </w:hyperlink>
        </w:p>
        <w:p w:rsidR="00E76EE5" w:rsidRDefault="00E76EE5">
          <w:pPr>
            <w:pStyle w:val="TOC1"/>
            <w:tabs>
              <w:tab w:val="right" w:leader="dot" w:pos="9350"/>
            </w:tabs>
            <w:rPr>
              <w:noProof/>
            </w:rPr>
          </w:pPr>
          <w:hyperlink w:anchor="_Toc235473306" w:history="1">
            <w:r w:rsidRPr="001C40FC">
              <w:rPr>
                <w:rStyle w:val="Hyperlink"/>
                <w:b/>
                <w:bCs/>
                <w:noProof/>
              </w:rPr>
              <w:t>Abstract</w:t>
            </w:r>
            <w:r>
              <w:rPr>
                <w:noProof/>
              </w:rPr>
              <w:tab/>
            </w:r>
            <w:r>
              <w:rPr>
                <w:noProof/>
              </w:rPr>
              <w:fldChar w:fldCharType="begin"/>
            </w:r>
            <w:r>
              <w:rPr>
                <w:noProof/>
              </w:rPr>
              <w:instrText xml:space="preserve"> PAGEREF _Toc235473306 \h </w:instrText>
            </w:r>
            <w:r>
              <w:rPr>
                <w:noProof/>
              </w:rPr>
            </w:r>
            <w:r>
              <w:rPr>
                <w:noProof/>
              </w:rPr>
              <w:fldChar w:fldCharType="separate"/>
            </w:r>
            <w:r>
              <w:rPr>
                <w:noProof/>
              </w:rPr>
              <w:t>4</w:t>
            </w:r>
            <w:r>
              <w:rPr>
                <w:noProof/>
              </w:rPr>
              <w:fldChar w:fldCharType="end"/>
            </w:r>
          </w:hyperlink>
        </w:p>
        <w:p w:rsidR="00E76EE5" w:rsidRDefault="00E76EE5">
          <w:pPr>
            <w:pStyle w:val="TOC1"/>
            <w:tabs>
              <w:tab w:val="right" w:leader="dot" w:pos="9350"/>
            </w:tabs>
            <w:rPr>
              <w:noProof/>
            </w:rPr>
          </w:pPr>
          <w:hyperlink w:anchor="_Toc235473307" w:history="1">
            <w:r w:rsidRPr="001C40FC">
              <w:rPr>
                <w:rStyle w:val="Hyperlink"/>
                <w:b/>
                <w:bCs/>
                <w:noProof/>
              </w:rPr>
              <w:t>1. Introduction</w:t>
            </w:r>
            <w:r>
              <w:rPr>
                <w:noProof/>
              </w:rPr>
              <w:tab/>
            </w:r>
            <w:r>
              <w:rPr>
                <w:noProof/>
              </w:rPr>
              <w:fldChar w:fldCharType="begin"/>
            </w:r>
            <w:r>
              <w:rPr>
                <w:noProof/>
              </w:rPr>
              <w:instrText xml:space="preserve"> PAGEREF _Toc235473307 \h </w:instrText>
            </w:r>
            <w:r>
              <w:rPr>
                <w:noProof/>
              </w:rPr>
            </w:r>
            <w:r>
              <w:rPr>
                <w:noProof/>
              </w:rPr>
              <w:fldChar w:fldCharType="separate"/>
            </w:r>
            <w:r>
              <w:rPr>
                <w:noProof/>
              </w:rPr>
              <w:t>4</w:t>
            </w:r>
            <w:r>
              <w:rPr>
                <w:noProof/>
              </w:rPr>
              <w:fldChar w:fldCharType="end"/>
            </w:r>
          </w:hyperlink>
        </w:p>
        <w:p w:rsidR="00E76EE5" w:rsidRDefault="00E76EE5">
          <w:pPr>
            <w:pStyle w:val="TOC1"/>
            <w:tabs>
              <w:tab w:val="right" w:leader="dot" w:pos="9350"/>
            </w:tabs>
            <w:rPr>
              <w:noProof/>
            </w:rPr>
          </w:pPr>
          <w:hyperlink w:anchor="_Toc235473308" w:history="1">
            <w:r w:rsidRPr="001C40FC">
              <w:rPr>
                <w:rStyle w:val="Hyperlink"/>
                <w:b/>
                <w:bCs/>
                <w:noProof/>
              </w:rPr>
              <w:t>2. Background and Related Work</w:t>
            </w:r>
            <w:r>
              <w:rPr>
                <w:noProof/>
              </w:rPr>
              <w:tab/>
            </w:r>
            <w:r>
              <w:rPr>
                <w:noProof/>
              </w:rPr>
              <w:fldChar w:fldCharType="begin"/>
            </w:r>
            <w:r>
              <w:rPr>
                <w:noProof/>
              </w:rPr>
              <w:instrText xml:space="preserve"> PAGEREF _Toc235473308 \h </w:instrText>
            </w:r>
            <w:r>
              <w:rPr>
                <w:noProof/>
              </w:rPr>
            </w:r>
            <w:r>
              <w:rPr>
                <w:noProof/>
              </w:rPr>
              <w:fldChar w:fldCharType="separate"/>
            </w:r>
            <w:r>
              <w:rPr>
                <w:noProof/>
              </w:rPr>
              <w:t>5</w:t>
            </w:r>
            <w:r>
              <w:rPr>
                <w:noProof/>
              </w:rPr>
              <w:fldChar w:fldCharType="end"/>
            </w:r>
          </w:hyperlink>
        </w:p>
        <w:p w:rsidR="00E76EE5" w:rsidRDefault="00E76EE5">
          <w:pPr>
            <w:pStyle w:val="TOC2"/>
            <w:tabs>
              <w:tab w:val="right" w:leader="dot" w:pos="9350"/>
            </w:tabs>
            <w:rPr>
              <w:noProof/>
            </w:rPr>
          </w:pPr>
          <w:hyperlink w:anchor="_Toc235473309" w:history="1">
            <w:r w:rsidRPr="001C40FC">
              <w:rPr>
                <w:rStyle w:val="Hyperlink"/>
                <w:b/>
                <w:bCs/>
                <w:noProof/>
              </w:rPr>
              <w:t>2.1 The Extended UTXO (eUTxO) Model</w:t>
            </w:r>
            <w:r>
              <w:rPr>
                <w:noProof/>
              </w:rPr>
              <w:tab/>
            </w:r>
            <w:r>
              <w:rPr>
                <w:noProof/>
              </w:rPr>
              <w:fldChar w:fldCharType="begin"/>
            </w:r>
            <w:r>
              <w:rPr>
                <w:noProof/>
              </w:rPr>
              <w:instrText xml:space="preserve"> PAGEREF _Toc235473309 \h </w:instrText>
            </w:r>
            <w:r>
              <w:rPr>
                <w:noProof/>
              </w:rPr>
            </w:r>
            <w:r>
              <w:rPr>
                <w:noProof/>
              </w:rPr>
              <w:fldChar w:fldCharType="separate"/>
            </w:r>
            <w:r>
              <w:rPr>
                <w:noProof/>
              </w:rPr>
              <w:t>5</w:t>
            </w:r>
            <w:r>
              <w:rPr>
                <w:noProof/>
              </w:rPr>
              <w:fldChar w:fldCharType="end"/>
            </w:r>
          </w:hyperlink>
        </w:p>
        <w:p w:rsidR="00E76EE5" w:rsidRDefault="00E76EE5">
          <w:pPr>
            <w:pStyle w:val="TOC2"/>
            <w:tabs>
              <w:tab w:val="right" w:leader="dot" w:pos="9350"/>
            </w:tabs>
            <w:rPr>
              <w:noProof/>
            </w:rPr>
          </w:pPr>
          <w:hyperlink w:anchor="_Toc235473310" w:history="1">
            <w:r w:rsidRPr="001C40FC">
              <w:rPr>
                <w:rStyle w:val="Hyperlink"/>
                <w:b/>
                <w:bCs/>
                <w:noProof/>
              </w:rPr>
              <w:t>2.2 Aiken and Plutus V3</w:t>
            </w:r>
            <w:r>
              <w:rPr>
                <w:noProof/>
              </w:rPr>
              <w:tab/>
            </w:r>
            <w:r>
              <w:rPr>
                <w:noProof/>
              </w:rPr>
              <w:fldChar w:fldCharType="begin"/>
            </w:r>
            <w:r>
              <w:rPr>
                <w:noProof/>
              </w:rPr>
              <w:instrText xml:space="preserve"> PAGEREF _Toc235473310 \h </w:instrText>
            </w:r>
            <w:r>
              <w:rPr>
                <w:noProof/>
              </w:rPr>
            </w:r>
            <w:r>
              <w:rPr>
                <w:noProof/>
              </w:rPr>
              <w:fldChar w:fldCharType="separate"/>
            </w:r>
            <w:r>
              <w:rPr>
                <w:noProof/>
              </w:rPr>
              <w:t>6</w:t>
            </w:r>
            <w:r>
              <w:rPr>
                <w:noProof/>
              </w:rPr>
              <w:fldChar w:fldCharType="end"/>
            </w:r>
          </w:hyperlink>
        </w:p>
        <w:p w:rsidR="00E76EE5" w:rsidRDefault="00E76EE5">
          <w:pPr>
            <w:pStyle w:val="TOC2"/>
            <w:tabs>
              <w:tab w:val="right" w:leader="dot" w:pos="9350"/>
            </w:tabs>
            <w:rPr>
              <w:noProof/>
            </w:rPr>
          </w:pPr>
          <w:hyperlink w:anchor="_Toc235473311" w:history="1">
            <w:r w:rsidRPr="001C40FC">
              <w:rPr>
                <w:rStyle w:val="Hyperlink"/>
                <w:b/>
                <w:bCs/>
                <w:noProof/>
              </w:rPr>
              <w:t>2.3 Soulbound Tokens as Verifiable Delivery Credentials</w:t>
            </w:r>
            <w:r>
              <w:rPr>
                <w:noProof/>
              </w:rPr>
              <w:tab/>
            </w:r>
            <w:r>
              <w:rPr>
                <w:noProof/>
              </w:rPr>
              <w:fldChar w:fldCharType="begin"/>
            </w:r>
            <w:r>
              <w:rPr>
                <w:noProof/>
              </w:rPr>
              <w:instrText xml:space="preserve"> PAGEREF _Toc235473311 \h </w:instrText>
            </w:r>
            <w:r>
              <w:rPr>
                <w:noProof/>
              </w:rPr>
            </w:r>
            <w:r>
              <w:rPr>
                <w:noProof/>
              </w:rPr>
              <w:fldChar w:fldCharType="separate"/>
            </w:r>
            <w:r>
              <w:rPr>
                <w:noProof/>
              </w:rPr>
              <w:t>6</w:t>
            </w:r>
            <w:r>
              <w:rPr>
                <w:noProof/>
              </w:rPr>
              <w:fldChar w:fldCharType="end"/>
            </w:r>
          </w:hyperlink>
        </w:p>
        <w:p w:rsidR="00E76EE5" w:rsidRDefault="00E76EE5">
          <w:pPr>
            <w:pStyle w:val="TOC2"/>
            <w:tabs>
              <w:tab w:val="right" w:leader="dot" w:pos="9350"/>
            </w:tabs>
            <w:rPr>
              <w:noProof/>
            </w:rPr>
          </w:pPr>
          <w:hyperlink w:anchor="_Toc235473312" w:history="1">
            <w:r w:rsidRPr="001C40FC">
              <w:rPr>
                <w:rStyle w:val="Hyperlink"/>
                <w:b/>
                <w:bCs/>
                <w:noProof/>
              </w:rPr>
              <w:t>2.4 Milestone-Based Grant Funding in Practice</w:t>
            </w:r>
            <w:r>
              <w:rPr>
                <w:noProof/>
              </w:rPr>
              <w:tab/>
            </w:r>
            <w:r>
              <w:rPr>
                <w:noProof/>
              </w:rPr>
              <w:fldChar w:fldCharType="begin"/>
            </w:r>
            <w:r>
              <w:rPr>
                <w:noProof/>
              </w:rPr>
              <w:instrText xml:space="preserve"> PAGEREF _Toc235473312 \h </w:instrText>
            </w:r>
            <w:r>
              <w:rPr>
                <w:noProof/>
              </w:rPr>
            </w:r>
            <w:r>
              <w:rPr>
                <w:noProof/>
              </w:rPr>
              <w:fldChar w:fldCharType="separate"/>
            </w:r>
            <w:r>
              <w:rPr>
                <w:noProof/>
              </w:rPr>
              <w:t>6</w:t>
            </w:r>
            <w:r>
              <w:rPr>
                <w:noProof/>
              </w:rPr>
              <w:fldChar w:fldCharType="end"/>
            </w:r>
          </w:hyperlink>
        </w:p>
        <w:p w:rsidR="00E76EE5" w:rsidRDefault="00E76EE5">
          <w:pPr>
            <w:pStyle w:val="TOC2"/>
            <w:tabs>
              <w:tab w:val="right" w:leader="dot" w:pos="9350"/>
            </w:tabs>
            <w:rPr>
              <w:noProof/>
            </w:rPr>
          </w:pPr>
          <w:hyperlink w:anchor="_Toc235473313" w:history="1">
            <w:r w:rsidRPr="001C40FC">
              <w:rPr>
                <w:rStyle w:val="Hyperlink"/>
                <w:b/>
                <w:bCs/>
                <w:noProof/>
              </w:rPr>
              <w:t>2.5 Smart Contract Security Literature</w:t>
            </w:r>
            <w:r>
              <w:rPr>
                <w:noProof/>
              </w:rPr>
              <w:tab/>
            </w:r>
            <w:r>
              <w:rPr>
                <w:noProof/>
              </w:rPr>
              <w:fldChar w:fldCharType="begin"/>
            </w:r>
            <w:r>
              <w:rPr>
                <w:noProof/>
              </w:rPr>
              <w:instrText xml:space="preserve"> PAGEREF _Toc235473313 \h </w:instrText>
            </w:r>
            <w:r>
              <w:rPr>
                <w:noProof/>
              </w:rPr>
            </w:r>
            <w:r>
              <w:rPr>
                <w:noProof/>
              </w:rPr>
              <w:fldChar w:fldCharType="separate"/>
            </w:r>
            <w:r>
              <w:rPr>
                <w:noProof/>
              </w:rPr>
              <w:t>7</w:t>
            </w:r>
            <w:r>
              <w:rPr>
                <w:noProof/>
              </w:rPr>
              <w:fldChar w:fldCharType="end"/>
            </w:r>
          </w:hyperlink>
        </w:p>
        <w:p w:rsidR="00E76EE5" w:rsidRDefault="00E76EE5">
          <w:pPr>
            <w:pStyle w:val="TOC1"/>
            <w:tabs>
              <w:tab w:val="right" w:leader="dot" w:pos="9350"/>
            </w:tabs>
            <w:rPr>
              <w:noProof/>
            </w:rPr>
          </w:pPr>
          <w:hyperlink w:anchor="_Toc235473314" w:history="1">
            <w:r w:rsidRPr="001C40FC">
              <w:rPr>
                <w:rStyle w:val="Hyperlink"/>
                <w:b/>
                <w:bCs/>
                <w:noProof/>
              </w:rPr>
              <w:t>3. System Architecture</w:t>
            </w:r>
            <w:r>
              <w:rPr>
                <w:noProof/>
              </w:rPr>
              <w:tab/>
            </w:r>
            <w:r>
              <w:rPr>
                <w:noProof/>
              </w:rPr>
              <w:fldChar w:fldCharType="begin"/>
            </w:r>
            <w:r>
              <w:rPr>
                <w:noProof/>
              </w:rPr>
              <w:instrText xml:space="preserve"> PAGEREF _Toc235473314 \h </w:instrText>
            </w:r>
            <w:r>
              <w:rPr>
                <w:noProof/>
              </w:rPr>
            </w:r>
            <w:r>
              <w:rPr>
                <w:noProof/>
              </w:rPr>
              <w:fldChar w:fldCharType="separate"/>
            </w:r>
            <w:r>
              <w:rPr>
                <w:noProof/>
              </w:rPr>
              <w:t>7</w:t>
            </w:r>
            <w:r>
              <w:rPr>
                <w:noProof/>
              </w:rPr>
              <w:fldChar w:fldCharType="end"/>
            </w:r>
          </w:hyperlink>
        </w:p>
        <w:p w:rsidR="00E76EE5" w:rsidRDefault="00E76EE5">
          <w:pPr>
            <w:pStyle w:val="TOC2"/>
            <w:tabs>
              <w:tab w:val="right" w:leader="dot" w:pos="9350"/>
            </w:tabs>
            <w:rPr>
              <w:noProof/>
            </w:rPr>
          </w:pPr>
          <w:hyperlink w:anchor="_Toc235473315" w:history="1">
            <w:r w:rsidRPr="001C40FC">
              <w:rPr>
                <w:rStyle w:val="Hyperlink"/>
                <w:b/>
                <w:bCs/>
                <w:noProof/>
              </w:rPr>
              <w:t>3.1 On-Chain Layer: The Milestone Escrow Validator</w:t>
            </w:r>
            <w:r>
              <w:rPr>
                <w:noProof/>
              </w:rPr>
              <w:tab/>
            </w:r>
            <w:r>
              <w:rPr>
                <w:noProof/>
              </w:rPr>
              <w:fldChar w:fldCharType="begin"/>
            </w:r>
            <w:r>
              <w:rPr>
                <w:noProof/>
              </w:rPr>
              <w:instrText xml:space="preserve"> PAGEREF _Toc235473315 \h </w:instrText>
            </w:r>
            <w:r>
              <w:rPr>
                <w:noProof/>
              </w:rPr>
            </w:r>
            <w:r>
              <w:rPr>
                <w:noProof/>
              </w:rPr>
              <w:fldChar w:fldCharType="separate"/>
            </w:r>
            <w:r>
              <w:rPr>
                <w:noProof/>
              </w:rPr>
              <w:t>7</w:t>
            </w:r>
            <w:r>
              <w:rPr>
                <w:noProof/>
              </w:rPr>
              <w:fldChar w:fldCharType="end"/>
            </w:r>
          </w:hyperlink>
        </w:p>
        <w:p w:rsidR="00E76EE5" w:rsidRDefault="00E76EE5">
          <w:pPr>
            <w:pStyle w:val="TOC2"/>
            <w:tabs>
              <w:tab w:val="right" w:leader="dot" w:pos="9350"/>
            </w:tabs>
            <w:rPr>
              <w:noProof/>
            </w:rPr>
          </w:pPr>
          <w:hyperlink w:anchor="_Toc235473316" w:history="1">
            <w:r w:rsidRPr="001C40FC">
              <w:rPr>
                <w:rStyle w:val="Hyperlink"/>
                <w:b/>
                <w:bCs/>
                <w:noProof/>
              </w:rPr>
              <w:t>3.2 Off-Chain Layer: Transaction-Building API</w:t>
            </w:r>
            <w:r>
              <w:rPr>
                <w:noProof/>
              </w:rPr>
              <w:tab/>
            </w:r>
            <w:r>
              <w:rPr>
                <w:noProof/>
              </w:rPr>
              <w:fldChar w:fldCharType="begin"/>
            </w:r>
            <w:r>
              <w:rPr>
                <w:noProof/>
              </w:rPr>
              <w:instrText xml:space="preserve"> PAGEREF _Toc235473316 \h </w:instrText>
            </w:r>
            <w:r>
              <w:rPr>
                <w:noProof/>
              </w:rPr>
            </w:r>
            <w:r>
              <w:rPr>
                <w:noProof/>
              </w:rPr>
              <w:fldChar w:fldCharType="separate"/>
            </w:r>
            <w:r>
              <w:rPr>
                <w:noProof/>
              </w:rPr>
              <w:t>8</w:t>
            </w:r>
            <w:r>
              <w:rPr>
                <w:noProof/>
              </w:rPr>
              <w:fldChar w:fldCharType="end"/>
            </w:r>
          </w:hyperlink>
        </w:p>
        <w:p w:rsidR="00E76EE5" w:rsidRDefault="00E76EE5">
          <w:pPr>
            <w:pStyle w:val="TOC2"/>
            <w:tabs>
              <w:tab w:val="right" w:leader="dot" w:pos="9350"/>
            </w:tabs>
            <w:rPr>
              <w:noProof/>
            </w:rPr>
          </w:pPr>
          <w:hyperlink w:anchor="_Toc235473317" w:history="1">
            <w:r w:rsidRPr="001C40FC">
              <w:rPr>
                <w:rStyle w:val="Hyperlink"/>
                <w:b/>
                <w:bCs/>
                <w:noProof/>
              </w:rPr>
              <w:t>3.3 Client Layer: Wallet-Connected Frontend</w:t>
            </w:r>
            <w:r>
              <w:rPr>
                <w:noProof/>
              </w:rPr>
              <w:tab/>
            </w:r>
            <w:r>
              <w:rPr>
                <w:noProof/>
              </w:rPr>
              <w:fldChar w:fldCharType="begin"/>
            </w:r>
            <w:r>
              <w:rPr>
                <w:noProof/>
              </w:rPr>
              <w:instrText xml:space="preserve"> PAGEREF _Toc235473317 \h </w:instrText>
            </w:r>
            <w:r>
              <w:rPr>
                <w:noProof/>
              </w:rPr>
            </w:r>
            <w:r>
              <w:rPr>
                <w:noProof/>
              </w:rPr>
              <w:fldChar w:fldCharType="separate"/>
            </w:r>
            <w:r>
              <w:rPr>
                <w:noProof/>
              </w:rPr>
              <w:t>9</w:t>
            </w:r>
            <w:r>
              <w:rPr>
                <w:noProof/>
              </w:rPr>
              <w:fldChar w:fldCharType="end"/>
            </w:r>
          </w:hyperlink>
        </w:p>
        <w:p w:rsidR="00E76EE5" w:rsidRDefault="00E76EE5">
          <w:pPr>
            <w:pStyle w:val="TOC2"/>
            <w:tabs>
              <w:tab w:val="right" w:leader="dot" w:pos="9350"/>
            </w:tabs>
            <w:rPr>
              <w:noProof/>
            </w:rPr>
          </w:pPr>
          <w:hyperlink w:anchor="_Toc235473318" w:history="1">
            <w:r w:rsidRPr="001C40FC">
              <w:rPr>
                <w:rStyle w:val="Hyperlink"/>
                <w:b/>
                <w:bCs/>
                <w:noProof/>
              </w:rPr>
              <w:t>3.4 Layer Interaction Summary</w:t>
            </w:r>
            <w:r>
              <w:rPr>
                <w:noProof/>
              </w:rPr>
              <w:tab/>
            </w:r>
            <w:r>
              <w:rPr>
                <w:noProof/>
              </w:rPr>
              <w:fldChar w:fldCharType="begin"/>
            </w:r>
            <w:r>
              <w:rPr>
                <w:noProof/>
              </w:rPr>
              <w:instrText xml:space="preserve"> PAGEREF _Toc235473318 \h </w:instrText>
            </w:r>
            <w:r>
              <w:rPr>
                <w:noProof/>
              </w:rPr>
            </w:r>
            <w:r>
              <w:rPr>
                <w:noProof/>
              </w:rPr>
              <w:fldChar w:fldCharType="separate"/>
            </w:r>
            <w:r>
              <w:rPr>
                <w:noProof/>
              </w:rPr>
              <w:t>9</w:t>
            </w:r>
            <w:r>
              <w:rPr>
                <w:noProof/>
              </w:rPr>
              <w:fldChar w:fldCharType="end"/>
            </w:r>
          </w:hyperlink>
        </w:p>
        <w:p w:rsidR="00E76EE5" w:rsidRDefault="00E76EE5">
          <w:pPr>
            <w:pStyle w:val="TOC1"/>
            <w:tabs>
              <w:tab w:val="right" w:leader="dot" w:pos="9350"/>
            </w:tabs>
            <w:rPr>
              <w:noProof/>
            </w:rPr>
          </w:pPr>
          <w:hyperlink w:anchor="_Toc235473319" w:history="1">
            <w:r w:rsidRPr="001C40FC">
              <w:rPr>
                <w:rStyle w:val="Hyperlink"/>
                <w:b/>
                <w:bCs/>
                <w:noProof/>
              </w:rPr>
              <w:t>4. Design Rationale and Engineering Decisions</w:t>
            </w:r>
            <w:r>
              <w:rPr>
                <w:noProof/>
              </w:rPr>
              <w:tab/>
            </w:r>
            <w:r>
              <w:rPr>
                <w:noProof/>
              </w:rPr>
              <w:fldChar w:fldCharType="begin"/>
            </w:r>
            <w:r>
              <w:rPr>
                <w:noProof/>
              </w:rPr>
              <w:instrText xml:space="preserve"> PAGEREF _Toc235473319 \h </w:instrText>
            </w:r>
            <w:r>
              <w:rPr>
                <w:noProof/>
              </w:rPr>
            </w:r>
            <w:r>
              <w:rPr>
                <w:noProof/>
              </w:rPr>
              <w:fldChar w:fldCharType="separate"/>
            </w:r>
            <w:r>
              <w:rPr>
                <w:noProof/>
              </w:rPr>
              <w:t>9</w:t>
            </w:r>
            <w:r>
              <w:rPr>
                <w:noProof/>
              </w:rPr>
              <w:fldChar w:fldCharType="end"/>
            </w:r>
          </w:hyperlink>
        </w:p>
        <w:p w:rsidR="00E76EE5" w:rsidRDefault="00E76EE5">
          <w:pPr>
            <w:pStyle w:val="TOC2"/>
            <w:tabs>
              <w:tab w:val="right" w:leader="dot" w:pos="9350"/>
            </w:tabs>
            <w:rPr>
              <w:noProof/>
            </w:rPr>
          </w:pPr>
          <w:hyperlink w:anchor="_Toc235473320" w:history="1">
            <w:r w:rsidRPr="001C40FC">
              <w:rPr>
                <w:rStyle w:val="Hyperlink"/>
                <w:b/>
                <w:bCs/>
                <w:noProof/>
              </w:rPr>
              <w:t>4.1 Why a Single Combined Validator</w:t>
            </w:r>
            <w:r>
              <w:rPr>
                <w:noProof/>
              </w:rPr>
              <w:tab/>
            </w:r>
            <w:r>
              <w:rPr>
                <w:noProof/>
              </w:rPr>
              <w:fldChar w:fldCharType="begin"/>
            </w:r>
            <w:r>
              <w:rPr>
                <w:noProof/>
              </w:rPr>
              <w:instrText xml:space="preserve"> PAGEREF _Toc235473320 \h </w:instrText>
            </w:r>
            <w:r>
              <w:rPr>
                <w:noProof/>
              </w:rPr>
            </w:r>
            <w:r>
              <w:rPr>
                <w:noProof/>
              </w:rPr>
              <w:fldChar w:fldCharType="separate"/>
            </w:r>
            <w:r>
              <w:rPr>
                <w:noProof/>
              </w:rPr>
              <w:t>10</w:t>
            </w:r>
            <w:r>
              <w:rPr>
                <w:noProof/>
              </w:rPr>
              <w:fldChar w:fldCharType="end"/>
            </w:r>
          </w:hyperlink>
        </w:p>
        <w:p w:rsidR="00E76EE5" w:rsidRDefault="00E76EE5">
          <w:pPr>
            <w:pStyle w:val="TOC2"/>
            <w:tabs>
              <w:tab w:val="right" w:leader="dot" w:pos="9350"/>
            </w:tabs>
            <w:rPr>
              <w:noProof/>
            </w:rPr>
          </w:pPr>
          <w:hyperlink w:anchor="_Toc235473321" w:history="1">
            <w:r w:rsidRPr="001C40FC">
              <w:rPr>
                <w:rStyle w:val="Hyperlink"/>
                <w:b/>
                <w:bCs/>
                <w:noProof/>
              </w:rPr>
              <w:t>4.2 Deployment-Tag Parameterization</w:t>
            </w:r>
            <w:r>
              <w:rPr>
                <w:noProof/>
              </w:rPr>
              <w:tab/>
            </w:r>
            <w:r>
              <w:rPr>
                <w:noProof/>
              </w:rPr>
              <w:fldChar w:fldCharType="begin"/>
            </w:r>
            <w:r>
              <w:rPr>
                <w:noProof/>
              </w:rPr>
              <w:instrText xml:space="preserve"> PAGEREF _Toc235473321 \h </w:instrText>
            </w:r>
            <w:r>
              <w:rPr>
                <w:noProof/>
              </w:rPr>
            </w:r>
            <w:r>
              <w:rPr>
                <w:noProof/>
              </w:rPr>
              <w:fldChar w:fldCharType="separate"/>
            </w:r>
            <w:r>
              <w:rPr>
                <w:noProof/>
              </w:rPr>
              <w:t>10</w:t>
            </w:r>
            <w:r>
              <w:rPr>
                <w:noProof/>
              </w:rPr>
              <w:fldChar w:fldCharType="end"/>
            </w:r>
          </w:hyperlink>
        </w:p>
        <w:p w:rsidR="00E76EE5" w:rsidRDefault="00E76EE5">
          <w:pPr>
            <w:pStyle w:val="TOC2"/>
            <w:tabs>
              <w:tab w:val="right" w:leader="dot" w:pos="9350"/>
            </w:tabs>
            <w:rPr>
              <w:noProof/>
            </w:rPr>
          </w:pPr>
          <w:hyperlink w:anchor="_Toc235473322" w:history="1">
            <w:r w:rsidRPr="001C40FC">
              <w:rPr>
                <w:rStyle w:val="Hyperlink"/>
                <w:b/>
                <w:bCs/>
                <w:noProof/>
              </w:rPr>
              <w:t>4.3 Off-Chain Metadata as a Deliberately Separate Trust Boundary</w:t>
            </w:r>
            <w:r>
              <w:rPr>
                <w:noProof/>
              </w:rPr>
              <w:tab/>
            </w:r>
            <w:r>
              <w:rPr>
                <w:noProof/>
              </w:rPr>
              <w:fldChar w:fldCharType="begin"/>
            </w:r>
            <w:r>
              <w:rPr>
                <w:noProof/>
              </w:rPr>
              <w:instrText xml:space="preserve"> PAGEREF _Toc235473322 \h </w:instrText>
            </w:r>
            <w:r>
              <w:rPr>
                <w:noProof/>
              </w:rPr>
            </w:r>
            <w:r>
              <w:rPr>
                <w:noProof/>
              </w:rPr>
              <w:fldChar w:fldCharType="separate"/>
            </w:r>
            <w:r>
              <w:rPr>
                <w:noProof/>
              </w:rPr>
              <w:t>10</w:t>
            </w:r>
            <w:r>
              <w:rPr>
                <w:noProof/>
              </w:rPr>
              <w:fldChar w:fldCharType="end"/>
            </w:r>
          </w:hyperlink>
        </w:p>
        <w:p w:rsidR="00E76EE5" w:rsidRDefault="00E76EE5">
          <w:pPr>
            <w:pStyle w:val="TOC2"/>
            <w:tabs>
              <w:tab w:val="right" w:leader="dot" w:pos="9350"/>
            </w:tabs>
            <w:rPr>
              <w:noProof/>
            </w:rPr>
          </w:pPr>
          <w:hyperlink w:anchor="_Toc235473323" w:history="1">
            <w:r w:rsidRPr="001C40FC">
              <w:rPr>
                <w:rStyle w:val="Hyperlink"/>
                <w:b/>
                <w:bCs/>
                <w:noProof/>
              </w:rPr>
              <w:t>4.4 Boolean-Toggle Testing Methodology</w:t>
            </w:r>
            <w:r>
              <w:rPr>
                <w:noProof/>
              </w:rPr>
              <w:tab/>
            </w:r>
            <w:r>
              <w:rPr>
                <w:noProof/>
              </w:rPr>
              <w:fldChar w:fldCharType="begin"/>
            </w:r>
            <w:r>
              <w:rPr>
                <w:noProof/>
              </w:rPr>
              <w:instrText xml:space="preserve"> PAGEREF _Toc235473323 \h </w:instrText>
            </w:r>
            <w:r>
              <w:rPr>
                <w:noProof/>
              </w:rPr>
            </w:r>
            <w:r>
              <w:rPr>
                <w:noProof/>
              </w:rPr>
              <w:fldChar w:fldCharType="separate"/>
            </w:r>
            <w:r>
              <w:rPr>
                <w:noProof/>
              </w:rPr>
              <w:t>10</w:t>
            </w:r>
            <w:r>
              <w:rPr>
                <w:noProof/>
              </w:rPr>
              <w:fldChar w:fldCharType="end"/>
            </w:r>
          </w:hyperlink>
        </w:p>
        <w:p w:rsidR="00E76EE5" w:rsidRDefault="00E76EE5">
          <w:pPr>
            <w:pStyle w:val="TOC2"/>
            <w:tabs>
              <w:tab w:val="right" w:leader="dot" w:pos="9350"/>
            </w:tabs>
            <w:rPr>
              <w:noProof/>
            </w:rPr>
          </w:pPr>
          <w:hyperlink w:anchor="_Toc235473324" w:history="1">
            <w:r w:rsidRPr="001C40FC">
              <w:rPr>
                <w:rStyle w:val="Hyperlink"/>
                <w:b/>
                <w:bCs/>
                <w:noProof/>
              </w:rPr>
              <w:t xml:space="preserve">4.5 </w:t>
            </w:r>
            <w:r w:rsidRPr="001C40FC">
              <w:rPr>
                <w:rStyle w:val="Hyperlink"/>
                <w:rFonts w:hint="eastAsia"/>
                <w:b/>
                <w:bCs/>
                <w:noProof/>
              </w:rPr>
              <w:t>“</w:t>
            </w:r>
            <w:r w:rsidRPr="001C40FC">
              <w:rPr>
                <w:rStyle w:val="Hyperlink"/>
                <w:b/>
                <w:bCs/>
                <w:noProof/>
              </w:rPr>
              <w:t>Weak DeFi</w:t>
            </w:r>
            <w:r w:rsidRPr="001C40FC">
              <w:rPr>
                <w:rStyle w:val="Hyperlink"/>
                <w:rFonts w:hint="eastAsia"/>
                <w:b/>
                <w:bCs/>
                <w:noProof/>
              </w:rPr>
              <w:t>”</w:t>
            </w:r>
            <w:r w:rsidRPr="001C40FC">
              <w:rPr>
                <w:rStyle w:val="Hyperlink"/>
                <w:b/>
                <w:bCs/>
                <w:noProof/>
              </w:rPr>
              <w:t xml:space="preserve"> as an Explicit, Disclosed Design Choice</w:t>
            </w:r>
            <w:r>
              <w:rPr>
                <w:noProof/>
              </w:rPr>
              <w:tab/>
            </w:r>
            <w:r>
              <w:rPr>
                <w:noProof/>
              </w:rPr>
              <w:fldChar w:fldCharType="begin"/>
            </w:r>
            <w:r>
              <w:rPr>
                <w:noProof/>
              </w:rPr>
              <w:instrText xml:space="preserve"> PAGEREF _Toc235473324 \h </w:instrText>
            </w:r>
            <w:r>
              <w:rPr>
                <w:noProof/>
              </w:rPr>
            </w:r>
            <w:r>
              <w:rPr>
                <w:noProof/>
              </w:rPr>
              <w:fldChar w:fldCharType="separate"/>
            </w:r>
            <w:r>
              <w:rPr>
                <w:noProof/>
              </w:rPr>
              <w:t>11</w:t>
            </w:r>
            <w:r>
              <w:rPr>
                <w:noProof/>
              </w:rPr>
              <w:fldChar w:fldCharType="end"/>
            </w:r>
          </w:hyperlink>
        </w:p>
        <w:p w:rsidR="00E76EE5" w:rsidRDefault="00E76EE5">
          <w:pPr>
            <w:pStyle w:val="TOC1"/>
            <w:tabs>
              <w:tab w:val="right" w:leader="dot" w:pos="9350"/>
            </w:tabs>
            <w:rPr>
              <w:noProof/>
            </w:rPr>
          </w:pPr>
          <w:hyperlink w:anchor="_Toc235473325" w:history="1">
            <w:r w:rsidRPr="001C40FC">
              <w:rPr>
                <w:rStyle w:val="Hyperlink"/>
                <w:b/>
                <w:bCs/>
                <w:noProof/>
              </w:rPr>
              <w:t>5. Risk Perception Analysis</w:t>
            </w:r>
            <w:r>
              <w:rPr>
                <w:noProof/>
              </w:rPr>
              <w:tab/>
            </w:r>
            <w:r>
              <w:rPr>
                <w:noProof/>
              </w:rPr>
              <w:fldChar w:fldCharType="begin"/>
            </w:r>
            <w:r>
              <w:rPr>
                <w:noProof/>
              </w:rPr>
              <w:instrText xml:space="preserve"> PAGEREF _Toc235473325 \h </w:instrText>
            </w:r>
            <w:r>
              <w:rPr>
                <w:noProof/>
              </w:rPr>
            </w:r>
            <w:r>
              <w:rPr>
                <w:noProof/>
              </w:rPr>
              <w:fldChar w:fldCharType="separate"/>
            </w:r>
            <w:r>
              <w:rPr>
                <w:noProof/>
              </w:rPr>
              <w:t>11</w:t>
            </w:r>
            <w:r>
              <w:rPr>
                <w:noProof/>
              </w:rPr>
              <w:fldChar w:fldCharType="end"/>
            </w:r>
          </w:hyperlink>
        </w:p>
        <w:p w:rsidR="00E76EE5" w:rsidRDefault="00E76EE5">
          <w:pPr>
            <w:pStyle w:val="TOC2"/>
            <w:tabs>
              <w:tab w:val="right" w:leader="dot" w:pos="9350"/>
            </w:tabs>
            <w:rPr>
              <w:noProof/>
            </w:rPr>
          </w:pPr>
          <w:hyperlink w:anchor="_Toc235473326" w:history="1">
            <w:r w:rsidRPr="001C40FC">
              <w:rPr>
                <w:rStyle w:val="Hyperlink"/>
                <w:b/>
                <w:bCs/>
                <w:noProof/>
              </w:rPr>
              <w:t>5.1 Factor 2 (Unknown Risk) Classification</w:t>
            </w:r>
            <w:r>
              <w:rPr>
                <w:noProof/>
              </w:rPr>
              <w:tab/>
            </w:r>
            <w:r>
              <w:rPr>
                <w:noProof/>
              </w:rPr>
              <w:fldChar w:fldCharType="begin"/>
            </w:r>
            <w:r>
              <w:rPr>
                <w:noProof/>
              </w:rPr>
              <w:instrText xml:space="preserve"> PAGEREF _Toc235473326 \h </w:instrText>
            </w:r>
            <w:r>
              <w:rPr>
                <w:noProof/>
              </w:rPr>
            </w:r>
            <w:r>
              <w:rPr>
                <w:noProof/>
              </w:rPr>
              <w:fldChar w:fldCharType="separate"/>
            </w:r>
            <w:r>
              <w:rPr>
                <w:noProof/>
              </w:rPr>
              <w:t>12</w:t>
            </w:r>
            <w:r>
              <w:rPr>
                <w:noProof/>
              </w:rPr>
              <w:fldChar w:fldCharType="end"/>
            </w:r>
          </w:hyperlink>
        </w:p>
        <w:p w:rsidR="00E76EE5" w:rsidRDefault="00E76EE5">
          <w:pPr>
            <w:pStyle w:val="TOC2"/>
            <w:tabs>
              <w:tab w:val="right" w:leader="dot" w:pos="9350"/>
            </w:tabs>
            <w:rPr>
              <w:noProof/>
            </w:rPr>
          </w:pPr>
          <w:hyperlink w:anchor="_Toc235473327" w:history="1">
            <w:r w:rsidRPr="001C40FC">
              <w:rPr>
                <w:rStyle w:val="Hyperlink"/>
                <w:b/>
                <w:bCs/>
                <w:noProof/>
              </w:rPr>
              <w:t>5.2 Factor 1 (Dread Risk) Classification</w:t>
            </w:r>
            <w:r>
              <w:rPr>
                <w:noProof/>
              </w:rPr>
              <w:tab/>
            </w:r>
            <w:r>
              <w:rPr>
                <w:noProof/>
              </w:rPr>
              <w:fldChar w:fldCharType="begin"/>
            </w:r>
            <w:r>
              <w:rPr>
                <w:noProof/>
              </w:rPr>
              <w:instrText xml:space="preserve"> PAGEREF _Toc235473327 \h </w:instrText>
            </w:r>
            <w:r>
              <w:rPr>
                <w:noProof/>
              </w:rPr>
            </w:r>
            <w:r>
              <w:rPr>
                <w:noProof/>
              </w:rPr>
              <w:fldChar w:fldCharType="separate"/>
            </w:r>
            <w:r>
              <w:rPr>
                <w:noProof/>
              </w:rPr>
              <w:t>12</w:t>
            </w:r>
            <w:r>
              <w:rPr>
                <w:noProof/>
              </w:rPr>
              <w:fldChar w:fldCharType="end"/>
            </w:r>
          </w:hyperlink>
        </w:p>
        <w:p w:rsidR="00E76EE5" w:rsidRDefault="00E76EE5">
          <w:pPr>
            <w:pStyle w:val="TOC2"/>
            <w:tabs>
              <w:tab w:val="right" w:leader="dot" w:pos="9350"/>
            </w:tabs>
            <w:rPr>
              <w:noProof/>
            </w:rPr>
          </w:pPr>
          <w:hyperlink w:anchor="_Toc235473328" w:history="1">
            <w:r w:rsidRPr="001C40FC">
              <w:rPr>
                <w:rStyle w:val="Hyperlink"/>
                <w:b/>
                <w:bCs/>
                <w:noProof/>
              </w:rPr>
              <w:t>5.3 Overall Positioning and Regulatory Implication</w:t>
            </w:r>
            <w:r>
              <w:rPr>
                <w:noProof/>
              </w:rPr>
              <w:tab/>
            </w:r>
            <w:r>
              <w:rPr>
                <w:noProof/>
              </w:rPr>
              <w:fldChar w:fldCharType="begin"/>
            </w:r>
            <w:r>
              <w:rPr>
                <w:noProof/>
              </w:rPr>
              <w:instrText xml:space="preserve"> PAGEREF _Toc235473328 \h </w:instrText>
            </w:r>
            <w:r>
              <w:rPr>
                <w:noProof/>
              </w:rPr>
            </w:r>
            <w:r>
              <w:rPr>
                <w:noProof/>
              </w:rPr>
              <w:fldChar w:fldCharType="separate"/>
            </w:r>
            <w:r>
              <w:rPr>
                <w:noProof/>
              </w:rPr>
              <w:t>13</w:t>
            </w:r>
            <w:r>
              <w:rPr>
                <w:noProof/>
              </w:rPr>
              <w:fldChar w:fldCharType="end"/>
            </w:r>
          </w:hyperlink>
        </w:p>
        <w:p w:rsidR="00E76EE5" w:rsidRDefault="00E76EE5">
          <w:pPr>
            <w:pStyle w:val="TOC1"/>
            <w:tabs>
              <w:tab w:val="right" w:leader="dot" w:pos="9350"/>
            </w:tabs>
            <w:rPr>
              <w:noProof/>
            </w:rPr>
          </w:pPr>
          <w:hyperlink w:anchor="_Toc235473329" w:history="1">
            <w:r w:rsidRPr="001C40FC">
              <w:rPr>
                <w:rStyle w:val="Hyperlink"/>
                <w:b/>
                <w:bCs/>
                <w:noProof/>
              </w:rPr>
              <w:t>6. Security Analysis and Threat Model</w:t>
            </w:r>
            <w:r>
              <w:rPr>
                <w:noProof/>
              </w:rPr>
              <w:tab/>
            </w:r>
            <w:r>
              <w:rPr>
                <w:noProof/>
              </w:rPr>
              <w:fldChar w:fldCharType="begin"/>
            </w:r>
            <w:r>
              <w:rPr>
                <w:noProof/>
              </w:rPr>
              <w:instrText xml:space="preserve"> PAGEREF _Toc235473329 \h </w:instrText>
            </w:r>
            <w:r>
              <w:rPr>
                <w:noProof/>
              </w:rPr>
            </w:r>
            <w:r>
              <w:rPr>
                <w:noProof/>
              </w:rPr>
              <w:fldChar w:fldCharType="separate"/>
            </w:r>
            <w:r>
              <w:rPr>
                <w:noProof/>
              </w:rPr>
              <w:t>13</w:t>
            </w:r>
            <w:r>
              <w:rPr>
                <w:noProof/>
              </w:rPr>
              <w:fldChar w:fldCharType="end"/>
            </w:r>
          </w:hyperlink>
        </w:p>
        <w:p w:rsidR="00E76EE5" w:rsidRDefault="00E76EE5">
          <w:pPr>
            <w:pStyle w:val="TOC2"/>
            <w:tabs>
              <w:tab w:val="right" w:leader="dot" w:pos="9350"/>
            </w:tabs>
            <w:rPr>
              <w:noProof/>
            </w:rPr>
          </w:pPr>
          <w:hyperlink w:anchor="_Toc235473330" w:history="1">
            <w:r w:rsidRPr="001C40FC">
              <w:rPr>
                <w:rStyle w:val="Hyperlink"/>
                <w:b/>
                <w:bCs/>
                <w:noProof/>
              </w:rPr>
              <w:t>6.1 Critical: Unbounded Datum-Decode Failure Crashes the Entire Grant Listing</w:t>
            </w:r>
            <w:r>
              <w:rPr>
                <w:noProof/>
              </w:rPr>
              <w:tab/>
            </w:r>
            <w:r>
              <w:rPr>
                <w:noProof/>
              </w:rPr>
              <w:fldChar w:fldCharType="begin"/>
            </w:r>
            <w:r>
              <w:rPr>
                <w:noProof/>
              </w:rPr>
              <w:instrText xml:space="preserve"> PAGEREF _Toc235473330 \h </w:instrText>
            </w:r>
            <w:r>
              <w:rPr>
                <w:noProof/>
              </w:rPr>
            </w:r>
            <w:r>
              <w:rPr>
                <w:noProof/>
              </w:rPr>
              <w:fldChar w:fldCharType="separate"/>
            </w:r>
            <w:r>
              <w:rPr>
                <w:noProof/>
              </w:rPr>
              <w:t>14</w:t>
            </w:r>
            <w:r>
              <w:rPr>
                <w:noProof/>
              </w:rPr>
              <w:fldChar w:fldCharType="end"/>
            </w:r>
          </w:hyperlink>
        </w:p>
        <w:p w:rsidR="00E76EE5" w:rsidRDefault="00E76EE5">
          <w:pPr>
            <w:pStyle w:val="TOC2"/>
            <w:tabs>
              <w:tab w:val="right" w:leader="dot" w:pos="9350"/>
            </w:tabs>
            <w:rPr>
              <w:noProof/>
            </w:rPr>
          </w:pPr>
          <w:hyperlink w:anchor="_Toc235473331" w:history="1">
            <w:r w:rsidRPr="001C40FC">
              <w:rPr>
                <w:rStyle w:val="Hyperlink"/>
                <w:b/>
                <w:bCs/>
                <w:noProof/>
              </w:rPr>
              <w:t>6.2 High: Unauthenticated Writes to Off-Chain Grant Metadata</w:t>
            </w:r>
            <w:r>
              <w:rPr>
                <w:noProof/>
              </w:rPr>
              <w:tab/>
            </w:r>
            <w:r>
              <w:rPr>
                <w:noProof/>
              </w:rPr>
              <w:fldChar w:fldCharType="begin"/>
            </w:r>
            <w:r>
              <w:rPr>
                <w:noProof/>
              </w:rPr>
              <w:instrText xml:space="preserve"> PAGEREF _Toc235473331 \h </w:instrText>
            </w:r>
            <w:r>
              <w:rPr>
                <w:noProof/>
              </w:rPr>
            </w:r>
            <w:r>
              <w:rPr>
                <w:noProof/>
              </w:rPr>
              <w:fldChar w:fldCharType="separate"/>
            </w:r>
            <w:r>
              <w:rPr>
                <w:noProof/>
              </w:rPr>
              <w:t>14</w:t>
            </w:r>
            <w:r>
              <w:rPr>
                <w:noProof/>
              </w:rPr>
              <w:fldChar w:fldCharType="end"/>
            </w:r>
          </w:hyperlink>
        </w:p>
        <w:p w:rsidR="00E76EE5" w:rsidRDefault="00E76EE5">
          <w:pPr>
            <w:pStyle w:val="TOC2"/>
            <w:tabs>
              <w:tab w:val="right" w:leader="dot" w:pos="9350"/>
            </w:tabs>
            <w:rPr>
              <w:noProof/>
            </w:rPr>
          </w:pPr>
          <w:hyperlink w:anchor="_Toc235473332" w:history="1">
            <w:r w:rsidRPr="001C40FC">
              <w:rPr>
                <w:rStyle w:val="Hyperlink"/>
                <w:b/>
                <w:bCs/>
                <w:noProof/>
              </w:rPr>
              <w:t>6.3 High: Pagination Ceiling Enables Griefing of the Shared Grant Listing</w:t>
            </w:r>
            <w:r>
              <w:rPr>
                <w:noProof/>
              </w:rPr>
              <w:tab/>
            </w:r>
            <w:r>
              <w:rPr>
                <w:noProof/>
              </w:rPr>
              <w:fldChar w:fldCharType="begin"/>
            </w:r>
            <w:r>
              <w:rPr>
                <w:noProof/>
              </w:rPr>
              <w:instrText xml:space="preserve"> PAGEREF _Toc235473332 \h </w:instrText>
            </w:r>
            <w:r>
              <w:rPr>
                <w:noProof/>
              </w:rPr>
            </w:r>
            <w:r>
              <w:rPr>
                <w:noProof/>
              </w:rPr>
              <w:fldChar w:fldCharType="separate"/>
            </w:r>
            <w:r>
              <w:rPr>
                <w:noProof/>
              </w:rPr>
              <w:t>15</w:t>
            </w:r>
            <w:r>
              <w:rPr>
                <w:noProof/>
              </w:rPr>
              <w:fldChar w:fldCharType="end"/>
            </w:r>
          </w:hyperlink>
        </w:p>
        <w:p w:rsidR="00E76EE5" w:rsidRDefault="00E76EE5">
          <w:pPr>
            <w:pStyle w:val="TOC2"/>
            <w:tabs>
              <w:tab w:val="right" w:leader="dot" w:pos="9350"/>
            </w:tabs>
            <w:rPr>
              <w:noProof/>
            </w:rPr>
          </w:pPr>
          <w:hyperlink w:anchor="_Toc235473333" w:history="1">
            <w:r w:rsidRPr="001C40FC">
              <w:rPr>
                <w:rStyle w:val="Hyperlink"/>
                <w:b/>
                <w:bCs/>
                <w:noProof/>
              </w:rPr>
              <w:t>6.4 High: Stale Deploy-Target Default Contradicts the Project's Own Documentation</w:t>
            </w:r>
            <w:r>
              <w:rPr>
                <w:noProof/>
              </w:rPr>
              <w:tab/>
            </w:r>
            <w:r>
              <w:rPr>
                <w:noProof/>
              </w:rPr>
              <w:fldChar w:fldCharType="begin"/>
            </w:r>
            <w:r>
              <w:rPr>
                <w:noProof/>
              </w:rPr>
              <w:instrText xml:space="preserve"> PAGEREF _Toc235473333 \h </w:instrText>
            </w:r>
            <w:r>
              <w:rPr>
                <w:noProof/>
              </w:rPr>
            </w:r>
            <w:r>
              <w:rPr>
                <w:noProof/>
              </w:rPr>
              <w:fldChar w:fldCharType="separate"/>
            </w:r>
            <w:r>
              <w:rPr>
                <w:noProof/>
              </w:rPr>
              <w:t>15</w:t>
            </w:r>
            <w:r>
              <w:rPr>
                <w:noProof/>
              </w:rPr>
              <w:fldChar w:fldCharType="end"/>
            </w:r>
          </w:hyperlink>
        </w:p>
        <w:p w:rsidR="00E76EE5" w:rsidRDefault="00E76EE5">
          <w:pPr>
            <w:pStyle w:val="TOC2"/>
            <w:tabs>
              <w:tab w:val="right" w:leader="dot" w:pos="9350"/>
            </w:tabs>
            <w:rPr>
              <w:noProof/>
            </w:rPr>
          </w:pPr>
          <w:hyperlink w:anchor="_Toc235473334" w:history="1">
            <w:r w:rsidRPr="001C40FC">
              <w:rPr>
                <w:rStyle w:val="Hyperlink"/>
                <w:b/>
                <w:bCs/>
                <w:noProof/>
              </w:rPr>
              <w:t>6.5 Medium: On-Chain Validator Never Re-Verifies tranche_bps Invariants</w:t>
            </w:r>
            <w:r>
              <w:rPr>
                <w:noProof/>
              </w:rPr>
              <w:tab/>
            </w:r>
            <w:r>
              <w:rPr>
                <w:noProof/>
              </w:rPr>
              <w:fldChar w:fldCharType="begin"/>
            </w:r>
            <w:r>
              <w:rPr>
                <w:noProof/>
              </w:rPr>
              <w:instrText xml:space="preserve"> PAGEREF _Toc235473334 \h </w:instrText>
            </w:r>
            <w:r>
              <w:rPr>
                <w:noProof/>
              </w:rPr>
            </w:r>
            <w:r>
              <w:rPr>
                <w:noProof/>
              </w:rPr>
              <w:fldChar w:fldCharType="separate"/>
            </w:r>
            <w:r>
              <w:rPr>
                <w:noProof/>
              </w:rPr>
              <w:t>16</w:t>
            </w:r>
            <w:r>
              <w:rPr>
                <w:noProof/>
              </w:rPr>
              <w:fldChar w:fldCharType="end"/>
            </w:r>
          </w:hyperlink>
        </w:p>
        <w:p w:rsidR="00E76EE5" w:rsidRDefault="00E76EE5">
          <w:pPr>
            <w:pStyle w:val="TOC2"/>
            <w:tabs>
              <w:tab w:val="right" w:leader="dot" w:pos="9350"/>
            </w:tabs>
            <w:rPr>
              <w:noProof/>
            </w:rPr>
          </w:pPr>
          <w:hyperlink w:anchor="_Toc235473335" w:history="1">
            <w:r w:rsidRPr="001C40FC">
              <w:rPr>
                <w:rStyle w:val="Hyperlink"/>
                <w:b/>
                <w:bCs/>
                <w:noProof/>
              </w:rPr>
              <w:t>6.6 Medium: Unchecked Fixed-Width Arithmetic in Off-Chain Fee/Payout Calculations</w:t>
            </w:r>
            <w:r>
              <w:rPr>
                <w:noProof/>
              </w:rPr>
              <w:tab/>
            </w:r>
            <w:r>
              <w:rPr>
                <w:noProof/>
              </w:rPr>
              <w:fldChar w:fldCharType="begin"/>
            </w:r>
            <w:r>
              <w:rPr>
                <w:noProof/>
              </w:rPr>
              <w:instrText xml:space="preserve"> PAGEREF _Toc235473335 \h </w:instrText>
            </w:r>
            <w:r>
              <w:rPr>
                <w:noProof/>
              </w:rPr>
            </w:r>
            <w:r>
              <w:rPr>
                <w:noProof/>
              </w:rPr>
              <w:fldChar w:fldCharType="separate"/>
            </w:r>
            <w:r>
              <w:rPr>
                <w:noProof/>
              </w:rPr>
              <w:t>16</w:t>
            </w:r>
            <w:r>
              <w:rPr>
                <w:noProof/>
              </w:rPr>
              <w:fldChar w:fldCharType="end"/>
            </w:r>
          </w:hyperlink>
        </w:p>
        <w:p w:rsidR="00E76EE5" w:rsidRDefault="00E76EE5">
          <w:pPr>
            <w:pStyle w:val="TOC2"/>
            <w:tabs>
              <w:tab w:val="right" w:leader="dot" w:pos="9350"/>
            </w:tabs>
            <w:rPr>
              <w:noProof/>
            </w:rPr>
          </w:pPr>
          <w:hyperlink w:anchor="_Toc235473336" w:history="1">
            <w:r w:rsidRPr="001C40FC">
              <w:rPr>
                <w:rStyle w:val="Hyperlink"/>
                <w:b/>
                <w:bCs/>
                <w:noProof/>
              </w:rPr>
              <w:t>6.7 Medium: Unauthenticated, Unbounded Blockfrost Fan-Out Enables Cost-Based Denial of Service</w:t>
            </w:r>
            <w:r>
              <w:rPr>
                <w:noProof/>
              </w:rPr>
              <w:tab/>
            </w:r>
            <w:r>
              <w:rPr>
                <w:noProof/>
              </w:rPr>
              <w:fldChar w:fldCharType="begin"/>
            </w:r>
            <w:r>
              <w:rPr>
                <w:noProof/>
              </w:rPr>
              <w:instrText xml:space="preserve"> PAGEREF _Toc235473336 \h </w:instrText>
            </w:r>
            <w:r>
              <w:rPr>
                <w:noProof/>
              </w:rPr>
            </w:r>
            <w:r>
              <w:rPr>
                <w:noProof/>
              </w:rPr>
              <w:fldChar w:fldCharType="separate"/>
            </w:r>
            <w:r>
              <w:rPr>
                <w:noProof/>
              </w:rPr>
              <w:t>17</w:t>
            </w:r>
            <w:r>
              <w:rPr>
                <w:noProof/>
              </w:rPr>
              <w:fldChar w:fldCharType="end"/>
            </w:r>
          </w:hyperlink>
        </w:p>
        <w:p w:rsidR="00E76EE5" w:rsidRDefault="00E76EE5">
          <w:pPr>
            <w:pStyle w:val="TOC2"/>
            <w:tabs>
              <w:tab w:val="right" w:leader="dot" w:pos="9350"/>
            </w:tabs>
            <w:rPr>
              <w:noProof/>
            </w:rPr>
          </w:pPr>
          <w:hyperlink w:anchor="_Toc235473337" w:history="1">
            <w:r w:rsidRPr="001C40FC">
              <w:rPr>
                <w:rStyle w:val="Hyperlink"/>
                <w:b/>
                <w:bCs/>
                <w:noProof/>
              </w:rPr>
              <w:t>6.8 Low / Hardening: CI Does Not Execute Either Test Suite</w:t>
            </w:r>
            <w:r>
              <w:rPr>
                <w:noProof/>
              </w:rPr>
              <w:tab/>
            </w:r>
            <w:r>
              <w:rPr>
                <w:noProof/>
              </w:rPr>
              <w:fldChar w:fldCharType="begin"/>
            </w:r>
            <w:r>
              <w:rPr>
                <w:noProof/>
              </w:rPr>
              <w:instrText xml:space="preserve"> PAGEREF _Toc235473337 \h </w:instrText>
            </w:r>
            <w:r>
              <w:rPr>
                <w:noProof/>
              </w:rPr>
            </w:r>
            <w:r>
              <w:rPr>
                <w:noProof/>
              </w:rPr>
              <w:fldChar w:fldCharType="separate"/>
            </w:r>
            <w:r>
              <w:rPr>
                <w:noProof/>
              </w:rPr>
              <w:t>17</w:t>
            </w:r>
            <w:r>
              <w:rPr>
                <w:noProof/>
              </w:rPr>
              <w:fldChar w:fldCharType="end"/>
            </w:r>
          </w:hyperlink>
        </w:p>
        <w:p w:rsidR="00E76EE5" w:rsidRDefault="00E76EE5">
          <w:pPr>
            <w:pStyle w:val="TOC2"/>
            <w:tabs>
              <w:tab w:val="right" w:leader="dot" w:pos="9350"/>
            </w:tabs>
            <w:rPr>
              <w:noProof/>
            </w:rPr>
          </w:pPr>
          <w:hyperlink w:anchor="_Toc235473338" w:history="1">
            <w:r w:rsidRPr="001C40FC">
              <w:rPr>
                <w:rStyle w:val="Hyperlink"/>
                <w:b/>
                <w:bCs/>
                <w:noProof/>
              </w:rPr>
              <w:t>6.9 Low / Hardening: Container and Deployment Configuration</w:t>
            </w:r>
            <w:r>
              <w:rPr>
                <w:noProof/>
              </w:rPr>
              <w:tab/>
            </w:r>
            <w:r>
              <w:rPr>
                <w:noProof/>
              </w:rPr>
              <w:fldChar w:fldCharType="begin"/>
            </w:r>
            <w:r>
              <w:rPr>
                <w:noProof/>
              </w:rPr>
              <w:instrText xml:space="preserve"> PAGEREF _Toc235473338 \h </w:instrText>
            </w:r>
            <w:r>
              <w:rPr>
                <w:noProof/>
              </w:rPr>
            </w:r>
            <w:r>
              <w:rPr>
                <w:noProof/>
              </w:rPr>
              <w:fldChar w:fldCharType="separate"/>
            </w:r>
            <w:r>
              <w:rPr>
                <w:noProof/>
              </w:rPr>
              <w:t>17</w:t>
            </w:r>
            <w:r>
              <w:rPr>
                <w:noProof/>
              </w:rPr>
              <w:fldChar w:fldCharType="end"/>
            </w:r>
          </w:hyperlink>
        </w:p>
        <w:p w:rsidR="00E76EE5" w:rsidRDefault="00E76EE5">
          <w:pPr>
            <w:pStyle w:val="TOC2"/>
            <w:tabs>
              <w:tab w:val="right" w:leader="dot" w:pos="9350"/>
            </w:tabs>
            <w:rPr>
              <w:noProof/>
            </w:rPr>
          </w:pPr>
          <w:hyperlink w:anchor="_Toc235473339" w:history="1">
            <w:r w:rsidRPr="001C40FC">
              <w:rPr>
                <w:rStyle w:val="Hyperlink"/>
                <w:b/>
                <w:bCs/>
                <w:noProof/>
              </w:rPr>
              <w:t>6.10 Note: Generic Internal Error Messages Are a Correct Choice, Not a Defect</w:t>
            </w:r>
            <w:r>
              <w:rPr>
                <w:noProof/>
              </w:rPr>
              <w:tab/>
            </w:r>
            <w:r>
              <w:rPr>
                <w:noProof/>
              </w:rPr>
              <w:fldChar w:fldCharType="begin"/>
            </w:r>
            <w:r>
              <w:rPr>
                <w:noProof/>
              </w:rPr>
              <w:instrText xml:space="preserve"> PAGEREF _Toc235473339 \h </w:instrText>
            </w:r>
            <w:r>
              <w:rPr>
                <w:noProof/>
              </w:rPr>
            </w:r>
            <w:r>
              <w:rPr>
                <w:noProof/>
              </w:rPr>
              <w:fldChar w:fldCharType="separate"/>
            </w:r>
            <w:r>
              <w:rPr>
                <w:noProof/>
              </w:rPr>
              <w:t>18</w:t>
            </w:r>
            <w:r>
              <w:rPr>
                <w:noProof/>
              </w:rPr>
              <w:fldChar w:fldCharType="end"/>
            </w:r>
          </w:hyperlink>
        </w:p>
        <w:p w:rsidR="00E76EE5" w:rsidRDefault="00E76EE5">
          <w:pPr>
            <w:pStyle w:val="TOC2"/>
            <w:tabs>
              <w:tab w:val="right" w:leader="dot" w:pos="9350"/>
            </w:tabs>
            <w:rPr>
              <w:noProof/>
            </w:rPr>
          </w:pPr>
          <w:hyperlink w:anchor="_Toc235473340" w:history="1">
            <w:r w:rsidRPr="001C40FC">
              <w:rPr>
                <w:rStyle w:val="Hyperlink"/>
                <w:b/>
                <w:bCs/>
                <w:noProof/>
              </w:rPr>
              <w:t>6.11 Summary Table</w:t>
            </w:r>
            <w:r>
              <w:rPr>
                <w:noProof/>
              </w:rPr>
              <w:tab/>
            </w:r>
            <w:r>
              <w:rPr>
                <w:noProof/>
              </w:rPr>
              <w:fldChar w:fldCharType="begin"/>
            </w:r>
            <w:r>
              <w:rPr>
                <w:noProof/>
              </w:rPr>
              <w:instrText xml:space="preserve"> PAGEREF _Toc235473340 \h </w:instrText>
            </w:r>
            <w:r>
              <w:rPr>
                <w:noProof/>
              </w:rPr>
            </w:r>
            <w:r>
              <w:rPr>
                <w:noProof/>
              </w:rPr>
              <w:fldChar w:fldCharType="separate"/>
            </w:r>
            <w:r>
              <w:rPr>
                <w:noProof/>
              </w:rPr>
              <w:t>18</w:t>
            </w:r>
            <w:r>
              <w:rPr>
                <w:noProof/>
              </w:rPr>
              <w:fldChar w:fldCharType="end"/>
            </w:r>
          </w:hyperlink>
        </w:p>
        <w:p w:rsidR="00E76EE5" w:rsidRDefault="00E76EE5">
          <w:pPr>
            <w:pStyle w:val="TOC1"/>
            <w:tabs>
              <w:tab w:val="right" w:leader="dot" w:pos="9350"/>
            </w:tabs>
            <w:rPr>
              <w:noProof/>
            </w:rPr>
          </w:pPr>
          <w:hyperlink w:anchor="_Toc235473341" w:history="1">
            <w:r w:rsidRPr="001C40FC">
              <w:rPr>
                <w:rStyle w:val="Hyperlink"/>
                <w:b/>
                <w:bCs/>
                <w:noProof/>
              </w:rPr>
              <w:t>7. Implementation Status and Verification</w:t>
            </w:r>
            <w:r>
              <w:rPr>
                <w:noProof/>
              </w:rPr>
              <w:tab/>
            </w:r>
            <w:r>
              <w:rPr>
                <w:noProof/>
              </w:rPr>
              <w:fldChar w:fldCharType="begin"/>
            </w:r>
            <w:r>
              <w:rPr>
                <w:noProof/>
              </w:rPr>
              <w:instrText xml:space="preserve"> PAGEREF _Toc235473341 \h </w:instrText>
            </w:r>
            <w:r>
              <w:rPr>
                <w:noProof/>
              </w:rPr>
            </w:r>
            <w:r>
              <w:rPr>
                <w:noProof/>
              </w:rPr>
              <w:fldChar w:fldCharType="separate"/>
            </w:r>
            <w:r>
              <w:rPr>
                <w:noProof/>
              </w:rPr>
              <w:t>19</w:t>
            </w:r>
            <w:r>
              <w:rPr>
                <w:noProof/>
              </w:rPr>
              <w:fldChar w:fldCharType="end"/>
            </w:r>
          </w:hyperlink>
        </w:p>
        <w:p w:rsidR="00E76EE5" w:rsidRDefault="00E76EE5">
          <w:pPr>
            <w:pStyle w:val="TOC2"/>
            <w:tabs>
              <w:tab w:val="right" w:leader="dot" w:pos="9350"/>
            </w:tabs>
            <w:rPr>
              <w:noProof/>
            </w:rPr>
          </w:pPr>
          <w:hyperlink w:anchor="_Toc235473342" w:history="1">
            <w:r w:rsidRPr="001C40FC">
              <w:rPr>
                <w:rStyle w:val="Hyperlink"/>
                <w:b/>
                <w:bCs/>
                <w:noProof/>
              </w:rPr>
              <w:t>7.1 End-to-End Testnet Verification</w:t>
            </w:r>
            <w:r>
              <w:rPr>
                <w:noProof/>
              </w:rPr>
              <w:tab/>
            </w:r>
            <w:r>
              <w:rPr>
                <w:noProof/>
              </w:rPr>
              <w:fldChar w:fldCharType="begin"/>
            </w:r>
            <w:r>
              <w:rPr>
                <w:noProof/>
              </w:rPr>
              <w:instrText xml:space="preserve"> PAGEREF _Toc235473342 \h </w:instrText>
            </w:r>
            <w:r>
              <w:rPr>
                <w:noProof/>
              </w:rPr>
            </w:r>
            <w:r>
              <w:rPr>
                <w:noProof/>
              </w:rPr>
              <w:fldChar w:fldCharType="separate"/>
            </w:r>
            <w:r>
              <w:rPr>
                <w:noProof/>
              </w:rPr>
              <w:t>19</w:t>
            </w:r>
            <w:r>
              <w:rPr>
                <w:noProof/>
              </w:rPr>
              <w:fldChar w:fldCharType="end"/>
            </w:r>
          </w:hyperlink>
        </w:p>
        <w:p w:rsidR="00E76EE5" w:rsidRDefault="00E76EE5">
          <w:pPr>
            <w:pStyle w:val="TOC2"/>
            <w:tabs>
              <w:tab w:val="right" w:leader="dot" w:pos="9350"/>
            </w:tabs>
            <w:rPr>
              <w:noProof/>
            </w:rPr>
          </w:pPr>
          <w:hyperlink w:anchor="_Toc235473343" w:history="1">
            <w:r w:rsidRPr="001C40FC">
              <w:rPr>
                <w:rStyle w:val="Hyperlink"/>
                <w:b/>
                <w:bCs/>
                <w:noProof/>
              </w:rPr>
              <w:t>7.2 On-Chain Test Suite Audit</w:t>
            </w:r>
            <w:r>
              <w:rPr>
                <w:noProof/>
              </w:rPr>
              <w:tab/>
            </w:r>
            <w:r>
              <w:rPr>
                <w:noProof/>
              </w:rPr>
              <w:fldChar w:fldCharType="begin"/>
            </w:r>
            <w:r>
              <w:rPr>
                <w:noProof/>
              </w:rPr>
              <w:instrText xml:space="preserve"> PAGEREF _Toc235473343 \h </w:instrText>
            </w:r>
            <w:r>
              <w:rPr>
                <w:noProof/>
              </w:rPr>
            </w:r>
            <w:r>
              <w:rPr>
                <w:noProof/>
              </w:rPr>
              <w:fldChar w:fldCharType="separate"/>
            </w:r>
            <w:r>
              <w:rPr>
                <w:noProof/>
              </w:rPr>
              <w:t>19</w:t>
            </w:r>
            <w:r>
              <w:rPr>
                <w:noProof/>
              </w:rPr>
              <w:fldChar w:fldCharType="end"/>
            </w:r>
          </w:hyperlink>
        </w:p>
        <w:p w:rsidR="00E76EE5" w:rsidRDefault="00E76EE5">
          <w:pPr>
            <w:pStyle w:val="TOC2"/>
            <w:tabs>
              <w:tab w:val="right" w:leader="dot" w:pos="9350"/>
            </w:tabs>
            <w:rPr>
              <w:noProof/>
            </w:rPr>
          </w:pPr>
          <w:hyperlink w:anchor="_Toc235473344" w:history="1">
            <w:r w:rsidRPr="001C40FC">
              <w:rPr>
                <w:rStyle w:val="Hyperlink"/>
                <w:b/>
                <w:bCs/>
                <w:noProof/>
              </w:rPr>
              <w:t>7.3 Outstanding Items at Time of Writing</w:t>
            </w:r>
            <w:r>
              <w:rPr>
                <w:noProof/>
              </w:rPr>
              <w:tab/>
            </w:r>
            <w:r>
              <w:rPr>
                <w:noProof/>
              </w:rPr>
              <w:fldChar w:fldCharType="begin"/>
            </w:r>
            <w:r>
              <w:rPr>
                <w:noProof/>
              </w:rPr>
              <w:instrText xml:space="preserve"> PAGEREF _Toc235473344 \h </w:instrText>
            </w:r>
            <w:r>
              <w:rPr>
                <w:noProof/>
              </w:rPr>
            </w:r>
            <w:r>
              <w:rPr>
                <w:noProof/>
              </w:rPr>
              <w:fldChar w:fldCharType="separate"/>
            </w:r>
            <w:r>
              <w:rPr>
                <w:noProof/>
              </w:rPr>
              <w:t>20</w:t>
            </w:r>
            <w:r>
              <w:rPr>
                <w:noProof/>
              </w:rPr>
              <w:fldChar w:fldCharType="end"/>
            </w:r>
          </w:hyperlink>
        </w:p>
        <w:p w:rsidR="00E76EE5" w:rsidRDefault="00E76EE5">
          <w:pPr>
            <w:pStyle w:val="TOC1"/>
            <w:tabs>
              <w:tab w:val="right" w:leader="dot" w:pos="9350"/>
            </w:tabs>
            <w:rPr>
              <w:noProof/>
            </w:rPr>
          </w:pPr>
          <w:hyperlink w:anchor="_Toc235473345" w:history="1">
            <w:r w:rsidRPr="001C40FC">
              <w:rPr>
                <w:rStyle w:val="Hyperlink"/>
                <w:b/>
                <w:bCs/>
                <w:noProof/>
              </w:rPr>
              <w:t>8. Limitations and Future Work</w:t>
            </w:r>
            <w:r>
              <w:rPr>
                <w:noProof/>
              </w:rPr>
              <w:tab/>
            </w:r>
            <w:r>
              <w:rPr>
                <w:noProof/>
              </w:rPr>
              <w:fldChar w:fldCharType="begin"/>
            </w:r>
            <w:r>
              <w:rPr>
                <w:noProof/>
              </w:rPr>
              <w:instrText xml:space="preserve"> PAGEREF _Toc235473345 \h </w:instrText>
            </w:r>
            <w:r>
              <w:rPr>
                <w:noProof/>
              </w:rPr>
            </w:r>
            <w:r>
              <w:rPr>
                <w:noProof/>
              </w:rPr>
              <w:fldChar w:fldCharType="separate"/>
            </w:r>
            <w:r>
              <w:rPr>
                <w:noProof/>
              </w:rPr>
              <w:t>20</w:t>
            </w:r>
            <w:r>
              <w:rPr>
                <w:noProof/>
              </w:rPr>
              <w:fldChar w:fldCharType="end"/>
            </w:r>
          </w:hyperlink>
        </w:p>
        <w:p w:rsidR="00E76EE5" w:rsidRDefault="00E76EE5">
          <w:pPr>
            <w:pStyle w:val="TOC1"/>
            <w:tabs>
              <w:tab w:val="right" w:leader="dot" w:pos="9350"/>
            </w:tabs>
            <w:rPr>
              <w:noProof/>
            </w:rPr>
          </w:pPr>
          <w:hyperlink w:anchor="_Toc235473346" w:history="1">
            <w:r w:rsidRPr="001C40FC">
              <w:rPr>
                <w:rStyle w:val="Hyperlink"/>
                <w:b/>
                <w:bCs/>
                <w:noProof/>
              </w:rPr>
              <w:t>9. Conclusion</w:t>
            </w:r>
            <w:r>
              <w:rPr>
                <w:noProof/>
              </w:rPr>
              <w:tab/>
            </w:r>
            <w:r>
              <w:rPr>
                <w:noProof/>
              </w:rPr>
              <w:fldChar w:fldCharType="begin"/>
            </w:r>
            <w:r>
              <w:rPr>
                <w:noProof/>
              </w:rPr>
              <w:instrText xml:space="preserve"> PAGEREF _Toc235473346 \h </w:instrText>
            </w:r>
            <w:r>
              <w:rPr>
                <w:noProof/>
              </w:rPr>
            </w:r>
            <w:r>
              <w:rPr>
                <w:noProof/>
              </w:rPr>
              <w:fldChar w:fldCharType="separate"/>
            </w:r>
            <w:r>
              <w:rPr>
                <w:noProof/>
              </w:rPr>
              <w:t>21</w:t>
            </w:r>
            <w:r>
              <w:rPr>
                <w:noProof/>
              </w:rPr>
              <w:fldChar w:fldCharType="end"/>
            </w:r>
          </w:hyperlink>
        </w:p>
        <w:p w:rsidR="00E76EE5" w:rsidRDefault="00E76EE5">
          <w:pPr>
            <w:pStyle w:val="TOC1"/>
            <w:tabs>
              <w:tab w:val="right" w:leader="dot" w:pos="9350"/>
            </w:tabs>
            <w:rPr>
              <w:noProof/>
            </w:rPr>
          </w:pPr>
          <w:hyperlink w:anchor="_Toc235473347" w:history="1">
            <w:r w:rsidRPr="001C40FC">
              <w:rPr>
                <w:rStyle w:val="Hyperlink"/>
                <w:b/>
                <w:bCs/>
                <w:noProof/>
              </w:rPr>
              <w:t>References</w:t>
            </w:r>
            <w:r>
              <w:rPr>
                <w:noProof/>
              </w:rPr>
              <w:tab/>
            </w:r>
            <w:r>
              <w:rPr>
                <w:noProof/>
              </w:rPr>
              <w:fldChar w:fldCharType="begin"/>
            </w:r>
            <w:r>
              <w:rPr>
                <w:noProof/>
              </w:rPr>
              <w:instrText xml:space="preserve"> PAGEREF _Toc235473347 \h </w:instrText>
            </w:r>
            <w:r>
              <w:rPr>
                <w:noProof/>
              </w:rPr>
            </w:r>
            <w:r>
              <w:rPr>
                <w:noProof/>
              </w:rPr>
              <w:fldChar w:fldCharType="separate"/>
            </w:r>
            <w:r>
              <w:rPr>
                <w:noProof/>
              </w:rPr>
              <w:t>21</w:t>
            </w:r>
            <w:r>
              <w:rPr>
                <w:noProof/>
              </w:rPr>
              <w:fldChar w:fldCharType="end"/>
            </w:r>
          </w:hyperlink>
        </w:p>
        <w:p w:rsidR="003E041B" w:rsidRDefault="00B759CD">
          <w:r>
            <w:fldChar w:fldCharType="end"/>
          </w:r>
        </w:p>
      </w:sdtContent>
    </w:sdt>
    <w:p w:rsidR="003E041B" w:rsidRDefault="00B759CD">
      <w:r>
        <w:br w:type="page"/>
      </w:r>
    </w:p>
    <w:p w:rsidR="003E041B" w:rsidRDefault="00B759CD">
      <w:pPr>
        <w:pStyle w:val="Heading1"/>
        <w:spacing w:before="480" w:after="240"/>
      </w:pPr>
      <w:bookmarkStart w:id="2" w:name="_Toc235473306"/>
      <w:r>
        <w:rPr>
          <w:b/>
          <w:bCs/>
          <w:color w:val="0033AD"/>
        </w:rPr>
        <w:lastRenderedPageBreak/>
        <w:t>Abstract</w:t>
      </w:r>
      <w:bookmarkEnd w:id="2"/>
    </w:p>
    <w:p w:rsidR="003E041B" w:rsidRDefault="00B759CD">
      <w:pPr>
        <w:spacing w:after="200" w:line="276" w:lineRule="auto"/>
        <w:jc w:val="both"/>
      </w:pPr>
      <w:r>
        <w:t>Public and philanthropic grant programmes routinely disburse funds in tranche</w:t>
      </w:r>
      <w:r>
        <w:t>s against milestones, yet the accountability step — verifying that a milestone was actually delivered before releasing the next payment — is almost always a manual, off-chain, and unauditable act of trust in review committees. Project Catalyst, Cardano's o</w:t>
      </w:r>
      <w:r>
        <w:t>wn decentralized innovation-funding arm, adopted milestone-based disbursement precisely to improve this accountability, but its enforcement remains procedural rather than cryptographic. This paper presents the Catalyst Accountability Tracker, a minimal but</w:t>
      </w:r>
      <w:r>
        <w:t xml:space="preserve"> complete “weak DeFi” system that binds milestone approval to fund release as a single on-chain state machine on Cardano, implemented in Aiken (Plutus V3). A funder locks a grant's full amount up front; a designated reviewer's on-chain signature is the onl</w:t>
      </w:r>
      <w:r>
        <w:t>y way to mark a milestone approved; and a tranche cannot be released unless its corresponding approval already exists in the same UTxO's datum history. Each approval additionally mints a non-transferable (soulbound) Milestone Receipt NFT as public, wallet-</w:t>
      </w:r>
      <w:r>
        <w:t>verifiable proof of delivery. We describe the system's eUTxO-based architecture across its on-chain, off-chain, and client layers; situate the design against the academic literature on extended UTXO models, soulbound tokens, and smart-contract security; ap</w:t>
      </w:r>
      <w:r>
        <w:t>ply Slovic's (1987) psychometric risk-perception framework to classify the project's own risk profile for regulatory purposes; and report a structured security analysis of the current implementation, surfacing one critical availability bug, three high-seve</w:t>
      </w:r>
      <w:r>
        <w:t>rity authorization and resource-exhaustion gaps, and several medium- and low-severity hardening items, each with a concrete mitigation. The system has been deployed and independently verified end-to-end on the Cardano preview testnet.</w:t>
      </w:r>
    </w:p>
    <w:p w:rsidR="003E041B" w:rsidRDefault="00B759CD">
      <w:pPr>
        <w:pStyle w:val="Heading1"/>
        <w:spacing w:before="480" w:after="240"/>
      </w:pPr>
      <w:bookmarkStart w:id="3" w:name="_Toc235473307"/>
      <w:r>
        <w:rPr>
          <w:b/>
          <w:bCs/>
          <w:color w:val="0033AD"/>
        </w:rPr>
        <w:t>1. Introduction</w:t>
      </w:r>
      <w:bookmarkEnd w:id="3"/>
    </w:p>
    <w:p w:rsidR="003E041B" w:rsidRDefault="00B759CD">
      <w:pPr>
        <w:spacing w:after="200" w:line="276" w:lineRule="auto"/>
        <w:jc w:val="both"/>
      </w:pPr>
      <w:r>
        <w:t>Miles</w:t>
      </w:r>
      <w:r>
        <w:t>tone-based grant funding is a widely used compromise between two failure modes of philanthropic and public capital allocation: paying everything up front, which removes any leverage to ensure delivery, and paying only on full completion, which starves reci</w:t>
      </w:r>
      <w:r>
        <w:t>pients of the working capital needed to complete the work at all. Cardano's own Project Catalyst — the largest decentralized innovation fund of its kind, having distributed in excess of USD 150 million across community-approved proposals — formally adopted</w:t>
      </w:r>
      <w:r>
        <w:t xml:space="preserve"> a milestone-based disbursement mechanism for exactly this reason, requiring larger proposals to break delivery into reviewable stages before subsequent payment (Project Catalyst Knowledge Base, n.d.; IOG, 2023).</w:t>
      </w:r>
    </w:p>
    <w:p w:rsidR="003E041B" w:rsidRDefault="00B759CD">
      <w:pPr>
        <w:spacing w:after="200" w:line="276" w:lineRule="auto"/>
        <w:jc w:val="both"/>
      </w:pPr>
      <w:r>
        <w:t>In practice, however, the accountability li</w:t>
      </w:r>
      <w:r>
        <w:t>nk between “milestone approved” and “funds released” is enforced procedurally: a milestone review committee reads a report, forms a judgement, and a separate, manually triggered payment follows — often after a delay, and always without any cryptographic gu</w:t>
      </w:r>
      <w:r>
        <w:t>arantee that the payment a grantee eventually received was actually preceded by a genuine approval, or that the approval on file corresponds to the milestone the funds were released against. This gap between the social act of approval and the financial act</w:t>
      </w:r>
      <w:r>
        <w:t xml:space="preserve"> of release is precisely where informal grant accountability tends to fail: disputes over what was approved, delayed or duplicated payments, and reputational damage that is hard to substantiate after the fact.</w:t>
      </w:r>
    </w:p>
    <w:p w:rsidR="003E041B" w:rsidRDefault="00B759CD">
      <w:pPr>
        <w:spacing w:after="200" w:line="276" w:lineRule="auto"/>
        <w:jc w:val="both"/>
      </w:pPr>
      <w:r>
        <w:lastRenderedPageBreak/>
        <w:t>This project asks a narrow, tractable question</w:t>
      </w:r>
      <w:r>
        <w:t xml:space="preserve">: can the link itself — approval implies (and only implies) release-eligibility — be made a cryptographic invariant of a single on-chain state machine, without requiring the entire grant-review process to be automated or trustless? The answer we implement </w:t>
      </w:r>
      <w:r>
        <w:t>is the Catalyst Accountability Tracker: a milestone escrow smart contract, written in Aiken and deployed on Cardano, that holds a grant's locked funds and its milestone-approval record together in one UTxO, so that a tranche literally cannot be released un</w:t>
      </w:r>
      <w:r>
        <w:t>less the matching milestone approval already exists in that same on-chain state. The system deliberately keeps the judgement of whether a milestone was actually delivered a human, off-chain act — performed by a designated reviewer's wallet signature — whil</w:t>
      </w:r>
      <w:r>
        <w:t>e making the release of funds against that judgement unconditionally verifiable and impossible to forge or bypass.</w:t>
      </w:r>
    </w:p>
    <w:p w:rsidR="003E041B" w:rsidRDefault="00B759CD">
      <w:pPr>
        <w:spacing w:after="200" w:line="276" w:lineRule="auto"/>
        <w:jc w:val="both"/>
      </w:pPr>
      <w:r>
        <w:t xml:space="preserve">Because the system retains a human reviewer and an off-chain transaction-building service (rather than eliminating operator discretion and third-party infrastructure entirely), it is what the assignment brief for this course term describes as “weak DeFi”: </w:t>
      </w:r>
      <w:r>
        <w:t>a project that is not fully decentralized, and which therefore has a formal regulatory disclosure obligation in most jurisdictions considering DeFi-specific rulemaking, since centralized components — an off-chain API operator, a data-availability dependenc</w:t>
      </w:r>
      <w:r>
        <w:t>y on a third-party indexer (Blockfrost), and a human reviewer role — remain part of the trust model. Section 5 of this paper works through the corresponding risk-perception classification exercise, situating the project's residual centralization as a delib</w:t>
      </w:r>
      <w:r>
        <w:t>erate, disclosed design choice rather than an oversight.</w:t>
      </w:r>
    </w:p>
    <w:p w:rsidR="003E041B" w:rsidRDefault="00B759CD">
      <w:pPr>
        <w:spacing w:after="200" w:line="276" w:lineRule="auto"/>
        <w:jc w:val="both"/>
      </w:pPr>
      <w:r>
        <w:t>The remainder of this paper is organized as follows. Section 2 reviews the academic and technical background this project builds on: Cardano's extended UTXO (eUTxO) accounting model, the Aiken smart-</w:t>
      </w:r>
      <w:r>
        <w:t>contract language, non-transferable “soulbound” tokens as a proof-of-delivery primitive, and the smart-contract security literature that informs our threat model. Section 3 describes the system architecture across its three layers. Section 4 explains the s</w:t>
      </w:r>
      <w:r>
        <w:t>pecific engineering and protocol-design decisions and the trade-offs behind them. Section 5 applies the Slovic (1987) psychometric risk framework to the project. Section 6 presents a structured security analysis and threat model of the current implementati</w:t>
      </w:r>
      <w:r>
        <w:t>on. Section 7 reports implementation status and testnet verification. Section 8 discusses limitations and future work, and Section 9 concludes.</w:t>
      </w:r>
    </w:p>
    <w:p w:rsidR="003E041B" w:rsidRDefault="00B759CD">
      <w:pPr>
        <w:pStyle w:val="Heading1"/>
        <w:spacing w:before="480" w:after="240"/>
      </w:pPr>
      <w:bookmarkStart w:id="4" w:name="_Toc235473308"/>
      <w:r>
        <w:rPr>
          <w:b/>
          <w:bCs/>
          <w:color w:val="0033AD"/>
        </w:rPr>
        <w:t>2. Background and Related Work</w:t>
      </w:r>
      <w:bookmarkEnd w:id="4"/>
    </w:p>
    <w:p w:rsidR="003E041B" w:rsidRDefault="00B759CD">
      <w:pPr>
        <w:pStyle w:val="Heading2"/>
        <w:spacing w:before="320" w:after="160"/>
      </w:pPr>
      <w:bookmarkStart w:id="5" w:name="_Toc235473309"/>
      <w:r>
        <w:rPr>
          <w:b/>
          <w:bCs/>
        </w:rPr>
        <w:t>2.1 The Extended UTXO (eUTxO) Model</w:t>
      </w:r>
      <w:bookmarkEnd w:id="5"/>
    </w:p>
    <w:p w:rsidR="003E041B" w:rsidRDefault="00B759CD">
      <w:pPr>
        <w:spacing w:after="200" w:line="276" w:lineRule="auto"/>
        <w:jc w:val="both"/>
      </w:pPr>
      <w:r>
        <w:t>Cardano's smart-contract layer is built on th</w:t>
      </w:r>
      <w:r>
        <w:t>e Extended UTXO model formalized by Chakravarty et al. (2020), which generalizes Bitcoin's unspent-transaction-output accounting scheme by attaching arbitrary data (a datum) to an output and allowing a spending transaction to carry a redeemer that a valida</w:t>
      </w:r>
      <w:r>
        <w:t xml:space="preserve">tor script evaluates against the transaction's full context. Unlike the shared global mutable state of an account-based ledger such as Ethereum's, an eUTxO validator only ever sees the transaction that spends its own UTxO — it cannot read or be re-entered </w:t>
      </w:r>
      <w:r>
        <w:t>from other contracts' state mid-transaction, which structurally rules out the read-write reentrancy attacks that motivated much of the early Ethereum smart-contract security literature (Atzei, Bartoletti, &amp; Cimoli, 2017). The trade-off is that anything the</w:t>
      </w:r>
      <w:r>
        <w:t xml:space="preserve"> validator needs to </w:t>
      </w:r>
      <w:r>
        <w:lastRenderedPageBreak/>
        <w:t>know about must be threaded explicitly through the datum and the transaction it is spent in; the model offers no ambient global state to fall back on. The companion Extended UTXO with Multi-Asset support (EUTXOma) formalization (Chakrav</w:t>
      </w:r>
      <w:r>
        <w:t>arty et al., 2020) extends this to native, ledger-level tokens and minting policies, which this project uses directly for its Milestone Receipt NFT (Section 3.2).</w:t>
      </w:r>
    </w:p>
    <w:p w:rsidR="003E041B" w:rsidRDefault="00B759CD">
      <w:pPr>
        <w:spacing w:after="200" w:line="276" w:lineRule="auto"/>
        <w:jc w:val="both"/>
      </w:pPr>
      <w:r>
        <w:t>This project's central design decision — combining the milestone-approval record and the lock</w:t>
      </w:r>
      <w:r>
        <w:t>ed treasury funds into a single UTxO's datum, spent by a single validator — is a direct consequence of the eUTxO model's locality guarantee: because a validator can only reason about the one UTxO it spends (plus whatever the surrounding transaction disclos</w:t>
      </w:r>
      <w:r>
        <w:t>es), the only way to make “release requires prior approval” an atomic, unforgeable invariant is to keep both facts in the same piece of state, checked by the same script. A two-contract design (a separate approval registry and a separate treasury) would re</w:t>
      </w:r>
      <w:r>
        <w:t>quire either a shared oracle, a cross-validator reference input, or trusting the transaction-builder to honestly link the two — reintroducing exactly the off-chain trust gap this project sets out to remove.</w:t>
      </w:r>
    </w:p>
    <w:p w:rsidR="003E041B" w:rsidRDefault="00B759CD">
      <w:pPr>
        <w:pStyle w:val="Heading2"/>
        <w:spacing w:before="320" w:after="160"/>
      </w:pPr>
      <w:bookmarkStart w:id="6" w:name="_Toc235473310"/>
      <w:r>
        <w:rPr>
          <w:b/>
          <w:bCs/>
        </w:rPr>
        <w:t>2.2 Aiken and Plutus V3</w:t>
      </w:r>
      <w:bookmarkEnd w:id="6"/>
    </w:p>
    <w:p w:rsidR="003E041B" w:rsidRDefault="00B759CD">
      <w:pPr>
        <w:spacing w:after="200" w:line="276" w:lineRule="auto"/>
        <w:jc w:val="both"/>
      </w:pPr>
      <w:r>
        <w:t>The validators are writte</w:t>
      </w:r>
      <w:r>
        <w:t>n in Aiken, a purpose-built, statically typed smart-contract language for Cardano that compiles to Untyped Plutus Core (UPLC) and targets the Plutus V3 ledger language introduced in the Cardano Chang/Conway era (Cardano Developer Portal, n.d.; Cardano Foun</w:t>
      </w:r>
      <w:r>
        <w:t>dation, 2024). Aiken was created specifically to address developer-experience gaps in Plutus's original Haskell-embedded eDSL — fast, incremental compilation; a built-in test runner; and a package manager for on-chain libraries — while preserving eUTxO's f</w:t>
      </w:r>
      <w:r>
        <w:t>ormal evaluation model. This project's on-chain test suite (Section 7) follows Aiken's “boolean-toggle” testing convention, building one exhaustively valid transaction and then flipping exactly one condition per negative test case, using the community `sid</w:t>
      </w:r>
      <w:r>
        <w:t>an-lab/vodka` library's fluent `mocktail` transaction builder for this purpose.</w:t>
      </w:r>
    </w:p>
    <w:p w:rsidR="003E041B" w:rsidRDefault="00B759CD">
      <w:pPr>
        <w:pStyle w:val="Heading2"/>
        <w:spacing w:before="320" w:after="160"/>
      </w:pPr>
      <w:bookmarkStart w:id="7" w:name="_Toc235473311"/>
      <w:r>
        <w:rPr>
          <w:b/>
          <w:bCs/>
        </w:rPr>
        <w:t>2.3 Soulbound Tokens as Verifiable Delivery Credentials</w:t>
      </w:r>
      <w:bookmarkEnd w:id="7"/>
    </w:p>
    <w:p w:rsidR="003E041B" w:rsidRDefault="00B759CD">
      <w:pPr>
        <w:spacing w:after="200" w:line="276" w:lineRule="auto"/>
        <w:jc w:val="both"/>
      </w:pPr>
      <w:r>
        <w:t>Each approved milestone mints exactly one non-transferable NFT — a “Milestone Receipt” — to stand as public, wallet-insp</w:t>
      </w:r>
      <w:r>
        <w:t>ectable proof that the reviewer's approval occurred. This design draws on the concept of soulbound tokens (SBTs) introduced by Weyl, Ohlhaver, and Buterin (2022), who argue that identity- and reputation-relevant claims are better represented as non-transfe</w:t>
      </w:r>
      <w:r>
        <w:t xml:space="preserve">rable tokens bound to an actor's on-chain persona than as freely tradable assets, precisely because transferability would let a claim be bought rather than earned. In this project's narrower application, the Milestone Receipt is not an identity credential </w:t>
      </w:r>
      <w:r>
        <w:t>but a delivery credential: it records that a specific, indexed milestone of a specific grant was reviewed and approved, and its non-transferability (enforced by the receipt policy binding minting to the escrow's own spend, and by the frontend/off-chain lay</w:t>
      </w:r>
      <w:r>
        <w:t>er never exposing a transfer path) prevents the record from being resold, reassigned, or otherwise decoupled from the grant it attests to.</w:t>
      </w:r>
    </w:p>
    <w:p w:rsidR="003E041B" w:rsidRDefault="00B759CD">
      <w:pPr>
        <w:pStyle w:val="Heading2"/>
        <w:spacing w:before="320" w:after="160"/>
      </w:pPr>
      <w:bookmarkStart w:id="8" w:name="_Toc235473312"/>
      <w:r>
        <w:rPr>
          <w:b/>
          <w:bCs/>
        </w:rPr>
        <w:t>2.4 Milestone-Based Grant Funding in Practice</w:t>
      </w:r>
      <w:bookmarkEnd w:id="8"/>
    </w:p>
    <w:p w:rsidR="003E041B" w:rsidRDefault="00B759CD">
      <w:pPr>
        <w:spacing w:after="200" w:line="276" w:lineRule="auto"/>
        <w:jc w:val="both"/>
      </w:pPr>
      <w:r>
        <w:t>Project Catalyst's own milestone-review process is the closest real-wor</w:t>
      </w:r>
      <w:r>
        <w:t xml:space="preserve">ld analogue to this project's problem domain, and its evolution is instructive. IOG's 2023 announcement of milestone-based </w:t>
      </w:r>
      <w:r>
        <w:lastRenderedPageBreak/>
        <w:t>disbursement for larger Catalyst proposals explicitly framed the change as an accountability and transparency measure (IOG, 2023); su</w:t>
      </w:r>
      <w:r>
        <w:t>bsequent community documentation (Project Catalyst Knowledge Base, n.d.) describes a Milestone Review Module in which reviewers assess submitted evidence and a separate treasury process pays out approved tranches. This is, functionally, exactly the two-ste</w:t>
      </w:r>
      <w:r>
        <w:t>p process this project collapses into one on-chain transition — with the important difference that Catalyst operates at a scale (thousands of proposals, tens of millions of dollars per fund) that likely justifies a human-in-the-loop administrative layer re</w:t>
      </w:r>
      <w:r>
        <w:t>gardless of what a smart contract could enforce. This project's contribution is not a replacement for that process but a demonstration, at grant-instance scale, of what the enforcement layer looks like when the approval-implies-release-eligibility invarian</w:t>
      </w:r>
      <w:r>
        <w:t>t is made cryptographic rather than procedural — a pattern that could plausibly be composed underneath a Catalyst-scale review process rather than replacing its human judgement.</w:t>
      </w:r>
    </w:p>
    <w:p w:rsidR="003E041B" w:rsidRDefault="00B759CD">
      <w:pPr>
        <w:pStyle w:val="Heading2"/>
        <w:spacing w:before="320" w:after="160"/>
      </w:pPr>
      <w:bookmarkStart w:id="9" w:name="_Toc235473313"/>
      <w:r>
        <w:rPr>
          <w:b/>
          <w:bCs/>
        </w:rPr>
        <w:t>2.5 Smart Contract Security Literature</w:t>
      </w:r>
      <w:bookmarkEnd w:id="9"/>
    </w:p>
    <w:p w:rsidR="003E041B" w:rsidRDefault="00B759CD">
      <w:pPr>
        <w:spacing w:after="200" w:line="276" w:lineRule="auto"/>
        <w:jc w:val="both"/>
      </w:pPr>
      <w:r>
        <w:t>The threat model in Section 6 draws on the general smart-contract vulnerability taxonomy established by Atzei, Bartoletti, and Cimoli's (2017) systematization of Ethereum smart-contract attacks. While that taxonomy targets the account-based, Solidity/EVM e</w:t>
      </w:r>
      <w:r>
        <w:t xml:space="preserve">nvironment, several of its higher-level categories — trust-assumption violations, unchecked external data, and denial-of-service via unbounded operations — translate directly to an eUTxO context even where the specific attack primitives (e.g., reentrancy, </w:t>
      </w:r>
      <w:r>
        <w:t>`delegatecall` injection) do not apply, since Cardano's validator locality structurally forecloses reentrancy. Section 6 accordingly organizes findings by consequence (availability, authorization, integrity, resource exhaustion) rather than by EVM-specific</w:t>
      </w:r>
      <w:r>
        <w:t xml:space="preserve"> attack name, and notes explicitly where a finding is eUTxO-specific (for instance, the fact that any Cardano address can receive an arbitrary payment plus an arbitrary attached datum without any validator ever running, since validation only gates spending</w:t>
      </w:r>
      <w:r>
        <w:t>, not receiving — a structural property this project's off-chain read path does not yet defend against; see Section 6.1).</w:t>
      </w:r>
    </w:p>
    <w:p w:rsidR="003E041B" w:rsidRDefault="00B759CD">
      <w:pPr>
        <w:pStyle w:val="Heading1"/>
        <w:spacing w:before="480" w:after="240"/>
      </w:pPr>
      <w:bookmarkStart w:id="10" w:name="_Toc235473314"/>
      <w:r>
        <w:rPr>
          <w:b/>
          <w:bCs/>
          <w:color w:val="0033AD"/>
        </w:rPr>
        <w:t>3. System Architecture</w:t>
      </w:r>
      <w:bookmarkEnd w:id="10"/>
    </w:p>
    <w:p w:rsidR="003E041B" w:rsidRDefault="00B759CD">
      <w:pPr>
        <w:spacing w:after="200" w:line="276" w:lineRule="auto"/>
        <w:jc w:val="both"/>
      </w:pPr>
      <w:r>
        <w:t>The system is organized into three layers that mirror a conventional dApp separation of concerns: an on-chain l</w:t>
      </w:r>
      <w:r>
        <w:t>ayer holding funds and state, an off-chain layer that builds (but never signs or submits) transactions, and a client layer that connects a user's wallet and handles signing and submission. This separation keeps private-key custody entirely on the user's de</w:t>
      </w:r>
      <w:r>
        <w:t>vice and its wallet extension, and keeps the operator's own infrastructure — the off-chain API and the third-party chain-indexing dependency it relies on — advisory rather than custodial: the operator can be wrong, slow, or offline, and no funds are ever a</w:t>
      </w:r>
      <w:r>
        <w:t>t risk as a direct result, though Section 6 identifies availability and integrity issues in that layer that fall short of this design's own intent.</w:t>
      </w:r>
    </w:p>
    <w:p w:rsidR="003E041B" w:rsidRDefault="00B759CD">
      <w:pPr>
        <w:pStyle w:val="Heading2"/>
        <w:spacing w:before="320" w:after="160"/>
      </w:pPr>
      <w:bookmarkStart w:id="11" w:name="_Toc235473315"/>
      <w:r>
        <w:rPr>
          <w:b/>
          <w:bCs/>
        </w:rPr>
        <w:t>3.1 On-Chain Layer: The Milestone Escrow Validator</w:t>
      </w:r>
      <w:bookmarkEnd w:id="11"/>
    </w:p>
    <w:p w:rsidR="003E041B" w:rsidRDefault="00B759CD">
      <w:pPr>
        <w:spacing w:after="200" w:line="276" w:lineRule="auto"/>
        <w:jc w:val="both"/>
      </w:pPr>
      <w:r>
        <w:t>The on-chain layer consists of two Aiken validators compi</w:t>
      </w:r>
      <w:r>
        <w:t>led to Plutus V3, both parameterized so that each fresh deployment of the system gets its own distinct script addresses independent of any prior deployment:</w:t>
      </w:r>
    </w:p>
    <w:p w:rsidR="003E041B" w:rsidRDefault="00B759CD">
      <w:pPr>
        <w:pStyle w:val="ListParagraph"/>
        <w:numPr>
          <w:ilvl w:val="0"/>
          <w:numId w:val="2"/>
        </w:numPr>
        <w:spacing w:after="120" w:line="276" w:lineRule="auto"/>
      </w:pPr>
      <w:r>
        <w:lastRenderedPageBreak/>
        <w:t>milestone_escrow (spend validator) — a single combined validator holding both the milestone-approva</w:t>
      </w:r>
      <w:r>
        <w:t>l registry and the treasury escrow in one datum. It is parameterized by a deployment_tag byte string that the spend logic never inspects; the sole purpose of this parameter is to give each redeploy a distinct script hash and address, since Aiken/Plutus val</w:t>
      </w:r>
      <w:r>
        <w:t>idator addresses are a pure function of compiled script bytes plus parameters.</w:t>
      </w:r>
    </w:p>
    <w:p w:rsidR="003E041B" w:rsidRDefault="00B759CD">
      <w:pPr>
        <w:pStyle w:val="ListParagraph"/>
        <w:numPr>
          <w:ilvl w:val="0"/>
          <w:numId w:val="2"/>
        </w:numPr>
        <w:spacing w:after="120" w:line="276" w:lineRule="auto"/>
      </w:pPr>
      <w:r>
        <w:t>milestone_receipt (minting policy) — parameterized by milestone_escrow's own script hash, so that minting a Milestone Receipt token can only ever happen alongside a spend of the</w:t>
      </w:r>
      <w:r>
        <w:t xml:space="preserve"> escrow's own UTxO; the policy itself only checks that exactly one token is minted per matching spend transaction, delegating the harder question of which token (i.e., which milestone index) to the escrow validator's own approval logic.</w:t>
      </w:r>
    </w:p>
    <w:p w:rsidR="003E041B" w:rsidRDefault="00B759CD">
      <w:pPr>
        <w:spacing w:after="200" w:line="276" w:lineRule="auto"/>
        <w:jc w:val="both"/>
      </w:pPr>
      <w:r>
        <w:t xml:space="preserve">The escrow's datum </w:t>
      </w:r>
      <w:r>
        <w:t>carries seven fields: the reviewer and proposer verification-key hashes (the funder and grantee roles respectively), the total_locked amount fixed at creation time, a list of per-milestone tranche_bps basis-point shares, a parallel list of per-milestone ap</w:t>
      </w:r>
      <w:r>
        <w:t>proved booleans, a released_count sequencing counter, and the receipt_policy_id of the companion minting policy — carried in the datum rather than as a second validator parameter specifically to avoid a circular hash dependency between the two scripts (eac</w:t>
      </w:r>
      <w:r>
        <w:t>h would need to know the other's hash before either could be compiled). Two redeemers drive all state transitions:</w:t>
      </w:r>
    </w:p>
    <w:p w:rsidR="003E041B" w:rsidRDefault="00B759CD">
      <w:pPr>
        <w:pStyle w:val="ListParagraph"/>
        <w:numPr>
          <w:ilvl w:val="0"/>
          <w:numId w:val="2"/>
        </w:numPr>
        <w:spacing w:after="120" w:line="276" w:lineRule="auto"/>
      </w:pPr>
      <w:r>
        <w:t>ApproveMilestone(index) — requires the reviewer's signature; flips approved[index] from false to true while leaving every other datum field a</w:t>
      </w:r>
      <w:r>
        <w:t>nd the locked value untouched; and mints exactly one Milestone Receipt NFT whose asset name is pinned to that specific index, so the receipt cannot be substituted for a different milestone's proof.</w:t>
      </w:r>
    </w:p>
    <w:p w:rsidR="003E041B" w:rsidRDefault="00B759CD">
      <w:pPr>
        <w:pStyle w:val="ListParagraph"/>
        <w:numPr>
          <w:ilvl w:val="0"/>
          <w:numId w:val="2"/>
        </w:numPr>
        <w:spacing w:after="120" w:line="276" w:lineRule="auto"/>
      </w:pPr>
      <w:r>
        <w:t>ReleaseTranche(index) — requires index to equal the curren</w:t>
      </w:r>
      <w:r>
        <w:t>t released_count (payouts must happen strictly in order) and requires approved[index] to already be true; pays that milestone's fixed share of the original total_locked amount to the proposer; and, for every milestone except the last, leaves a continuing o</w:t>
      </w:r>
      <w:r>
        <w:t>utput at the script address with the balance reduced by exactly that payout and released_count incremented by one. The final tranche is permitted to drain the UTxO entirely, since no continuing state is needed once every milestone has been released.</w:t>
      </w:r>
    </w:p>
    <w:p w:rsidR="003E041B" w:rsidRDefault="00B759CD">
      <w:pPr>
        <w:spacing w:after="200" w:line="276" w:lineRule="auto"/>
        <w:jc w:val="both"/>
      </w:pPr>
      <w:r>
        <w:t>A sing</w:t>
      </w:r>
      <w:r>
        <w:t>le additional guard applies to both redeemers: a transaction may spend at most one UTxO belonging to this script, closing the classic double-satisfaction attack in which one validator execution could be made to authorize value movement that a second, silen</w:t>
      </w:r>
      <w:r>
        <w:t>tly co-spent UTxO from the same script also appears to satisfy.</w:t>
      </w:r>
    </w:p>
    <w:p w:rsidR="003E041B" w:rsidRDefault="00B759CD">
      <w:pPr>
        <w:pStyle w:val="Heading2"/>
        <w:spacing w:before="320" w:after="160"/>
      </w:pPr>
      <w:bookmarkStart w:id="12" w:name="_Toc235473316"/>
      <w:r>
        <w:rPr>
          <w:b/>
          <w:bCs/>
        </w:rPr>
        <w:t>3.2 Off-Chain Layer: Transaction-Building API</w:t>
      </w:r>
      <w:bookmarkEnd w:id="12"/>
    </w:p>
    <w:p w:rsidR="003E041B" w:rsidRDefault="00B759CD">
      <w:pPr>
        <w:spacing w:after="200" w:line="276" w:lineRule="auto"/>
        <w:jc w:val="both"/>
      </w:pPr>
      <w:r>
        <w:t>The off-chain layer is a Rust service (Axum web framework, Blockfrost as its Cardano data-availability and chain-indexing provider, and the Pallas</w:t>
      </w:r>
      <w:r>
        <w:t xml:space="preserve"> suite of libraries for Plutus-Data and Conway-era transaction encoding) that exposes a small, purpose-built HTTP API. Critically, this service only ever constructs unsigned transaction CBOR; it holds no private keys, and every transaction it builds is ret</w:t>
      </w:r>
      <w:r>
        <w:t xml:space="preserve">urned to the browser for the connected wallet to sign and submit under CIP-30, the standard Cardano dApp–wallet web bridge (Cardano Foundation, 2021). The service's endpoints fall into two groups: read endpoints (GET </w:t>
      </w:r>
      <w:r>
        <w:lastRenderedPageBreak/>
        <w:t>/grants, GET /grants/role, GET /transac</w:t>
      </w:r>
      <w:r>
        <w:t>tions) that reconstruct the current state of one or more grants from on-chain UTxOs and their inline datums, and write-adjacent endpoints (POST /grants for off-chain display metadata, and POST /tx/create-escrow, POST /tx/approve-milestone, POST /tx/release</w:t>
      </w:r>
      <w:r>
        <w:t>-tranche for the three on-chain transitions) that assemble and fee-balance a transaction without ever holding custody of the funds involved.</w:t>
      </w:r>
    </w:p>
    <w:p w:rsidR="003E041B" w:rsidRDefault="00B759CD">
      <w:pPr>
        <w:spacing w:after="200" w:line="276" w:lineRule="auto"/>
        <w:jc w:val="both"/>
      </w:pPr>
      <w:r>
        <w:t xml:space="preserve">Because the off-chain API does not perform wallet-side coin selection, callers are expected to already know their own fee input and collateral UTxOs (the frontend's wallet.ts module implements a simple largest-UTxO / smallest-UTxO heuristic for this); the </w:t>
      </w:r>
      <w:r>
        <w:t>API iteratively re-evaluates each draft transaction's execution-unit budget against Blockfrost's own transaction-evaluation endpoint and re-balances its fee across up to three passes until the computed fee converges, following the standard Cardano linear-f</w:t>
      </w:r>
      <w:r>
        <w:t>ee-plus-script-execution-fee model.</w:t>
      </w:r>
    </w:p>
    <w:p w:rsidR="003E041B" w:rsidRDefault="00B759CD">
      <w:pPr>
        <w:pStyle w:val="Heading2"/>
        <w:spacing w:before="320" w:after="160"/>
      </w:pPr>
      <w:bookmarkStart w:id="13" w:name="_Toc235473317"/>
      <w:r>
        <w:rPr>
          <w:b/>
          <w:bCs/>
        </w:rPr>
        <w:t>3.3 Client Layer: Wallet-Connected Frontend</w:t>
      </w:r>
      <w:bookmarkEnd w:id="13"/>
    </w:p>
    <w:p w:rsidR="003E041B" w:rsidRDefault="00B759CD">
      <w:pPr>
        <w:spacing w:after="200" w:line="276" w:lineRule="auto"/>
        <w:jc w:val="both"/>
      </w:pPr>
      <w:r>
        <w:t>The frontend is a minimal Astro application with a hand-rolled, dependency-free reactive rendering loop (no framework runtime beyond Astro's own build step) that connects a CIP</w:t>
      </w:r>
      <w:r>
        <w:t>-30-compatible browser wallet via the Mesh SDK, displays a funder's or grantee's live grants with a milestone timeline and progress bar, and drives the off-chain API's three transaction-building endpoints, handing the resulting unsigned CBOR to the connect</w:t>
      </w:r>
      <w:r>
        <w:t>ed wallet for signing and direct submission — the frontend itself never talks to a full node or submission endpoint. It additionally polls for wallet-side account changes (CIP-30 exposes no push-based account-change event) and for pending-transaction confi</w:t>
      </w:r>
      <w:r>
        <w:t>rmation, since Blockfrost's own indexing can lag several seconds to a few tens of seconds behind chain tip.</w:t>
      </w:r>
    </w:p>
    <w:p w:rsidR="003E041B" w:rsidRDefault="00B759CD">
      <w:pPr>
        <w:pStyle w:val="Heading2"/>
        <w:spacing w:before="320" w:after="160"/>
      </w:pPr>
      <w:bookmarkStart w:id="14" w:name="_Toc235473318"/>
      <w:r>
        <w:rPr>
          <w:b/>
          <w:bCs/>
        </w:rPr>
        <w:t>3.4 Layer Interaction Summary</w:t>
      </w:r>
      <w:bookmarkEnd w:id="14"/>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2340"/>
        <w:gridCol w:w="2028"/>
        <w:gridCol w:w="3276"/>
      </w:tblGrid>
      <w:tr w:rsidR="003E041B">
        <w:tblPrEx>
          <w:tblCellMar>
            <w:top w:w="0" w:type="dxa"/>
            <w:bottom w:w="0" w:type="dxa"/>
          </w:tblCellMar>
        </w:tblPrEx>
        <w:trPr>
          <w:tblHeader/>
        </w:trPr>
        <w:tc>
          <w:tcPr>
            <w:tcW w:w="1716" w:type="dxa"/>
            <w:shd w:val="clear" w:color="auto" w:fill="0033AD"/>
            <w:tcMar>
              <w:top w:w="80" w:type="dxa"/>
              <w:left w:w="100" w:type="dxa"/>
              <w:bottom w:w="80" w:type="dxa"/>
              <w:right w:w="100" w:type="dxa"/>
            </w:tcMar>
            <w:vAlign w:val="center"/>
          </w:tcPr>
          <w:p w:rsidR="003E041B" w:rsidRDefault="00B759CD">
            <w:r>
              <w:rPr>
                <w:b/>
                <w:bCs/>
                <w:color w:val="FFFFFF"/>
                <w:sz w:val="19"/>
                <w:szCs w:val="19"/>
              </w:rPr>
              <w:t>Layer</w:t>
            </w:r>
          </w:p>
        </w:tc>
        <w:tc>
          <w:tcPr>
            <w:tcW w:w="2340" w:type="dxa"/>
            <w:shd w:val="clear" w:color="auto" w:fill="0033AD"/>
            <w:tcMar>
              <w:top w:w="80" w:type="dxa"/>
              <w:left w:w="100" w:type="dxa"/>
              <w:bottom w:w="80" w:type="dxa"/>
              <w:right w:w="100" w:type="dxa"/>
            </w:tcMar>
            <w:vAlign w:val="center"/>
          </w:tcPr>
          <w:p w:rsidR="003E041B" w:rsidRDefault="00B759CD">
            <w:r>
              <w:rPr>
                <w:b/>
                <w:bCs/>
                <w:color w:val="FFFFFF"/>
                <w:sz w:val="19"/>
                <w:szCs w:val="19"/>
              </w:rPr>
              <w:t>Technology</w:t>
            </w:r>
          </w:p>
        </w:tc>
        <w:tc>
          <w:tcPr>
            <w:tcW w:w="2028" w:type="dxa"/>
            <w:shd w:val="clear" w:color="auto" w:fill="0033AD"/>
            <w:tcMar>
              <w:top w:w="80" w:type="dxa"/>
              <w:left w:w="100" w:type="dxa"/>
              <w:bottom w:w="80" w:type="dxa"/>
              <w:right w:w="100" w:type="dxa"/>
            </w:tcMar>
            <w:vAlign w:val="center"/>
          </w:tcPr>
          <w:p w:rsidR="003E041B" w:rsidRDefault="00B759CD">
            <w:r>
              <w:rPr>
                <w:b/>
                <w:bCs/>
                <w:color w:val="FFFFFF"/>
                <w:sz w:val="19"/>
                <w:szCs w:val="19"/>
              </w:rPr>
              <w:t>Holds custody?</w:t>
            </w:r>
          </w:p>
        </w:tc>
        <w:tc>
          <w:tcPr>
            <w:tcW w:w="3276" w:type="dxa"/>
            <w:shd w:val="clear" w:color="auto" w:fill="0033AD"/>
            <w:tcMar>
              <w:top w:w="80" w:type="dxa"/>
              <w:left w:w="100" w:type="dxa"/>
              <w:bottom w:w="80" w:type="dxa"/>
              <w:right w:w="100" w:type="dxa"/>
            </w:tcMar>
            <w:vAlign w:val="center"/>
          </w:tcPr>
          <w:p w:rsidR="003E041B" w:rsidRDefault="00B759CD">
            <w:r>
              <w:rPr>
                <w:b/>
                <w:bCs/>
                <w:color w:val="FFFFFF"/>
                <w:sz w:val="19"/>
                <w:szCs w:val="19"/>
              </w:rPr>
              <w:t>Primary responsibility</w:t>
            </w:r>
          </w:p>
        </w:tc>
      </w:tr>
      <w:tr w:rsidR="003E041B">
        <w:tblPrEx>
          <w:tblCellMar>
            <w:top w:w="0" w:type="dxa"/>
            <w:bottom w:w="0" w:type="dxa"/>
          </w:tblCellMar>
        </w:tblPrEx>
        <w:tc>
          <w:tcPr>
            <w:tcW w:w="1716" w:type="dxa"/>
            <w:shd w:val="clear" w:color="auto" w:fill="F2F4FA"/>
            <w:tcMar>
              <w:top w:w="80" w:type="dxa"/>
              <w:left w:w="100" w:type="dxa"/>
              <w:bottom w:w="80" w:type="dxa"/>
              <w:right w:w="100" w:type="dxa"/>
            </w:tcMar>
            <w:vAlign w:val="center"/>
          </w:tcPr>
          <w:p w:rsidR="003E041B" w:rsidRDefault="00B759CD">
            <w:pPr>
              <w:spacing w:after="40"/>
            </w:pPr>
            <w:r>
              <w:rPr>
                <w:sz w:val="19"/>
                <w:szCs w:val="19"/>
              </w:rPr>
              <w:t>On-chain (validators)</w:t>
            </w:r>
          </w:p>
        </w:tc>
        <w:tc>
          <w:tcPr>
            <w:tcW w:w="2340" w:type="dxa"/>
            <w:shd w:val="clear" w:color="auto" w:fill="F2F4FA"/>
            <w:tcMar>
              <w:top w:w="80" w:type="dxa"/>
              <w:left w:w="100" w:type="dxa"/>
              <w:bottom w:w="80" w:type="dxa"/>
              <w:right w:w="100" w:type="dxa"/>
            </w:tcMar>
            <w:vAlign w:val="center"/>
          </w:tcPr>
          <w:p w:rsidR="003E041B" w:rsidRDefault="00B759CD">
            <w:pPr>
              <w:spacing w:after="40"/>
            </w:pPr>
            <w:r>
              <w:rPr>
                <w:sz w:val="19"/>
                <w:szCs w:val="19"/>
              </w:rPr>
              <w:t>Aiken → Plutus V3</w:t>
            </w:r>
          </w:p>
        </w:tc>
        <w:tc>
          <w:tcPr>
            <w:tcW w:w="2028" w:type="dxa"/>
            <w:shd w:val="clear" w:color="auto" w:fill="F2F4FA"/>
            <w:tcMar>
              <w:top w:w="80" w:type="dxa"/>
              <w:left w:w="100" w:type="dxa"/>
              <w:bottom w:w="80" w:type="dxa"/>
              <w:right w:w="100" w:type="dxa"/>
            </w:tcMar>
            <w:vAlign w:val="center"/>
          </w:tcPr>
          <w:p w:rsidR="003E041B" w:rsidRDefault="00B759CD">
            <w:pPr>
              <w:spacing w:after="40"/>
            </w:pPr>
            <w:r>
              <w:rPr>
                <w:sz w:val="19"/>
                <w:szCs w:val="19"/>
              </w:rPr>
              <w:t>Yes — the only party that ever locks/releases real funds</w:t>
            </w:r>
          </w:p>
        </w:tc>
        <w:tc>
          <w:tcPr>
            <w:tcW w:w="3276" w:type="dxa"/>
            <w:shd w:val="clear" w:color="auto" w:fill="F2F4FA"/>
            <w:tcMar>
              <w:top w:w="80" w:type="dxa"/>
              <w:left w:w="100" w:type="dxa"/>
              <w:bottom w:w="80" w:type="dxa"/>
              <w:right w:w="100" w:type="dxa"/>
            </w:tcMar>
            <w:vAlign w:val="center"/>
          </w:tcPr>
          <w:p w:rsidR="003E041B" w:rsidRDefault="00B759CD">
            <w:pPr>
              <w:spacing w:after="40"/>
            </w:pPr>
            <w:r>
              <w:rPr>
                <w:sz w:val="19"/>
                <w:szCs w:val="19"/>
              </w:rPr>
              <w:t>Enforce approval-before-release, sequential payout, double-satisfaction guard</w:t>
            </w:r>
          </w:p>
        </w:tc>
      </w:tr>
      <w:tr w:rsidR="003E041B">
        <w:tblPrEx>
          <w:tblCellMar>
            <w:top w:w="0" w:type="dxa"/>
            <w:bottom w:w="0" w:type="dxa"/>
          </w:tblCellMar>
        </w:tblPrEx>
        <w:tc>
          <w:tcPr>
            <w:tcW w:w="1716" w:type="dxa"/>
            <w:shd w:val="clear" w:color="auto" w:fill="FFFFFF"/>
            <w:tcMar>
              <w:top w:w="80" w:type="dxa"/>
              <w:left w:w="100" w:type="dxa"/>
              <w:bottom w:w="80" w:type="dxa"/>
              <w:right w:w="100" w:type="dxa"/>
            </w:tcMar>
            <w:vAlign w:val="center"/>
          </w:tcPr>
          <w:p w:rsidR="003E041B" w:rsidRDefault="00B759CD">
            <w:pPr>
              <w:spacing w:after="40"/>
            </w:pPr>
            <w:r>
              <w:rPr>
                <w:sz w:val="19"/>
                <w:szCs w:val="19"/>
              </w:rPr>
              <w:t>Off-chain (API)</w:t>
            </w:r>
          </w:p>
        </w:tc>
        <w:tc>
          <w:tcPr>
            <w:tcW w:w="2340" w:type="dxa"/>
            <w:shd w:val="clear" w:color="auto" w:fill="FFFFFF"/>
            <w:tcMar>
              <w:top w:w="80" w:type="dxa"/>
              <w:left w:w="100" w:type="dxa"/>
              <w:bottom w:w="80" w:type="dxa"/>
              <w:right w:w="100" w:type="dxa"/>
            </w:tcMar>
            <w:vAlign w:val="center"/>
          </w:tcPr>
          <w:p w:rsidR="003E041B" w:rsidRDefault="00B759CD">
            <w:pPr>
              <w:spacing w:after="40"/>
            </w:pPr>
            <w:r>
              <w:rPr>
                <w:sz w:val="19"/>
                <w:szCs w:val="19"/>
              </w:rPr>
              <w:t>Rust, Axum, Blockfrost, Pallas</w:t>
            </w:r>
          </w:p>
        </w:tc>
        <w:tc>
          <w:tcPr>
            <w:tcW w:w="2028" w:type="dxa"/>
            <w:shd w:val="clear" w:color="auto" w:fill="FFFFFF"/>
            <w:tcMar>
              <w:top w:w="80" w:type="dxa"/>
              <w:left w:w="100" w:type="dxa"/>
              <w:bottom w:w="80" w:type="dxa"/>
              <w:right w:w="100" w:type="dxa"/>
            </w:tcMar>
            <w:vAlign w:val="center"/>
          </w:tcPr>
          <w:p w:rsidR="003E041B" w:rsidRDefault="00B759CD">
            <w:pPr>
              <w:spacing w:after="40"/>
            </w:pPr>
            <w:r>
              <w:rPr>
                <w:sz w:val="19"/>
                <w:szCs w:val="19"/>
              </w:rPr>
              <w:t>No — builds unsigned CBOR only</w:t>
            </w:r>
          </w:p>
        </w:tc>
        <w:tc>
          <w:tcPr>
            <w:tcW w:w="3276" w:type="dxa"/>
            <w:shd w:val="clear" w:color="auto" w:fill="FFFFFF"/>
            <w:tcMar>
              <w:top w:w="80" w:type="dxa"/>
              <w:left w:w="100" w:type="dxa"/>
              <w:bottom w:w="80" w:type="dxa"/>
              <w:right w:w="100" w:type="dxa"/>
            </w:tcMar>
            <w:vAlign w:val="center"/>
          </w:tcPr>
          <w:p w:rsidR="003E041B" w:rsidRDefault="00B759CD">
            <w:pPr>
              <w:spacing w:after="40"/>
            </w:pPr>
            <w:r>
              <w:rPr>
                <w:sz w:val="19"/>
                <w:szCs w:val="19"/>
              </w:rPr>
              <w:t xml:space="preserve">Read current on-chain state; assemble and </w:t>
            </w:r>
            <w:r>
              <w:rPr>
                <w:sz w:val="19"/>
                <w:szCs w:val="19"/>
              </w:rPr>
              <w:t>fee-balance transactions</w:t>
            </w:r>
          </w:p>
        </w:tc>
      </w:tr>
      <w:tr w:rsidR="003E041B">
        <w:tblPrEx>
          <w:tblCellMar>
            <w:top w:w="0" w:type="dxa"/>
            <w:bottom w:w="0" w:type="dxa"/>
          </w:tblCellMar>
        </w:tblPrEx>
        <w:tc>
          <w:tcPr>
            <w:tcW w:w="1716" w:type="dxa"/>
            <w:shd w:val="clear" w:color="auto" w:fill="F2F4FA"/>
            <w:tcMar>
              <w:top w:w="80" w:type="dxa"/>
              <w:left w:w="100" w:type="dxa"/>
              <w:bottom w:w="80" w:type="dxa"/>
              <w:right w:w="100" w:type="dxa"/>
            </w:tcMar>
            <w:vAlign w:val="center"/>
          </w:tcPr>
          <w:p w:rsidR="003E041B" w:rsidRDefault="00B759CD">
            <w:pPr>
              <w:spacing w:after="40"/>
            </w:pPr>
            <w:r>
              <w:rPr>
                <w:sz w:val="19"/>
                <w:szCs w:val="19"/>
              </w:rPr>
              <w:t>Client (frontend)</w:t>
            </w:r>
          </w:p>
        </w:tc>
        <w:tc>
          <w:tcPr>
            <w:tcW w:w="2340" w:type="dxa"/>
            <w:shd w:val="clear" w:color="auto" w:fill="F2F4FA"/>
            <w:tcMar>
              <w:top w:w="80" w:type="dxa"/>
              <w:left w:w="100" w:type="dxa"/>
              <w:bottom w:w="80" w:type="dxa"/>
              <w:right w:w="100" w:type="dxa"/>
            </w:tcMar>
            <w:vAlign w:val="center"/>
          </w:tcPr>
          <w:p w:rsidR="003E041B" w:rsidRDefault="00B759CD">
            <w:pPr>
              <w:spacing w:after="40"/>
            </w:pPr>
            <w:r>
              <w:rPr>
                <w:sz w:val="19"/>
                <w:szCs w:val="19"/>
              </w:rPr>
              <w:t>Astro, TypeScript, Mesh SDK (CIP-30)</w:t>
            </w:r>
          </w:p>
        </w:tc>
        <w:tc>
          <w:tcPr>
            <w:tcW w:w="2028" w:type="dxa"/>
            <w:shd w:val="clear" w:color="auto" w:fill="F2F4FA"/>
            <w:tcMar>
              <w:top w:w="80" w:type="dxa"/>
              <w:left w:w="100" w:type="dxa"/>
              <w:bottom w:w="80" w:type="dxa"/>
              <w:right w:w="100" w:type="dxa"/>
            </w:tcMar>
            <w:vAlign w:val="center"/>
          </w:tcPr>
          <w:p w:rsidR="003E041B" w:rsidRDefault="00B759CD">
            <w:pPr>
              <w:spacing w:after="40"/>
            </w:pPr>
            <w:r>
              <w:rPr>
                <w:sz w:val="19"/>
                <w:szCs w:val="19"/>
              </w:rPr>
              <w:t>No — delegates signing to the wallet extension</w:t>
            </w:r>
          </w:p>
        </w:tc>
        <w:tc>
          <w:tcPr>
            <w:tcW w:w="3276" w:type="dxa"/>
            <w:shd w:val="clear" w:color="auto" w:fill="F2F4FA"/>
            <w:tcMar>
              <w:top w:w="80" w:type="dxa"/>
              <w:left w:w="100" w:type="dxa"/>
              <w:bottom w:w="80" w:type="dxa"/>
              <w:right w:w="100" w:type="dxa"/>
            </w:tcMar>
            <w:vAlign w:val="center"/>
          </w:tcPr>
          <w:p w:rsidR="003E041B" w:rsidRDefault="00B759CD">
            <w:pPr>
              <w:spacing w:after="40"/>
            </w:pPr>
            <w:r>
              <w:rPr>
                <w:sz w:val="19"/>
                <w:szCs w:val="19"/>
              </w:rPr>
              <w:t>Wallet connection, UI/UX, transaction signing and submission</w:t>
            </w:r>
          </w:p>
        </w:tc>
      </w:tr>
    </w:tbl>
    <w:p w:rsidR="003E041B" w:rsidRDefault="00B759CD">
      <w:pPr>
        <w:spacing w:before="80" w:after="280"/>
        <w:jc w:val="center"/>
      </w:pPr>
      <w:r>
        <w:rPr>
          <w:i/>
          <w:iCs/>
          <w:color w:val="555555"/>
          <w:sz w:val="20"/>
          <w:szCs w:val="20"/>
        </w:rPr>
        <w:t>Table 1. Responsibility and trust-custody boundaries across the three system layers.</w:t>
      </w:r>
    </w:p>
    <w:p w:rsidR="003E041B" w:rsidRDefault="00B759CD">
      <w:pPr>
        <w:pStyle w:val="Heading1"/>
        <w:spacing w:before="480" w:after="240"/>
      </w:pPr>
      <w:bookmarkStart w:id="15" w:name="_Toc235473319"/>
      <w:r>
        <w:rPr>
          <w:b/>
          <w:bCs/>
          <w:color w:val="0033AD"/>
        </w:rPr>
        <w:t>4. Design Rationale and Engineering Decisions</w:t>
      </w:r>
      <w:bookmarkEnd w:id="15"/>
    </w:p>
    <w:p w:rsidR="003E041B" w:rsidRDefault="00B759CD">
      <w:pPr>
        <w:spacing w:after="200" w:line="276" w:lineRule="auto"/>
        <w:jc w:val="both"/>
      </w:pPr>
      <w:r>
        <w:t>Several decisions in this project are not obvious defaults, and are documented here both for scholarly completeness and becau</w:t>
      </w:r>
      <w:r>
        <w:t>se they recur as load-bearing assumptions in the security analysis of Section 6.</w:t>
      </w:r>
    </w:p>
    <w:p w:rsidR="003E041B" w:rsidRDefault="00B759CD">
      <w:pPr>
        <w:pStyle w:val="Heading2"/>
        <w:spacing w:before="320" w:after="160"/>
      </w:pPr>
      <w:bookmarkStart w:id="16" w:name="_Toc235473320"/>
      <w:r>
        <w:rPr>
          <w:b/>
          <w:bCs/>
        </w:rPr>
        <w:lastRenderedPageBreak/>
        <w:t>4.1 Why a Single Combined Validator</w:t>
      </w:r>
      <w:bookmarkEnd w:id="16"/>
    </w:p>
    <w:p w:rsidR="003E041B" w:rsidRDefault="00B759CD">
      <w:pPr>
        <w:spacing w:after="200" w:line="276" w:lineRule="auto"/>
        <w:jc w:val="both"/>
      </w:pPr>
      <w:r>
        <w:t>As discussed in Section 2.1, the eUTxO model's locality guarantee means a validator can only reason about the UTxO it is spending and the t</w:t>
      </w:r>
      <w:r>
        <w:t>ransaction spending it. Splitting the milestone-approval registry and the treasury escrow into two separate UTxOs (and therefore two separate validators) would require the release validator to somehow trust an approval recorded elsewhere — either via a ref</w:t>
      </w:r>
      <w:r>
        <w:t>erence input (which Plutus V3 does support, but which reintroduces a synchronization question: what stops the release transaction from referencing a stale or unrelated approval UTxO?) or via an off-chain oracle asserting the approval happened. Combining bo</w:t>
      </w:r>
      <w:r>
        <w:t>th into one UTxO's datum, checked by one validator, makes “release requires the matching approval” a property of a single, atomic state transition rather than a cross-contract invariant that has to be independently re-verified. The cost of this choice is c</w:t>
      </w:r>
      <w:r>
        <w:t>oupling: the escrow's approval history and its funds share a lifecycle, and a design that wanted, for example, to support approvals accumulating before any funds were locked would need a different structure.</w:t>
      </w:r>
    </w:p>
    <w:p w:rsidR="003E041B" w:rsidRDefault="00B759CD">
      <w:pPr>
        <w:pStyle w:val="Heading2"/>
        <w:spacing w:before="320" w:after="160"/>
      </w:pPr>
      <w:bookmarkStart w:id="17" w:name="_Toc235473321"/>
      <w:r>
        <w:rPr>
          <w:b/>
          <w:bCs/>
        </w:rPr>
        <w:t>4.2 Deployment-Tag Parameterization</w:t>
      </w:r>
      <w:bookmarkEnd w:id="17"/>
    </w:p>
    <w:p w:rsidR="003E041B" w:rsidRDefault="00B759CD">
      <w:pPr>
        <w:spacing w:after="200" w:line="276" w:lineRule="auto"/>
        <w:jc w:val="both"/>
      </w:pPr>
      <w:r>
        <w:t>Because a Pl</w:t>
      </w:r>
      <w:r>
        <w:t>utus validator's script hash — and therefore its on-chain address — is a pure function of its compiled code and its parameters, an unparameterized validator supports exactly one address, globally, forever. The project's first deployment ("testnet", now aba</w:t>
      </w:r>
      <w:r>
        <w:t>ndoned) ran into this directly: with no parameter to vary, every future escrow would have collided at the same address as the first, already-spent test escrow. The deployment_tag parameter — an arbitrary byte string the spend logic itself never reads — exi</w:t>
      </w:r>
      <w:r>
        <w:t>sts purely so each new deployment target (or, in principle, each new grant programme) gets a distinct address, without the validator's actual approval/release logic needing to change at all.</w:t>
      </w:r>
    </w:p>
    <w:p w:rsidR="003E041B" w:rsidRDefault="00B759CD">
      <w:pPr>
        <w:pStyle w:val="Heading2"/>
        <w:spacing w:before="320" w:after="160"/>
      </w:pPr>
      <w:bookmarkStart w:id="18" w:name="_Toc235473322"/>
      <w:r>
        <w:rPr>
          <w:b/>
          <w:bCs/>
        </w:rPr>
        <w:t>4.3 Off-Chain Metadata as a Deliberately Separate Trust Boundary</w:t>
      </w:r>
      <w:bookmarkEnd w:id="18"/>
    </w:p>
    <w:p w:rsidR="003E041B" w:rsidRDefault="00B759CD">
      <w:pPr>
        <w:spacing w:after="200" w:line="276" w:lineRule="auto"/>
        <w:jc w:val="both"/>
      </w:pPr>
      <w:r>
        <w:t>Milestone names and human-readable descriptions are not stored on-chain: only the tranche_bps split, the approved flags, and the running total are part of the datum. Descriptive text is instead kept in an off-chain JSON store (grants_meta.rs), keyed by a g</w:t>
      </w:r>
      <w:r>
        <w:t>rant_id deterministically derived from the same reviewer/proposer/total_locked/tranche_bps fields that appear in the datum, so the two can always be re-associated without a separate lookup table. This keeps the on-chain footprint — and therefore the transa</w:t>
      </w:r>
      <w:r>
        <w:t>ction fees and script-execution budget — minimal, at the cost of introducing exactly the kind of off-chain trust boundary the rest of this project otherwise tries to eliminate. Section 6.1 identifies that this boundary is not currently defended by any auth</w:t>
      </w:r>
      <w:r>
        <w:t>entication, which is the most consequential single finding of the security analysis, precisely because the content behind that boundary (milestone descriptions) is what a human reviewer reads before deciding whether to sign an ApproveMilestone transaction.</w:t>
      </w:r>
    </w:p>
    <w:p w:rsidR="003E041B" w:rsidRDefault="00B759CD">
      <w:pPr>
        <w:pStyle w:val="Heading2"/>
        <w:spacing w:before="320" w:after="160"/>
      </w:pPr>
      <w:bookmarkStart w:id="19" w:name="_Toc235473323"/>
      <w:r>
        <w:rPr>
          <w:b/>
          <w:bCs/>
        </w:rPr>
        <w:t>4.4 Boolean-Toggle Testing Methodology</w:t>
      </w:r>
      <w:bookmarkEnd w:id="19"/>
    </w:p>
    <w:p w:rsidR="003E041B" w:rsidRDefault="00B759CD">
      <w:pPr>
        <w:spacing w:after="200" w:line="276" w:lineRule="auto"/>
        <w:jc w:val="both"/>
      </w:pPr>
      <w:r>
        <w:t>The on-chain test suite follows a disciplined pattern: for each redeemer, one test constructs an exhaustively valid transaction (every guard satisfied), and every negative test is derived from that same valid baseline by flipping exactly one condition — wr</w:t>
      </w:r>
      <w:r>
        <w:t xml:space="preserve">ong signer, stale datum, value not preserved, receipt not minted, out-of-sequence release, milestone not yet approved, and so on — asserting that flipping that </w:t>
      </w:r>
      <w:r>
        <w:lastRenderedPageBreak/>
        <w:t xml:space="preserve">one condition, and only that one condition, causes rejection. This is a stronger guarantee than </w:t>
      </w:r>
      <w:r>
        <w:t xml:space="preserve">testing arbitrary malformed transactions, because it isolates each guard's necessity individually: a bug that accidentally makes one guard redundant with another would be caught by this methodology in a way that ad hoc negative tests might miss. Section 7 </w:t>
      </w:r>
      <w:r>
        <w:t>reports our independent audit of this suite's coverage, including verifying a specific accountability property — that ReleaseTranche(N) is rejected whenever ApproveMilestone(N) has not yet succeeded, at both the first milestone and at a later milestone rea</w:t>
      </w:r>
      <w:r>
        <w:t>ched after prior tranches have already been released.</w:t>
      </w:r>
    </w:p>
    <w:p w:rsidR="003E041B" w:rsidRDefault="00B759CD">
      <w:pPr>
        <w:pStyle w:val="Heading2"/>
        <w:spacing w:before="320" w:after="160"/>
      </w:pPr>
      <w:bookmarkStart w:id="20" w:name="_Toc235473324"/>
      <w:r>
        <w:rPr>
          <w:b/>
          <w:bCs/>
        </w:rPr>
        <w:t>4.5 “Weak DeFi” as an Explicit, Disclosed Design Choice</w:t>
      </w:r>
      <w:bookmarkEnd w:id="20"/>
    </w:p>
    <w:p w:rsidR="003E041B" w:rsidRDefault="00B759CD">
      <w:pPr>
        <w:spacing w:after="200" w:line="276" w:lineRule="auto"/>
        <w:jc w:val="both"/>
      </w:pPr>
      <w:r>
        <w:t>The system is not fully decentralized by construction, not by accident. Three centralization points remain: (i) a human reviewer role, whose judge</w:t>
      </w:r>
      <w:r>
        <w:t>ment about milestone completion is a deliberate design choice rather than something the contract could verify computationally without an oracle; (ii) the off-chain transaction-building API, an operator-run service without which no user can construct a vali</w:t>
      </w:r>
      <w:r>
        <w:t>d transaction against this specific deployment (though a sufficiently motivated user could always hand-build one against the public validator directly); and (iii) a data-availability dependency on Blockfrost, a third-party indexing provider, for reading cu</w:t>
      </w:r>
      <w:r>
        <w:t>rrent on-chain state. Table 2 summarizes these against the ten Factor 1 (dread-risk) and five Factor 2 (unknown-risk) characteristics from Slovic's (1987) psychometric risk framework, which the project's coursework required be applied to precisely this kin</w:t>
      </w:r>
      <w:r>
        <w:t>d of “weak DeFi” disclosure exercise; the full analysis appears in Section 5.</w:t>
      </w:r>
    </w:p>
    <w:p w:rsidR="003E041B" w:rsidRDefault="00B759CD">
      <w:pPr>
        <w:pStyle w:val="Heading1"/>
        <w:spacing w:before="480" w:after="240"/>
      </w:pPr>
      <w:bookmarkStart w:id="21" w:name="_Toc235473325"/>
      <w:r>
        <w:rPr>
          <w:b/>
          <w:bCs/>
          <w:color w:val="0033AD"/>
        </w:rPr>
        <w:t>5. Risk Perception Analysis</w:t>
      </w:r>
      <w:bookmarkEnd w:id="21"/>
    </w:p>
    <w:p w:rsidR="003E041B" w:rsidRDefault="00B759CD">
      <w:pPr>
        <w:spacing w:after="200" w:line="276" w:lineRule="auto"/>
        <w:jc w:val="both"/>
      </w:pPr>
      <w:r>
        <w:t>Slovic (1987) established that lay perception of a hazard's risk is not well predicted by its statistical severity alone, but by its location within a</w:t>
      </w:r>
      <w:r>
        <w:t xml:space="preserve"> two-dimensional psychometric space derived from fifteen qualitative risk characteristics, factor-analyzed into two axes: Factor 1 (“Dread Risk”), spanning ten characteristics from controllable/voluntary/not-dread/individual/low-catastrophic-potential at o</w:t>
      </w:r>
      <w:r>
        <w:t>ne pole to uncontrollable/involuntary/dread/global-catastrophic at the other; and Factor 2 (“Unknown Risk”), spanning five characteristics — observable, known to those exposed, immediate effect, old, and known to science — against their opposites. This fra</w:t>
      </w:r>
      <w:r>
        <w:t>mework was originally developed to explain why lay and expert risk rankings diverge (e.g., nuclear power rated far more dreaded by the public than its statistical mortality would suggest), but it transfers naturally to a regulatory-disclosure context: a ha</w:t>
      </w:r>
      <w:r>
        <w:t>zard's location on this map is a reasonable proxy for how much scrutiny and what kind of regulatory response it is likely to attract, independent of its actual expected-loss magnitude.</w:t>
      </w:r>
    </w:p>
    <w:p w:rsidR="003E041B" w:rsidRDefault="00B759CD">
      <w:pPr>
        <w:spacing w:after="200" w:line="276" w:lineRule="auto"/>
        <w:jc w:val="both"/>
      </w:pPr>
      <w:r>
        <w:t>This project's coursework assignment required exactly this classificati</w:t>
      </w:r>
      <w:r>
        <w:t>on exercise for a “weak DeFi” project ahead of a formal regulatory-clarification request, using vaccines as a worked example: not observable, unknown to those exposed, delayed effect, new, and unknown to science (all five Factor 2 items, placing vaccines h</w:t>
      </w:r>
      <w:r>
        <w:t>igh on the Unknown Risk axis), while controllable and not dread (two Factor 1 items, placing them low on the Dread Risk axis). Table 2 applies the same exercise to the Catalyst Accountability Tracker's own residual centralization — the human reviewer role,</w:t>
      </w:r>
      <w:r>
        <w:t xml:space="preserve"> the off-chain transaction-building API, and the Blockfrost data-availability dependency described in Section 4.5 — rather than to DeFi risk in the abstract.</w:t>
      </w:r>
    </w:p>
    <w:p w:rsidR="003E041B" w:rsidRDefault="00B759CD">
      <w:pPr>
        <w:pStyle w:val="Heading2"/>
        <w:spacing w:before="320" w:after="160"/>
      </w:pPr>
      <w:bookmarkStart w:id="22" w:name="_Toc235473326"/>
      <w:r>
        <w:rPr>
          <w:b/>
          <w:bCs/>
        </w:rPr>
        <w:lastRenderedPageBreak/>
        <w:t>5.1 Factor 2 (Unknown Risk) Classification</w:t>
      </w:r>
      <w:bookmarkEnd w:id="22"/>
    </w:p>
    <w:p w:rsidR="003E041B" w:rsidRDefault="00B759CD">
      <w:pPr>
        <w:spacing w:after="200" w:line="276" w:lineRule="auto"/>
        <w:jc w:val="both"/>
      </w:pPr>
      <w:r>
        <w:t>Four of the five Factor 2 characteristics place this pr</w:t>
      </w:r>
      <w:r>
        <w:t>oject's residual centralization toward the “unknown” pole. The risk is not directly observable by an ordinary user: nothing in the wallet-connected frontend surfaces whether the off-chain API server is honest, or whether Blockfrost is serving accurate data</w:t>
      </w:r>
      <w:r>
        <w:t>, short of a technically sophisticated user independently re-deriving on-chain state from a full node. It is largely unknown to those exposed: a grantee or funder using the system is unlikely to appreciate that an unauthenticated write to the off-chain met</w:t>
      </w:r>
      <w:r>
        <w:t xml:space="preserve">adata store (Section 6.1) could misrepresent a milestone's description before they approve or dispute it. The underlying technology is a new risk category in the sense Slovic intends: milestone-bound eUTxO escrow contracts with soulbound proof-of-delivery </w:t>
      </w:r>
      <w:r>
        <w:t>tokens are, as Section 2 establishes, a genuinely novel combination rather than a well-worn financial instrument. And the risk is, in a meaningful sense, unknown to science: formal, peer-reviewed security analysis of Aiken-specific validator patterns (as o</w:t>
      </w:r>
      <w:r>
        <w:t>pposed to the underlying eUTxO model itself, which is well studied) is still an emerging body of work, and this paper's own Section 6 findings — none of which appear to have been previously documented for this codebase — are illustrative of how much remain</w:t>
      </w:r>
      <w:r>
        <w:t>s to be discovered even in a small, deliberately simple system.</w:t>
      </w:r>
    </w:p>
    <w:p w:rsidR="003E041B" w:rsidRDefault="00B759CD">
      <w:pPr>
        <w:spacing w:after="200" w:line="276" w:lineRule="auto"/>
        <w:jc w:val="both"/>
      </w:pPr>
      <w:r>
        <w:t>The one Factor 2 characteristic that does not transfer is effect delayed vs. immediate: unlike a vaccine's latent physiological harm, a failure in this system — a spoofed grant listing, a wron</w:t>
      </w:r>
      <w:r>
        <w:t>gly configured deployment target, an unauthenticated metadata overwrite — tends to manifest immediately and observably (a transaction fails to build, a 500 error is returned, a grant vanishes from a paginated list) rather than after a long latency. This is</w:t>
      </w:r>
      <w:r>
        <w:t xml:space="preserve"> a meaningful mitigating factor: immediate-effect risks are generally easier to detect, attribute, and remediate than delayed-effect ones, even when the four other Unknown Risk characteristics are present.</w:t>
      </w:r>
    </w:p>
    <w:p w:rsidR="003E041B" w:rsidRDefault="00B759CD">
      <w:pPr>
        <w:pStyle w:val="Heading2"/>
        <w:spacing w:before="320" w:after="160"/>
      </w:pPr>
      <w:bookmarkStart w:id="23" w:name="_Toc235473327"/>
      <w:r>
        <w:rPr>
          <w:b/>
          <w:bCs/>
        </w:rPr>
        <w:t>5.2 Factor 1 (Dread Risk) Classification</w:t>
      </w:r>
      <w:bookmarkEnd w:id="23"/>
    </w:p>
    <w:p w:rsidR="003E041B" w:rsidRDefault="00B759CD">
      <w:pPr>
        <w:spacing w:after="200" w:line="276" w:lineRule="auto"/>
        <w:jc w:val="both"/>
      </w:pPr>
      <w:r>
        <w:t>The proje</w:t>
      </w:r>
      <w:r>
        <w:t xml:space="preserve">ct's residual centralization was retained specifically to keep it low on the Dread Risk axis, and the classification bears this out. It is controllable: an operator retaining the off-chain API and a reviewer role can intervene, patch, or adjust process in </w:t>
      </w:r>
      <w:r>
        <w:t>a way a fully trustless, immutable “strong DeFi” system could not — this is precisely the trade-off a “weak DeFi” disclosure is meant to make legible to a regulator. It is voluntary: funders and grantees opt in to a specific grant instance with known count</w:t>
      </w:r>
      <w:r>
        <w:t xml:space="preserve">erparties. It is not dread in Slovic's sense: the worst-case harm is financial loss or a disputed/delayed grant, not the kind of catastrophic, involuntary, bodily harm that anchors the high-dread end of the scale (nuclear accidents, pandemics). It affects </w:t>
      </w:r>
      <w:r>
        <w:t>individuals rather than being globally catastrophic: a failure is scoped to one grant's escrow UTxO and its two counterparties (Section 6.1's decode-failure denial-of-service is a partial exception, discussed below), not the wider Cardano network or unrela</w:t>
      </w:r>
      <w:r>
        <w:t>ted users. Consequences are not fatal in either the literal or the systemic-financial sense. And the risk is easily reduced relative to systems without a controlling operator: every mitigation identified in Section 6 is deployable by the existing team with</w:t>
      </w:r>
      <w:r>
        <w:t>out requiring a hard fork, a governance vote, or coordination with unrelated third parties.</w:t>
      </w:r>
    </w:p>
    <w:p w:rsidR="003E041B" w:rsidRDefault="00B759CD">
      <w:pPr>
        <w:spacing w:after="200" w:line="276" w:lineRule="auto"/>
        <w:jc w:val="both"/>
      </w:pPr>
      <w:r>
        <w:t>Two Factor 1 characteristics are more equivocal and worth surfacing for class discussion rather than resolving unilaterally. Equitable vs. not equitable: the securi</w:t>
      </w:r>
      <w:r>
        <w:t xml:space="preserve">ty findings in Section 6 — particularly the </w:t>
      </w:r>
      <w:r>
        <w:lastRenderedPageBreak/>
        <w:t>unauthenticated metadata-write and pagination-griefing issues — could in principle be exploited disproportionately against less technically sophisticated funders or grantees who are less likely to notice a spoofe</w:t>
      </w:r>
      <w:r>
        <w:t>d or vanished grant listing, which is an equity concern distinct from the underlying technical severity. And risk increasing vs. decreasing: on one hand, the codebase's rapid feature growth (three deployment targets in quick succession, each retiring the l</w:t>
      </w:r>
      <w:r>
        <w:t>ast for a discovered flaw — see Section 7) suggests a still-maturing attack surface; on the other, the same iteration velocity, and this paper's own audit, are evidence of a team actively converging on a hardened baseline rather than one that is stagnant o</w:t>
      </w:r>
      <w:r>
        <w:t>r degrading.</w:t>
      </w:r>
    </w:p>
    <w:p w:rsidR="003E041B" w:rsidRDefault="00B759CD">
      <w:pPr>
        <w:pStyle w:val="Heading2"/>
        <w:spacing w:before="320" w:after="160"/>
      </w:pPr>
      <w:bookmarkStart w:id="24" w:name="_Toc235473328"/>
      <w:r>
        <w:rPr>
          <w:b/>
          <w:bCs/>
        </w:rPr>
        <w:t>5.3 Overall Positioning and Regulatory Implication</w:t>
      </w:r>
      <w:bookmarkEnd w:id="24"/>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5241"/>
        <w:gridCol w:w="1685"/>
      </w:tblGrid>
      <w:tr w:rsidR="003E041B">
        <w:tblPrEx>
          <w:tblCellMar>
            <w:top w:w="0" w:type="dxa"/>
            <w:bottom w:w="0" w:type="dxa"/>
          </w:tblCellMar>
        </w:tblPrEx>
        <w:trPr>
          <w:tblHeader/>
        </w:trPr>
        <w:tc>
          <w:tcPr>
            <w:tcW w:w="2434" w:type="dxa"/>
            <w:shd w:val="clear" w:color="auto" w:fill="0033AD"/>
            <w:tcMar>
              <w:top w:w="80" w:type="dxa"/>
              <w:left w:w="100" w:type="dxa"/>
              <w:bottom w:w="80" w:type="dxa"/>
              <w:right w:w="100" w:type="dxa"/>
            </w:tcMar>
            <w:vAlign w:val="center"/>
          </w:tcPr>
          <w:p w:rsidR="003E041B" w:rsidRDefault="00B759CD">
            <w:r>
              <w:rPr>
                <w:b/>
                <w:bCs/>
                <w:color w:val="FFFFFF"/>
                <w:sz w:val="19"/>
                <w:szCs w:val="19"/>
              </w:rPr>
              <w:t>Axis</w:t>
            </w:r>
          </w:p>
        </w:tc>
        <w:tc>
          <w:tcPr>
            <w:tcW w:w="5242" w:type="dxa"/>
            <w:shd w:val="clear" w:color="auto" w:fill="0033AD"/>
            <w:tcMar>
              <w:top w:w="80" w:type="dxa"/>
              <w:left w:w="100" w:type="dxa"/>
              <w:bottom w:w="80" w:type="dxa"/>
              <w:right w:w="100" w:type="dxa"/>
            </w:tcMar>
            <w:vAlign w:val="center"/>
          </w:tcPr>
          <w:p w:rsidR="003E041B" w:rsidRDefault="00B759CD">
            <w:r>
              <w:rPr>
                <w:b/>
                <w:bCs/>
                <w:color w:val="FFFFFF"/>
                <w:sz w:val="19"/>
                <w:szCs w:val="19"/>
              </w:rPr>
              <w:t>Applicable characteristics (of this project's centralization)</w:t>
            </w:r>
          </w:p>
        </w:tc>
        <w:tc>
          <w:tcPr>
            <w:tcW w:w="1685" w:type="dxa"/>
            <w:shd w:val="clear" w:color="auto" w:fill="0033AD"/>
            <w:tcMar>
              <w:top w:w="80" w:type="dxa"/>
              <w:left w:w="100" w:type="dxa"/>
              <w:bottom w:w="80" w:type="dxa"/>
              <w:right w:w="100" w:type="dxa"/>
            </w:tcMar>
            <w:vAlign w:val="center"/>
          </w:tcPr>
          <w:p w:rsidR="003E041B" w:rsidRDefault="00B759CD">
            <w:r>
              <w:rPr>
                <w:b/>
                <w:bCs/>
                <w:color w:val="FFFFFF"/>
                <w:sz w:val="19"/>
                <w:szCs w:val="19"/>
              </w:rPr>
              <w:t>Position</w:t>
            </w:r>
          </w:p>
        </w:tc>
      </w:tr>
      <w:tr w:rsidR="003E041B">
        <w:tblPrEx>
          <w:tblCellMar>
            <w:top w:w="0" w:type="dxa"/>
            <w:bottom w:w="0" w:type="dxa"/>
          </w:tblCellMar>
        </w:tblPrEx>
        <w:tc>
          <w:tcPr>
            <w:tcW w:w="2434" w:type="dxa"/>
            <w:shd w:val="clear" w:color="auto" w:fill="F2F4FA"/>
            <w:tcMar>
              <w:top w:w="80" w:type="dxa"/>
              <w:left w:w="100" w:type="dxa"/>
              <w:bottom w:w="80" w:type="dxa"/>
              <w:right w:w="100" w:type="dxa"/>
            </w:tcMar>
            <w:vAlign w:val="center"/>
          </w:tcPr>
          <w:p w:rsidR="003E041B" w:rsidRDefault="00B759CD">
            <w:pPr>
              <w:spacing w:after="40"/>
            </w:pPr>
            <w:r>
              <w:rPr>
                <w:sz w:val="19"/>
                <w:szCs w:val="19"/>
              </w:rPr>
              <w:t>Factor 2 — Unknown Risk (5 characteristics)</w:t>
            </w:r>
          </w:p>
        </w:tc>
        <w:tc>
          <w:tcPr>
            <w:tcW w:w="5242" w:type="dxa"/>
            <w:shd w:val="clear" w:color="auto" w:fill="F2F4FA"/>
            <w:tcMar>
              <w:top w:w="80" w:type="dxa"/>
              <w:left w:w="100" w:type="dxa"/>
              <w:bottom w:w="80" w:type="dxa"/>
              <w:right w:w="100" w:type="dxa"/>
            </w:tcMar>
            <w:vAlign w:val="center"/>
          </w:tcPr>
          <w:p w:rsidR="003E041B" w:rsidRDefault="00B759CD">
            <w:pPr>
              <w:spacing w:after="40"/>
            </w:pPr>
            <w:r>
              <w:rPr>
                <w:sz w:val="19"/>
                <w:szCs w:val="19"/>
              </w:rPr>
              <w:t>Not observable; unknown to those exposed; new risk; unknown to science. (Effect is immediate, not delayed — the one non-transferring item.)</w:t>
            </w:r>
          </w:p>
        </w:tc>
        <w:tc>
          <w:tcPr>
            <w:tcW w:w="1685" w:type="dxa"/>
            <w:shd w:val="clear" w:color="auto" w:fill="F2F4FA"/>
            <w:tcMar>
              <w:top w:w="80" w:type="dxa"/>
              <w:left w:w="100" w:type="dxa"/>
              <w:bottom w:w="80" w:type="dxa"/>
              <w:right w:w="100" w:type="dxa"/>
            </w:tcMar>
            <w:vAlign w:val="center"/>
          </w:tcPr>
          <w:p w:rsidR="003E041B" w:rsidRDefault="00B759CD">
            <w:pPr>
              <w:spacing w:after="40"/>
            </w:pPr>
            <w:r>
              <w:rPr>
                <w:sz w:val="19"/>
                <w:szCs w:val="19"/>
              </w:rPr>
              <w:t>High (4 of 5)</w:t>
            </w:r>
          </w:p>
        </w:tc>
      </w:tr>
      <w:tr w:rsidR="003E041B">
        <w:tblPrEx>
          <w:tblCellMar>
            <w:top w:w="0" w:type="dxa"/>
            <w:bottom w:w="0" w:type="dxa"/>
          </w:tblCellMar>
        </w:tblPrEx>
        <w:tc>
          <w:tcPr>
            <w:tcW w:w="2434" w:type="dxa"/>
            <w:shd w:val="clear" w:color="auto" w:fill="FFFFFF"/>
            <w:tcMar>
              <w:top w:w="80" w:type="dxa"/>
              <w:left w:w="100" w:type="dxa"/>
              <w:bottom w:w="80" w:type="dxa"/>
              <w:right w:w="100" w:type="dxa"/>
            </w:tcMar>
            <w:vAlign w:val="center"/>
          </w:tcPr>
          <w:p w:rsidR="003E041B" w:rsidRDefault="00B759CD">
            <w:pPr>
              <w:spacing w:after="40"/>
            </w:pPr>
            <w:r>
              <w:rPr>
                <w:sz w:val="19"/>
                <w:szCs w:val="19"/>
              </w:rPr>
              <w:t>Factor 1 — Dread Risk (10 characteristics)</w:t>
            </w:r>
          </w:p>
        </w:tc>
        <w:tc>
          <w:tcPr>
            <w:tcW w:w="5242" w:type="dxa"/>
            <w:shd w:val="clear" w:color="auto" w:fill="FFFFFF"/>
            <w:tcMar>
              <w:top w:w="80" w:type="dxa"/>
              <w:left w:w="100" w:type="dxa"/>
              <w:bottom w:w="80" w:type="dxa"/>
              <w:right w:w="100" w:type="dxa"/>
            </w:tcMar>
            <w:vAlign w:val="center"/>
          </w:tcPr>
          <w:p w:rsidR="003E041B" w:rsidRDefault="00B759CD">
            <w:pPr>
              <w:spacing w:after="40"/>
            </w:pPr>
            <w:r>
              <w:rPr>
                <w:sz w:val="19"/>
                <w:szCs w:val="19"/>
              </w:rPr>
              <w:t>Controllable; voluntary; not dread; individual (not global-catastrophic); consequences not fatal; low risk to future generations; easily reduced. (Equity and risk-trend are equivocal, not clearly resolved either pole.)</w:t>
            </w:r>
          </w:p>
        </w:tc>
        <w:tc>
          <w:tcPr>
            <w:tcW w:w="1685" w:type="dxa"/>
            <w:shd w:val="clear" w:color="auto" w:fill="FFFFFF"/>
            <w:tcMar>
              <w:top w:w="80" w:type="dxa"/>
              <w:left w:w="100" w:type="dxa"/>
              <w:bottom w:w="80" w:type="dxa"/>
              <w:right w:w="100" w:type="dxa"/>
            </w:tcMar>
            <w:vAlign w:val="center"/>
          </w:tcPr>
          <w:p w:rsidR="003E041B" w:rsidRDefault="00B759CD">
            <w:pPr>
              <w:spacing w:after="40"/>
            </w:pPr>
            <w:r>
              <w:rPr>
                <w:sz w:val="19"/>
                <w:szCs w:val="19"/>
              </w:rPr>
              <w:t>Low (7 of 10, 2 equivocal)</w:t>
            </w:r>
          </w:p>
        </w:tc>
      </w:tr>
    </w:tbl>
    <w:p w:rsidR="003E041B" w:rsidRDefault="00B759CD">
      <w:pPr>
        <w:spacing w:before="80" w:after="280"/>
        <w:jc w:val="center"/>
      </w:pPr>
      <w:r>
        <w:rPr>
          <w:i/>
          <w:iCs/>
          <w:color w:val="555555"/>
          <w:sz w:val="20"/>
          <w:szCs w:val="20"/>
        </w:rPr>
        <w:t>Table 2. Slovic (1987) Factor 1 / Factor 2 classification of this project's residual ("weak DeFi") centralization.</w:t>
      </w:r>
    </w:p>
    <w:p w:rsidR="003E041B" w:rsidRDefault="00B759CD">
      <w:pPr>
        <w:spacing w:after="200" w:line="276" w:lineRule="auto"/>
        <w:jc w:val="both"/>
      </w:pPr>
      <w:r>
        <w:t>Plotted on Slovic's original two-dimensional hazard map, this positions the project's residual centralization in the same general quadrant as</w:t>
      </w:r>
      <w:r>
        <w:t xml:space="preserve"> vaccines and other technologies rated high on Unknown Risk but low on Dread Risk — poorly understood by lay users and not yet extensively studied, but individually scoped, controllable, and not associated with the kind of catastrophic, involuntary harm th</w:t>
      </w:r>
      <w:r>
        <w:t xml:space="preserve">at drives the strictest regulatory responses (nuclear power, hazardous waste). For a formal request to a regulatory authority, this is a favorable but not risk-free position: it supports an argument for a lighter-touch, disclosure-based regulatory posture </w:t>
      </w:r>
      <w:r>
        <w:t>(proportionate to a low-dread, individually-scoped risk) while still obligating the project to affirmatively address the Unknown Risk side of the ledger — namely, by publishing exactly the kind of structured security analysis this paper's Section 6 provide</w:t>
      </w:r>
      <w:r>
        <w:t>s, so that “unknown to science” becomes progressively less true over the system's lifetime rather than a permanent disclosure gap.</w:t>
      </w:r>
    </w:p>
    <w:p w:rsidR="003E041B" w:rsidRDefault="00B759CD">
      <w:pPr>
        <w:pStyle w:val="Heading1"/>
        <w:spacing w:before="480" w:after="240"/>
      </w:pPr>
      <w:bookmarkStart w:id="25" w:name="_Toc235473329"/>
      <w:r>
        <w:rPr>
          <w:b/>
          <w:bCs/>
          <w:color w:val="0033AD"/>
        </w:rPr>
        <w:t>6. Security Analysis and Threat Model</w:t>
      </w:r>
      <w:bookmarkEnd w:id="25"/>
    </w:p>
    <w:p w:rsidR="003E041B" w:rsidRDefault="00B759CD">
      <w:pPr>
        <w:spacing w:after="200" w:line="276" w:lineRule="auto"/>
        <w:jc w:val="both"/>
      </w:pPr>
      <w:r>
        <w:t>This section reports a structured code-level security review of the current implementat</w:t>
      </w:r>
      <w:r>
        <w:t xml:space="preserve">ion (offchain/ and frontend/, cross-referenced against onchain/ where the two interact), conducted by manual trace of every HTTP handler, transaction builder, and rendering path against the validator logic it ultimately drives, plus targeted checks of the </w:t>
      </w:r>
      <w:r>
        <w:t>Docker, CI, and secrets-management configuration. No finding below required running the deployed system against live infrastructure; each is reproducible from the source alone and is stated with its concrete trigger, its consequence, and a specific mitigat</w:t>
      </w:r>
      <w:r>
        <w:t>ion. Findings are ordered by severity within each subsection; Table 3 at the end of this section summarizes all findings for quick reference.</w:t>
      </w:r>
    </w:p>
    <w:p w:rsidR="003E041B" w:rsidRDefault="00B759CD">
      <w:pPr>
        <w:pStyle w:val="Heading2"/>
        <w:spacing w:before="320" w:after="160"/>
      </w:pPr>
      <w:bookmarkStart w:id="26" w:name="_Toc235473330"/>
      <w:r>
        <w:rPr>
          <w:b/>
          <w:bCs/>
        </w:rPr>
        <w:lastRenderedPageBreak/>
        <w:t>6.1 Critical: Unbounded Datum-Decode Failure Crashes the Entire Grant Listing</w:t>
      </w:r>
      <w:bookmarkEnd w:id="26"/>
    </w:p>
    <w:p w:rsidR="003E041B" w:rsidRDefault="00B759CD">
      <w:pPr>
        <w:spacing w:after="200" w:line="276" w:lineRule="auto"/>
        <w:jc w:val="both"/>
      </w:pPr>
      <w:r>
        <w:t>GET /grants (offchain/src/blockfrost</w:t>
      </w:r>
      <w:r>
        <w:t>_client.rs, list_grants) fetches every UTxO at the shared escrow address and, for each one carrying an inline datum, calls Datum::from_inline_datum_hex and propagates any decode error with the ? operator inside a .map() closure whose results are gathered w</w:t>
      </w:r>
      <w:r>
        <w:t>ith a plain .collect() into Result&lt;Vec&lt;EscrowUtxo&gt;&gt;. Rust's FromIterator implementation for Result&lt;T, E&gt; short-circuits: if any single element's Result is Err, the entire collect call returns that one Err and discards every other, successfully decoded elem</w:t>
      </w:r>
      <w:r>
        <w:t>ent. Because sending lovelace plus an arbitrary attached datum to a Cardano script address requires no signature, no script execution, and no permission of any kind — validation only gates spending an eUTxO, never receiving one — anyone can construct a sin</w:t>
      </w:r>
      <w:r>
        <w:t>gle low-value transaction that pays a few hundred thousand lovelace, with an attached inline datum that is either not valid CBOR, or valid CBOR that does not decode to the expected seven-field Datum shape, to the escrow's public address. The very next call</w:t>
      </w:r>
      <w:r>
        <w:t xml:space="preserve"> to GET /grants will fail entirely, for every grant and every user, with a generic 500 response, until an operator manually identifies and works around the offending UTxO.</w:t>
      </w:r>
    </w:p>
    <w:p w:rsidR="003E041B" w:rsidRDefault="00B759CD">
      <w:pPr>
        <w:spacing w:after="200" w:line="276" w:lineRule="auto"/>
        <w:jc w:val="both"/>
      </w:pPr>
      <w:r>
        <w:t>This is the most severe finding in this review specifically because of its cost asym</w:t>
      </w:r>
      <w:r>
        <w:t>metry: the attack requires a single, cheap, irreversible-only-by-operator-intervention transaction, and its blast radius is total (every grant, every user of the shared deployment) rather than scoped to the attacker's own grant. It also undermines a contro</w:t>
      </w:r>
      <w:r>
        <w:t>l that is already present elsewhere in the same function: list_grants already implements a graceful-degradation pattern for a validated-but-suspicious datum (the receipt_policy_id mismatch and grant_id collision checks, which mark a suspicious entry as unt</w:t>
      </w:r>
      <w:r>
        <w:t>rusted with a warning rather than failing the whole request) — the fix here is to extend that same philosophy one step earlier, to decoding itself.</w:t>
      </w:r>
    </w:p>
    <w:p w:rsidR="003E041B" w:rsidRDefault="00B759CD">
      <w:pPr>
        <w:spacing w:after="200" w:line="276" w:lineRule="auto"/>
        <w:jc w:val="both"/>
      </w:pPr>
      <w:r>
        <w:rPr>
          <w:b/>
          <w:bCs/>
        </w:rPr>
        <w:t xml:space="preserve">Mitigation: </w:t>
      </w:r>
      <w:r>
        <w:t>replace the eager ? plus .collect::&lt;Result&lt;Vec&lt;_&gt;&gt;&gt;() with a per-item .filter_map(), logging a t</w:t>
      </w:r>
      <w:r>
        <w:t>racing::warn! and skipping (not failing) any UTxO whose inline datum fails to decode or whose lovelace amount is unparseable, exactly as the function already does for the receipt-policy-mismatch case. This is a small, localized change (offchain/src/blockfr</w:t>
      </w:r>
      <w:r>
        <w:t>ost_client.rs, list_grants) with no schema or API-contract impact.</w:t>
      </w:r>
    </w:p>
    <w:p w:rsidR="003E041B" w:rsidRDefault="00B759CD">
      <w:pPr>
        <w:pStyle w:val="Heading2"/>
        <w:spacing w:before="320" w:after="160"/>
      </w:pPr>
      <w:bookmarkStart w:id="27" w:name="_Toc235473331"/>
      <w:r>
        <w:rPr>
          <w:b/>
          <w:bCs/>
        </w:rPr>
        <w:t>6.2 High: Unauthenticated Writes to Off-Chain Grant Metadata</w:t>
      </w:r>
      <w:bookmarkEnd w:id="27"/>
    </w:p>
    <w:p w:rsidR="003E041B" w:rsidRDefault="00B759CD">
      <w:pPr>
        <w:spacing w:after="200" w:line="276" w:lineRule="auto"/>
        <w:jc w:val="both"/>
      </w:pPr>
      <w:r>
        <w:t>POST /grants (offchain/src/handlers.rs, post_grant_meta → grants_meta.rs, set_meta) accepts a grant name and per-milestone descr</w:t>
      </w:r>
      <w:r>
        <w:t>iptions and stores them keyed by a grant_id that is a deterministic hash of the reviewer key hash, proposer key hash, total_locked, and tranche_bps — all four of which become public the moment a grant's create-escrow transaction is even broadcast, let alon</w:t>
      </w:r>
      <w:r>
        <w:t xml:space="preserve">e confirmed. Critically, set_meta performs no check that the caller controls the reviewer or proposer key for that grant_id: any caller who can compute or observe the same four field values can call POST /grants and overwrite the stored name and milestone </w:t>
      </w:r>
      <w:r>
        <w:t>descriptions for that grant_id, including for a grant that is already live on-chain.</w:t>
      </w:r>
    </w:p>
    <w:p w:rsidR="003E041B" w:rsidRDefault="00B759CD">
      <w:pPr>
        <w:spacing w:after="200" w:line="276" w:lineRule="auto"/>
        <w:jc w:val="both"/>
      </w:pPr>
      <w:r>
        <w:t>The practical consequence is more than defacement. The milestone name and description fields are exactly what a human reviewer reads, in the frontend's milestone timeline,</w:t>
      </w:r>
      <w:r>
        <w:t xml:space="preserve"> before deciding whether to sign an ApproveMilestone transaction (Section 3.1) — the contract itself has no way to verify milestone </w:t>
      </w:r>
      <w:r>
        <w:lastRenderedPageBreak/>
        <w:t>completion computationally, by design (Section 4.3), so this off-chain text is the reviewer's entire evidentiary basis. An a</w:t>
      </w:r>
      <w:r>
        <w:t>ttacker able to overwrite it before a reviewer's next visit could, for example, rewrite a milestone's description to understate what was actually required, nudging an approval that would not otherwise have been given, or rewrite it to something alarming to</w:t>
      </w:r>
      <w:r>
        <w:t xml:space="preserve"> provoke a dispute over a milestone that was in fact delivered correctly. Separately, the frontend does correctly escape this same text on render (frontend/src/lib/app.ts, escapeHtml, applied to both grant.name and each milestone's name/description) — so t</w:t>
      </w:r>
      <w:r>
        <w:t>his finding is an authorization gap, not an injection one; hardening the display layer further would not address it.</w:t>
      </w:r>
    </w:p>
    <w:p w:rsidR="003E041B" w:rsidRDefault="00B759CD">
      <w:pPr>
        <w:spacing w:after="200" w:line="276" w:lineRule="auto"/>
        <w:jc w:val="both"/>
      </w:pPr>
      <w:r>
        <w:rPr>
          <w:b/>
          <w:bCs/>
        </w:rPr>
        <w:t xml:space="preserve">Mitigation: </w:t>
      </w:r>
      <w:r>
        <w:t>require the caller to prove control of the reviewer key before POST /grants is allowed to create or modify metadata for a given grant_id — at minimum, a signed message (e.g., CIP-8 data-sign) over the request payload, verified server-side against the revie</w:t>
      </w:r>
      <w:r>
        <w:t>wer key hash embedded in that grant_id's eventual on-chain datum. As an interim, lower-effort measure, lock metadata against further modification once a grant_id is observed live on-chain with a verified receipt_policy_id (the trusted flag already computed</w:t>
      </w:r>
      <w:r>
        <w:t xml:space="preserve"> in get_grants), so at least post-creation tampering is foreclosed even before signature verification is implemented for the pre-creation window.</w:t>
      </w:r>
    </w:p>
    <w:p w:rsidR="003E041B" w:rsidRDefault="00B759CD">
      <w:pPr>
        <w:pStyle w:val="Heading2"/>
        <w:spacing w:before="320" w:after="160"/>
      </w:pPr>
      <w:bookmarkStart w:id="28" w:name="_Toc235473332"/>
      <w:r>
        <w:rPr>
          <w:b/>
          <w:bCs/>
        </w:rPr>
        <w:t>6.3 High: Pagination Ceiling Enables Griefing of the Shared Grant Listing</w:t>
      </w:r>
      <w:bookmarkEnd w:id="28"/>
    </w:p>
    <w:p w:rsidR="003E041B" w:rsidRDefault="00B759CD">
      <w:pPr>
        <w:spacing w:after="200" w:line="276" w:lineRule="auto"/>
        <w:jc w:val="both"/>
      </w:pPr>
      <w:r>
        <w:t>list_grants requests exactly one page of up to 100 UTxOs from Blockfrost (Pagination::new(Order::Asc, 1, 100)) and never paginates further. Combined with the permissionless-receive property discussed in Section 6.1, an attacker can send more than 100 low-v</w:t>
      </w:r>
      <w:r>
        <w:t>alue, well-formed-datum UTxOs to the shared escrow address — well-formed enough to decode successfully and even to pass the receipt_policy_id and grant_id-collision checks, since both of those fields are public and trivially reproducible — and push genuine</w:t>
      </w:r>
      <w:r>
        <w:t xml:space="preserve"> grants below the fetched page entirely. Unlike Section 6.1's finding, this does not crash the endpoint; it silently, quietly removes real grants from the response with no error surfaced to any caller, which is arguably worse from a detection standpoint.</w:t>
      </w:r>
    </w:p>
    <w:p w:rsidR="003E041B" w:rsidRDefault="00B759CD">
      <w:pPr>
        <w:spacing w:after="200" w:line="276" w:lineRule="auto"/>
        <w:jc w:val="both"/>
      </w:pPr>
      <w:r>
        <w:rPr>
          <w:b/>
          <w:bCs/>
        </w:rPr>
        <w:t>M</w:t>
      </w:r>
      <w:r>
        <w:rPr>
          <w:b/>
          <w:bCs/>
        </w:rPr>
        <w:t xml:space="preserve">itigation: </w:t>
      </w:r>
      <w:r>
        <w:t>either loop Blockfrost pagination until exhausted (bounded by a sane maximum with an explicit warning log if that maximum is hit, per this project's own "no silent caps" review standard), or — better, and consistent with the fix already proposed</w:t>
      </w:r>
      <w:r>
        <w:t xml:space="preserve"> in Section 6.2 — stop treating "every UTxO with a parseable datum at this address" as authoritative, and instead surface only UTxOs whose grant_id has a corresponding, authenticated entry in the off-chain metadata store, treating unregistered UTxOs as fil</w:t>
      </w:r>
      <w:r>
        <w:t>tered-out-by-default rather than shown-with-a-warning.</w:t>
      </w:r>
    </w:p>
    <w:p w:rsidR="003E041B" w:rsidRDefault="00B759CD">
      <w:pPr>
        <w:pStyle w:val="Heading2"/>
        <w:spacing w:before="320" w:after="160"/>
      </w:pPr>
      <w:bookmarkStart w:id="29" w:name="_Toc235473333"/>
      <w:r>
        <w:rPr>
          <w:b/>
          <w:bCs/>
        </w:rPr>
        <w:t>6.4 High: Stale Deploy-Target Default Contradicts the Project's Own Documentation</w:t>
      </w:r>
      <w:bookmarkEnd w:id="29"/>
    </w:p>
    <w:p w:rsidR="003E041B" w:rsidRDefault="00B759CD">
      <w:pPr>
        <w:spacing w:after="200" w:line="276" w:lineRule="auto"/>
        <w:jc w:val="both"/>
      </w:pPr>
      <w:r>
        <w:t xml:space="preserve">offchain/src/config.rs defaults DEPLOY_DIR to ../onchain/deploy/testnet-v2 when the environment variable is unset, and </w:t>
      </w:r>
      <w:r>
        <w:t>offchain/.env.example's own inline comment repeats testnet-v2 as the documented default. Yet onchain/deploy/README.md states explicitly, in its own "Prior deployments" section, that testnet-v2 is abandoned — created with the reviewer and proposer roles acc</w:t>
      </w:r>
      <w:r>
        <w:t xml:space="preserve">identally swapped, so the intended funder wallet could never approve its own milestones — and that "the default DEPLOY_DIR now points at testnet-v3." The code has not been updated to match. Anyone standing up this service from a </w:t>
      </w:r>
      <w:r>
        <w:lastRenderedPageBreak/>
        <w:t>fresh .env, following the e</w:t>
      </w:r>
      <w:r>
        <w:t>xample file exactly as documented, silently serves state from a deployment the project's own records call broken, with no error or warning at startup.</w:t>
      </w:r>
    </w:p>
    <w:p w:rsidR="003E041B" w:rsidRDefault="00B759CD">
      <w:pPr>
        <w:spacing w:after="200" w:line="276" w:lineRule="auto"/>
        <w:jc w:val="both"/>
      </w:pPr>
      <w:r>
        <w:rPr>
          <w:b/>
          <w:bCs/>
        </w:rPr>
        <w:t xml:space="preserve">Mitigation: </w:t>
      </w:r>
      <w:r>
        <w:t>update both the default in config.rs and the documented default in .env.example to testnet-v3</w:t>
      </w:r>
      <w:r>
        <w:t xml:space="preserve"> (or whichever target is current at deploy time), and consider failing fast at startup with a clear error if the resolved DEPLOY_DIR does not exist, rather than only failing later and less legibly when params.json or plutus.applied.json cannot be read.</w:t>
      </w:r>
    </w:p>
    <w:p w:rsidR="003E041B" w:rsidRDefault="00B759CD">
      <w:pPr>
        <w:pStyle w:val="Heading2"/>
        <w:spacing w:before="320" w:after="160"/>
      </w:pPr>
      <w:bookmarkStart w:id="30" w:name="_Toc235473334"/>
      <w:r>
        <w:rPr>
          <w:b/>
          <w:bCs/>
        </w:rPr>
        <w:t>6.5</w:t>
      </w:r>
      <w:r>
        <w:rPr>
          <w:b/>
          <w:bCs/>
        </w:rPr>
        <w:t xml:space="preserve"> Medium: On-Chain Validator Never Re-Verifies tranche_bps Invariants</w:t>
      </w:r>
      <w:bookmarkEnd w:id="30"/>
    </w:p>
    <w:p w:rsidR="003E041B" w:rsidRDefault="00B759CD">
      <w:pPr>
        <w:spacing w:after="200" w:line="276" w:lineRule="auto"/>
        <w:jc w:val="both"/>
      </w:pPr>
      <w:r>
        <w:t>The requirement that tranche_bps sum to exactly 10,000 basis points, and that no individual entry be negative, is checked only once, off-chain, inside the create-escrow transaction builde</w:t>
      </w:r>
      <w:r>
        <w:t xml:space="preserve">r's own ensure! guards (offchain/src/tx/create_escrow.rs) — never inside the milestone_escrow validator itself, and never re-derivable from the Datum type definition (onchain/lib/milestone_escrow/types.ak), which places no constraint on tranche_bps beyond </w:t>
      </w:r>
      <w:r>
        <w:t>it being a List&lt;Int&gt;. Because the eUTxO model validates spending, not receiving, there is no validator hook this project's architecture could use to gate the initial deposit transaction that creates an escrow UTxO in the first place (Section 2.1) — any pay</w:t>
      </w:r>
      <w:r>
        <w:t xml:space="preserve">ment to the script address, from any client, is unconditionally accepted regardless of what its datum claims. A hand-built creation transaction that bypasses this project's own API, or a future or alternative client with a bug in its own equivalent check, </w:t>
      </w:r>
      <w:r>
        <w:t>could create a real, fully spendable escrow whose milestone shares do not sum to 100% of the locked amount, either under- or over-committing the funder's deposit relative to what the frontend displays.</w:t>
      </w:r>
    </w:p>
    <w:p w:rsidR="003E041B" w:rsidRDefault="00B759CD">
      <w:pPr>
        <w:spacing w:after="200" w:line="276" w:lineRule="auto"/>
        <w:jc w:val="both"/>
      </w:pPr>
      <w:r>
        <w:rPr>
          <w:b/>
          <w:bCs/>
        </w:rPr>
        <w:t xml:space="preserve">Mitigation: </w:t>
      </w:r>
      <w:r>
        <w:t>since the deposit transaction itself canno</w:t>
      </w:r>
      <w:r>
        <w:t>t be gated, add defense-in-depth by re-deriving and re-checking the sum-to-10,000 and non-negativity invariants inside approve_milestone and release_tranche themselves (onchain/validators/milestone_escrow.ak), so a malformed escrow fails safely on its firs</w:t>
      </w:r>
      <w:r>
        <w:t>t state transition rather than behaving unpredictably; at minimum, document this as an explicitly trusted-creation-flow assumption so it is a conscious design acceptance rather than an unnoticed gap.</w:t>
      </w:r>
    </w:p>
    <w:p w:rsidR="003E041B" w:rsidRDefault="00B759CD">
      <w:pPr>
        <w:pStyle w:val="Heading2"/>
        <w:spacing w:before="320" w:after="160"/>
      </w:pPr>
      <w:bookmarkStart w:id="31" w:name="_Toc235473335"/>
      <w:r>
        <w:rPr>
          <w:b/>
          <w:bCs/>
        </w:rPr>
        <w:t>6.6 Medium: Unchecked Fixed-Width Arithmetic in Off-Chai</w:t>
      </w:r>
      <w:r>
        <w:rPr>
          <w:b/>
          <w:bCs/>
        </w:rPr>
        <w:t>n Fee/Payout Calculations</w:t>
      </w:r>
      <w:bookmarkEnd w:id="31"/>
    </w:p>
    <w:p w:rsidR="003E041B" w:rsidRDefault="00B759CD">
      <w:pPr>
        <w:spacing w:after="200" w:line="276" w:lineRule="auto"/>
        <w:jc w:val="both"/>
      </w:pPr>
      <w:r>
        <w:t xml:space="preserve">offchain/src/tx/release.rs computes each tranche's payout as (escrow.datum.total_locked * escrow.datum.tranche_bps[index] / 10_000) as u64, and offchain/src/tx/create_escrow.rs casts the incoming u64 total_locked request field to </w:t>
      </w:r>
      <w:r>
        <w:t>i64 with a plain as cast, in both cases without any checked_mul, checked_add, or TryFrom-based bounds check. Rust's i64 multiplication silently wraps in a release build (the Dockerfile builds with cargo build --release) rather than panicking; realistic Car</w:t>
      </w:r>
      <w:r>
        <w:t>dano lovelace amounts stay well within i64's range for any individually plausible grant, but the multiply-before-divide pattern here overflows i64 for a single-tranche grant above roughly 922,000 ADA — a large but not inconceivable size for a major funding</w:t>
      </w:r>
      <w:r>
        <w:t xml:space="preserve"> program. On-chain, Aiken's Int type is arbitrary-precision, so the validator itself computes the true value correctly regardless; the practical consequence of an off-chain overflow is that the built transaction simply fails on-chain validation (the wrong,</w:t>
      </w:r>
      <w:r>
        <w:t xml:space="preserve"> wrapped amount will not satisfy the validator's own correct check), producing a wasted fee and a confusing error rather than an exploitable </w:t>
      </w:r>
      <w:r>
        <w:lastRenderedPageBreak/>
        <w:t>fund-loss path — but it is exactly the kind of latent correctness bug that is easy to miss until a large grant inst</w:t>
      </w:r>
      <w:r>
        <w:t>ance actually triggers it.</w:t>
      </w:r>
    </w:p>
    <w:p w:rsidR="003E041B" w:rsidRDefault="00B759CD">
      <w:pPr>
        <w:spacing w:after="200" w:line="276" w:lineRule="auto"/>
        <w:jc w:val="both"/>
      </w:pPr>
      <w:r>
        <w:rPr>
          <w:b/>
          <w:bCs/>
        </w:rPr>
        <w:t xml:space="preserve">Mitigation: </w:t>
      </w:r>
      <w:r>
        <w:t>replace the unchecked *, /, and as with i64::checked_mul / checked_div and TryFrom-based conversions that return a clear AppError::BadRequest (or equivalent) on overflow, rather than silently producing an incorrect va</w:t>
      </w:r>
      <w:r>
        <w:t>lue that only fails much later, opaquely, at on-chain validation.</w:t>
      </w:r>
    </w:p>
    <w:p w:rsidR="003E041B" w:rsidRDefault="00B759CD">
      <w:pPr>
        <w:pStyle w:val="Heading2"/>
        <w:spacing w:before="320" w:after="160"/>
      </w:pPr>
      <w:bookmarkStart w:id="32" w:name="_Toc235473336"/>
      <w:r>
        <w:rPr>
          <w:b/>
          <w:bCs/>
        </w:rPr>
        <w:t>6.7 Medium: Unauthenticated, Unbounded Blockfrost Fan-Out Enables Cost-Based Denial of Service</w:t>
      </w:r>
      <w:bookmarkEnd w:id="32"/>
    </w:p>
    <w:p w:rsidR="003E041B" w:rsidRDefault="00B759CD">
      <w:pPr>
        <w:spacing w:after="200" w:line="276" w:lineRule="auto"/>
        <w:jc w:val="both"/>
      </w:pPr>
      <w:r>
        <w:t>None of GET /grants, GET /grants/role, or GET /transactions require authentication or apply any</w:t>
      </w:r>
      <w:r>
        <w:t xml:space="preserve"> rate limiting, and GET /transactions in particular can trigger on the order of 100 additional Blockfrost API calls per single request (transactions_for_grant scans up to scan_limit = 100 candidate transactions and calls transactions_utxos for each one ind</w:t>
      </w:r>
      <w:r>
        <w:t>ividually) — a fan-out ratio the frontend's own source comments already flag as expensive ("/transactions can cost ~100 Blockfrost calls per hit"). Because Blockfrost project IDs are rate- and quota-limited by IOG/Blockfrost's own service tiers, an unauthe</w:t>
      </w:r>
      <w:r>
        <w:t>nticated caller can cheaply exhaust the operator's quota well before any legitimate user notices degraded service, effectively a low-cost denial-of-service against the entire deployment's ability to read chain state at all.</w:t>
      </w:r>
    </w:p>
    <w:p w:rsidR="003E041B" w:rsidRDefault="00B759CD">
      <w:pPr>
        <w:spacing w:after="200" w:line="276" w:lineRule="auto"/>
        <w:jc w:val="both"/>
      </w:pPr>
      <w:r>
        <w:rPr>
          <w:b/>
          <w:bCs/>
        </w:rPr>
        <w:t xml:space="preserve">Mitigation: </w:t>
      </w:r>
      <w:r>
        <w:t>add per-IP or per-se</w:t>
      </w:r>
      <w:r>
        <w:t>ssion rate limiting at the Axum layer (e.g. tower::limit or a small governor-based middleware), cache recent-transactions results for a short TTL rather than re-scanning per request, and reduce scan_limit to the smallest value that still serves the fronten</w:t>
      </w:r>
      <w:r>
        <w:t>d's actual need (10 recent transactions per grant, per the current call site) rather than scanning 10x that.</w:t>
      </w:r>
    </w:p>
    <w:p w:rsidR="003E041B" w:rsidRDefault="00B759CD">
      <w:pPr>
        <w:pStyle w:val="Heading2"/>
        <w:spacing w:before="320" w:after="160"/>
      </w:pPr>
      <w:bookmarkStart w:id="33" w:name="_Toc235473337"/>
      <w:r>
        <w:rPr>
          <w:b/>
          <w:bCs/>
        </w:rPr>
        <w:t>6.8 Low / Hardening: CI Does Not Execute Either Test Suite</w:t>
      </w:r>
      <w:bookmarkEnd w:id="33"/>
    </w:p>
    <w:p w:rsidR="003E041B" w:rsidRDefault="00B759CD">
      <w:pPr>
        <w:spacing w:after="200" w:line="276" w:lineRule="auto"/>
        <w:jc w:val="both"/>
      </w:pPr>
      <w:r>
        <w:t>.github/workflows/docker-image.yml builds the two Docker images on every push and pull r</w:t>
      </w:r>
      <w:r>
        <w:t>equest to main, and nothing else — it does not run cargo test (the offchain crate's own unit tests, including datum CBOR round-tripping and grant-metadata store tests) and does not run aiken check (the on-chain boolean-toggle test suite this paper's compan</w:t>
      </w:r>
      <w:r>
        <w:t xml:space="preserve">ion review of the codebase manually re-verified line-by-line, in the absence of network access to actually execute it in that review's sandboxed environment). A regression that breaks either suite currently cannot fail CI; it can only be caught by whoever </w:t>
      </w:r>
      <w:r>
        <w:t>happens to run the tests locally before merging.</w:t>
      </w:r>
    </w:p>
    <w:p w:rsidR="003E041B" w:rsidRDefault="00B759CD">
      <w:pPr>
        <w:spacing w:after="200" w:line="276" w:lineRule="auto"/>
        <w:jc w:val="both"/>
      </w:pPr>
      <w:r>
        <w:rPr>
          <w:b/>
          <w:bCs/>
        </w:rPr>
        <w:t xml:space="preserve">Mitigation: </w:t>
      </w:r>
      <w:r>
        <w:t>add cargo test --manifest-path offchain/Cargo.toml and aiken check (run inside onchain/, following the project's own README workaround for the non-interactive-TTY error-swallowing quirk it docume</w:t>
      </w:r>
      <w:r>
        <w:t>nts) as required CI steps, ideally before the Docker build steps so a broken build never gets an image published at all.</w:t>
      </w:r>
    </w:p>
    <w:p w:rsidR="003E041B" w:rsidRDefault="00B759CD">
      <w:pPr>
        <w:pStyle w:val="Heading2"/>
        <w:spacing w:before="320" w:after="160"/>
      </w:pPr>
      <w:bookmarkStart w:id="34" w:name="_Toc235473338"/>
      <w:r>
        <w:rPr>
          <w:b/>
          <w:bCs/>
        </w:rPr>
        <w:t>6.9 Low / Hardening: Container and Deployment Configuration</w:t>
      </w:r>
      <w:bookmarkEnd w:id="34"/>
    </w:p>
    <w:p w:rsidR="003E041B" w:rsidRDefault="00B759CD">
      <w:pPr>
        <w:pStyle w:val="ListParagraph"/>
        <w:numPr>
          <w:ilvl w:val="0"/>
          <w:numId w:val="2"/>
        </w:numPr>
        <w:spacing w:after="120" w:line="276" w:lineRule="auto"/>
      </w:pPr>
      <w:r>
        <w:t xml:space="preserve">The frontend's production Docker image (frontend/Dockerfile) ships Astro's </w:t>
      </w:r>
      <w:r>
        <w:t xml:space="preserve">development server (astro dev) as its container command rather than a production build (astro build) served statically or via a production adapter. Dev servers are not hardened for exposure — verbose error output, </w:t>
      </w:r>
      <w:r>
        <w:lastRenderedPageBreak/>
        <w:t>hot-module-reload websocket endpoints, and</w:t>
      </w:r>
      <w:r>
        <w:t xml:space="preserve"> no production caching/compression — and this should be confirmed as a local-development convenience (matched to the accompanying bind-mount volumes in docker-compose.yml) rather than the actual deployment path, or split into separate dev/prod Dockerfiles </w:t>
      </w:r>
      <w:r>
        <w:t>if it is not already.</w:t>
      </w:r>
    </w:p>
    <w:p w:rsidR="003E041B" w:rsidRDefault="00B759CD">
      <w:pPr>
        <w:pStyle w:val="ListParagraph"/>
        <w:numPr>
          <w:ilvl w:val="0"/>
          <w:numId w:val="2"/>
        </w:numPr>
        <w:spacing w:after="120" w:line="276" w:lineRule="auto"/>
      </w:pPr>
      <w:r>
        <w:t>Neither Dockerfile (offchain or frontend) declares a non-root USER, so both containers run their application process as root by default — a standard container-hardening gap (defense-in-depth against container-escape-class vulnerabilit</w:t>
      </w:r>
      <w:r>
        <w:t>ies) rather than a directly exploitable issue on its own.</w:t>
      </w:r>
    </w:p>
    <w:p w:rsidR="003E041B" w:rsidRDefault="00B759CD">
      <w:pPr>
        <w:pStyle w:val="ListParagraph"/>
        <w:numPr>
          <w:ilvl w:val="0"/>
          <w:numId w:val="2"/>
        </w:numPr>
        <w:spacing w:after="120" w:line="276" w:lineRule="auto"/>
      </w:pPr>
      <w:r>
        <w:t>A small number of frontend/src/lib/app.ts innerHTML interpolations include values sourced from the connected CIP-30 wallet (the current address, a submitted transaction hash) without passing them th</w:t>
      </w:r>
      <w:r>
        <w:t>rough the project's own escapeHtml() helper. The practical severity is low, since exploiting this would require an already-malicious or compromised wallet extension, which would already have far greater access to the user's session than a DOM-injection gad</w:t>
      </w:r>
      <w:r>
        <w:t>get would add — but routing these through the existing helper would be a cheap, consistent hardening step. By contrast, the actually user-controlled fields with the largest injection surface — grant name and milestone name/description, sourced from POST /g</w:t>
      </w:r>
      <w:r>
        <w:t>rants — are already correctly escaped everywhere they render, and this project's markup for grant-selector options is also already safely constructed via textContent rather than innerHTML.</w:t>
      </w:r>
    </w:p>
    <w:p w:rsidR="003E041B" w:rsidRDefault="00B759CD">
      <w:pPr>
        <w:pStyle w:val="Heading2"/>
        <w:spacing w:before="320" w:after="160"/>
      </w:pPr>
      <w:bookmarkStart w:id="35" w:name="_Toc235473339"/>
      <w:r>
        <w:rPr>
          <w:b/>
          <w:bCs/>
        </w:rPr>
        <w:t>6.10 Note: Generic Internal Error Messages Are a Correct Choice, No</w:t>
      </w:r>
      <w:r>
        <w:rPr>
          <w:b/>
          <w:bCs/>
        </w:rPr>
        <w:t>t a Defect</w:t>
      </w:r>
      <w:bookmarkEnd w:id="35"/>
    </w:p>
    <w:p w:rsidR="003E041B" w:rsidRDefault="00B759CD">
      <w:pPr>
        <w:spacing w:after="200" w:line="276" w:lineRule="auto"/>
        <w:jc w:val="both"/>
      </w:pPr>
      <w:r>
        <w:t>offchain/README.md's own "Known issues" section flags that AppError::Internal collapses all unexpected failures to a generic "internal error" message returned to the caller, with full detail logged server-side via tracing. From a security standp</w:t>
      </w:r>
      <w:r>
        <w:t>oint, this is the correct behavior, not a shortcoming: propagating raw anyhow error chains to an arbitrary, unauthenticated HTTP caller would risk leaking internal file paths, dependency versions, or other implementation detail useful for reconnaissance. W</w:t>
      </w:r>
      <w:r>
        <w:t>e recommend the project's own documentation be updated to frame this as an intentional trade-off (worse debuggability for API consumers, better information-hygiene for the service) rather than as an outstanding defect to eventually "fix" by exposing more d</w:t>
      </w:r>
      <w:r>
        <w:t>etail.</w:t>
      </w:r>
    </w:p>
    <w:p w:rsidR="003E041B" w:rsidRDefault="00B759CD">
      <w:pPr>
        <w:pStyle w:val="Heading2"/>
        <w:spacing w:before="320" w:after="160"/>
      </w:pPr>
      <w:bookmarkStart w:id="36" w:name="_Toc235473340"/>
      <w:r>
        <w:rPr>
          <w:b/>
          <w:bCs/>
        </w:rPr>
        <w:t>6.11 Summary Table</w:t>
      </w:r>
      <w:bookmarkEnd w:id="36"/>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4784"/>
        <w:gridCol w:w="1664"/>
        <w:gridCol w:w="2080"/>
      </w:tblGrid>
      <w:tr w:rsidR="003E041B">
        <w:tblPrEx>
          <w:tblCellMar>
            <w:top w:w="0" w:type="dxa"/>
            <w:bottom w:w="0" w:type="dxa"/>
          </w:tblCellMar>
        </w:tblPrEx>
        <w:trPr>
          <w:tblHeader/>
        </w:trPr>
        <w:tc>
          <w:tcPr>
            <w:tcW w:w="832" w:type="dxa"/>
            <w:shd w:val="clear" w:color="auto" w:fill="0033AD"/>
            <w:tcMar>
              <w:top w:w="80" w:type="dxa"/>
              <w:left w:w="100" w:type="dxa"/>
              <w:bottom w:w="80" w:type="dxa"/>
              <w:right w:w="100" w:type="dxa"/>
            </w:tcMar>
            <w:vAlign w:val="center"/>
          </w:tcPr>
          <w:p w:rsidR="003E041B" w:rsidRDefault="00B759CD">
            <w:r>
              <w:rPr>
                <w:b/>
                <w:bCs/>
                <w:color w:val="FFFFFF"/>
                <w:sz w:val="19"/>
                <w:szCs w:val="19"/>
              </w:rPr>
              <w:t>#</w:t>
            </w:r>
          </w:p>
        </w:tc>
        <w:tc>
          <w:tcPr>
            <w:tcW w:w="4784" w:type="dxa"/>
            <w:shd w:val="clear" w:color="auto" w:fill="0033AD"/>
            <w:tcMar>
              <w:top w:w="80" w:type="dxa"/>
              <w:left w:w="100" w:type="dxa"/>
              <w:bottom w:w="80" w:type="dxa"/>
              <w:right w:w="100" w:type="dxa"/>
            </w:tcMar>
            <w:vAlign w:val="center"/>
          </w:tcPr>
          <w:p w:rsidR="003E041B" w:rsidRDefault="00B759CD">
            <w:r>
              <w:rPr>
                <w:b/>
                <w:bCs/>
                <w:color w:val="FFFFFF"/>
                <w:sz w:val="19"/>
                <w:szCs w:val="19"/>
              </w:rPr>
              <w:t>Finding</w:t>
            </w:r>
          </w:p>
        </w:tc>
        <w:tc>
          <w:tcPr>
            <w:tcW w:w="1664" w:type="dxa"/>
            <w:shd w:val="clear" w:color="auto" w:fill="0033AD"/>
            <w:tcMar>
              <w:top w:w="80" w:type="dxa"/>
              <w:left w:w="100" w:type="dxa"/>
              <w:bottom w:w="80" w:type="dxa"/>
              <w:right w:w="100" w:type="dxa"/>
            </w:tcMar>
            <w:vAlign w:val="center"/>
          </w:tcPr>
          <w:p w:rsidR="003E041B" w:rsidRDefault="00B759CD">
            <w:r>
              <w:rPr>
                <w:b/>
                <w:bCs/>
                <w:color w:val="FFFFFF"/>
                <w:sz w:val="19"/>
                <w:szCs w:val="19"/>
              </w:rPr>
              <w:t>Severity</w:t>
            </w:r>
          </w:p>
        </w:tc>
        <w:tc>
          <w:tcPr>
            <w:tcW w:w="2080" w:type="dxa"/>
            <w:shd w:val="clear" w:color="auto" w:fill="0033AD"/>
            <w:tcMar>
              <w:top w:w="80" w:type="dxa"/>
              <w:left w:w="100" w:type="dxa"/>
              <w:bottom w:w="80" w:type="dxa"/>
              <w:right w:w="100" w:type="dxa"/>
            </w:tcMar>
            <w:vAlign w:val="center"/>
          </w:tcPr>
          <w:p w:rsidR="003E041B" w:rsidRDefault="00B759CD">
            <w:r>
              <w:rPr>
                <w:b/>
                <w:bCs/>
                <w:color w:val="FFFFFF"/>
                <w:sz w:val="19"/>
                <w:szCs w:val="19"/>
              </w:rPr>
              <w:t>Layer</w:t>
            </w:r>
          </w:p>
        </w:tc>
      </w:tr>
      <w:tr w:rsidR="003E041B">
        <w:tblPrEx>
          <w:tblCellMar>
            <w:top w:w="0" w:type="dxa"/>
            <w:bottom w:w="0" w:type="dxa"/>
          </w:tblCellMar>
        </w:tblPrEx>
        <w:tc>
          <w:tcPr>
            <w:tcW w:w="832" w:type="dxa"/>
            <w:shd w:val="clear" w:color="auto" w:fill="F2F4FA"/>
            <w:tcMar>
              <w:top w:w="80" w:type="dxa"/>
              <w:left w:w="100" w:type="dxa"/>
              <w:bottom w:w="80" w:type="dxa"/>
              <w:right w:w="100" w:type="dxa"/>
            </w:tcMar>
            <w:vAlign w:val="center"/>
          </w:tcPr>
          <w:p w:rsidR="003E041B" w:rsidRDefault="00B759CD">
            <w:pPr>
              <w:spacing w:after="40"/>
            </w:pPr>
            <w:r>
              <w:rPr>
                <w:sz w:val="19"/>
                <w:szCs w:val="19"/>
              </w:rPr>
              <w:t>6.1</w:t>
            </w:r>
          </w:p>
        </w:tc>
        <w:tc>
          <w:tcPr>
            <w:tcW w:w="4784" w:type="dxa"/>
            <w:shd w:val="clear" w:color="auto" w:fill="F2F4FA"/>
            <w:tcMar>
              <w:top w:w="80" w:type="dxa"/>
              <w:left w:w="100" w:type="dxa"/>
              <w:bottom w:w="80" w:type="dxa"/>
              <w:right w:w="100" w:type="dxa"/>
            </w:tcMar>
            <w:vAlign w:val="center"/>
          </w:tcPr>
          <w:p w:rsidR="003E041B" w:rsidRDefault="00B759CD">
            <w:pPr>
              <w:spacing w:after="40"/>
            </w:pPr>
            <w:r>
              <w:rPr>
                <w:sz w:val="19"/>
                <w:szCs w:val="19"/>
              </w:rPr>
              <w:t>Single malformed datum crashes GET /grants for everyone</w:t>
            </w:r>
          </w:p>
        </w:tc>
        <w:tc>
          <w:tcPr>
            <w:tcW w:w="1664" w:type="dxa"/>
            <w:shd w:val="clear" w:color="auto" w:fill="F2F4FA"/>
            <w:tcMar>
              <w:top w:w="80" w:type="dxa"/>
              <w:left w:w="100" w:type="dxa"/>
              <w:bottom w:w="80" w:type="dxa"/>
              <w:right w:w="100" w:type="dxa"/>
            </w:tcMar>
            <w:vAlign w:val="center"/>
          </w:tcPr>
          <w:p w:rsidR="003E041B" w:rsidRDefault="00B759CD">
            <w:pPr>
              <w:spacing w:after="40"/>
            </w:pPr>
            <w:r>
              <w:rPr>
                <w:sz w:val="19"/>
                <w:szCs w:val="19"/>
              </w:rPr>
              <w:t>Critical</w:t>
            </w:r>
          </w:p>
        </w:tc>
        <w:tc>
          <w:tcPr>
            <w:tcW w:w="2080" w:type="dxa"/>
            <w:shd w:val="clear" w:color="auto" w:fill="F2F4FA"/>
            <w:tcMar>
              <w:top w:w="80" w:type="dxa"/>
              <w:left w:w="100" w:type="dxa"/>
              <w:bottom w:w="80" w:type="dxa"/>
              <w:right w:w="100" w:type="dxa"/>
            </w:tcMar>
            <w:vAlign w:val="center"/>
          </w:tcPr>
          <w:p w:rsidR="003E041B" w:rsidRDefault="00B759CD">
            <w:pPr>
              <w:spacing w:after="40"/>
            </w:pPr>
            <w:r>
              <w:rPr>
                <w:sz w:val="19"/>
                <w:szCs w:val="19"/>
              </w:rPr>
              <w:t>Off-chain</w:t>
            </w:r>
          </w:p>
        </w:tc>
      </w:tr>
      <w:tr w:rsidR="003E041B">
        <w:tblPrEx>
          <w:tblCellMar>
            <w:top w:w="0" w:type="dxa"/>
            <w:bottom w:w="0" w:type="dxa"/>
          </w:tblCellMar>
        </w:tblPrEx>
        <w:tc>
          <w:tcPr>
            <w:tcW w:w="832" w:type="dxa"/>
            <w:shd w:val="clear" w:color="auto" w:fill="FFFFFF"/>
            <w:tcMar>
              <w:top w:w="80" w:type="dxa"/>
              <w:left w:w="100" w:type="dxa"/>
              <w:bottom w:w="80" w:type="dxa"/>
              <w:right w:w="100" w:type="dxa"/>
            </w:tcMar>
            <w:vAlign w:val="center"/>
          </w:tcPr>
          <w:p w:rsidR="003E041B" w:rsidRDefault="00B759CD">
            <w:pPr>
              <w:spacing w:after="40"/>
            </w:pPr>
            <w:r>
              <w:rPr>
                <w:sz w:val="19"/>
                <w:szCs w:val="19"/>
              </w:rPr>
              <w:t>6.2</w:t>
            </w:r>
          </w:p>
        </w:tc>
        <w:tc>
          <w:tcPr>
            <w:tcW w:w="4784" w:type="dxa"/>
            <w:shd w:val="clear" w:color="auto" w:fill="FFFFFF"/>
            <w:tcMar>
              <w:top w:w="80" w:type="dxa"/>
              <w:left w:w="100" w:type="dxa"/>
              <w:bottom w:w="80" w:type="dxa"/>
              <w:right w:w="100" w:type="dxa"/>
            </w:tcMar>
            <w:vAlign w:val="center"/>
          </w:tcPr>
          <w:p w:rsidR="003E041B" w:rsidRDefault="00B759CD">
            <w:pPr>
              <w:spacing w:after="40"/>
            </w:pPr>
            <w:r>
              <w:rPr>
                <w:sz w:val="19"/>
                <w:szCs w:val="19"/>
              </w:rPr>
              <w:t>POST /grants metadata writes are unauthenticated</w:t>
            </w:r>
          </w:p>
        </w:tc>
        <w:tc>
          <w:tcPr>
            <w:tcW w:w="1664" w:type="dxa"/>
            <w:shd w:val="clear" w:color="auto" w:fill="FFFFFF"/>
            <w:tcMar>
              <w:top w:w="80" w:type="dxa"/>
              <w:left w:w="100" w:type="dxa"/>
              <w:bottom w:w="80" w:type="dxa"/>
              <w:right w:w="100" w:type="dxa"/>
            </w:tcMar>
            <w:vAlign w:val="center"/>
          </w:tcPr>
          <w:p w:rsidR="003E041B" w:rsidRDefault="00B759CD">
            <w:pPr>
              <w:spacing w:after="40"/>
            </w:pPr>
            <w:r>
              <w:rPr>
                <w:sz w:val="19"/>
                <w:szCs w:val="19"/>
              </w:rPr>
              <w:t>High</w:t>
            </w:r>
          </w:p>
        </w:tc>
        <w:tc>
          <w:tcPr>
            <w:tcW w:w="2080" w:type="dxa"/>
            <w:shd w:val="clear" w:color="auto" w:fill="FFFFFF"/>
            <w:tcMar>
              <w:top w:w="80" w:type="dxa"/>
              <w:left w:w="100" w:type="dxa"/>
              <w:bottom w:w="80" w:type="dxa"/>
              <w:right w:w="100" w:type="dxa"/>
            </w:tcMar>
            <w:vAlign w:val="center"/>
          </w:tcPr>
          <w:p w:rsidR="003E041B" w:rsidRDefault="00B759CD">
            <w:pPr>
              <w:spacing w:after="40"/>
            </w:pPr>
            <w:r>
              <w:rPr>
                <w:sz w:val="19"/>
                <w:szCs w:val="19"/>
              </w:rPr>
              <w:t>Off-chain</w:t>
            </w:r>
          </w:p>
        </w:tc>
      </w:tr>
      <w:tr w:rsidR="003E041B">
        <w:tblPrEx>
          <w:tblCellMar>
            <w:top w:w="0" w:type="dxa"/>
            <w:bottom w:w="0" w:type="dxa"/>
          </w:tblCellMar>
        </w:tblPrEx>
        <w:tc>
          <w:tcPr>
            <w:tcW w:w="832" w:type="dxa"/>
            <w:shd w:val="clear" w:color="auto" w:fill="F2F4FA"/>
            <w:tcMar>
              <w:top w:w="80" w:type="dxa"/>
              <w:left w:w="100" w:type="dxa"/>
              <w:bottom w:w="80" w:type="dxa"/>
              <w:right w:w="100" w:type="dxa"/>
            </w:tcMar>
            <w:vAlign w:val="center"/>
          </w:tcPr>
          <w:p w:rsidR="003E041B" w:rsidRDefault="00B759CD">
            <w:pPr>
              <w:spacing w:after="40"/>
            </w:pPr>
            <w:r>
              <w:rPr>
                <w:sz w:val="19"/>
                <w:szCs w:val="19"/>
              </w:rPr>
              <w:t>6.3</w:t>
            </w:r>
          </w:p>
        </w:tc>
        <w:tc>
          <w:tcPr>
            <w:tcW w:w="4784" w:type="dxa"/>
            <w:shd w:val="clear" w:color="auto" w:fill="F2F4FA"/>
            <w:tcMar>
              <w:top w:w="80" w:type="dxa"/>
              <w:left w:w="100" w:type="dxa"/>
              <w:bottom w:w="80" w:type="dxa"/>
              <w:right w:w="100" w:type="dxa"/>
            </w:tcMar>
            <w:vAlign w:val="center"/>
          </w:tcPr>
          <w:p w:rsidR="003E041B" w:rsidRDefault="00B759CD">
            <w:pPr>
              <w:spacing w:after="40"/>
            </w:pPr>
            <w:r>
              <w:rPr>
                <w:sz w:val="19"/>
                <w:szCs w:val="19"/>
              </w:rPr>
              <w:t>100-UTxO pagination ceiling enables listing griefing</w:t>
            </w:r>
          </w:p>
        </w:tc>
        <w:tc>
          <w:tcPr>
            <w:tcW w:w="1664" w:type="dxa"/>
            <w:shd w:val="clear" w:color="auto" w:fill="F2F4FA"/>
            <w:tcMar>
              <w:top w:w="80" w:type="dxa"/>
              <w:left w:w="100" w:type="dxa"/>
              <w:bottom w:w="80" w:type="dxa"/>
              <w:right w:w="100" w:type="dxa"/>
            </w:tcMar>
            <w:vAlign w:val="center"/>
          </w:tcPr>
          <w:p w:rsidR="003E041B" w:rsidRDefault="00B759CD">
            <w:pPr>
              <w:spacing w:after="40"/>
            </w:pPr>
            <w:r>
              <w:rPr>
                <w:sz w:val="19"/>
                <w:szCs w:val="19"/>
              </w:rPr>
              <w:t>High</w:t>
            </w:r>
          </w:p>
        </w:tc>
        <w:tc>
          <w:tcPr>
            <w:tcW w:w="2080" w:type="dxa"/>
            <w:shd w:val="clear" w:color="auto" w:fill="F2F4FA"/>
            <w:tcMar>
              <w:top w:w="80" w:type="dxa"/>
              <w:left w:w="100" w:type="dxa"/>
              <w:bottom w:w="80" w:type="dxa"/>
              <w:right w:w="100" w:type="dxa"/>
            </w:tcMar>
            <w:vAlign w:val="center"/>
          </w:tcPr>
          <w:p w:rsidR="003E041B" w:rsidRDefault="00B759CD">
            <w:pPr>
              <w:spacing w:after="40"/>
            </w:pPr>
            <w:r>
              <w:rPr>
                <w:sz w:val="19"/>
                <w:szCs w:val="19"/>
              </w:rPr>
              <w:t>Off-chain</w:t>
            </w:r>
          </w:p>
        </w:tc>
      </w:tr>
      <w:tr w:rsidR="003E041B">
        <w:tblPrEx>
          <w:tblCellMar>
            <w:top w:w="0" w:type="dxa"/>
            <w:bottom w:w="0" w:type="dxa"/>
          </w:tblCellMar>
        </w:tblPrEx>
        <w:tc>
          <w:tcPr>
            <w:tcW w:w="832" w:type="dxa"/>
            <w:shd w:val="clear" w:color="auto" w:fill="FFFFFF"/>
            <w:tcMar>
              <w:top w:w="80" w:type="dxa"/>
              <w:left w:w="100" w:type="dxa"/>
              <w:bottom w:w="80" w:type="dxa"/>
              <w:right w:w="100" w:type="dxa"/>
            </w:tcMar>
            <w:vAlign w:val="center"/>
          </w:tcPr>
          <w:p w:rsidR="003E041B" w:rsidRDefault="00B759CD">
            <w:pPr>
              <w:spacing w:after="40"/>
            </w:pPr>
            <w:r>
              <w:rPr>
                <w:sz w:val="19"/>
                <w:szCs w:val="19"/>
              </w:rPr>
              <w:t>6.4</w:t>
            </w:r>
          </w:p>
        </w:tc>
        <w:tc>
          <w:tcPr>
            <w:tcW w:w="4784" w:type="dxa"/>
            <w:shd w:val="clear" w:color="auto" w:fill="FFFFFF"/>
            <w:tcMar>
              <w:top w:w="80" w:type="dxa"/>
              <w:left w:w="100" w:type="dxa"/>
              <w:bottom w:w="80" w:type="dxa"/>
              <w:right w:w="100" w:type="dxa"/>
            </w:tcMar>
            <w:vAlign w:val="center"/>
          </w:tcPr>
          <w:p w:rsidR="003E041B" w:rsidRDefault="00B759CD">
            <w:pPr>
              <w:spacing w:after="40"/>
            </w:pPr>
            <w:r>
              <w:rPr>
                <w:sz w:val="19"/>
                <w:szCs w:val="19"/>
              </w:rPr>
              <w:t>DEPLOY_DIR default contradicts documented current target</w:t>
            </w:r>
          </w:p>
        </w:tc>
        <w:tc>
          <w:tcPr>
            <w:tcW w:w="1664" w:type="dxa"/>
            <w:shd w:val="clear" w:color="auto" w:fill="FFFFFF"/>
            <w:tcMar>
              <w:top w:w="80" w:type="dxa"/>
              <w:left w:w="100" w:type="dxa"/>
              <w:bottom w:w="80" w:type="dxa"/>
              <w:right w:w="100" w:type="dxa"/>
            </w:tcMar>
            <w:vAlign w:val="center"/>
          </w:tcPr>
          <w:p w:rsidR="003E041B" w:rsidRDefault="00B759CD">
            <w:pPr>
              <w:spacing w:after="40"/>
            </w:pPr>
            <w:r>
              <w:rPr>
                <w:sz w:val="19"/>
                <w:szCs w:val="19"/>
              </w:rPr>
              <w:t>High</w:t>
            </w:r>
          </w:p>
        </w:tc>
        <w:tc>
          <w:tcPr>
            <w:tcW w:w="2080" w:type="dxa"/>
            <w:shd w:val="clear" w:color="auto" w:fill="FFFFFF"/>
            <w:tcMar>
              <w:top w:w="80" w:type="dxa"/>
              <w:left w:w="100" w:type="dxa"/>
              <w:bottom w:w="80" w:type="dxa"/>
              <w:right w:w="100" w:type="dxa"/>
            </w:tcMar>
            <w:vAlign w:val="center"/>
          </w:tcPr>
          <w:p w:rsidR="003E041B" w:rsidRDefault="00B759CD">
            <w:pPr>
              <w:spacing w:after="40"/>
            </w:pPr>
            <w:r>
              <w:rPr>
                <w:sz w:val="19"/>
                <w:szCs w:val="19"/>
              </w:rPr>
              <w:t>Off-chain / config</w:t>
            </w:r>
          </w:p>
        </w:tc>
      </w:tr>
      <w:tr w:rsidR="003E041B">
        <w:tblPrEx>
          <w:tblCellMar>
            <w:top w:w="0" w:type="dxa"/>
            <w:bottom w:w="0" w:type="dxa"/>
          </w:tblCellMar>
        </w:tblPrEx>
        <w:tc>
          <w:tcPr>
            <w:tcW w:w="832" w:type="dxa"/>
            <w:shd w:val="clear" w:color="auto" w:fill="F2F4FA"/>
            <w:tcMar>
              <w:top w:w="80" w:type="dxa"/>
              <w:left w:w="100" w:type="dxa"/>
              <w:bottom w:w="80" w:type="dxa"/>
              <w:right w:w="100" w:type="dxa"/>
            </w:tcMar>
            <w:vAlign w:val="center"/>
          </w:tcPr>
          <w:p w:rsidR="003E041B" w:rsidRDefault="00B759CD">
            <w:pPr>
              <w:spacing w:after="40"/>
            </w:pPr>
            <w:r>
              <w:rPr>
                <w:sz w:val="19"/>
                <w:szCs w:val="19"/>
              </w:rPr>
              <w:t>6.5</w:t>
            </w:r>
          </w:p>
        </w:tc>
        <w:tc>
          <w:tcPr>
            <w:tcW w:w="4784" w:type="dxa"/>
            <w:shd w:val="clear" w:color="auto" w:fill="F2F4FA"/>
            <w:tcMar>
              <w:top w:w="80" w:type="dxa"/>
              <w:left w:w="100" w:type="dxa"/>
              <w:bottom w:w="80" w:type="dxa"/>
              <w:right w:w="100" w:type="dxa"/>
            </w:tcMar>
            <w:vAlign w:val="center"/>
          </w:tcPr>
          <w:p w:rsidR="003E041B" w:rsidRDefault="00B759CD">
            <w:pPr>
              <w:spacing w:after="40"/>
            </w:pPr>
            <w:r>
              <w:rPr>
                <w:sz w:val="19"/>
                <w:szCs w:val="19"/>
              </w:rPr>
              <w:t>tranche_bps sum/sign invariant never re-checked on-chain</w:t>
            </w:r>
          </w:p>
        </w:tc>
        <w:tc>
          <w:tcPr>
            <w:tcW w:w="1664" w:type="dxa"/>
            <w:shd w:val="clear" w:color="auto" w:fill="F2F4FA"/>
            <w:tcMar>
              <w:top w:w="80" w:type="dxa"/>
              <w:left w:w="100" w:type="dxa"/>
              <w:bottom w:w="80" w:type="dxa"/>
              <w:right w:w="100" w:type="dxa"/>
            </w:tcMar>
            <w:vAlign w:val="center"/>
          </w:tcPr>
          <w:p w:rsidR="003E041B" w:rsidRDefault="00B759CD">
            <w:pPr>
              <w:spacing w:after="40"/>
            </w:pPr>
            <w:r>
              <w:rPr>
                <w:sz w:val="19"/>
                <w:szCs w:val="19"/>
              </w:rPr>
              <w:t>Medium</w:t>
            </w:r>
          </w:p>
        </w:tc>
        <w:tc>
          <w:tcPr>
            <w:tcW w:w="2080" w:type="dxa"/>
            <w:shd w:val="clear" w:color="auto" w:fill="F2F4FA"/>
            <w:tcMar>
              <w:top w:w="80" w:type="dxa"/>
              <w:left w:w="100" w:type="dxa"/>
              <w:bottom w:w="80" w:type="dxa"/>
              <w:right w:w="100" w:type="dxa"/>
            </w:tcMar>
            <w:vAlign w:val="center"/>
          </w:tcPr>
          <w:p w:rsidR="003E041B" w:rsidRDefault="00B759CD">
            <w:pPr>
              <w:spacing w:after="40"/>
            </w:pPr>
            <w:r>
              <w:rPr>
                <w:sz w:val="19"/>
                <w:szCs w:val="19"/>
              </w:rPr>
              <w:t>On-chain</w:t>
            </w:r>
          </w:p>
        </w:tc>
      </w:tr>
      <w:tr w:rsidR="003E041B">
        <w:tblPrEx>
          <w:tblCellMar>
            <w:top w:w="0" w:type="dxa"/>
            <w:bottom w:w="0" w:type="dxa"/>
          </w:tblCellMar>
        </w:tblPrEx>
        <w:tc>
          <w:tcPr>
            <w:tcW w:w="832" w:type="dxa"/>
            <w:shd w:val="clear" w:color="auto" w:fill="FFFFFF"/>
            <w:tcMar>
              <w:top w:w="80" w:type="dxa"/>
              <w:left w:w="100" w:type="dxa"/>
              <w:bottom w:w="80" w:type="dxa"/>
              <w:right w:w="100" w:type="dxa"/>
            </w:tcMar>
            <w:vAlign w:val="center"/>
          </w:tcPr>
          <w:p w:rsidR="003E041B" w:rsidRDefault="00B759CD">
            <w:pPr>
              <w:spacing w:after="40"/>
            </w:pPr>
            <w:r>
              <w:rPr>
                <w:sz w:val="19"/>
                <w:szCs w:val="19"/>
              </w:rPr>
              <w:t>6.6</w:t>
            </w:r>
          </w:p>
        </w:tc>
        <w:tc>
          <w:tcPr>
            <w:tcW w:w="4784" w:type="dxa"/>
            <w:shd w:val="clear" w:color="auto" w:fill="FFFFFF"/>
            <w:tcMar>
              <w:top w:w="80" w:type="dxa"/>
              <w:left w:w="100" w:type="dxa"/>
              <w:bottom w:w="80" w:type="dxa"/>
              <w:right w:w="100" w:type="dxa"/>
            </w:tcMar>
            <w:vAlign w:val="center"/>
          </w:tcPr>
          <w:p w:rsidR="003E041B" w:rsidRDefault="00B759CD">
            <w:pPr>
              <w:spacing w:after="40"/>
            </w:pPr>
            <w:r>
              <w:rPr>
                <w:sz w:val="19"/>
                <w:szCs w:val="19"/>
              </w:rPr>
              <w:t>Unchecked i64/u64 arithmetic in fee/payout math</w:t>
            </w:r>
          </w:p>
        </w:tc>
        <w:tc>
          <w:tcPr>
            <w:tcW w:w="1664" w:type="dxa"/>
            <w:shd w:val="clear" w:color="auto" w:fill="FFFFFF"/>
            <w:tcMar>
              <w:top w:w="80" w:type="dxa"/>
              <w:left w:w="100" w:type="dxa"/>
              <w:bottom w:w="80" w:type="dxa"/>
              <w:right w:w="100" w:type="dxa"/>
            </w:tcMar>
            <w:vAlign w:val="center"/>
          </w:tcPr>
          <w:p w:rsidR="003E041B" w:rsidRDefault="00B759CD">
            <w:pPr>
              <w:spacing w:after="40"/>
            </w:pPr>
            <w:r>
              <w:rPr>
                <w:sz w:val="19"/>
                <w:szCs w:val="19"/>
              </w:rPr>
              <w:t>Medium</w:t>
            </w:r>
          </w:p>
        </w:tc>
        <w:tc>
          <w:tcPr>
            <w:tcW w:w="2080" w:type="dxa"/>
            <w:shd w:val="clear" w:color="auto" w:fill="FFFFFF"/>
            <w:tcMar>
              <w:top w:w="80" w:type="dxa"/>
              <w:left w:w="100" w:type="dxa"/>
              <w:bottom w:w="80" w:type="dxa"/>
              <w:right w:w="100" w:type="dxa"/>
            </w:tcMar>
            <w:vAlign w:val="center"/>
          </w:tcPr>
          <w:p w:rsidR="003E041B" w:rsidRDefault="00B759CD">
            <w:pPr>
              <w:spacing w:after="40"/>
            </w:pPr>
            <w:r>
              <w:rPr>
                <w:sz w:val="19"/>
                <w:szCs w:val="19"/>
              </w:rPr>
              <w:t>Off-chain</w:t>
            </w:r>
          </w:p>
        </w:tc>
      </w:tr>
      <w:tr w:rsidR="003E041B">
        <w:tblPrEx>
          <w:tblCellMar>
            <w:top w:w="0" w:type="dxa"/>
            <w:bottom w:w="0" w:type="dxa"/>
          </w:tblCellMar>
        </w:tblPrEx>
        <w:tc>
          <w:tcPr>
            <w:tcW w:w="832" w:type="dxa"/>
            <w:shd w:val="clear" w:color="auto" w:fill="F2F4FA"/>
            <w:tcMar>
              <w:top w:w="80" w:type="dxa"/>
              <w:left w:w="100" w:type="dxa"/>
              <w:bottom w:w="80" w:type="dxa"/>
              <w:right w:w="100" w:type="dxa"/>
            </w:tcMar>
            <w:vAlign w:val="center"/>
          </w:tcPr>
          <w:p w:rsidR="003E041B" w:rsidRDefault="00B759CD">
            <w:pPr>
              <w:spacing w:after="40"/>
            </w:pPr>
            <w:r>
              <w:rPr>
                <w:sz w:val="19"/>
                <w:szCs w:val="19"/>
              </w:rPr>
              <w:lastRenderedPageBreak/>
              <w:t>6.7</w:t>
            </w:r>
          </w:p>
        </w:tc>
        <w:tc>
          <w:tcPr>
            <w:tcW w:w="4784" w:type="dxa"/>
            <w:shd w:val="clear" w:color="auto" w:fill="F2F4FA"/>
            <w:tcMar>
              <w:top w:w="80" w:type="dxa"/>
              <w:left w:w="100" w:type="dxa"/>
              <w:bottom w:w="80" w:type="dxa"/>
              <w:right w:w="100" w:type="dxa"/>
            </w:tcMar>
            <w:vAlign w:val="center"/>
          </w:tcPr>
          <w:p w:rsidR="003E041B" w:rsidRDefault="00B759CD">
            <w:pPr>
              <w:spacing w:after="40"/>
            </w:pPr>
            <w:r>
              <w:rPr>
                <w:sz w:val="19"/>
                <w:szCs w:val="19"/>
              </w:rPr>
              <w:t>Unauthenticated endpoints allow Blockfrost-quota DoS</w:t>
            </w:r>
          </w:p>
        </w:tc>
        <w:tc>
          <w:tcPr>
            <w:tcW w:w="1664" w:type="dxa"/>
            <w:shd w:val="clear" w:color="auto" w:fill="F2F4FA"/>
            <w:tcMar>
              <w:top w:w="80" w:type="dxa"/>
              <w:left w:w="100" w:type="dxa"/>
              <w:bottom w:w="80" w:type="dxa"/>
              <w:right w:w="100" w:type="dxa"/>
            </w:tcMar>
            <w:vAlign w:val="center"/>
          </w:tcPr>
          <w:p w:rsidR="003E041B" w:rsidRDefault="00B759CD">
            <w:pPr>
              <w:spacing w:after="40"/>
            </w:pPr>
            <w:r>
              <w:rPr>
                <w:sz w:val="19"/>
                <w:szCs w:val="19"/>
              </w:rPr>
              <w:t>Medium</w:t>
            </w:r>
          </w:p>
        </w:tc>
        <w:tc>
          <w:tcPr>
            <w:tcW w:w="2080" w:type="dxa"/>
            <w:shd w:val="clear" w:color="auto" w:fill="F2F4FA"/>
            <w:tcMar>
              <w:top w:w="80" w:type="dxa"/>
              <w:left w:w="100" w:type="dxa"/>
              <w:bottom w:w="80" w:type="dxa"/>
              <w:right w:w="100" w:type="dxa"/>
            </w:tcMar>
            <w:vAlign w:val="center"/>
          </w:tcPr>
          <w:p w:rsidR="003E041B" w:rsidRDefault="00B759CD">
            <w:pPr>
              <w:spacing w:after="40"/>
            </w:pPr>
            <w:r>
              <w:rPr>
                <w:sz w:val="19"/>
                <w:szCs w:val="19"/>
              </w:rPr>
              <w:t>Off-chain</w:t>
            </w:r>
          </w:p>
        </w:tc>
      </w:tr>
      <w:tr w:rsidR="003E041B">
        <w:tblPrEx>
          <w:tblCellMar>
            <w:top w:w="0" w:type="dxa"/>
            <w:bottom w:w="0" w:type="dxa"/>
          </w:tblCellMar>
        </w:tblPrEx>
        <w:tc>
          <w:tcPr>
            <w:tcW w:w="832" w:type="dxa"/>
            <w:shd w:val="clear" w:color="auto" w:fill="FFFFFF"/>
            <w:tcMar>
              <w:top w:w="80" w:type="dxa"/>
              <w:left w:w="100" w:type="dxa"/>
              <w:bottom w:w="80" w:type="dxa"/>
              <w:right w:w="100" w:type="dxa"/>
            </w:tcMar>
            <w:vAlign w:val="center"/>
          </w:tcPr>
          <w:p w:rsidR="003E041B" w:rsidRDefault="00B759CD">
            <w:pPr>
              <w:spacing w:after="40"/>
            </w:pPr>
            <w:r>
              <w:rPr>
                <w:sz w:val="19"/>
                <w:szCs w:val="19"/>
              </w:rPr>
              <w:t>6.8</w:t>
            </w:r>
          </w:p>
        </w:tc>
        <w:tc>
          <w:tcPr>
            <w:tcW w:w="4784" w:type="dxa"/>
            <w:shd w:val="clear" w:color="auto" w:fill="FFFFFF"/>
            <w:tcMar>
              <w:top w:w="80" w:type="dxa"/>
              <w:left w:w="100" w:type="dxa"/>
              <w:bottom w:w="80" w:type="dxa"/>
              <w:right w:w="100" w:type="dxa"/>
            </w:tcMar>
            <w:vAlign w:val="center"/>
          </w:tcPr>
          <w:p w:rsidR="003E041B" w:rsidRDefault="00B759CD">
            <w:pPr>
              <w:spacing w:after="40"/>
            </w:pPr>
            <w:r>
              <w:rPr>
                <w:sz w:val="19"/>
                <w:szCs w:val="19"/>
              </w:rPr>
              <w:t>CI never runs cargo test or aiken check</w:t>
            </w:r>
          </w:p>
        </w:tc>
        <w:tc>
          <w:tcPr>
            <w:tcW w:w="1664" w:type="dxa"/>
            <w:shd w:val="clear" w:color="auto" w:fill="FFFFFF"/>
            <w:tcMar>
              <w:top w:w="80" w:type="dxa"/>
              <w:left w:w="100" w:type="dxa"/>
              <w:bottom w:w="80" w:type="dxa"/>
              <w:right w:w="100" w:type="dxa"/>
            </w:tcMar>
            <w:vAlign w:val="center"/>
          </w:tcPr>
          <w:p w:rsidR="003E041B" w:rsidRDefault="00B759CD">
            <w:pPr>
              <w:spacing w:after="40"/>
            </w:pPr>
            <w:r>
              <w:rPr>
                <w:sz w:val="19"/>
                <w:szCs w:val="19"/>
              </w:rPr>
              <w:t>Low</w:t>
            </w:r>
          </w:p>
        </w:tc>
        <w:tc>
          <w:tcPr>
            <w:tcW w:w="2080" w:type="dxa"/>
            <w:shd w:val="clear" w:color="auto" w:fill="FFFFFF"/>
            <w:tcMar>
              <w:top w:w="80" w:type="dxa"/>
              <w:left w:w="100" w:type="dxa"/>
              <w:bottom w:w="80" w:type="dxa"/>
              <w:right w:w="100" w:type="dxa"/>
            </w:tcMar>
            <w:vAlign w:val="center"/>
          </w:tcPr>
          <w:p w:rsidR="003E041B" w:rsidRDefault="00B759CD">
            <w:pPr>
              <w:spacing w:after="40"/>
            </w:pPr>
            <w:r>
              <w:rPr>
                <w:sz w:val="19"/>
                <w:szCs w:val="19"/>
              </w:rPr>
              <w:t>CI/CD</w:t>
            </w:r>
          </w:p>
        </w:tc>
      </w:tr>
      <w:tr w:rsidR="003E041B">
        <w:tblPrEx>
          <w:tblCellMar>
            <w:top w:w="0" w:type="dxa"/>
            <w:bottom w:w="0" w:type="dxa"/>
          </w:tblCellMar>
        </w:tblPrEx>
        <w:tc>
          <w:tcPr>
            <w:tcW w:w="832" w:type="dxa"/>
            <w:shd w:val="clear" w:color="auto" w:fill="F2F4FA"/>
            <w:tcMar>
              <w:top w:w="80" w:type="dxa"/>
              <w:left w:w="100" w:type="dxa"/>
              <w:bottom w:w="80" w:type="dxa"/>
              <w:right w:w="100" w:type="dxa"/>
            </w:tcMar>
            <w:vAlign w:val="center"/>
          </w:tcPr>
          <w:p w:rsidR="003E041B" w:rsidRDefault="00B759CD">
            <w:pPr>
              <w:spacing w:after="40"/>
            </w:pPr>
            <w:r>
              <w:rPr>
                <w:sz w:val="19"/>
                <w:szCs w:val="19"/>
              </w:rPr>
              <w:t>6.9</w:t>
            </w:r>
          </w:p>
        </w:tc>
        <w:tc>
          <w:tcPr>
            <w:tcW w:w="4784" w:type="dxa"/>
            <w:shd w:val="clear" w:color="auto" w:fill="F2F4FA"/>
            <w:tcMar>
              <w:top w:w="80" w:type="dxa"/>
              <w:left w:w="100" w:type="dxa"/>
              <w:bottom w:w="80" w:type="dxa"/>
              <w:right w:w="100" w:type="dxa"/>
            </w:tcMar>
            <w:vAlign w:val="center"/>
          </w:tcPr>
          <w:p w:rsidR="003E041B" w:rsidRDefault="00B759CD">
            <w:pPr>
              <w:spacing w:after="40"/>
            </w:pPr>
            <w:r>
              <w:rPr>
                <w:sz w:val="19"/>
                <w:szCs w:val="19"/>
              </w:rPr>
              <w:t>Dev server in prod image; root containers; unescaped wallet strings</w:t>
            </w:r>
          </w:p>
        </w:tc>
        <w:tc>
          <w:tcPr>
            <w:tcW w:w="1664" w:type="dxa"/>
            <w:shd w:val="clear" w:color="auto" w:fill="F2F4FA"/>
            <w:tcMar>
              <w:top w:w="80" w:type="dxa"/>
              <w:left w:w="100" w:type="dxa"/>
              <w:bottom w:w="80" w:type="dxa"/>
              <w:right w:w="100" w:type="dxa"/>
            </w:tcMar>
            <w:vAlign w:val="center"/>
          </w:tcPr>
          <w:p w:rsidR="003E041B" w:rsidRDefault="00B759CD">
            <w:pPr>
              <w:spacing w:after="40"/>
            </w:pPr>
            <w:r>
              <w:rPr>
                <w:sz w:val="19"/>
                <w:szCs w:val="19"/>
              </w:rPr>
              <w:t>Low</w:t>
            </w:r>
          </w:p>
        </w:tc>
        <w:tc>
          <w:tcPr>
            <w:tcW w:w="2080" w:type="dxa"/>
            <w:shd w:val="clear" w:color="auto" w:fill="F2F4FA"/>
            <w:tcMar>
              <w:top w:w="80" w:type="dxa"/>
              <w:left w:w="100" w:type="dxa"/>
              <w:bottom w:w="80" w:type="dxa"/>
              <w:right w:w="100" w:type="dxa"/>
            </w:tcMar>
            <w:vAlign w:val="center"/>
          </w:tcPr>
          <w:p w:rsidR="003E041B" w:rsidRDefault="00B759CD">
            <w:pPr>
              <w:spacing w:after="40"/>
            </w:pPr>
            <w:r>
              <w:rPr>
                <w:sz w:val="19"/>
                <w:szCs w:val="19"/>
              </w:rPr>
              <w:t>Frontend / Docker</w:t>
            </w:r>
          </w:p>
        </w:tc>
      </w:tr>
      <w:tr w:rsidR="003E041B">
        <w:tblPrEx>
          <w:tblCellMar>
            <w:top w:w="0" w:type="dxa"/>
            <w:bottom w:w="0" w:type="dxa"/>
          </w:tblCellMar>
        </w:tblPrEx>
        <w:tc>
          <w:tcPr>
            <w:tcW w:w="832" w:type="dxa"/>
            <w:shd w:val="clear" w:color="auto" w:fill="FFFFFF"/>
            <w:tcMar>
              <w:top w:w="80" w:type="dxa"/>
              <w:left w:w="100" w:type="dxa"/>
              <w:bottom w:w="80" w:type="dxa"/>
              <w:right w:w="100" w:type="dxa"/>
            </w:tcMar>
            <w:vAlign w:val="center"/>
          </w:tcPr>
          <w:p w:rsidR="003E041B" w:rsidRDefault="00B759CD">
            <w:pPr>
              <w:spacing w:after="40"/>
            </w:pPr>
            <w:r>
              <w:rPr>
                <w:sz w:val="19"/>
                <w:szCs w:val="19"/>
              </w:rPr>
              <w:t>6.10</w:t>
            </w:r>
          </w:p>
        </w:tc>
        <w:tc>
          <w:tcPr>
            <w:tcW w:w="4784" w:type="dxa"/>
            <w:shd w:val="clear" w:color="auto" w:fill="FFFFFF"/>
            <w:tcMar>
              <w:top w:w="80" w:type="dxa"/>
              <w:left w:w="100" w:type="dxa"/>
              <w:bottom w:w="80" w:type="dxa"/>
              <w:right w:w="100" w:type="dxa"/>
            </w:tcMar>
            <w:vAlign w:val="center"/>
          </w:tcPr>
          <w:p w:rsidR="003E041B" w:rsidRDefault="00B759CD">
            <w:pPr>
              <w:spacing w:after="40"/>
            </w:pPr>
            <w:r>
              <w:rPr>
                <w:sz w:val="19"/>
                <w:szCs w:val="19"/>
              </w:rPr>
              <w:t>Generic error messages (already correct — documentation note only)</w:t>
            </w:r>
          </w:p>
        </w:tc>
        <w:tc>
          <w:tcPr>
            <w:tcW w:w="1664" w:type="dxa"/>
            <w:shd w:val="clear" w:color="auto" w:fill="FFFFFF"/>
            <w:tcMar>
              <w:top w:w="80" w:type="dxa"/>
              <w:left w:w="100" w:type="dxa"/>
              <w:bottom w:w="80" w:type="dxa"/>
              <w:right w:w="100" w:type="dxa"/>
            </w:tcMar>
            <w:vAlign w:val="center"/>
          </w:tcPr>
          <w:p w:rsidR="003E041B" w:rsidRDefault="00B759CD">
            <w:pPr>
              <w:spacing w:after="40"/>
            </w:pPr>
            <w:r>
              <w:rPr>
                <w:sz w:val="19"/>
                <w:szCs w:val="19"/>
              </w:rPr>
              <w:t>Informational</w:t>
            </w:r>
          </w:p>
        </w:tc>
        <w:tc>
          <w:tcPr>
            <w:tcW w:w="2080" w:type="dxa"/>
            <w:shd w:val="clear" w:color="auto" w:fill="FFFFFF"/>
            <w:tcMar>
              <w:top w:w="80" w:type="dxa"/>
              <w:left w:w="100" w:type="dxa"/>
              <w:bottom w:w="80" w:type="dxa"/>
              <w:right w:w="100" w:type="dxa"/>
            </w:tcMar>
            <w:vAlign w:val="center"/>
          </w:tcPr>
          <w:p w:rsidR="003E041B" w:rsidRDefault="00B759CD">
            <w:pPr>
              <w:spacing w:after="40"/>
            </w:pPr>
            <w:r>
              <w:rPr>
                <w:sz w:val="19"/>
                <w:szCs w:val="19"/>
              </w:rPr>
              <w:t>Off-chain</w:t>
            </w:r>
          </w:p>
        </w:tc>
      </w:tr>
    </w:tbl>
    <w:p w:rsidR="003E041B" w:rsidRDefault="00B759CD">
      <w:pPr>
        <w:spacing w:before="80" w:after="280"/>
        <w:jc w:val="center"/>
      </w:pPr>
      <w:r>
        <w:rPr>
          <w:i/>
          <w:iCs/>
          <w:color w:val="555555"/>
          <w:sz w:val="20"/>
          <w:szCs w:val="20"/>
        </w:rPr>
        <w:t>Table 3. Consolidated severity summary of all findings, Sections 6.1–6.10.</w:t>
      </w:r>
    </w:p>
    <w:p w:rsidR="003E041B" w:rsidRDefault="00B759CD">
      <w:pPr>
        <w:pStyle w:val="Heading1"/>
        <w:spacing w:before="480" w:after="240"/>
      </w:pPr>
      <w:bookmarkStart w:id="37" w:name="_Toc235473341"/>
      <w:r>
        <w:rPr>
          <w:b/>
          <w:bCs/>
          <w:color w:val="0033AD"/>
        </w:rPr>
        <w:t>7. Implementation Status and Verification</w:t>
      </w:r>
      <w:bookmarkEnd w:id="37"/>
    </w:p>
    <w:p w:rsidR="003E041B" w:rsidRDefault="00B759CD">
      <w:pPr>
        <w:pStyle w:val="Heading2"/>
        <w:spacing w:before="320" w:after="160"/>
      </w:pPr>
      <w:bookmarkStart w:id="38" w:name="_Toc235473342"/>
      <w:r>
        <w:rPr>
          <w:b/>
          <w:bCs/>
        </w:rPr>
        <w:t>7.1 End-to-End Testnet Verification</w:t>
      </w:r>
      <w:bookmarkEnd w:id="38"/>
    </w:p>
    <w:p w:rsidR="003E041B" w:rsidRDefault="00B759CD">
      <w:pPr>
        <w:spacing w:after="200" w:line="276" w:lineRule="auto"/>
        <w:jc w:val="both"/>
      </w:pPr>
      <w:r>
        <w:t>The full grant lifecycle — create a grant, approve all three milestones, release all three tranches — h</w:t>
      </w:r>
      <w:r>
        <w:t>as been executed end-to-end on the Cardano preview testnet and independently re-verified on-chain via Blockfrost, at deployment target testnet-v3 (see onchain/deploy/README.md). All three milestones were approved, all three tranches released, the escrow UT</w:t>
      </w:r>
      <w:r>
        <w:t>xO fully drained, and the full 100 ADA distributed to the grantee across the configured 40/30/30 split. Two prior deployment targets were retired during development: testnet (v1), abandoned because its validator was unparameterized and therefore supports o</w:t>
      </w:r>
      <w:r>
        <w:t>nly one escrow ever, globally; and testnet-v2, abandoned because the escrow was created with the reviewer and proposer roles accidentally swapped, leaving the intended funder wallet unable to approve its own milestones. Both retirements are documented in t</w:t>
      </w:r>
      <w:r>
        <w:t>he project's own deploy README and are, in effect, a small natural experiment in exactly the kind of configuration and role-mapping errors Section 6.4 identifies as still only partially remediated in the current default configuration.</w:t>
      </w:r>
    </w:p>
    <w:p w:rsidR="003E041B" w:rsidRDefault="00B759CD">
      <w:pPr>
        <w:pStyle w:val="Heading2"/>
        <w:spacing w:before="320" w:after="160"/>
      </w:pPr>
      <w:bookmarkStart w:id="39" w:name="_Toc235473343"/>
      <w:r>
        <w:rPr>
          <w:b/>
          <w:bCs/>
        </w:rPr>
        <w:t>7.2 On-Chain Test Sui</w:t>
      </w:r>
      <w:r>
        <w:rPr>
          <w:b/>
          <w:bCs/>
        </w:rPr>
        <w:t>te Audit</w:t>
      </w:r>
      <w:bookmarkEnd w:id="39"/>
    </w:p>
    <w:p w:rsidR="003E041B" w:rsidRDefault="00B759CD">
      <w:pPr>
        <w:spacing w:after="200" w:line="276" w:lineRule="auto"/>
        <w:jc w:val="both"/>
      </w:pPr>
      <w:r>
        <w:t>As part of this paper's preparation, the on-chain boolean-toggle test suite (onchain/validators/tests/milestone_escrow_test.ak) was independently audited against the validator source it targets, with particular attention to a specific accountabili</w:t>
      </w:r>
      <w:r>
        <w:t>ty property: that ReleaseTranche(N) is rejected whenever ApproveMilestone(N) has not yet succeeded — the central invariant this entire system exists to enforce (Section 1). Two tests were traced line-by-line against milestone_escrow.ak's release_tranche fu</w:t>
      </w:r>
      <w:r>
        <w:t>nction and confirmed logically correct: release_tranche_not_approved_fails, covering milestone 0 with no prior approvals at all, and release_tranche_1_fails_before_milestone_1_approved, which generalizes the same property to a later milestone reached after</w:t>
      </w:r>
      <w:r>
        <w:t xml:space="preserve"> an earlier tranche has already been legitimately released. Both rely on Aiken's fail test annotation applied to a plain Bool-returning call rather than to an explicit trap; this was independently confirmed, via a small dependency-free Aiken probe project </w:t>
      </w:r>
      <w:r>
        <w:t>constructed specifically for this purpose, to be valid Aiken usage — a fail-annotated test passes whenever its body either traps or evaluates to false, not only when it traps, which the project's own Aiken-language documentation does not state as explicitl</w:t>
      </w:r>
      <w:r>
        <w:t>y as the empirical behavior demonstrates.</w:t>
      </w:r>
    </w:p>
    <w:p w:rsidR="003E041B" w:rsidRDefault="00B759CD">
      <w:pPr>
        <w:spacing w:after="200" w:line="276" w:lineRule="auto"/>
        <w:jc w:val="both"/>
      </w:pPr>
      <w:r>
        <w:lastRenderedPageBreak/>
        <w:t>Full execution of aiken check against the project's real dependencies (aiken-lang/stdlib, sidan-lab/vodka) was not possible in the sandboxed environment used for this review, which permits raw.githubusercontent.com</w:t>
      </w:r>
      <w:r>
        <w:t xml:space="preserve"> but blocks the GitHub package-resolution endpoints (api.github.com, codeload.github.com) Aiken's dependency manager requires. The audit above is therefore a manual source-level verification, not a tool-reported pass; we recommend running aiken check -m mi</w:t>
      </w:r>
      <w:r>
        <w:t>lestone_escrow in an environment with full GitHub access as a final confirmation, and, per Section 6.8, wiring that same command into CI so this verification runs on every future change automatically rather than needing to be repeated manually.</w:t>
      </w:r>
    </w:p>
    <w:p w:rsidR="003E041B" w:rsidRDefault="00B759CD">
      <w:pPr>
        <w:pStyle w:val="Heading2"/>
        <w:spacing w:before="320" w:after="160"/>
      </w:pPr>
      <w:bookmarkStart w:id="40" w:name="_Toc235473344"/>
      <w:r>
        <w:rPr>
          <w:b/>
          <w:bCs/>
        </w:rPr>
        <w:t>7.3 Outstan</w:t>
      </w:r>
      <w:r>
        <w:rPr>
          <w:b/>
          <w:bCs/>
        </w:rPr>
        <w:t>ding Items at Time of Writing</w:t>
      </w:r>
      <w:bookmarkEnd w:id="40"/>
    </w:p>
    <w:p w:rsidR="003E041B" w:rsidRDefault="00B759CD">
      <w:pPr>
        <w:pStyle w:val="ListParagraph"/>
        <w:numPr>
          <w:ilvl w:val="0"/>
          <w:numId w:val="2"/>
        </w:numPr>
        <w:spacing w:after="120" w:line="276" w:lineRule="auto"/>
      </w:pPr>
      <w:r>
        <w:t>A fresh deployment target (e.g. testnet-v4) for a repeatable demo, since the verified testnet-v3 escrow referenced in Section 7.1 is now fully spent and drained.</w:t>
      </w:r>
    </w:p>
    <w:p w:rsidR="003E041B" w:rsidRDefault="00B759CD">
      <w:pPr>
        <w:pStyle w:val="ListParagraph"/>
        <w:numPr>
          <w:ilvl w:val="0"/>
          <w:numId w:val="2"/>
        </w:numPr>
        <w:spacing w:after="120" w:line="276" w:lineRule="auto"/>
      </w:pPr>
      <w:r>
        <w:t>The security mitigations catalogued in Section 6, none of which have yet been implemented as of this writing.</w:t>
      </w:r>
    </w:p>
    <w:p w:rsidR="003E041B" w:rsidRDefault="00B759CD">
      <w:pPr>
        <w:pStyle w:val="ListParagraph"/>
        <w:numPr>
          <w:ilvl w:val="0"/>
          <w:numId w:val="2"/>
        </w:numPr>
        <w:spacing w:after="120" w:line="276" w:lineRule="auto"/>
      </w:pPr>
      <w:r>
        <w:t>The frontend/README.md file is still the unmodified Astro starter-kit template rather than documentation specific to this project's actual wallet-</w:t>
      </w:r>
      <w:r>
        <w:t>connect/approve/release interface.</w:t>
      </w:r>
    </w:p>
    <w:p w:rsidR="003E041B" w:rsidRDefault="00B759CD">
      <w:pPr>
        <w:pStyle w:val="Heading1"/>
        <w:spacing w:before="480" w:after="240"/>
      </w:pPr>
      <w:bookmarkStart w:id="41" w:name="_Toc235473345"/>
      <w:r>
        <w:rPr>
          <w:b/>
          <w:bCs/>
          <w:color w:val="0033AD"/>
        </w:rPr>
        <w:t>8. Limitations and Future Work</w:t>
      </w:r>
      <w:bookmarkEnd w:id="41"/>
    </w:p>
    <w:p w:rsidR="003E041B" w:rsidRDefault="00B759CD">
      <w:pPr>
        <w:spacing w:after="200" w:line="276" w:lineRule="auto"/>
        <w:jc w:val="both"/>
      </w:pPr>
      <w:r>
        <w:t>This project is deliberately narrow in scope, and several of its limitations are scope choices rather than defects. The system enforces that a release is impossible without a prior approval;</w:t>
      </w:r>
      <w:r>
        <w:t xml:space="preserve"> it does not, and by design cannot, verify that the underlying milestone was actually delivered to any objective standard — that judgement remains a human, off-chain act by the designated reviewer, consistent with the "weak DeFi" framing of Section 4.5. A </w:t>
      </w:r>
      <w:r>
        <w:t>natural extension explored only partially in the current codebase is strengthening the evidentiary basis for that judgement: for instance, requiring a content-addressed (e.g., IPFS-hashed) deliverable reference to be included in the off-chain milestone met</w:t>
      </w:r>
      <w:r>
        <w:t>adata and, once Section 6.2's authentication mitigation is in place, cryptographically binding that reference to the approval itself so the receipt NFT attests not just "a reviewer approved milestone N" but "a reviewer approved milestone N against this spe</w:t>
      </w:r>
      <w:r>
        <w:t>cific, hash-pinned evidence."</w:t>
      </w:r>
    </w:p>
    <w:p w:rsidR="003E041B" w:rsidRDefault="00B759CD">
      <w:pPr>
        <w:spacing w:after="200" w:line="276" w:lineRule="auto"/>
        <w:jc w:val="both"/>
      </w:pPr>
      <w:r>
        <w:t>A second direction concerns governance of the reviewer role itself. The current design assumes a single reviewer key per grant; a natural generalization — and one more in keeping with Project Catalyst's own community-review mo</w:t>
      </w:r>
      <w:r>
        <w:t>del (Section 2.4) — would replace the single-signature ApproveMilestone guard with a threshold or committee-based approval (e.g., m-of-n multi-signature, or a small on-chain voting mechanism scoped to a fixed reviewer set), reducing single-point-of-failure</w:t>
      </w:r>
      <w:r>
        <w:t xml:space="preserve"> risk in the one centralization point (the reviewer) that this paper's own risk-perception analysis (Section 5.2) flags as still equivocal on the equity dimension. This would move the system incrementally toward "less weak" DeFi without abandoning the huma</w:t>
      </w:r>
      <w:r>
        <w:t>n-judgement requirement Section 8's first paragraph argues is intrinsic to milestone verification.</w:t>
      </w:r>
    </w:p>
    <w:p w:rsidR="003E041B" w:rsidRDefault="00B759CD">
      <w:pPr>
        <w:spacing w:after="200" w:line="276" w:lineRule="auto"/>
        <w:jc w:val="both"/>
      </w:pPr>
      <w:r>
        <w:lastRenderedPageBreak/>
        <w:t>Third, this paper's Section 6 security analysis, while grounded in a careful manual trace of the actual codebase, was not validated against a running deploym</w:t>
      </w:r>
      <w:r>
        <w:t>ent under adversarial conditions; a natural next step is a live, testnet-scoped red-team exercise specifically targeting the Section 6.1–6.3 findings (datum-decode crash, pagination griefing, unauthenticated metadata writes) to confirm real-world exploitab</w:t>
      </w:r>
      <w:r>
        <w:t>ility and measure actual Blockfrost-quota impact under Section 6.7's fan-out finding, before and after the proposed mitigations are deployed.</w:t>
      </w:r>
    </w:p>
    <w:p w:rsidR="003E041B" w:rsidRDefault="00B759CD">
      <w:pPr>
        <w:spacing w:after="200" w:line="276" w:lineRule="auto"/>
        <w:jc w:val="both"/>
      </w:pPr>
      <w:r>
        <w:t>Finally, formal verification of the on-chain validator beyond its current boolean-toggle test suite — for instance</w:t>
      </w:r>
      <w:r>
        <w:t>, machine-checked proofs of the double-satisfaction guard's sufficiency, or of the sequential-release invariant across an unbounded number of milestones rather than the three-milestone fixture used throughout the current test suite — would strengthen the a</w:t>
      </w:r>
      <w:r>
        <w:t>ssurance case considerably, and is a natural fit for Cardano's own formal-methods-oriented development culture (Section 2.1).</w:t>
      </w:r>
    </w:p>
    <w:p w:rsidR="003E041B" w:rsidRDefault="00B759CD">
      <w:pPr>
        <w:pStyle w:val="Heading1"/>
        <w:spacing w:before="480" w:after="240"/>
      </w:pPr>
      <w:bookmarkStart w:id="42" w:name="_Toc235473346"/>
      <w:r>
        <w:rPr>
          <w:b/>
          <w:bCs/>
          <w:color w:val="0033AD"/>
        </w:rPr>
        <w:t>9. Conclusion</w:t>
      </w:r>
      <w:bookmarkEnd w:id="42"/>
    </w:p>
    <w:p w:rsidR="003E041B" w:rsidRDefault="00B759CD">
      <w:pPr>
        <w:spacing w:after="200" w:line="276" w:lineRule="auto"/>
        <w:jc w:val="both"/>
      </w:pPr>
      <w:r>
        <w:t>The Catalyst Accountability Tracker demonstrates that the specific accountability gap in milestone-based grant funding — the disconnect between a review committee's approval judgement and the financial act of releasing the next tranche — can be closed with</w:t>
      </w:r>
      <w:r>
        <w:t xml:space="preserve"> a comparatively small amount of on-chain state and logic, without requiring the harder and arguably less tractable problem of automating the judgement itself. By keeping the milestone-approval record and the locked treasury together in a single eUTxO datu</w:t>
      </w:r>
      <w:r>
        <w:t>m, checked by a single Aiken validator, the system makes "a tranche cannot be released without its matching approval" a cryptographic invariant rather than a procedural convention, while deliberately retaining a human reviewer, an off-chain transaction-bui</w:t>
      </w:r>
      <w:r>
        <w:t>lding service, and a third-party data-availability dependency as disclosed, deliberate "weak DeFi" trade-offs rather than unacknowledged gaps.</w:t>
      </w:r>
    </w:p>
    <w:p w:rsidR="003E041B" w:rsidRDefault="00B759CD">
      <w:pPr>
        <w:spacing w:after="200" w:line="276" w:lineRule="auto"/>
        <w:jc w:val="both"/>
      </w:pPr>
      <w:r>
        <w:t>The system has been built, deployed, and independently verified end-to-end on Cardano's preview testnet. This pap</w:t>
      </w:r>
      <w:r>
        <w:t>er's contribution beyond the implementation itself is twofold: a formal risk-perception classification, using Slovic's (1987) psychometric framework, of the project's residual centralization for regulatory-disclosure purposes; and a structured security ana</w:t>
      </w:r>
      <w:r>
        <w:t>lysis surfacing ten findings across the off-chain, on-chain, and deployment-configuration layers — most significantly, a critical availability bug in which a single cheap, permissionless transaction can crash the shared grant-listing endpoint for every use</w:t>
      </w:r>
      <w:r>
        <w:t>r, and a high-severity authorization gap in which the off-chain metadata a human reviewer relies upon to make an approval judgement can currently be overwritten by anyone. Every finding in this paper carries a concrete, specific mitigation; none require ab</w:t>
      </w:r>
      <w:r>
        <w:t>andoning the project's core architecture. We regard this combination — a working, testnet-verified system; an explicit accounting of its own trust boundaries; and a documented, actionable security posture — as the appropriate standard of scholarly and engi</w:t>
      </w:r>
      <w:r>
        <w:t>neering rigor for a "weak DeFi" system being put forward for formal regulatory consideration.</w:t>
      </w:r>
    </w:p>
    <w:p w:rsidR="003E041B" w:rsidRDefault="00B759CD">
      <w:pPr>
        <w:pStyle w:val="Heading1"/>
        <w:spacing w:before="480" w:after="240"/>
      </w:pPr>
      <w:bookmarkStart w:id="43" w:name="_Toc235473347"/>
      <w:r>
        <w:rPr>
          <w:b/>
          <w:bCs/>
          <w:color w:val="0033AD"/>
        </w:rPr>
        <w:t>References</w:t>
      </w:r>
      <w:bookmarkEnd w:id="43"/>
    </w:p>
    <w:p w:rsidR="003E041B" w:rsidRDefault="00B759CD">
      <w:pPr>
        <w:spacing w:after="200" w:line="264" w:lineRule="auto"/>
        <w:ind w:left="460" w:hanging="460"/>
      </w:pPr>
      <w:r>
        <w:lastRenderedPageBreak/>
        <w:t xml:space="preserve">Atzei, N., Bartoletti, M., &amp; Cimoli, T. (2017). A survey of attacks on Ethereum smart contracts (SoK). In </w:t>
      </w:r>
      <w:r>
        <w:rPr>
          <w:i/>
          <w:iCs/>
        </w:rPr>
        <w:t>Principles of Security and Trust (POST 2017)</w:t>
      </w:r>
      <w:r>
        <w:t>,</w:t>
      </w:r>
      <w:r>
        <w:t xml:space="preserve"> Springer, 164–186. https://eprint.iacr.org/2016/1007.pdf</w:t>
      </w:r>
    </w:p>
    <w:p w:rsidR="003E041B" w:rsidRDefault="00B759CD">
      <w:pPr>
        <w:spacing w:after="200" w:line="264" w:lineRule="auto"/>
        <w:ind w:left="460" w:hanging="460"/>
      </w:pPr>
      <w:r>
        <w:t xml:space="preserve">Cardano Developer Portal. (n.d.). </w:t>
      </w:r>
      <w:r>
        <w:rPr>
          <w:i/>
          <w:iCs/>
        </w:rPr>
        <w:t>Aiken — smart contract languages.</w:t>
      </w:r>
      <w:r>
        <w:t xml:space="preserve"> https://developers.cardano.org/docs/build/smart-contracts/languages/aiken/overview/</w:t>
      </w:r>
    </w:p>
    <w:p w:rsidR="003E041B" w:rsidRDefault="00B759CD">
      <w:pPr>
        <w:spacing w:after="200" w:line="264" w:lineRule="auto"/>
        <w:ind w:left="460" w:hanging="460"/>
      </w:pPr>
      <w:r>
        <w:t xml:space="preserve">Cardano Foundation. (2021). </w:t>
      </w:r>
      <w:r>
        <w:rPr>
          <w:i/>
          <w:iCs/>
        </w:rPr>
        <w:t>CIP-30 | Cardano d</w:t>
      </w:r>
      <w:r>
        <w:rPr>
          <w:i/>
          <w:iCs/>
        </w:rPr>
        <w:t>App-Wallet Web Bridge.</w:t>
      </w:r>
      <w:r>
        <w:t xml:space="preserve"> https://cips.cardano.org/cip/CIP-30</w:t>
      </w:r>
    </w:p>
    <w:p w:rsidR="003E041B" w:rsidRDefault="00B759CD">
      <w:pPr>
        <w:spacing w:after="200" w:line="264" w:lineRule="auto"/>
        <w:ind w:left="460" w:hanging="460"/>
      </w:pPr>
      <w:r>
        <w:t xml:space="preserve">Cardano Foundation. (2024). </w:t>
      </w:r>
      <w:r>
        <w:rPr>
          <w:i/>
          <w:iCs/>
        </w:rPr>
        <w:t>Aiken: The Future of Smart Contracts.</w:t>
      </w:r>
      <w:r>
        <w:t xml:space="preserve"> https://cardanofoundation.org/blog/aiken-the-future-of-smart-contracts</w:t>
      </w:r>
    </w:p>
    <w:p w:rsidR="003E041B" w:rsidRDefault="00B759CD">
      <w:pPr>
        <w:spacing w:after="200" w:line="264" w:lineRule="auto"/>
        <w:ind w:left="460" w:hanging="460"/>
      </w:pPr>
      <w:r>
        <w:t xml:space="preserve">Cardano Foundation. (n.d.). </w:t>
      </w:r>
      <w:r>
        <w:rPr>
          <w:i/>
          <w:iCs/>
        </w:rPr>
        <w:t>CIP-57 | Plutus Contract Bluepri</w:t>
      </w:r>
      <w:r>
        <w:rPr>
          <w:i/>
          <w:iCs/>
        </w:rPr>
        <w:t>nt.</w:t>
      </w:r>
      <w:r>
        <w:t xml:space="preserve"> https://cips.cardano.org/cip/CIP-57</w:t>
      </w:r>
    </w:p>
    <w:p w:rsidR="003E041B" w:rsidRDefault="00B759CD">
      <w:pPr>
        <w:spacing w:after="200" w:line="264" w:lineRule="auto"/>
        <w:ind w:left="460" w:hanging="460"/>
      </w:pPr>
      <w:r>
        <w:t xml:space="preserve">Chakravarty, M. M. T., Chapman, J., MacKenzie, K., Melkonian, O., Jones, M. P., &amp; Wadler, P. (2020). The Extended UTXO Model. In </w:t>
      </w:r>
      <w:r>
        <w:rPr>
          <w:i/>
          <w:iCs/>
        </w:rPr>
        <w:t>Financial Cryptography and Data Security (FC 2020) Workshops</w:t>
      </w:r>
      <w:r>
        <w:t>. IOHK Research. https://io</w:t>
      </w:r>
      <w:r>
        <w:t>hk.io/en/research/library/papers/the-extended-utxo-model/</w:t>
      </w:r>
    </w:p>
    <w:p w:rsidR="003E041B" w:rsidRDefault="00B759CD">
      <w:pPr>
        <w:spacing w:after="200" w:line="264" w:lineRule="auto"/>
        <w:ind w:left="460" w:hanging="460"/>
      </w:pPr>
      <w:r>
        <w:t xml:space="preserve">Chakravarty, M. M. T., Chapman, J., MacKenzie, K., Melkonian, O., Müller, J., Jones, M. P., Vinogradova, P., &amp; Wadler, P. (2020). Native Custom Tokens in the Extended UTXO Model. In </w:t>
      </w:r>
      <w:r>
        <w:rPr>
          <w:i/>
          <w:iCs/>
        </w:rPr>
        <w:t>Leveraging Appli</w:t>
      </w:r>
      <w:r>
        <w:rPr>
          <w:i/>
          <w:iCs/>
        </w:rPr>
        <w:t>cations of Formal Methods, Verification and Validation (ISoLA 2020)</w:t>
      </w:r>
      <w:r>
        <w:t>, Springer. https://plutus.cardano.intersectmbo.org/resources/eutxoma-paper.pdf</w:t>
      </w:r>
    </w:p>
    <w:p w:rsidR="003E041B" w:rsidRDefault="00B759CD">
      <w:pPr>
        <w:spacing w:after="200" w:line="264" w:lineRule="auto"/>
        <w:ind w:left="460" w:hanging="460"/>
      </w:pPr>
      <w:r>
        <w:t xml:space="preserve">Input Output Global (IOG). (2023). </w:t>
      </w:r>
      <w:r>
        <w:rPr>
          <w:i/>
          <w:iCs/>
        </w:rPr>
        <w:t>Project Catalyst milestone-based funding mechanism [announcement].</w:t>
      </w:r>
      <w:r>
        <w:t xml:space="preserve"> https:/</w:t>
      </w:r>
      <w:r>
        <w:t>/x.com/IOGroup/status/1706942381474435293</w:t>
      </w:r>
    </w:p>
    <w:p w:rsidR="003E041B" w:rsidRDefault="00B759CD">
      <w:pPr>
        <w:spacing w:after="200" w:line="264" w:lineRule="auto"/>
        <w:ind w:left="460" w:hanging="460"/>
      </w:pPr>
      <w:r>
        <w:t xml:space="preserve">Project Catalyst Knowledge Base. (n.d.). </w:t>
      </w:r>
      <w:r>
        <w:rPr>
          <w:i/>
          <w:iCs/>
        </w:rPr>
        <w:t>Fund Rules; Milestone Review Program.</w:t>
      </w:r>
      <w:r>
        <w:t xml:space="preserve"> https://docs.projectcatalyst.io/</w:t>
      </w:r>
    </w:p>
    <w:p w:rsidR="003E041B" w:rsidRDefault="00B759CD">
      <w:pPr>
        <w:spacing w:after="200" w:line="264" w:lineRule="auto"/>
        <w:ind w:left="460" w:hanging="460"/>
      </w:pPr>
      <w:r>
        <w:t xml:space="preserve">Slovic, P. (1987). Perception of risk. </w:t>
      </w:r>
      <w:r>
        <w:rPr>
          <w:i/>
          <w:iCs/>
        </w:rPr>
        <w:t>Science, 236</w:t>
      </w:r>
      <w:r>
        <w:t>(4799), 280–285.</w:t>
      </w:r>
    </w:p>
    <w:p w:rsidR="003E041B" w:rsidRDefault="00B759CD">
      <w:pPr>
        <w:spacing w:after="200" w:line="264" w:lineRule="auto"/>
        <w:ind w:left="460" w:hanging="460"/>
      </w:pPr>
      <w:r>
        <w:t>Weyl, E. G., Ohlhaver, P., &amp; Buter</w:t>
      </w:r>
      <w:r>
        <w:t xml:space="preserve">in, V. (2022). Decentralized Society: Finding Web3's Soul. </w:t>
      </w:r>
      <w:r>
        <w:rPr>
          <w:i/>
          <w:iCs/>
        </w:rPr>
        <w:t>SSRN Working Paper.</w:t>
      </w:r>
      <w:r>
        <w:t xml:space="preserve"> https://papers.ssrn.com/sol3/papers.cfm?abstract_id=4105763</w:t>
      </w:r>
    </w:p>
    <w:p w:rsidR="003E041B" w:rsidRDefault="00B759CD">
      <w:pPr>
        <w:spacing w:after="200" w:line="264" w:lineRule="auto"/>
        <w:ind w:left="460" w:hanging="460"/>
      </w:pPr>
      <w:r>
        <w:t xml:space="preserve">Ziyan, I., Kavei, G., &amp; Wakah, P. (2026). </w:t>
      </w:r>
      <w:r>
        <w:rPr>
          <w:i/>
          <w:iCs/>
        </w:rPr>
        <w:t>Catalyst Accountability Tracker [source code repository].</w:t>
      </w:r>
      <w:r>
        <w:t xml:space="preserve"> GitHub. https://g</w:t>
      </w:r>
      <w:r>
        <w:t>ithub.com/ishaaqziyan/cardanoproj</w:t>
      </w:r>
    </w:p>
    <w:sectPr w:rsidR="003E041B">
      <w:footerReference w:type="default" r:id="rId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59CD" w:rsidRDefault="00B759CD">
      <w:r>
        <w:separator/>
      </w:r>
    </w:p>
  </w:endnote>
  <w:endnote w:type="continuationSeparator" w:id="0">
    <w:p w:rsidR="00B759CD" w:rsidRDefault="00B7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Malgun Gothic Semilight">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41B" w:rsidRDefault="00B759CD">
    <w:pPr>
      <w:jc w:val="center"/>
    </w:pPr>
    <w:r>
      <w:rPr>
        <w:color w:val="777777"/>
        <w:sz w:val="16"/>
        <w:szCs w:val="16"/>
      </w:rPr>
      <w:t xml:space="preserve">Catalyst Accountability Tracker — Project White Paper   |   Page </w:t>
    </w:r>
    <w:r>
      <w:rPr>
        <w:color w:val="777777"/>
        <w:sz w:val="16"/>
        <w:szCs w:val="16"/>
      </w:rPr>
      <w:fldChar w:fldCharType="begin"/>
    </w:r>
    <w:r>
      <w:rPr>
        <w:color w:val="777777"/>
        <w:sz w:val="16"/>
        <w:szCs w:val="16"/>
      </w:rPr>
      <w:instrText>PAGE</w:instrText>
    </w:r>
    <w:r w:rsidR="00E76EE5">
      <w:rPr>
        <w:color w:val="777777"/>
        <w:sz w:val="16"/>
        <w:szCs w:val="16"/>
      </w:rPr>
      <w:fldChar w:fldCharType="separate"/>
    </w:r>
    <w:r w:rsidR="00E76EE5">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59CD" w:rsidRDefault="00B759CD">
      <w:r>
        <w:separator/>
      </w:r>
    </w:p>
  </w:footnote>
  <w:footnote w:type="continuationSeparator" w:id="0">
    <w:p w:rsidR="00B759CD" w:rsidRDefault="00B759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E46D2"/>
    <w:multiLevelType w:val="hybridMultilevel"/>
    <w:tmpl w:val="3CE47D48"/>
    <w:lvl w:ilvl="0" w:tplc="CC267900">
      <w:start w:val="1"/>
      <w:numFmt w:val="bullet"/>
      <w:lvlText w:val="●"/>
      <w:lvlJc w:val="left"/>
      <w:pPr>
        <w:ind w:left="720" w:hanging="360"/>
      </w:pPr>
    </w:lvl>
    <w:lvl w:ilvl="1" w:tplc="745E965E">
      <w:start w:val="1"/>
      <w:numFmt w:val="bullet"/>
      <w:lvlText w:val="○"/>
      <w:lvlJc w:val="left"/>
      <w:pPr>
        <w:ind w:left="1440" w:hanging="360"/>
      </w:pPr>
    </w:lvl>
    <w:lvl w:ilvl="2" w:tplc="0380B0D2">
      <w:start w:val="1"/>
      <w:numFmt w:val="bullet"/>
      <w:lvlText w:val="■"/>
      <w:lvlJc w:val="left"/>
      <w:pPr>
        <w:ind w:left="2160" w:hanging="360"/>
      </w:pPr>
    </w:lvl>
    <w:lvl w:ilvl="3" w:tplc="0D642F60">
      <w:start w:val="1"/>
      <w:numFmt w:val="bullet"/>
      <w:lvlText w:val="●"/>
      <w:lvlJc w:val="left"/>
      <w:pPr>
        <w:ind w:left="2880" w:hanging="360"/>
      </w:pPr>
    </w:lvl>
    <w:lvl w:ilvl="4" w:tplc="00F62DEC">
      <w:start w:val="1"/>
      <w:numFmt w:val="bullet"/>
      <w:lvlText w:val="○"/>
      <w:lvlJc w:val="left"/>
      <w:pPr>
        <w:ind w:left="3600" w:hanging="360"/>
      </w:pPr>
    </w:lvl>
    <w:lvl w:ilvl="5" w:tplc="0AD00AD4">
      <w:start w:val="1"/>
      <w:numFmt w:val="bullet"/>
      <w:lvlText w:val="■"/>
      <w:lvlJc w:val="left"/>
      <w:pPr>
        <w:ind w:left="4320" w:hanging="360"/>
      </w:pPr>
    </w:lvl>
    <w:lvl w:ilvl="6" w:tplc="B8288F60">
      <w:start w:val="1"/>
      <w:numFmt w:val="bullet"/>
      <w:lvlText w:val="●"/>
      <w:lvlJc w:val="left"/>
      <w:pPr>
        <w:ind w:left="5040" w:hanging="360"/>
      </w:pPr>
    </w:lvl>
    <w:lvl w:ilvl="7" w:tplc="F0CEB808">
      <w:start w:val="1"/>
      <w:numFmt w:val="bullet"/>
      <w:lvlText w:val="●"/>
      <w:lvlJc w:val="left"/>
      <w:pPr>
        <w:ind w:left="5760" w:hanging="360"/>
      </w:pPr>
    </w:lvl>
    <w:lvl w:ilvl="8" w:tplc="B07C0748">
      <w:start w:val="1"/>
      <w:numFmt w:val="bullet"/>
      <w:lvlText w:val="●"/>
      <w:lvlJc w:val="left"/>
      <w:pPr>
        <w:ind w:left="6480" w:hanging="360"/>
      </w:pPr>
    </w:lvl>
  </w:abstractNum>
  <w:abstractNum w:abstractNumId="1">
    <w:nsid w:val="27582056"/>
    <w:multiLevelType w:val="hybridMultilevel"/>
    <w:tmpl w:val="8EEEC75A"/>
    <w:lvl w:ilvl="0" w:tplc="6B7AC720">
      <w:start w:val="1"/>
      <w:numFmt w:val="decimal"/>
      <w:lvlText w:val="%1."/>
      <w:lvlJc w:val="left"/>
      <w:pPr>
        <w:ind w:left="460" w:hanging="260"/>
      </w:pPr>
    </w:lvl>
    <w:lvl w:ilvl="1" w:tplc="B53078CE">
      <w:numFmt w:val="decimal"/>
      <w:lvlText w:val=""/>
      <w:lvlJc w:val="left"/>
    </w:lvl>
    <w:lvl w:ilvl="2" w:tplc="DEB464C0">
      <w:numFmt w:val="decimal"/>
      <w:lvlText w:val=""/>
      <w:lvlJc w:val="left"/>
    </w:lvl>
    <w:lvl w:ilvl="3" w:tplc="83A256DC">
      <w:numFmt w:val="decimal"/>
      <w:lvlText w:val=""/>
      <w:lvlJc w:val="left"/>
    </w:lvl>
    <w:lvl w:ilvl="4" w:tplc="A28C5E60">
      <w:numFmt w:val="decimal"/>
      <w:lvlText w:val=""/>
      <w:lvlJc w:val="left"/>
    </w:lvl>
    <w:lvl w:ilvl="5" w:tplc="2006FDB0">
      <w:numFmt w:val="decimal"/>
      <w:lvlText w:val=""/>
      <w:lvlJc w:val="left"/>
    </w:lvl>
    <w:lvl w:ilvl="6" w:tplc="0B40D042">
      <w:numFmt w:val="decimal"/>
      <w:lvlText w:val=""/>
      <w:lvlJc w:val="left"/>
    </w:lvl>
    <w:lvl w:ilvl="7" w:tplc="EA4E5566">
      <w:numFmt w:val="decimal"/>
      <w:lvlText w:val=""/>
      <w:lvlJc w:val="left"/>
    </w:lvl>
    <w:lvl w:ilvl="8" w:tplc="906C077A">
      <w:numFmt w:val="decimal"/>
      <w:lvlText w:val=""/>
      <w:lvlJc w:val="left"/>
    </w:lvl>
  </w:abstractNum>
  <w:abstractNum w:abstractNumId="2">
    <w:nsid w:val="55DA5E3B"/>
    <w:multiLevelType w:val="hybridMultilevel"/>
    <w:tmpl w:val="AA3654CA"/>
    <w:lvl w:ilvl="0" w:tplc="2C925BF0">
      <w:start w:val="1"/>
      <w:numFmt w:val="bullet"/>
      <w:lvlText w:val="•"/>
      <w:lvlJc w:val="left"/>
      <w:pPr>
        <w:ind w:left="460" w:hanging="260"/>
      </w:pPr>
    </w:lvl>
    <w:lvl w:ilvl="1" w:tplc="9CA86EB0">
      <w:start w:val="1"/>
      <w:numFmt w:val="bullet"/>
      <w:lvlText w:val="–"/>
      <w:lvlJc w:val="left"/>
      <w:pPr>
        <w:ind w:left="920" w:hanging="260"/>
      </w:pPr>
    </w:lvl>
    <w:lvl w:ilvl="2" w:tplc="DD6E6EC2">
      <w:numFmt w:val="decimal"/>
      <w:lvlText w:val=""/>
      <w:lvlJc w:val="left"/>
    </w:lvl>
    <w:lvl w:ilvl="3" w:tplc="9246EADE">
      <w:numFmt w:val="decimal"/>
      <w:lvlText w:val=""/>
      <w:lvlJc w:val="left"/>
    </w:lvl>
    <w:lvl w:ilvl="4" w:tplc="C9DA5D66">
      <w:numFmt w:val="decimal"/>
      <w:lvlText w:val=""/>
      <w:lvlJc w:val="left"/>
    </w:lvl>
    <w:lvl w:ilvl="5" w:tplc="884C3160">
      <w:numFmt w:val="decimal"/>
      <w:lvlText w:val=""/>
      <w:lvlJc w:val="left"/>
    </w:lvl>
    <w:lvl w:ilvl="6" w:tplc="B23A0BEC">
      <w:numFmt w:val="decimal"/>
      <w:lvlText w:val=""/>
      <w:lvlJc w:val="left"/>
    </w:lvl>
    <w:lvl w:ilvl="7" w:tplc="CD4EBC30">
      <w:numFmt w:val="decimal"/>
      <w:lvlText w:val=""/>
      <w:lvlJc w:val="left"/>
    </w:lvl>
    <w:lvl w:ilvl="8" w:tplc="2AA2DEF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41B"/>
    <w:rsid w:val="003E041B"/>
    <w:rsid w:val="00B759CD"/>
    <w:rsid w:val="00E76E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24A983-5A67-4427-9E7E-54346D49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6EE5"/>
    <w:pPr>
      <w:spacing w:after="100"/>
    </w:pPr>
  </w:style>
  <w:style w:type="paragraph" w:styleId="TOC2">
    <w:name w:val="toc 2"/>
    <w:basedOn w:val="Normal"/>
    <w:next w:val="Normal"/>
    <w:autoRedefine/>
    <w:uiPriority w:val="39"/>
    <w:unhideWhenUsed/>
    <w:rsid w:val="00E76E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9998</Words>
  <Characters>56989</Characters>
  <Application>Microsoft Office Word</Application>
  <DocSecurity>0</DocSecurity>
  <Lines>474</Lines>
  <Paragraphs>133</Paragraphs>
  <ScaleCrop>false</ScaleCrop>
  <Company>HP</Company>
  <LinksUpToDate>false</LinksUpToDate>
  <CharactersWithSpaces>66854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2026-07-20T18:49:00Z</dcterms:created>
  <dcterms:modified xsi:type="dcterms:W3CDTF">2026-07-20T18:59:00Z</dcterms:modified>
</cp:coreProperties>
</file>