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FF000F"/>
          <w:sz w:val="18"/>
        </w:rPr>
        <w:t>ABB CYBERSECURITY OPERATIONS | EXECUTIVE BRIEF</w:t>
      </w:r>
    </w:p>
    <w:p>
      <w:pPr>
        <w:spacing w:before="40" w:after="160"/>
      </w:pPr>
      <w:r>
        <w:rPr>
          <w:b/>
          <w:color w:val="282D35"/>
          <w:sz w:val="36"/>
        </w:rPr>
        <w:t>Executive Brief: ABB Adaptive SOC &amp; OT Micro-Segmentation Platform</w:t>
      </w:r>
    </w:p>
    <w:tbl>
      <w:tblPr>
        <w:tblW w:type="auto" w:w="0"/>
        <w:jc w:val="center"/>
        <w:tblLayout w:type="fixed"/>
        <w:tblLook w:firstColumn="1" w:firstRow="1" w:lastColumn="0" w:lastRow="0" w:noHBand="0" w:noVBand="1" w:val="04A0"/>
      </w:tblPr>
      <w:tblGrid>
        <w:gridCol w:w="4824"/>
        <w:gridCol w:w="4824"/>
      </w:tblGrid>
      <w:tr>
        <w:tc>
          <w:tcPr>
            <w:tcW w:type="dxa" w:w="3168"/>
            <w:shd w:fill="F8F9FA"/>
          </w:tcPr>
          <w:p>
            <w:pPr>
              <w:spacing w:before="40" w:after="40"/>
            </w:pPr>
            <w:r>
              <w:rPr>
                <w:b/>
                <w:color w:val="282D35"/>
                <w:sz w:val="18"/>
              </w:rPr>
              <w:t>Document Classification:</w:t>
            </w:r>
          </w:p>
        </w:tc>
        <w:tc>
          <w:tcPr>
            <w:tcW w:type="dxa" w:w="6480"/>
            <w:shd w:fill="F8F9FA"/>
          </w:tcPr>
          <w:p>
            <w:pPr>
              <w:spacing w:before="40" w:after="40"/>
            </w:pPr>
            <w:r>
              <w:rPr>
                <w:color w:val="282D35"/>
                <w:sz w:val="18"/>
              </w:rPr>
              <w:t>Internal Technical &amp; Strategic Overview</w:t>
            </w:r>
          </w:p>
        </w:tc>
      </w:tr>
      <w:tr>
        <w:tc>
          <w:tcPr>
            <w:tcW w:type="dxa" w:w="3168"/>
            <w:shd w:fill="F8F9FA"/>
          </w:tcPr>
          <w:p>
            <w:pPr>
              <w:spacing w:before="40" w:after="40"/>
            </w:pPr>
            <w:r>
              <w:rPr>
                <w:b/>
                <w:color w:val="282D35"/>
                <w:sz w:val="18"/>
              </w:rPr>
              <w:t>Target Organization:</w:t>
            </w:r>
          </w:p>
        </w:tc>
        <w:tc>
          <w:tcPr>
            <w:tcW w:type="dxa" w:w="6480"/>
            <w:shd w:fill="F8F9FA"/>
          </w:tcPr>
          <w:p>
            <w:pPr>
              <w:spacing w:before="40" w:after="40"/>
            </w:pPr>
            <w:r>
              <w:rPr>
                <w:color w:val="282D35"/>
                <w:sz w:val="18"/>
              </w:rPr>
              <w:t>ABB (Process Automation, Robotics &amp; Discrete Automation, Electrification)</w:t>
            </w:r>
          </w:p>
        </w:tc>
      </w:tr>
      <w:tr>
        <w:tc>
          <w:tcPr>
            <w:tcW w:type="dxa" w:w="3168"/>
            <w:shd w:fill="F8F9FA"/>
          </w:tcPr>
          <w:p>
            <w:pPr>
              <w:spacing w:before="40" w:after="40"/>
            </w:pPr>
            <w:r>
              <w:rPr>
                <w:b/>
                <w:color w:val="282D35"/>
                <w:sz w:val="18"/>
              </w:rPr>
              <w:t>Architecture Standards:</w:t>
            </w:r>
          </w:p>
        </w:tc>
        <w:tc>
          <w:tcPr>
            <w:tcW w:type="dxa" w:w="6480"/>
            <w:shd w:fill="F8F9FA"/>
          </w:tcPr>
          <w:p>
            <w:pPr>
              <w:spacing w:before="40" w:after="40"/>
            </w:pPr>
            <w:r>
              <w:rPr>
                <w:color w:val="282D35"/>
                <w:sz w:val="18"/>
              </w:rPr>
              <w:t>IEC 62443-3-3 / Purdue Model (Levels 1–3) / NIST SP 800-82 / NIS2</w:t>
            </w:r>
          </w:p>
        </w:tc>
      </w:tr>
    </w:tbl>
    <w:p>
      <w:pPr>
        <w:spacing w:after="120"/>
      </w:pPr>
    </w:p>
    <w:p>
      <w:pPr>
        <w:spacing w:before="200" w:after="80"/>
      </w:pPr>
      <w:r>
        <w:rPr>
          <w:b/>
          <w:color w:val="FF000F"/>
          <w:sz w:val="26"/>
        </w:rPr>
        <w:t>1. Executive Summary</w:t>
      </w:r>
    </w:p>
    <w:p>
      <w:pPr>
        <w:spacing w:before="40" w:after="120"/>
      </w:pPr>
      <w:r>
        <w:rPr>
          <w:sz w:val="20"/>
        </w:rPr>
        <w:t>The ABB Adaptive SOC Engine &amp; Micro-Segmentation Platform is a specialized, real-time industrial cybersecurity operations center engineered for mission-critical Operational Technology (OT) and SCADA networks. Traditional IT security solutions fail in industrial environments because they prioritize data confidentiality over operational availability, often severing entire production cells when anomalies are detected.</w:t>
        <w:br/>
        <w:br/>
        <w:t>This platform bridges that gap by combining sub-second Deep Packet Inspection (DPI), hardware-enforced micro-segmentation, and an autonomous 7-step closed-loop remediation pipeline that isolates threats, dynamic-rotates compromised IP leases, and re-establishes authenticated TLS 1.3 tunnels to the Primary Core Server—achieving threat neutralization with zero aggregate production downtime.</w:t>
      </w:r>
    </w:p>
    <w:p>
      <w:pPr>
        <w:spacing w:before="200" w:after="80"/>
      </w:pPr>
      <w:r>
        <w:rPr>
          <w:b/>
          <w:color w:val="FF000F"/>
          <w:sz w:val="26"/>
        </w:rPr>
        <w:t>2. Core Technical Architecture &amp; Functionality</w:t>
      </w:r>
    </w:p>
    <w:p>
      <w:pPr>
        <w:spacing w:before="40" w:after="80"/>
      </w:pPr>
      <w:r>
        <w:rPr>
          <w:i/>
          <w:color w:val="282D35"/>
          <w:sz w:val="18"/>
        </w:rPr>
        <w:t>Network Architecture:</w:t>
        <w:br/>
        <w:t>• Primary Core Host (10.10.0.1) ➔ NGFW DPI Inspection Gateway</w:t>
        <w:br/>
        <w:t xml:space="preserve">  ├─ Subnet A (10.10.10.0/24): Robotics &amp; Discrete Automation (IRB 6700, OmniCore)</w:t>
        <w:br/>
        <w:t xml:space="preserve">  ├─ Subnet B (10.10.20.0/24): Continuous Process Instrumentation (System 800xA, Batch Chem)</w:t>
        <w:br/>
        <w:t xml:space="preserve">  └─ Subnet C (10.10.30.0/24): Substation Grid &amp; RTUs (RTU560, Microgrid Switchgear)</w:t>
        <w:br/>
        <w:t>Conduits: Downstream Electric Lilac (#615EEF) Control Commands | Upstream Violet (#9061F9) NetFlow Telemetry</w:t>
      </w:r>
    </w:p>
    <w:p>
      <w:pPr>
        <w:spacing w:before="120" w:after="40"/>
      </w:pPr>
      <w:r>
        <w:rPr>
          <w:b/>
          <w:color w:val="282D35"/>
          <w:sz w:val="22"/>
        </w:rPr>
        <w:t>Key Technical Capabilities:</w:t>
      </w:r>
    </w:p>
    <w:p>
      <w:pPr>
        <w:pStyle w:val="ListBullet"/>
        <w:spacing w:before="40" w:after="60"/>
      </w:pPr>
      <w:r>
        <w:rPr>
          <w:b/>
          <w:sz w:val="19"/>
        </w:rPr>
        <w:t xml:space="preserve">Real-Time OT Protocol Streaming &amp; DPI: </w:t>
      </w:r>
      <w:r>
        <w:rPr>
          <w:sz w:val="19"/>
        </w:rPr>
        <w:t>Continuous packet ingestion monitoring ICS/SCADA protocols including Modbus/TCP, IEC 60870-5-104, OPC UA, DNP3, and HTTPS. Protocol-aware inspection detects payload-level manipulation (e.g., forced register overrides, out-of-band actuator setpoints, unauthorized C2 beaconing).</w:t>
      </w:r>
    </w:p>
    <w:p>
      <w:pPr>
        <w:pStyle w:val="ListBullet"/>
        <w:spacing w:before="40" w:after="60"/>
      </w:pPr>
      <w:r>
        <w:rPr>
          <w:b/>
          <w:sz w:val="19"/>
        </w:rPr>
        <w:t xml:space="preserve">Interactive Micro-Segmentation Topology Visualizer: </w:t>
      </w:r>
      <w:r>
        <w:rPr>
          <w:sz w:val="19"/>
        </w:rPr>
        <w:t>Visualizes live Purdue Model infrastructure across robotics, process instrumentation, and substation RTUs with distinct color-coded bidirectional conduits.</w:t>
      </w:r>
    </w:p>
    <w:p>
      <w:pPr>
        <w:pStyle w:val="ListBullet"/>
        <w:spacing w:before="40" w:after="60"/>
      </w:pPr>
      <w:r>
        <w:rPr>
          <w:b/>
          <w:sz w:val="19"/>
        </w:rPr>
        <w:t xml:space="preserve">Automated 7-Step Closed-Loop Incident Engine: </w:t>
      </w:r>
      <w:r>
        <w:rPr>
          <w:sz w:val="19"/>
        </w:rPr>
        <w:t>Sequences through:</w:t>
        <w:br/>
        <w:t xml:space="preserve">  • Step 01 (Detection - 3s): Anomaly flagged by DPI signature matching.</w:t>
        <w:br/>
        <w:t xml:space="preserve">  • Step 02 (Classification - 3s): CVE identification (e.g., CVE-2022-30777, CVE-2023-38035).</w:t>
        <w:br/>
        <w:t xml:space="preserve">  • Step 03 (Subnet Identification - 3s): Target CIDR isolated from lateral pivot paths.</w:t>
        <w:br/>
        <w:t xml:space="preserve">  • Step 04 (Risk Assessment - 3s): Real-time blast radius and physical asset risk computation.</w:t>
        <w:br/>
        <w:t xml:space="preserve">  • Step 05 (Network Isolation - 3s): Dynamic airgap quarantine applied to the affected node.</w:t>
        <w:br/>
        <w:t xml:space="preserve">  • Step 06 (Incident Logging - 3s): Immutable RFC-5424/CEF audit record committed to the SIEM.</w:t>
        <w:br/>
        <w:t xml:space="preserve">  • Step 07 (Automated Remediation - 5s): Dynamic DHCP IP lease rotation (e.g., 10.10.30.42 → 10.10.30.198), local ARP cache purge, and mutual TLS 1.3 session re-establishment with Main Server 10.10.0.1.</w:t>
      </w:r>
    </w:p>
    <w:p>
      <w:pPr>
        <w:pStyle w:val="ListBullet"/>
        <w:spacing w:before="40" w:after="60"/>
      </w:pPr>
      <w:r>
        <w:rPr>
          <w:b/>
          <w:sz w:val="19"/>
        </w:rPr>
        <w:t xml:space="preserve">Unified Single-Page Operational Dossier: </w:t>
      </w:r>
      <w:r>
        <w:rPr>
          <w:sz w:val="19"/>
        </w:rPr>
        <w:t>Consolidates timestamps, CVE mappings, physical consequences (turbines, pressure vessels, robotic arms), affected parameters, DNS sinkholes, and audit trails in a single executive view.</w:t>
      </w:r>
    </w:p>
    <w:p>
      <w:pPr>
        <w:spacing w:before="200" w:after="80"/>
      </w:pPr>
      <w:r>
        <w:rPr>
          <w:b/>
          <w:color w:val="FF000F"/>
          <w:sz w:val="26"/>
        </w:rPr>
        <w:t>3. How This Platform Delivers Value to ABB</w:t>
      </w:r>
    </w:p>
    <w:p>
      <w:pPr>
        <w:spacing w:before="120" w:after="40"/>
      </w:pPr>
      <w:r>
        <w:rPr>
          <w:b/>
          <w:color w:val="282D35"/>
          <w:sz w:val="22"/>
        </w:rPr>
        <w:t>A. Protecting Human Life and Mission-Critical Infrastructure</w:t>
      </w:r>
    </w:p>
    <w:p>
      <w:pPr>
        <w:spacing w:before="20" w:after="80"/>
      </w:pPr>
      <w:r>
        <w:rPr>
          <w:sz w:val="19"/>
        </w:rPr>
        <w:t>In ABB's core deployments—such as automated paint shops, high-voltage substations, and chemical processing units—cyber incidents risk severe physical consequences (e.g., barometric chamber ruptures, robotic manipulator collisions, power grid blackouts). The platform’s physical consequence mapping and rapid containment protect both physical machinery and plant personnel.</w:t>
      </w:r>
    </w:p>
    <w:p>
      <w:pPr>
        <w:spacing w:before="120" w:after="40"/>
      </w:pPr>
      <w:r>
        <w:rPr>
          <w:b/>
          <w:color w:val="282D35"/>
          <w:sz w:val="22"/>
        </w:rPr>
        <w:t>B. Prevention of Costly Production Downtime</w:t>
      </w:r>
    </w:p>
    <w:p>
      <w:pPr>
        <w:spacing w:before="20" w:after="80"/>
      </w:pPr>
      <w:r>
        <w:rPr>
          <w:sz w:val="19"/>
        </w:rPr>
        <w:t>In discrete manufacturing and continuous process industries, uncoordinated shutdowns cost thousands of dollars per minute. Rather than halting an entire substation or factory floor, the platform's granular micro-segmentation quarantines only the compromised node, rotates its network identity, and safely reconnects it to the core server within seconds.</w:t>
      </w:r>
    </w:p>
    <w:p>
      <w:pPr>
        <w:spacing w:before="120" w:after="40"/>
      </w:pPr>
      <w:r>
        <w:rPr>
          <w:b/>
          <w:color w:val="282D35"/>
          <w:sz w:val="22"/>
        </w:rPr>
        <w:t>C. Turnkey Compliance with Global Industrial Standards</w:t>
      </w:r>
    </w:p>
    <w:p>
      <w:pPr>
        <w:spacing w:before="20" w:after="80"/>
      </w:pPr>
      <w:r>
        <w:rPr>
          <w:sz w:val="19"/>
        </w:rPr>
        <w:t>The system enforces and documents adherence to IEC 62443-3-3 / 4-2 (zones &amp; conduits, asset isolation), NIST SP 800-82 Rev 3 (OT defense-in-depth, incident automation), and NERC CIP / NIS2 Directives (automated audit logging, non-repudiation).</w:t>
      </w:r>
    </w:p>
    <w:p>
      <w:pPr>
        <w:spacing w:before="120" w:after="40"/>
      </w:pPr>
      <w:r>
        <w:rPr>
          <w:b/>
          <w:color w:val="282D35"/>
          <w:sz w:val="22"/>
        </w:rPr>
        <w:t>D. Competitive Differentiator for ABB Customer Solutions</w:t>
      </w:r>
    </w:p>
    <w:p>
      <w:pPr>
        <w:spacing w:before="20" w:after="80"/>
      </w:pPr>
      <w:r>
        <w:rPr>
          <w:sz w:val="19"/>
        </w:rPr>
        <w:t>ABB can package this Adaptive SOC technology into its ABB Ability™ portfolio, offering clients a sovereign, self-healing cyber defense platform natively tailored for ABB drives, PLCs, RTUs, and robot controllers.</w:t>
      </w:r>
    </w:p>
    <w:p>
      <w:pPr>
        <w:spacing w:before="200" w:after="80"/>
      </w:pPr>
      <w:r>
        <w:rPr>
          <w:b/>
          <w:color w:val="FF000F"/>
          <w:sz w:val="26"/>
        </w:rPr>
        <w:t>4. Conclusion</w:t>
      </w:r>
    </w:p>
    <w:p>
      <w:pPr>
        <w:spacing w:before="40" w:after="120"/>
      </w:pPr>
      <w:r>
        <w:rPr>
          <w:b/>
          <w:sz w:val="20"/>
        </w:rPr>
        <w:t>The ABB Adaptive SOC Engine transitions industrial cybersecurity from reactive damage control to automated, self-healing resilience. By combining real-time visibility, automated zero-trust containment, and seamless IP rotation/reconnection, it guarantees that ABB and its industrial customers remain engineered to outrun—securely, leaner, and cleaner.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81B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