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security risk assessment</w:t>
      </w:r>
    </w:p>
    <w:p>
      <w:pPr>
        <w:pStyle w:val="Subtitle"/>
      </w:pPr>
      <w:r>
        <w:t>PeopleDesk | Northstar Flow | 8 September 2026 | Version 1.0</w:t>
      </w:r>
    </w:p>
    <w:p>
      <w:r>
        <w:rPr>
          <w:b/>
        </w:rPr>
        <w:t>Prepared by: Shahzeb Ali</w:t>
      </w:r>
    </w:p>
    <w:p>
      <w:pPr>
        <w:pStyle w:val="Subtitle"/>
      </w:pPr>
      <w:r>
        <w:t>Independent GRC Portfolio Project</w:t>
      </w:r>
    </w:p>
    <w:p>
      <w:pPr>
        <w:pStyle w:val="Small"/>
      </w:pPr>
      <w:r>
        <w:t>Independent portfolio exercise based on fictional organizations. No real vendor assessment, client engagement or assurance review took place.</w:t>
      </w:r>
    </w:p>
    <w:p>
      <w:pPr>
        <w:pStyle w:val="Heading2"/>
      </w:pPr>
      <w:r>
        <w:t>Recommendation: Conditional Approval</w:t>
      </w:r>
    </w:p>
    <w:p>
      <w:r>
        <w:t>Recommend renewal only after four High findings are treated, evidence is reviewed and the remaining risk is accepted. The current decision is pending; this report does not authorize renewal or continued use. Four Medium findings need dated commitments and interim acceptance. The new Entra API remains disabled until its separate activation gate passes.</w:t>
      </w:r>
    </w:p>
    <w:p>
      <w:pPr>
        <w:pStyle w:val="Heading2"/>
      </w:pPr>
      <w:r>
        <w:t>Scope and inherent exposure</w:t>
      </w:r>
    </w:p>
    <w:p>
      <w:r>
        <w:t>PeopleDesk is the fictional HR SaaS already identified as A-009 in Project 1. This renewal review covers personal information, employment and leave records, payroll-related data, manager/employee accounts and a proposed Entra integration for all 50 employees. External hosting and subprocessors are included; direct Northstar administrator access is not assumed.</w:t>
      </w:r>
    </w:p>
    <w:p>
      <w:r>
        <w:t>Sensitive records and workforce-wide exposure make the inherent tier High before controls. Moderate operational dependency does not offset that exposure. Remediation does not reduce the inherent tier.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E1E7"/>
          <w:bottom w:val="single" w:sz="4" w:color="D9E1E7"/>
          <w:left w:val="single" w:sz="4" w:color="D9E1E7"/>
          <w:right w:val="single" w:sz="4" w:color="D9E1E7"/>
          <w:insideH w:val="single" w:sz="4" w:color="D9E1E7"/>
          <w:insideV w:val="single" w:sz="4" w:color="D9E1E7"/>
        </w:tblBorders>
      </w:tblPr>
      <w:tblGrid>
        <w:gridCol w:w="4840"/>
        <w:gridCol w:w="2060"/>
        <w:gridCol w:w="2460"/>
      </w:tblGrid>
      <w:tr>
        <w:trPr>
          <w:cantSplit/>
          <w:tblHeader/>
        </w:trPr>
        <w:tc>
          <w:tcPr>
            <w:tcW w:type="dxa" w:w="4840"/>
            <w:shd w:fill="F2F4F7"/>
          </w:tcPr>
          <w:p>
            <w:pPr>
              <w:pStyle w:val="TableText"/>
            </w:pPr>
            <w:r>
              <w:rPr>
                <w:b/>
              </w:rPr>
              <w:t>Finding</w:t>
            </w:r>
          </w:p>
        </w:tc>
        <w:tc>
          <w:tcPr>
            <w:tcW w:type="dxa" w:w="2060"/>
            <w:shd w:fill="F2F4F7"/>
          </w:tcPr>
          <w:p>
            <w:pPr>
              <w:pStyle w:val="TableText"/>
            </w:pPr>
            <w:r>
              <w:rPr>
                <w:b/>
              </w:rPr>
              <w:t>Score / severity</w:t>
            </w:r>
          </w:p>
        </w:tc>
        <w:tc>
          <w:tcPr>
            <w:tcW w:type="dxa" w:w="2460"/>
            <w:shd w:fill="F2F4F7"/>
          </w:tcPr>
          <w:p>
            <w:pPr>
              <w:pStyle w:val="TableText"/>
            </w:pPr>
            <w:r>
              <w:rPr>
                <w:b/>
              </w:rPr>
              <w:t>Decision requirement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F-001 Privileged MFA exception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16 / High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Before renewal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F-002 Incomplete subprocessor assurance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8 / Medium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Dated commitment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F-003 Recovery capability unsubstantiated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12 / High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Before renewal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F-004 Annual privilege review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8 / Medium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Dated commitment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F-005 Unclear incident notice terms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12 / High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Before renewal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F-006 Raw HR data in test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12 / High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Before renewal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F-007 Entra API permissions unclear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8 / Medium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Before API activation</w:t>
            </w:r>
          </w:p>
        </w:tc>
      </w:tr>
      <w:tr>
        <w:trPr>
          <w:cantSplit/>
        </w:trPr>
        <w:tc>
          <w:tcPr>
            <w:tcW w:type="dxa" w:w="4840"/>
          </w:tcPr>
          <w:p>
            <w:pPr>
              <w:pStyle w:val="TableText"/>
            </w:pPr>
            <w:r>
              <w:t>F-008 Backup deletion / exit unclear</w:t>
            </w:r>
          </w:p>
        </w:tc>
        <w:tc>
          <w:tcPr>
            <w:tcW w:type="dxa" w:w="2060"/>
          </w:tcPr>
          <w:p>
            <w:pPr>
              <w:pStyle w:val="TableText"/>
            </w:pPr>
            <w:r>
              <w:t>6 / Medium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t>Dated commitment</w:t>
            </w:r>
          </w:p>
        </w:tc>
      </w:tr>
    </w:tbl>
    <w:p>
      <w:pPr>
        <w:pStyle w:val="Small"/>
      </w:pPr>
      <w:r>
        <w:t>Snapshot: 8 findings, comprising 4 High and 4 Medium. No remediation is verified. Current scores are scenario judgments with low evidential confidence.</w:t>
      </w:r>
    </w:p>
    <w:p>
      <w:pPr>
        <w:pStyle w:val="Title"/>
        <w:pageBreakBefore/>
      </w:pPr>
      <w:r>
        <w:t>Executive recommendation and conditions</w:t>
      </w:r>
    </w:p>
    <w:p>
      <w:pPr>
        <w:pStyle w:val="Subtitle"/>
      </w:pPr>
      <w:r>
        <w:t>Management summary | continued</w:t>
      </w:r>
    </w:p>
    <w:p>
      <w:pPr>
        <w:pStyle w:val="Heading2"/>
      </w:pPr>
      <w:r>
        <w:t>Four High findings must close before renewal</w:t>
      </w:r>
    </w:p>
    <w:p>
      <w:r>
        <w:t>By the scenario decision date of 8 October 2026, require complete privileged MFA coverage (F-001), a demonstrated HR recovery capability (F-003), clear incident-notification obligations (F-005), and removal of raw employee data from test environments (F-006). Evidence criteria and accountable vendor/Northstar roles are defined in the workbook. A promise to remediate is insufficient.</w:t>
      </w:r>
    </w:p>
    <w:p>
      <w:r>
        <w:t>For each gate, the Security Lead reviews the evidence, the risk owner reassesses and accepts the remaining risk, and the CTO signs the renewal decision. Require a score below 10 and proof that the specified failure path is addressed. A task marked complete is not evidence of effectiveness.</w:t>
      </w:r>
    </w:p>
    <w:p>
      <w:pPr>
        <w:pStyle w:val="Heading2"/>
      </w:pPr>
      <w:r>
        <w:t>Medium commitments and integration boundary</w:t>
      </w:r>
    </w:p>
    <w:p>
      <w:r>
        <w:t>Before renewal, agree actions due 7 November 2026 for subprocessor assurance (F-002), quarterly privileged reviews (F-004), integration permissions (F-007), and backup deletion/exit (F-008). Obtain owner acceptance of interim exposure and review progress weekly. Keep the new API disabled until exact scopes, consent, credentials and revocation tests pass; renewal of existing HR use does not authorize that integration.</w:t>
      </w:r>
    </w:p>
    <w:p>
      <w:pPr>
        <w:pStyle w:val="Heading2"/>
      </w:pPr>
      <w:r>
        <w:t>Recovery and contract requirements</w:t>
      </w:r>
    </w:p>
    <w:p>
      <w:r>
        <w:t>PeopleDesk’s simulated RTO and RPO claims are both 24 hours. Northstar’s People Lead must validate this HR-specific tolerance; the core application’s 8-hour RTO from Project 1 is not automatically inherited. A lower impact rating requires a successful restore plus a tested manual payroll workaround that limits business harm. Meeting a 24-hour technical RTO alone does not justify lowering impact.</w:t>
      </w:r>
    </w:p>
    <w:p>
      <w:r>
        <w:t>Agree processing purposes and locations, subprocessor and material-change obligations, evidence access, recovery objectives, data return/deletion and cooperation duties. For F-005, propose initial notice within 24 hours of awareness of an incident affecting Northstar data or service, followed by useful updates and named contacts. This is a proposed contractual target, not a statutory deadline. Relevant jurisdictions and transfer obligations require contextual internal review.</w:t>
      </w:r>
    </w:p>
    <w:p>
      <w:pPr>
        <w:pStyle w:val="Heading2"/>
      </w:pPr>
      <w:r>
        <w:t>If conditions are not met</w:t>
      </w:r>
    </w:p>
    <w:p>
      <w:r>
        <w:t>Defer renewal and escalate to the CTO. Existing use requires a separate, documented continuity decision with interim controls and expiry within 30 days; none is assumed here. Without that decision, prepare a controlled export/exit rather than leaving a silent exception. Reassess annually and after incidents, material supplier changes, new processing scope or assurance expiry.</w:t>
      </w:r>
    </w:p>
    <w:p>
      <w:pPr>
        <w:pStyle w:val="Small"/>
      </w:pPr>
      <w:r>
        <w:t>Independent portfolio exercise based on fictional organizations. No real vendor assessment, client engagement or assurance review took place.</w:t>
      </w:r>
    </w:p>
    <w:p>
      <w:pPr>
        <w:pStyle w:val="Title"/>
        <w:pageBreakBefore/>
      </w:pPr>
      <w:r>
        <w:t>Method, evidence and limitations</w:t>
      </w:r>
    </w:p>
    <w:p>
      <w:pPr>
        <w:pStyle w:val="Heading2"/>
      </w:pPr>
      <w:r>
        <w:t>Separate the two risk decisions</w:t>
      </w:r>
    </w:p>
    <w:p>
      <w:r>
        <w:t>Inherent relationship tier uses the maximum exposure rating: 1 Low, 2 Moderate, 3 High, 4 Critical. The workbook defines triggers before vendor responses are considered. This is an exposure tier, not a questionnaire pass rate. Current finding severity uses a separate 5 × 5 likelihood/impact model over 12 months, with the highest credible confidentiality, integrity, availability or business consequence.</w:t>
      </w:r>
    </w:p>
    <w:p>
      <w:r>
        <w:t>Risk score = Likelihood × Impact. Bands are Low 1–4, Medium 5–9, High 10–16 and Critical 17–25. These are portfolio methodology choices, not ISO-prescribed bands. Scores of 10 or more require treatment before renewal; lower scores still need an accountable decision. The vendor findings remain separate from Project 1’s enterprise register and should not be added into a total loss number.</w:t>
      </w:r>
    </w:p>
    <w:p>
      <w:pPr>
        <w:pStyle w:val="Heading2"/>
      </w:pPr>
      <w:r>
        <w:t>Questionnaire → evidence → findings</w:t>
      </w:r>
    </w:p>
    <w:p>
      <w:r>
        <w:t>The workbook contains 48 questions across 11 domains and 24 evidence topics. Each question links to an evidence request; every finding links back to the relevant topics. All response and received/review states are simulated narratives. No real vendor documents, certificate, assurance report, test result or configuration export was obtained or fabricated.</w:t>
      </w:r>
    </w:p>
    <w:p>
      <w:r>
        <w:t>For example, a claimed certificate may have a plausibly relevant scope in the scenario, but its authenticity and coverage are unverified. The MFA exception is a known scenario gap; absent recovery reports are an evidence gap, not proof of failed backups. A real reviewer would validate identity, scope, freshness, completeness, exceptions and operational samples before crediting a control.</w:t>
      </w:r>
    </w:p>
    <w:p>
      <w:pPr>
        <w:pStyle w:val="Heading2"/>
      </w:pPr>
      <w:r>
        <w:t>Projected risk is conditional</w:t>
      </w:r>
    </w:p>
    <w:p>
      <w:r>
        <w:t>The proposed targets range from 3 to 8 and require successful remediation and evidence review. They are not achieved residual risk. Current scores give credit only to stated scenario safeguards and retain low evidential confidence. F-005’s impact reduction concerns the additional harm from late notification, not the underlying incident; F-003 requires both recovery evidence and a tested workaround.</w:t>
      </w:r>
    </w:p>
    <w:p>
      <w:pPr>
        <w:pStyle w:val="Heading2"/>
      </w:pPr>
      <w:r>
        <w:t>Supplier-risk connection and sources</w:t>
      </w:r>
    </w:p>
    <w:p>
      <w:pPr>
        <w:pStyle w:val="Small"/>
      </w:pPr>
      <w:r>
        <w:t>The workbook paraphrases five relevant Annex A concepts: A.5.19 vendor safeguards, A.5.20 supplier commitments, A.5.21 fourth-party dependencies, A.5.22 ongoing oversight and A.5.23 cloud responsibilities. This selected mapping is neither a complete SoA nor an ISO certification audit. Sources accessed 8 September 2026.</w:t>
      </w:r>
    </w:p>
    <w:p>
      <w:pPr>
        <w:pStyle w:val="Small"/>
      </w:pPr>
      <w:hyperlink r:id="rId11">
        <w:r>
          <w:t>ISO/IEC 27001:2022 — official overview</w:t>
        </w:r>
      </w:hyperlink>
    </w:p>
    <w:p>
      <w:pPr>
        <w:pStyle w:val="Small"/>
      </w:pPr>
      <w:hyperlink r:id="rId12">
        <w:r>
          <w:t>Enterprise Singapore — authorized ISO/IEC 27002:2022 adoption preview (contents used to check identifiers)</w:t>
        </w:r>
      </w:hyperlink>
    </w:p>
    <w:p>
      <w:pPr>
        <w:pStyle w:val="Small"/>
      </w:pPr>
      <w:r>
        <w:t>Independent portfolio exercise based on fictional organizations. No real vendor assessment, client engagement or assurance review took place.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PeopleDesk • Fictional renewal review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SHAHZEB ALI / INDEPENDENT GRC PORTFOLIO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9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173E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/>
      <w:i/>
      <w:iCs/>
      <w:color w:val="5477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spacing w:before="80" w:after="80" w:line="264" w:lineRule="auto"/>
    </w:pPr>
    <w:rPr>
      <w:sz w:val="18"/>
    </w:rPr>
  </w:style>
  <w:style w:type="paragraph" w:customStyle="1" w:styleId="TableText">
    <w:name w:val="Table Text"/>
    <w:basedOn w:val="Normal"/>
    <w:pPr>
      <w:spacing w:before="0" w:after="80" w:line="264" w:lineRule="auto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so.org/standard/27001" TargetMode="External"/><Relationship Id="rId12" Type="http://schemas.openxmlformats.org/officeDocument/2006/relationships/hyperlink" Target="https://www.singaporestandardseshop.sg/Product/GetPdf?fileName=231116124446SS+ISO+IEC+27002-2023+Preview.pdf&amp;pdtid=c6ae6165-880f-4c5e-ac35-96eee6d147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PeopleDesk — Third-Party Security Risk Assessment</dc:title>
  <dc:subject>Independent GRC Portfolio Project; fictional vendor renewal</dc:subject>
  <dc:creator>Shahzeb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