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Initial Design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Initial design discussed equally as a group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Noun/Classes(possible)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Property (Tax variable)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Calculation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Verb/Methods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 can View a list of their properties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Department can view list of properties under certain headings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Register property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Pay tax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 balance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Access previous records (csv file being read??)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Register owner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 tax overdue and apply penalty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 able to get statistics (only needs to be available to department) this is based off eircode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8368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836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47913" cy="35717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3571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fields for property 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Property owner(s)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Postcode/Eircode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estimated market 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location category (City/Large town/Small town/Village/Countryside)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Principal private residence (yes/no)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Need exception handling for reading csv files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Probably need exception handling for user input = Built in handling in Scanner class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eircode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Eircode is 7 characters long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First 3 is the routing key to identify the area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Possibly have two classes with main method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One of the classes has main method for running from command line and taking arguments from command 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other class with main method implements the GUI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