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60"/>
      </w:pPr>
      <w:r>
        <w:rPr>
          <w:rFonts w:ascii="Calibri" w:cs="Calibri" w:eastAsia="Calibri" w:hAnsi="Calibri"/>
          <w:b/>
          <w:bCs/>
          <w:color w:val="B9821C"/>
          <w:spacing w:val="60"/>
          <w:sz w:val="22"/>
          <w:szCs w:val="22"/>
        </w:rPr>
        <w:t xml:space="preserve">KAAYA ORGANICS</w:t>
      </w:r>
    </w:p>
    <w:p>
      <w:pPr>
        <w:spacing w:after="120"/>
      </w:pPr>
      <w:r>
        <w:rPr>
          <w:rFonts w:ascii="Calibri" w:cs="Calibri" w:eastAsia="Calibri" w:hAnsi="Calibri"/>
          <w:b/>
          <w:bCs/>
          <w:color w:val="235447"/>
          <w:sz w:val="56"/>
          <w:szCs w:val="56"/>
        </w:rPr>
        <w:t xml:space="preserve">Digital Marketing Analytics Report</w:t>
      </w:r>
    </w:p>
    <w:p>
      <w:pPr>
        <w:pBdr>
          <w:bottom w:val="single" w:color="B9821C" w:sz="12" w:space="10"/>
        </w:pBdr>
        <w:spacing w:after="320"/>
      </w:pPr>
      <w:r>
        <w:rPr>
          <w:rFonts w:ascii="Calibri" w:cs="Calibri" w:eastAsia="Calibri" w:hAnsi="Calibri"/>
          <w:color w:val="6B7280"/>
          <w:sz w:val="26"/>
          <w:szCs w:val="26"/>
        </w:rPr>
        <w:t xml:space="preserve">Executive Marketing Audit &amp; 90-Day Growth Plan</w:t>
      </w:r>
    </w:p>
    <w:p>
      <w:pPr>
        <w:spacing w:after="140" w:before="0" w:line="300"/>
        <w:jc w:val="left"/>
      </w:pPr>
      <w:r>
        <w:rPr>
          <w:rFonts w:ascii="Calibri" w:cs="Calibri" w:eastAsia="Calibri" w:hAnsi="Calibri"/>
          <w:b/>
          <w:bCs/>
          <w:color w:val="1F2A2E"/>
          <w:sz w:val="21"/>
          <w:szCs w:val="21"/>
        </w:rPr>
        <w:t xml:space="preserve">Reporting period:  </w:t>
      </w:r>
      <w:r>
        <w:rPr>
          <w:rFonts w:ascii="Calibri" w:cs="Calibri" w:eastAsia="Calibri" w:hAnsi="Calibri"/>
          <w:color w:val="6B7280"/>
          <w:sz w:val="21"/>
          <w:szCs w:val="21"/>
        </w:rPr>
        <w:t xml:space="preserve">1–30 September 2026 (30-day snapshot)</w:t>
      </w:r>
    </w:p>
    <w:p>
      <w:pPr>
        <w:spacing w:after="140" w:before="0" w:line="300"/>
        <w:jc w:val="left"/>
      </w:pPr>
      <w:r>
        <w:rPr>
          <w:rFonts w:ascii="Calibri" w:cs="Calibri" w:eastAsia="Calibri" w:hAnsi="Calibri"/>
          <w:b/>
          <w:bCs/>
          <w:color w:val="1F2A2E"/>
          <w:sz w:val="21"/>
          <w:szCs w:val="21"/>
        </w:rPr>
        <w:t xml:space="preserve">Prepared for:  </w:t>
      </w:r>
      <w:r>
        <w:rPr>
          <w:rFonts w:ascii="Calibri" w:cs="Calibri" w:eastAsia="Calibri" w:hAnsi="Calibri"/>
          <w:color w:val="6B7280"/>
          <w:sz w:val="21"/>
          <w:szCs w:val="21"/>
        </w:rPr>
        <w:t xml:space="preserve">Founder &amp; Leadership Team</w:t>
      </w:r>
    </w:p>
    <w:p>
      <w:pPr>
        <w:spacing w:after="140" w:before="0" w:line="300"/>
        <w:jc w:val="left"/>
      </w:pPr>
      <w:r>
        <w:rPr>
          <w:rFonts w:ascii="Calibri" w:cs="Calibri" w:eastAsia="Calibri" w:hAnsi="Calibri"/>
          <w:b/>
          <w:bCs/>
          <w:color w:val="1F2A2E"/>
          <w:sz w:val="21"/>
          <w:szCs w:val="21"/>
        </w:rPr>
        <w:t xml:space="preserve">Prepared by:  </w:t>
      </w:r>
      <w:r>
        <w:rPr>
          <w:rFonts w:ascii="Calibri" w:cs="Calibri" w:eastAsia="Calibri" w:hAnsi="Calibri"/>
          <w:color w:val="6B7280"/>
          <w:sz w:val="21"/>
          <w:szCs w:val="21"/>
        </w:rPr>
        <w:t xml:space="preserve">Growth &amp; Performance Marketing</w:t>
      </w:r>
    </w:p>
    <w:p>
      <w:pPr>
        <w:spacing w:after="140" w:before="0" w:line="300"/>
        <w:jc w:val="left"/>
      </w:pPr>
      <w:r>
        <w:rPr>
          <w:rFonts w:ascii="Calibri" w:cs="Calibri" w:eastAsia="Calibri" w:hAnsi="Calibri"/>
          <w:b/>
          <w:bCs/>
          <w:color w:val="1F2A2E"/>
          <w:sz w:val="21"/>
          <w:szCs w:val="21"/>
        </w:rPr>
        <w:t xml:space="preserve">Date:  </w:t>
      </w:r>
      <w:r>
        <w:rPr>
          <w:rFonts w:ascii="Calibri" w:cs="Calibri" w:eastAsia="Calibri" w:hAnsi="Calibri"/>
          <w:color w:val="6B7280"/>
          <w:sz w:val="21"/>
          <w:szCs w:val="21"/>
        </w:rPr>
        <w:t xml:space="preserve">18 October 2026</w:t>
      </w:r>
    </w:p>
    <w:p>
      <w:pPr>
        <w:spacing w:after="120" w:before="420"/>
      </w:pPr>
      <w:r>
        <w:rPr>
          <w:rFonts w:ascii="Calibri" w:cs="Calibri" w:eastAsia="Calibri" w:hAnsi="Calibri"/>
          <w:i/>
          <w:iCs/>
          <w:color w:val="1F2A2E"/>
          <w:sz w:val="21"/>
          <w:szCs w:val="21"/>
        </w:rPr>
        <w:t xml:space="preserve">A full-funnel read on traffic quality, engagement and conversion — with the three highest-leverage moves for the next quarter.</w:t>
      </w:r>
    </w:p>
    <w:p>
      <w:pPr>
        <w:spacing w:before="500"/>
      </w:pPr>
    </w:p>
    <w:p>
      <w:pPr>
        <w:pBdr>
          <w:top w:val="single" w:color="D9D5CC" w:sz="6" w:space="8"/>
        </w:pBdr>
        <w:spacing w:after="0"/>
      </w:pPr>
      <w:r>
        <w:rPr>
          <w:rFonts w:ascii="Calibri" w:cs="Calibri" w:eastAsia="Calibri" w:hAnsi="Calibri"/>
          <w:color w:val="6B7280"/>
          <w:sz w:val="15"/>
          <w:szCs w:val="15"/>
        </w:rPr>
        <w:t xml:space="preserve">Confidential — prepared from a representative synthetic sample dataset for portfolio / interview review.</w:t>
      </w:r>
    </w:p>
    <w:p>
      <w:r>
        <w:br w:type="page"/>
      </w:r>
    </w:p>
    <w:p>
      <w:pPr>
        <w:pBdr>
          <w:bottom w:val="single" w:color="D9D5CC" w:sz="6" w:space="6"/>
        </w:pBdr>
        <w:spacing w:after="160" w:before="300"/>
      </w:pPr>
      <w:r>
        <w:rPr>
          <w:rFonts w:ascii="Calibri" w:cs="Calibri" w:eastAsia="Calibri" w:hAnsi="Calibri"/>
          <w:b/>
          <w:bCs/>
          <w:color w:val="235447"/>
          <w:sz w:val="30"/>
          <w:szCs w:val="30"/>
        </w:rPr>
        <w:t xml:space="preserve">1. Executive Summary</w:t>
      </w:r>
    </w:p>
    <w:p>
      <w:pPr>
        <w:spacing w:after="140" w:before="0" w:line="300"/>
        <w:jc w:val="left"/>
      </w:pPr>
      <w:r>
        <w:rPr>
          <w:rFonts w:ascii="Calibri" w:cs="Calibri" w:eastAsia="Calibri" w:hAnsi="Calibri"/>
          <w:color w:val="1F2A2E"/>
          <w:sz w:val="21"/>
          <w:szCs w:val="21"/>
        </w:rPr>
        <w:t xml:space="preserve">Kaaya Organics closed the 30 days to 30 September 2026 with 299,000 website sessions, 7,358 orders and ₹1.46 crore (14,596,800) in revenue. That is a blended conversion rate of 2.46% at an average order value (AOV) of ₹1,984. Paid media absorbed ₹18.10 lakh and returned ₹43.22 lakh of attributed revenue — a blended return on ad spend (ROAS) of 2.39x and return on investment (ROI) of 139%. At headline level the programme is profitable and growing.</w:t>
      </w:r>
    </w:p>
    <w:p>
      <w:pPr>
        <w:spacing w:after="140" w:before="0" w:line="300"/>
        <w:jc w:val="left"/>
      </w:pPr>
      <w:r>
        <w:rPr>
          <w:rFonts w:ascii="Calibri" w:cs="Calibri" w:eastAsia="Calibri" w:hAnsi="Calibri"/>
          <w:color w:val="1F2A2E"/>
          <w:sz w:val="21"/>
          <w:szCs w:val="21"/>
        </w:rPr>
        <w:t xml:space="preserve">The averages, however, hide a structural problem. Roughly two-thirds of the paid budget is being spent on the two least efficient channels in the portfolio. Paid Social and Display together consume ₹11.90 lakh (66% of ad spend) yet return only 1.21x and 0.69x respectively — Display is actively losing money, burning ₹2.10 lakh to recover ₹1.44 lakh. Meanwhile the channels that convert best — Email at 6.8% and Referral at 3.8% — are the least funded, together accounting for just 7.7% of sessions. Growth is being bought at the wrong end of the funnel.</w:t>
      </w:r>
    </w:p>
    <w:p>
      <w:pPr>
        <w:spacing w:after="140" w:before="0" w:line="300"/>
        <w:jc w:val="left"/>
      </w:pPr>
      <w:r>
        <w:rPr>
          <w:rFonts w:ascii="Calibri" w:cs="Calibri" w:eastAsia="Calibri" w:hAnsi="Calibri"/>
          <w:color w:val="1F2A2E"/>
          <w:sz w:val="21"/>
          <w:szCs w:val="21"/>
        </w:rPr>
        <w:t xml:space="preserve">Underneath that, the on-site funnel leaks hardest at the point of highest intent. Of 185,000 product-page views, only 41,860 visitors add to cart, and of the 19,435 who begin checkout, just 7,358 complete — a 37.9% checkout completion rate. Recovering even a third of that leak would be worth more than any single channel change available to us.</w:t>
      </w:r>
    </w:p>
    <w:p>
      <w:pPr>
        <w:spacing w:after="120" w:before="160"/>
      </w:pPr>
      <w:r>
        <w:rPr>
          <w:rFonts w:ascii="Calibri" w:cs="Calibri" w:eastAsia="Calibri" w:hAnsi="Calibri"/>
          <w:b/>
          <w:bCs/>
          <w:color w:val="1F2A2E"/>
          <w:sz w:val="22"/>
          <w:szCs w:val="22"/>
        </w:rPr>
        <w:t xml:space="preserve">Headline performance — 30 days to 30 Sep 2026</w:t>
      </w:r>
    </w:p>
    <w:tbl>
      <w:tblPr>
        <w:tblW w:type="dxa" w:w="9025"/>
        <w:tblBorders>
          <w:top w:val="single" w:color="2F6F5E" w:sz="6"/>
          <w:left w:val="none"/>
          <w:bottom w:val="single" w:color="2F6F5E" w:sz="6"/>
          <w:right w:val="none"/>
          <w:insideH w:val="none"/>
          <w:insideV w:val="single" w:color="FFFFFF" w:sz="4"/>
        </w:tblBorders>
        <w:tblLayout w:type="fixed"/>
      </w:tblPr>
      <w:tblGrid>
        <w:gridCol w:w="1805"/>
        <w:gridCol w:w="1805"/>
        <w:gridCol w:w="1805"/>
        <w:gridCol w:w="1805"/>
        <w:gridCol w:w="1805"/>
      </w:tblGrid>
      <w:tr>
        <w:tc>
          <w:tcPr>
            <w:tcW w:type="dxa" w:w="1805"/>
            <w:shd w:fill="F4F1EA" w:color="auto" w:val="clear"/>
            <w:tcMar>
              <w:top w:type="dxa" w:w="140"/>
              <w:left w:type="dxa" w:w="140"/>
              <w:bottom w:type="dxa" w:w="140"/>
              <w:right w:type="dxa" w:w="120"/>
            </w:tcMar>
            <w:vAlign w:val="center"/>
          </w:tcPr>
          <w:p>
            <w:pPr>
              <w:spacing w:after="40"/>
            </w:pPr>
            <w:r>
              <w:rPr>
                <w:rFonts w:ascii="Calibri" w:cs="Calibri" w:eastAsia="Calibri" w:hAnsi="Calibri"/>
                <w:b/>
                <w:bCs/>
                <w:color w:val="6B7280"/>
                <w:spacing w:val="10"/>
                <w:sz w:val="15"/>
                <w:szCs w:val="15"/>
              </w:rPr>
              <w:t xml:space="preserve">SESSIONS</w:t>
            </w:r>
          </w:p>
          <w:p>
            <w:pPr>
              <w:spacing w:after="0"/>
            </w:pPr>
            <w:r>
              <w:rPr>
                <w:rFonts w:ascii="Calibri" w:cs="Calibri" w:eastAsia="Calibri" w:hAnsi="Calibri"/>
                <w:b/>
                <w:bCs/>
                <w:color w:val="235447"/>
                <w:sz w:val="30"/>
                <w:szCs w:val="30"/>
              </w:rPr>
              <w:t xml:space="preserve">2,99,000</w:t>
            </w:r>
          </w:p>
          <w:p>
            <w:pPr>
              <w:spacing w:after="0" w:before="30"/>
            </w:pPr>
            <w:r>
              <w:rPr>
                <w:rFonts w:ascii="Calibri" w:cs="Calibri" w:eastAsia="Calibri" w:hAnsi="Calibri"/>
                <w:color w:val="6B7280"/>
                <w:sz w:val="15"/>
                <w:szCs w:val="15"/>
              </w:rPr>
              <w:t xml:space="preserve">8 sources</w:t>
            </w:r>
          </w:p>
        </w:tc>
        <w:tc>
          <w:tcPr>
            <w:tcW w:type="dxa" w:w="1805"/>
            <w:shd w:fill="F4F1EA" w:color="auto" w:val="clear"/>
            <w:tcMar>
              <w:top w:type="dxa" w:w="140"/>
              <w:left w:type="dxa" w:w="140"/>
              <w:bottom w:type="dxa" w:w="140"/>
              <w:right w:type="dxa" w:w="120"/>
            </w:tcMar>
            <w:vAlign w:val="center"/>
          </w:tcPr>
          <w:p>
            <w:pPr>
              <w:spacing w:after="40"/>
            </w:pPr>
            <w:r>
              <w:rPr>
                <w:rFonts w:ascii="Calibri" w:cs="Calibri" w:eastAsia="Calibri" w:hAnsi="Calibri"/>
                <w:b/>
                <w:bCs/>
                <w:color w:val="6B7280"/>
                <w:spacing w:val="10"/>
                <w:sz w:val="15"/>
                <w:szCs w:val="15"/>
              </w:rPr>
              <w:t xml:space="preserve">ORDERS</w:t>
            </w:r>
          </w:p>
          <w:p>
            <w:pPr>
              <w:spacing w:after="0"/>
            </w:pPr>
            <w:r>
              <w:rPr>
                <w:rFonts w:ascii="Calibri" w:cs="Calibri" w:eastAsia="Calibri" w:hAnsi="Calibri"/>
                <w:b/>
                <w:bCs/>
                <w:color w:val="235447"/>
                <w:sz w:val="30"/>
                <w:szCs w:val="30"/>
              </w:rPr>
              <w:t xml:space="preserve">7,358</w:t>
            </w:r>
          </w:p>
          <w:p>
            <w:pPr>
              <w:spacing w:after="0" w:before="30"/>
            </w:pPr>
            <w:r>
              <w:rPr>
                <w:rFonts w:ascii="Calibri" w:cs="Calibri" w:eastAsia="Calibri" w:hAnsi="Calibri"/>
                <w:color w:val="6B7280"/>
                <w:sz w:val="15"/>
                <w:szCs w:val="15"/>
              </w:rPr>
              <w:t xml:space="preserve">blended CR 2.46%</w:t>
            </w:r>
          </w:p>
        </w:tc>
        <w:tc>
          <w:tcPr>
            <w:tcW w:type="dxa" w:w="1805"/>
            <w:shd w:fill="F4F1EA" w:color="auto" w:val="clear"/>
            <w:tcMar>
              <w:top w:type="dxa" w:w="140"/>
              <w:left w:type="dxa" w:w="140"/>
              <w:bottom w:type="dxa" w:w="140"/>
              <w:right w:type="dxa" w:w="120"/>
            </w:tcMar>
            <w:vAlign w:val="center"/>
          </w:tcPr>
          <w:p>
            <w:pPr>
              <w:spacing w:after="40"/>
            </w:pPr>
            <w:r>
              <w:rPr>
                <w:rFonts w:ascii="Calibri" w:cs="Calibri" w:eastAsia="Calibri" w:hAnsi="Calibri"/>
                <w:b/>
                <w:bCs/>
                <w:color w:val="6B7280"/>
                <w:spacing w:val="10"/>
                <w:sz w:val="15"/>
                <w:szCs w:val="15"/>
              </w:rPr>
              <w:t xml:space="preserve">REVENUE</w:t>
            </w:r>
          </w:p>
          <w:p>
            <w:pPr>
              <w:spacing w:after="0"/>
            </w:pPr>
            <w:r>
              <w:rPr>
                <w:rFonts w:ascii="Calibri" w:cs="Calibri" w:eastAsia="Calibri" w:hAnsi="Calibri"/>
                <w:b/>
                <w:bCs/>
                <w:color w:val="235447"/>
                <w:sz w:val="30"/>
                <w:szCs w:val="30"/>
              </w:rPr>
              <w:t xml:space="preserve">1.46 Cr</w:t>
            </w:r>
          </w:p>
          <w:p>
            <w:pPr>
              <w:spacing w:after="0" w:before="30"/>
            </w:pPr>
            <w:r>
              <w:rPr>
                <w:rFonts w:ascii="Calibri" w:cs="Calibri" w:eastAsia="Calibri" w:hAnsi="Calibri"/>
                <w:color w:val="6B7280"/>
                <w:sz w:val="15"/>
                <w:szCs w:val="15"/>
              </w:rPr>
              <w:t xml:space="preserve">₹1,45,96,800</w:t>
            </w:r>
          </w:p>
        </w:tc>
        <w:tc>
          <w:tcPr>
            <w:tcW w:type="dxa" w:w="1805"/>
            <w:shd w:fill="F4F1EA" w:color="auto" w:val="clear"/>
            <w:tcMar>
              <w:top w:type="dxa" w:w="140"/>
              <w:left w:type="dxa" w:w="140"/>
              <w:bottom w:type="dxa" w:w="140"/>
              <w:right w:type="dxa" w:w="120"/>
            </w:tcMar>
            <w:vAlign w:val="center"/>
          </w:tcPr>
          <w:p>
            <w:pPr>
              <w:spacing w:after="40"/>
            </w:pPr>
            <w:r>
              <w:rPr>
                <w:rFonts w:ascii="Calibri" w:cs="Calibri" w:eastAsia="Calibri" w:hAnsi="Calibri"/>
                <w:b/>
                <w:bCs/>
                <w:color w:val="6B7280"/>
                <w:spacing w:val="10"/>
                <w:sz w:val="15"/>
                <w:szCs w:val="15"/>
              </w:rPr>
              <w:t xml:space="preserve">AD SPEND</w:t>
            </w:r>
          </w:p>
          <w:p>
            <w:pPr>
              <w:spacing w:after="0"/>
            </w:pPr>
            <w:r>
              <w:rPr>
                <w:rFonts w:ascii="Calibri" w:cs="Calibri" w:eastAsia="Calibri" w:hAnsi="Calibri"/>
                <w:b/>
                <w:bCs/>
                <w:color w:val="235447"/>
                <w:sz w:val="30"/>
                <w:szCs w:val="30"/>
              </w:rPr>
              <w:t xml:space="preserve">18.10 L</w:t>
            </w:r>
          </w:p>
          <w:p>
            <w:pPr>
              <w:spacing w:after="0" w:before="30"/>
            </w:pPr>
            <w:r>
              <w:rPr>
                <w:rFonts w:ascii="Calibri" w:cs="Calibri" w:eastAsia="Calibri" w:hAnsi="Calibri"/>
                <w:color w:val="6B7280"/>
                <w:sz w:val="15"/>
                <w:szCs w:val="15"/>
              </w:rPr>
              <w:t xml:space="preserve">3 paid channels</w:t>
            </w:r>
          </w:p>
        </w:tc>
        <w:tc>
          <w:tcPr>
            <w:tcW w:type="dxa" w:w="1805"/>
            <w:shd w:fill="F4F1EA" w:color="auto" w:val="clear"/>
            <w:tcMar>
              <w:top w:type="dxa" w:w="140"/>
              <w:left w:type="dxa" w:w="140"/>
              <w:bottom w:type="dxa" w:w="140"/>
              <w:right w:type="dxa" w:w="120"/>
            </w:tcMar>
            <w:vAlign w:val="center"/>
          </w:tcPr>
          <w:p>
            <w:pPr>
              <w:spacing w:after="40"/>
            </w:pPr>
            <w:r>
              <w:rPr>
                <w:rFonts w:ascii="Calibri" w:cs="Calibri" w:eastAsia="Calibri" w:hAnsi="Calibri"/>
                <w:b/>
                <w:bCs/>
                <w:color w:val="6B7280"/>
                <w:spacing w:val="10"/>
                <w:sz w:val="15"/>
                <w:szCs w:val="15"/>
              </w:rPr>
              <w:t xml:space="preserve">BLENDED ROAS</w:t>
            </w:r>
          </w:p>
          <w:p>
            <w:pPr>
              <w:spacing w:after="0"/>
            </w:pPr>
            <w:r>
              <w:rPr>
                <w:rFonts w:ascii="Calibri" w:cs="Calibri" w:eastAsia="Calibri" w:hAnsi="Calibri"/>
                <w:b/>
                <w:bCs/>
                <w:color w:val="235447"/>
                <w:sz w:val="30"/>
                <w:szCs w:val="30"/>
              </w:rPr>
              <w:t xml:space="preserve">2.39x</w:t>
            </w:r>
          </w:p>
          <w:p>
            <w:pPr>
              <w:spacing w:after="0" w:before="30"/>
            </w:pPr>
            <w:r>
              <w:rPr>
                <w:rFonts w:ascii="Calibri" w:cs="Calibri" w:eastAsia="Calibri" w:hAnsi="Calibri"/>
                <w:color w:val="6B7280"/>
                <w:sz w:val="15"/>
                <w:szCs w:val="15"/>
              </w:rPr>
              <w:t xml:space="preserve">ROI 139%</w:t>
            </w:r>
          </w:p>
        </w:tc>
      </w:tr>
    </w:tbl>
    <w:p>
      <w:pPr>
        <w:spacing w:after="120" w:before="260"/>
      </w:pPr>
      <w:r>
        <w:rPr>
          <w:rFonts w:ascii="Calibri" w:cs="Calibri" w:eastAsia="Calibri" w:hAnsi="Calibri"/>
          <w:b/>
          <w:bCs/>
          <w:color w:val="1F2A2E"/>
          <w:sz w:val="22"/>
          <w:szCs w:val="22"/>
        </w:rPr>
        <w:t xml:space="preserve">The three growth hacks in this report</w:t>
      </w:r>
    </w:p>
    <w:p>
      <w:pPr>
        <w:spacing w:after="140" w:before="0" w:line="300"/>
        <w:jc w:val="left"/>
      </w:pPr>
      <w:r>
        <w:rPr>
          <w:rFonts w:ascii="Calibri" w:cs="Calibri" w:eastAsia="Calibri" w:hAnsi="Calibri"/>
          <w:b/>
          <w:bCs/>
          <w:color w:val="235447"/>
          <w:sz w:val="21"/>
          <w:szCs w:val="21"/>
        </w:rPr>
        <w:t xml:space="preserve">1.  Reallocate the paid budget.  </w:t>
      </w:r>
      <w:r>
        <w:rPr>
          <w:rFonts w:ascii="Calibri" w:cs="Calibri" w:eastAsia="Calibri" w:hAnsi="Calibri"/>
          <w:color w:val="1F2A2E"/>
          <w:sz w:val="21"/>
          <w:szCs w:val="21"/>
        </w:rPr>
        <w:t xml:space="preserve">Move ~₹8.0 lakh out of Display and the weakest Paid Social placements into Paid Search and cart-abandonment retargeting — where we already know the audience converts.</w:t>
      </w:r>
    </w:p>
    <w:p>
      <w:pPr>
        <w:spacing w:after="140" w:before="0" w:line="300"/>
        <w:jc w:val="left"/>
      </w:pPr>
      <w:r>
        <w:rPr>
          <w:rFonts w:ascii="Calibri" w:cs="Calibri" w:eastAsia="Calibri" w:hAnsi="Calibri"/>
          <w:b/>
          <w:bCs/>
          <w:color w:val="235447"/>
          <w:sz w:val="21"/>
          <w:szCs w:val="21"/>
        </w:rPr>
        <w:t xml:space="preserve">2.  Fix the checkout.  </w:t>
      </w:r>
      <w:r>
        <w:rPr>
          <w:rFonts w:ascii="Calibri" w:cs="Calibri" w:eastAsia="Calibri" w:hAnsi="Calibri"/>
          <w:color w:val="1F2A2E"/>
          <w:sz w:val="21"/>
          <w:szCs w:val="21"/>
        </w:rPr>
        <w:t xml:space="preserve">Cut friction on the highest-intent step (one-page checkout, UPI-first, trust signals) to lift checkout completion from 37.9% toward 48%, the single largest revenue lever on the site.</w:t>
      </w:r>
    </w:p>
    <w:p>
      <w:pPr>
        <w:spacing w:after="140" w:before="0" w:line="300"/>
        <w:jc w:val="left"/>
      </w:pPr>
      <w:r>
        <w:rPr>
          <w:rFonts w:ascii="Calibri" w:cs="Calibri" w:eastAsia="Calibri" w:hAnsi="Calibri"/>
          <w:b/>
          <w:bCs/>
          <w:color w:val="235447"/>
          <w:sz w:val="21"/>
          <w:szCs w:val="21"/>
        </w:rPr>
        <w:t xml:space="preserve">3.  Scale the owned lifecycle engine.  </w:t>
      </w:r>
      <w:r>
        <w:rPr>
          <w:rFonts w:ascii="Calibri" w:cs="Calibri" w:eastAsia="Calibri" w:hAnsi="Calibri"/>
          <w:color w:val="1F2A2E"/>
          <w:sz w:val="21"/>
          <w:szCs w:val="21"/>
        </w:rPr>
        <w:t xml:space="preserve">Build email/SMS flows and a structured referral loop to grow the two best-converting channels from 7.7% of sessions toward 12%.</w:t>
      </w:r>
    </w:p>
    <w:p>
      <w:pPr>
        <w:spacing w:after="140" w:before="0" w:line="300"/>
        <w:jc w:val="left"/>
      </w:pPr>
      <w:r>
        <w:rPr>
          <w:rFonts w:ascii="Calibri" w:cs="Calibri" w:eastAsia="Calibri" w:hAnsi="Calibri"/>
          <w:color w:val="6B7280"/>
          <w:sz w:val="21"/>
          <w:szCs w:val="21"/>
        </w:rPr>
        <w:t xml:space="preserve">Modelled together, these three moves represent roughly </w:t>
      </w:r>
      <w:r>
        <w:rPr>
          <w:rFonts w:ascii="Calibri" w:cs="Calibri" w:eastAsia="Calibri" w:hAnsi="Calibri"/>
          <w:b/>
          <w:bCs/>
          <w:color w:val="1F2A2E"/>
          <w:sz w:val="21"/>
          <w:szCs w:val="21"/>
        </w:rPr>
        <w:t xml:space="preserve">₹55–75 lakh</w:t>
      </w:r>
      <w:r>
        <w:rPr>
          <w:rFonts w:ascii="Calibri" w:cs="Calibri" w:eastAsia="Calibri" w:hAnsi="Calibri"/>
          <w:color w:val="6B7280"/>
          <w:sz w:val="21"/>
          <w:szCs w:val="21"/>
        </w:rPr>
        <w:t xml:space="preserve"> of incremental revenue over a comparable 30-day period at current spend levels. Sections 8 and 9 detail the assumptions and the 90-day sequence.</w:t>
      </w:r>
    </w:p>
    <w:p>
      <w:r>
        <w:br w:type="page"/>
      </w:r>
    </w:p>
    <w:p>
      <w:pPr>
        <w:pBdr>
          <w:bottom w:val="single" w:color="D9D5CC" w:sz="6" w:space="6"/>
        </w:pBdr>
        <w:spacing w:after="160" w:before="300"/>
      </w:pPr>
      <w:r>
        <w:rPr>
          <w:rFonts w:ascii="Calibri" w:cs="Calibri" w:eastAsia="Calibri" w:hAnsi="Calibri"/>
          <w:b/>
          <w:bCs/>
          <w:color w:val="235447"/>
          <w:sz w:val="30"/>
          <w:szCs w:val="30"/>
        </w:rPr>
        <w:t xml:space="preserve">2. Scope, Method &amp; How to Read This Report</w:t>
      </w:r>
    </w:p>
    <w:p>
      <w:pPr>
        <w:spacing w:after="140" w:before="0" w:line="300"/>
        <w:jc w:val="left"/>
      </w:pPr>
      <w:r>
        <w:rPr>
          <w:rFonts w:ascii="Calibri" w:cs="Calibri" w:eastAsia="Calibri" w:hAnsi="Calibri"/>
          <w:color w:val="1F2A2E"/>
          <w:sz w:val="21"/>
          <w:szCs w:val="21"/>
        </w:rPr>
        <w:t xml:space="preserve">This audit analyses one 30-day window (1–30 September 2026) of website and campaign data for the Kaaya Organics D2C store. It covers eight traffic sources and the three paid channels that carry media spend, and traces a five-stage purchase funnel from session to order.</w:t>
      </w:r>
    </w:p>
    <w:p>
      <w:pPr>
        <w:spacing w:after="140" w:before="0" w:line="300"/>
        <w:jc w:val="left"/>
      </w:pPr>
      <w:r>
        <w:rPr>
          <w:rFonts w:ascii="Calibri" w:cs="Calibri" w:eastAsia="Calibri" w:hAnsi="Calibri"/>
          <w:color w:val="1F2A2E"/>
          <w:sz w:val="21"/>
          <w:szCs w:val="21"/>
        </w:rPr>
        <w:t xml:space="preserve">All metrics are computed from a single channel-level dataset (sessions, bounce rate, conversion rate, AOV, media spend, impressions and clicks) held in the appendix. Nothing in this report is estimated beyond that dataset; every ratio — CTR, CPC, CPA, ROAS, ROI — is derived arithmetically from it.</w:t>
      </w:r>
    </w:p>
    <w:p>
      <w:pPr>
        <w:spacing w:after="100" w:before="220"/>
      </w:pPr>
      <w:r>
        <w:rPr>
          <w:rFonts w:ascii="Calibri" w:cs="Calibri" w:eastAsia="Calibri" w:hAnsi="Calibri"/>
          <w:b/>
          <w:bCs/>
          <w:color w:val="1F2A2E"/>
          <w:sz w:val="24"/>
          <w:szCs w:val="24"/>
        </w:rPr>
        <w:t xml:space="preserve">Definitions used throughout</w:t>
      </w:r>
    </w:p>
    <w:tbl>
      <w:tblPr>
        <w:tblW w:type="dxa" w:w="9746"/>
        <w:tblBorders>
          <w:top w:val="single" w:color="D9D5CC" w:sz="2"/>
          <w:left w:val="none" w:color="FFFFFF" w:sz="0"/>
          <w:bottom w:val="single" w:color="D9D5CC" w:sz="2"/>
          <w:right w:val="none" w:color="FFFFFF" w:sz="0"/>
          <w:insideH w:val="single" w:color="D9D5CC" w:sz="2"/>
          <w:insideV w:val="none" w:color="FFFFFF" w:sz="0"/>
        </w:tblBorders>
        <w:tblLayout w:type="fixed"/>
      </w:tblPr>
      <w:tblGrid>
        <w:gridCol w:w="2300"/>
        <w:gridCol w:w="7446"/>
      </w:tblGrid>
      <w:tr>
        <w:trPr>
          <w:tblHeader/>
        </w:trPr>
        <w:tc>
          <w:tcPr>
            <w:tcW w:type="dxa" w:w="230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Metric</w:t>
            </w:r>
          </w:p>
        </w:tc>
        <w:tc>
          <w:tcPr>
            <w:tcW w:type="dxa" w:w="7446"/>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Definition</w:t>
            </w:r>
          </w:p>
        </w:tc>
      </w:tr>
      <w:tr>
        <w:tc>
          <w:tcPr>
            <w:tcW w:type="dxa" w:w="230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CTR</w:t>
            </w:r>
          </w:p>
        </w:tc>
        <w:tc>
          <w:tcPr>
            <w:tcW w:type="dxa" w:w="74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Click-through rate — clicks ÷ impressions</w:t>
            </w:r>
          </w:p>
        </w:tc>
      </w:tr>
      <w:tr>
        <w:tc>
          <w:tcPr>
            <w:tcW w:type="dxa" w:w="23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CPC</w:t>
            </w:r>
          </w:p>
        </w:tc>
        <w:tc>
          <w:tcPr>
            <w:tcW w:type="dxa" w:w="7446"/>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Cost per click — media spend ÷ clicks</w:t>
            </w:r>
          </w:p>
        </w:tc>
      </w:tr>
      <w:tr>
        <w:tc>
          <w:tcPr>
            <w:tcW w:type="dxa" w:w="230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CPA</w:t>
            </w:r>
          </w:p>
        </w:tc>
        <w:tc>
          <w:tcPr>
            <w:tcW w:type="dxa" w:w="74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Cost per acquisition — media spend ÷ orders</w:t>
            </w:r>
          </w:p>
        </w:tc>
      </w:tr>
      <w:tr>
        <w:tc>
          <w:tcPr>
            <w:tcW w:type="dxa" w:w="23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ROAS</w:t>
            </w:r>
          </w:p>
        </w:tc>
        <w:tc>
          <w:tcPr>
            <w:tcW w:type="dxa" w:w="7446"/>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Return on ad spend — attributed revenue ÷ media spend</w:t>
            </w:r>
          </w:p>
        </w:tc>
      </w:tr>
      <w:tr>
        <w:tc>
          <w:tcPr>
            <w:tcW w:type="dxa" w:w="230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ROI</w:t>
            </w:r>
          </w:p>
        </w:tc>
        <w:tc>
          <w:tcPr>
            <w:tcW w:type="dxa" w:w="74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(Attributed revenue − media spend) ÷ media spend</w:t>
            </w:r>
          </w:p>
        </w:tc>
      </w:tr>
      <w:tr>
        <w:tc>
          <w:tcPr>
            <w:tcW w:type="dxa" w:w="23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Bounce rate</w:t>
            </w:r>
          </w:p>
        </w:tc>
        <w:tc>
          <w:tcPr>
            <w:tcW w:type="dxa" w:w="7446"/>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Share of sessions that end without interaction</w:t>
            </w:r>
          </w:p>
        </w:tc>
      </w:tr>
      <w:tr>
        <w:tc>
          <w:tcPr>
            <w:tcW w:type="dxa" w:w="230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AOV</w:t>
            </w:r>
          </w:p>
        </w:tc>
        <w:tc>
          <w:tcPr>
            <w:tcW w:type="dxa" w:w="74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Average order value — revenue ÷ orders</w:t>
            </w:r>
          </w:p>
        </w:tc>
      </w:tr>
    </w:tbl>
    <w:p>
      <w:pPr>
        <w:spacing w:after="0" w:before="200"/>
      </w:pPr>
    </w:p>
    <w:tbl>
      <w:tblPr>
        <w:tblW w:type="dxa" w:w="9026"/>
        <w:tblBorders>
          <w:top w:val="none"/>
          <w:left w:val="single" w:color="B9821C" w:sz="18"/>
          <w:bottom w:val="none"/>
          <w:right w:val="none"/>
          <w:insideH w:val="none"/>
          <w:insideV w:val="none"/>
        </w:tblBorders>
      </w:tblPr>
      <w:tblGrid>
        <w:gridCol w:w="9026"/>
      </w:tblGrid>
      <w:tr>
        <w:tc>
          <w:tcPr>
            <w:tcW w:type="dxa" w:w="9026"/>
            <w:shd w:fill="F4F1EA" w:color="auto" w:val="clear"/>
            <w:tcMar>
              <w:top w:type="dxa" w:w="140"/>
              <w:left w:type="dxa" w:w="200"/>
              <w:bottom w:type="dxa" w:w="140"/>
              <w:right w:type="dxa" w:w="160"/>
            </w:tcMar>
          </w:tcPr>
          <w:p>
            <w:pPr>
              <w:spacing w:after="60"/>
            </w:pPr>
            <w:r>
              <w:rPr>
                <w:rFonts w:ascii="Calibri" w:cs="Calibri" w:eastAsia="Calibri" w:hAnsi="Calibri"/>
                <w:b/>
                <w:bCs/>
                <w:color w:val="B9821C"/>
                <w:sz w:val="20"/>
                <w:szCs w:val="20"/>
              </w:rPr>
              <w:t xml:space="preserve">A note on the data</w:t>
            </w:r>
          </w:p>
          <w:p>
            <w:pPr>
              <w:spacing w:after="0" w:line="290"/>
            </w:pPr>
            <w:r>
              <w:rPr>
                <w:rFonts w:ascii="Calibri" w:cs="Calibri" w:eastAsia="Calibri" w:hAnsi="Calibri"/>
                <w:color w:val="1F2A2E"/>
                <w:sz w:val="19"/>
                <w:szCs w:val="19"/>
              </w:rPr>
              <w:t xml:space="preserve">The dataset in this report is a representative synthetic sample built to mirror the shape of a mid-size Indian D2C skincare brand — seasonality, channel economics and funnel drop-offs are realistic, but the numbers are illustrative. It is intended to demonstrate analytical method and executive communication, not to state Kaaya Organics' actual trading results.</w:t>
            </w:r>
          </w:p>
        </w:tc>
      </w:tr>
    </w:tbl>
    <w:p>
      <w:r>
        <w:br w:type="page"/>
      </w:r>
    </w:p>
    <w:p>
      <w:pPr>
        <w:pBdr>
          <w:bottom w:val="single" w:color="D9D5CC" w:sz="6" w:space="6"/>
        </w:pBdr>
        <w:spacing w:after="160" w:before="300"/>
      </w:pPr>
      <w:r>
        <w:rPr>
          <w:rFonts w:ascii="Calibri" w:cs="Calibri" w:eastAsia="Calibri" w:hAnsi="Calibri"/>
          <w:b/>
          <w:bCs/>
          <w:color w:val="235447"/>
          <w:sz w:val="30"/>
          <w:szCs w:val="30"/>
        </w:rPr>
        <w:t xml:space="preserve">3. Traffic Sources — Where the Audience Comes From</w:t>
      </w:r>
    </w:p>
    <w:p>
      <w:pPr>
        <w:spacing w:after="140" w:before="0" w:line="300"/>
        <w:jc w:val="left"/>
      </w:pPr>
      <w:r>
        <w:rPr>
          <w:rFonts w:ascii="Calibri" w:cs="Calibri" w:eastAsia="Calibri" w:hAnsi="Calibri"/>
          <w:color w:val="1F2A2E"/>
          <w:sz w:val="21"/>
          <w:szCs w:val="21"/>
        </w:rPr>
        <w:t xml:space="preserve">Organic Search is the backbone of the acquisition mix, delivering 92,000 sessions (30.8% of traffic) at the lowest cost of any meaningful channel. Paid Social (58,000 sessions) and Paid Search (46,000) follow, together contributing a further third of traffic. The remainder is spread across Direct, Display, Organic Social, Email and Referral.</w:t>
      </w:r>
    </w:p>
    <w:p>
      <w:pPr>
        <w:spacing w:after="4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71825"/>
                    </a:xfrm>
                    <a:prstGeom prst="rect">
                      <a:avLst/>
                    </a:prstGeom>
                  </pic:spPr>
                </pic:pic>
              </a:graphicData>
            </a:graphic>
          </wp:inline>
        </w:drawing>
      </w:r>
    </w:p>
    <w:p>
      <w:pPr>
        <w:spacing w:after="200" w:before="60"/>
        <w:jc w:val="left"/>
      </w:pPr>
      <w:r>
        <w:rPr>
          <w:rFonts w:ascii="Calibri" w:cs="Calibri" w:eastAsia="Calibri" w:hAnsi="Calibri"/>
          <w:i/>
          <w:iCs/>
          <w:color w:val="6B7280"/>
          <w:sz w:val="17"/>
          <w:szCs w:val="17"/>
        </w:rPr>
        <w:t xml:space="preserve">Figure 1 — Sessions by source, 30 days to 30 Sep 2026.</w:t>
      </w:r>
    </w:p>
    <w:p>
      <w:pPr>
        <w:spacing w:after="140" w:before="0" w:line="300"/>
        <w:jc w:val="left"/>
      </w:pPr>
      <w:r>
        <w:rPr>
          <w:rFonts w:ascii="Calibri" w:cs="Calibri" w:eastAsia="Calibri" w:hAnsi="Calibri"/>
          <w:color w:val="1F2A2E"/>
          <w:sz w:val="21"/>
          <w:szCs w:val="21"/>
        </w:rPr>
        <w:t xml:space="preserve">The mix matters more than the totals. The two channels with the weakest downstream economics — Paid Social and Display — together account for 82,000 sessions (27.4%) and ₹11.90 lakh of spend. The two strongest converters, Email and Referral, contribute just 23,000 sessions (7.7%). Traffic volume and traffic value are pointing in opposite directions, which is the central tension this audit addresses.</w:t>
      </w:r>
    </w:p>
    <w:p>
      <w:pPr>
        <w:spacing w:after="120" w:before="160"/>
      </w:pPr>
      <w:r>
        <w:rPr>
          <w:rFonts w:ascii="Calibri" w:cs="Calibri" w:eastAsia="Calibri" w:hAnsi="Calibri"/>
          <w:b/>
          <w:bCs/>
          <w:color w:val="1F2A2E"/>
          <w:sz w:val="22"/>
          <w:szCs w:val="22"/>
        </w:rPr>
        <w:t xml:space="preserve">Traffic source summary</w:t>
      </w:r>
    </w:p>
    <w:tbl>
      <w:tblPr>
        <w:tblW w:type="dxa" w:w="9746"/>
        <w:tblBorders>
          <w:top w:val="single" w:color="D9D5CC" w:sz="2"/>
          <w:left w:val="none" w:color="FFFFFF" w:sz="0"/>
          <w:bottom w:val="single" w:color="D9D5CC" w:sz="2"/>
          <w:right w:val="none" w:color="FFFFFF" w:sz="0"/>
          <w:insideH w:val="single" w:color="D9D5CC" w:sz="2"/>
          <w:insideV w:val="none" w:color="FFFFFF" w:sz="0"/>
        </w:tblBorders>
        <w:tblLayout w:type="fixed"/>
      </w:tblPr>
      <w:tblGrid>
        <w:gridCol w:w="1800"/>
        <w:gridCol w:w="1300"/>
        <w:gridCol w:w="1150"/>
        <w:gridCol w:w="1250"/>
        <w:gridCol w:w="1400"/>
        <w:gridCol w:w="1250"/>
        <w:gridCol w:w="1596"/>
      </w:tblGrid>
      <w:tr>
        <w:trPr>
          <w:tblHeader/>
        </w:trPr>
        <w:tc>
          <w:tcPr>
            <w:tcW w:type="dxa" w:w="180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Channel</w:t>
            </w:r>
          </w:p>
        </w:tc>
        <w:tc>
          <w:tcPr>
            <w:tcW w:type="dxa" w:w="13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Sessions</w:t>
            </w:r>
          </w:p>
        </w:tc>
        <w:tc>
          <w:tcPr>
            <w:tcW w:type="dxa" w:w="115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Share</w:t>
            </w:r>
          </w:p>
        </w:tc>
        <w:tc>
          <w:tcPr>
            <w:tcW w:type="dxa" w:w="125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Bounce</w:t>
            </w:r>
          </w:p>
        </w:tc>
        <w:tc>
          <w:tcPr>
            <w:tcW w:type="dxa" w:w="14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Conv. rate</w:t>
            </w:r>
          </w:p>
        </w:tc>
        <w:tc>
          <w:tcPr>
            <w:tcW w:type="dxa" w:w="125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Orders</w:t>
            </w:r>
          </w:p>
        </w:tc>
        <w:tc>
          <w:tcPr>
            <w:tcW w:type="dxa" w:w="1596"/>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Revenue</w:t>
            </w:r>
          </w:p>
        </w:tc>
      </w:tr>
      <w:tr>
        <w:tc>
          <w:tcPr>
            <w:tcW w:type="dxa" w:w="18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Organic Search</w:t>
            </w:r>
          </w:p>
        </w:tc>
        <w:tc>
          <w:tcPr>
            <w:tcW w:type="dxa" w:w="13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92,000</w:t>
            </w:r>
          </w:p>
        </w:tc>
        <w:tc>
          <w:tcPr>
            <w:tcW w:type="dxa" w:w="11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30.8%</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41%</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2.6%</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2,392</w:t>
            </w:r>
          </w:p>
        </w:tc>
        <w:tc>
          <w:tcPr>
            <w:tcW w:type="dxa" w:w="159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₹44,25,200</w:t>
            </w:r>
          </w:p>
        </w:tc>
      </w:tr>
      <w:tr>
        <w:tc>
          <w:tcPr>
            <w:tcW w:type="dxa" w:w="18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Paid Social</w:t>
            </w:r>
          </w:p>
        </w:tc>
        <w:tc>
          <w:tcPr>
            <w:tcW w:type="dxa" w:w="13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58,000</w:t>
            </w:r>
          </w:p>
        </w:tc>
        <w:tc>
          <w:tcPr>
            <w:tcW w:type="dxa" w:w="11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19.4%</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68%</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1.2%</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696</w:t>
            </w:r>
          </w:p>
        </w:tc>
        <w:tc>
          <w:tcPr>
            <w:tcW w:type="dxa" w:w="159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₹11,83,200</w:t>
            </w:r>
          </w:p>
        </w:tc>
      </w:tr>
      <w:tr>
        <w:tc>
          <w:tcPr>
            <w:tcW w:type="dxa" w:w="18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Paid Search</w:t>
            </w:r>
          </w:p>
        </w:tc>
        <w:tc>
          <w:tcPr>
            <w:tcW w:type="dxa" w:w="13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46,000</w:t>
            </w:r>
          </w:p>
        </w:tc>
        <w:tc>
          <w:tcPr>
            <w:tcW w:type="dxa" w:w="11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15.4%</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48%</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3.1%</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1,426</w:t>
            </w:r>
          </w:p>
        </w:tc>
        <w:tc>
          <w:tcPr>
            <w:tcW w:type="dxa" w:w="159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₹29,94,600</w:t>
            </w:r>
          </w:p>
        </w:tc>
      </w:tr>
      <w:tr>
        <w:tc>
          <w:tcPr>
            <w:tcW w:type="dxa" w:w="18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Direct</w:t>
            </w:r>
          </w:p>
        </w:tc>
        <w:tc>
          <w:tcPr>
            <w:tcW w:type="dxa" w:w="13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38,000</w:t>
            </w:r>
          </w:p>
        </w:tc>
        <w:tc>
          <w:tcPr>
            <w:tcW w:type="dxa" w:w="11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12.7%</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35%</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3.4%</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1,292</w:t>
            </w:r>
          </w:p>
        </w:tc>
        <w:tc>
          <w:tcPr>
            <w:tcW w:type="dxa" w:w="159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₹26,48,600</w:t>
            </w:r>
          </w:p>
        </w:tc>
      </w:tr>
      <w:tr>
        <w:tc>
          <w:tcPr>
            <w:tcW w:type="dxa" w:w="18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Display</w:t>
            </w:r>
          </w:p>
        </w:tc>
        <w:tc>
          <w:tcPr>
            <w:tcW w:type="dxa" w:w="13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24,000</w:t>
            </w:r>
          </w:p>
        </w:tc>
        <w:tc>
          <w:tcPr>
            <w:tcW w:type="dxa" w:w="11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8.0%</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81%</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0.4%</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96</w:t>
            </w:r>
          </w:p>
        </w:tc>
        <w:tc>
          <w:tcPr>
            <w:tcW w:type="dxa" w:w="159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₹1,44,000</w:t>
            </w:r>
          </w:p>
        </w:tc>
      </w:tr>
      <w:tr>
        <w:tc>
          <w:tcPr>
            <w:tcW w:type="dxa" w:w="18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Organic Social</w:t>
            </w:r>
          </w:p>
        </w:tc>
        <w:tc>
          <w:tcPr>
            <w:tcW w:type="dxa" w:w="13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18,000</w:t>
            </w:r>
          </w:p>
        </w:tc>
        <w:tc>
          <w:tcPr>
            <w:tcW w:type="dxa" w:w="11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6.0%</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72%</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0.9%</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162</w:t>
            </w:r>
          </w:p>
        </w:tc>
        <w:tc>
          <w:tcPr>
            <w:tcW w:type="dxa" w:w="159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₹2,59,200</w:t>
            </w:r>
          </w:p>
        </w:tc>
      </w:tr>
      <w:tr>
        <w:tc>
          <w:tcPr>
            <w:tcW w:type="dxa" w:w="18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Email</w:t>
            </w:r>
          </w:p>
        </w:tc>
        <w:tc>
          <w:tcPr>
            <w:tcW w:type="dxa" w:w="13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14,000</w:t>
            </w:r>
          </w:p>
        </w:tc>
        <w:tc>
          <w:tcPr>
            <w:tcW w:type="dxa" w:w="11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4.7%</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22%</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6.8%</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952</w:t>
            </w:r>
          </w:p>
        </w:tc>
        <w:tc>
          <w:tcPr>
            <w:tcW w:type="dxa" w:w="159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₹21,89,600</w:t>
            </w:r>
          </w:p>
        </w:tc>
      </w:tr>
      <w:tr>
        <w:tc>
          <w:tcPr>
            <w:tcW w:type="dxa" w:w="18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Referral</w:t>
            </w:r>
          </w:p>
        </w:tc>
        <w:tc>
          <w:tcPr>
            <w:tcW w:type="dxa" w:w="13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9,000</w:t>
            </w:r>
          </w:p>
        </w:tc>
        <w:tc>
          <w:tcPr>
            <w:tcW w:type="dxa" w:w="11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3.0%</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44%</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3.8%</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342</w:t>
            </w:r>
          </w:p>
        </w:tc>
        <w:tc>
          <w:tcPr>
            <w:tcW w:type="dxa" w:w="159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₹7,52,400</w:t>
            </w:r>
          </w:p>
        </w:tc>
      </w:tr>
    </w:tbl>
    <w:p>
      <w:pPr>
        <w:spacing w:after="200" w:before="60"/>
        <w:jc w:val="left"/>
      </w:pPr>
      <w:r>
        <w:rPr>
          <w:rFonts w:ascii="Calibri" w:cs="Calibri" w:eastAsia="Calibri" w:hAnsi="Calibri"/>
          <w:i/>
          <w:iCs/>
          <w:color w:val="6B7280"/>
          <w:sz w:val="17"/>
          <w:szCs w:val="17"/>
        </w:rPr>
        <w:t xml:space="preserve">Table 1 — Traffic, engagement and output by source.</w:t>
      </w:r>
    </w:p>
    <w:p>
      <w:r>
        <w:br w:type="page"/>
      </w:r>
    </w:p>
    <w:p>
      <w:pPr>
        <w:pBdr>
          <w:bottom w:val="single" w:color="D9D5CC" w:sz="6" w:space="6"/>
        </w:pBdr>
        <w:spacing w:after="160" w:before="300"/>
      </w:pPr>
      <w:r>
        <w:rPr>
          <w:rFonts w:ascii="Calibri" w:cs="Calibri" w:eastAsia="Calibri" w:hAnsi="Calibri"/>
          <w:b/>
          <w:bCs/>
          <w:color w:val="235447"/>
          <w:sz w:val="30"/>
          <w:szCs w:val="30"/>
        </w:rPr>
        <w:t xml:space="preserve">4. Engagement — Bounce Rate as a Quality Signal</w:t>
      </w:r>
    </w:p>
    <w:p>
      <w:pPr>
        <w:spacing w:after="140" w:before="0" w:line="300"/>
        <w:jc w:val="left"/>
      </w:pPr>
      <w:r>
        <w:rPr>
          <w:rFonts w:ascii="Calibri" w:cs="Calibri" w:eastAsia="Calibri" w:hAnsi="Calibri"/>
          <w:color w:val="1F2A2E"/>
          <w:sz w:val="21"/>
          <w:szCs w:val="21"/>
        </w:rPr>
        <w:t xml:space="preserve">The site-wide bounce rate is 50.8%, but the channel spread runs from 22% (Email) to 81% (Display) — a 59-point gap that tells us far more about traffic quality than the blended figure does.</w:t>
      </w:r>
    </w:p>
    <w:p>
      <w:pPr>
        <w:spacing w:after="40" w:before="120"/>
        <w:jc w:val="center"/>
      </w:pPr>
      <w:r>
        <w:drawing>
          <wp:inline distT="0" distB="0" distL="0" distR="0">
            <wp:extent cx="5715000" cy="2266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66950"/>
                    </a:xfrm>
                    <a:prstGeom prst="rect">
                      <a:avLst/>
                    </a:prstGeom>
                  </pic:spPr>
                </pic:pic>
              </a:graphicData>
            </a:graphic>
          </wp:inline>
        </w:drawing>
      </w:r>
    </w:p>
    <w:p>
      <w:pPr>
        <w:spacing w:after="200" w:before="60"/>
        <w:jc w:val="left"/>
      </w:pPr>
      <w:r>
        <w:rPr>
          <w:rFonts w:ascii="Calibri" w:cs="Calibri" w:eastAsia="Calibri" w:hAnsi="Calibri"/>
          <w:i/>
          <w:iCs/>
          <w:color w:val="6B7280"/>
          <w:sz w:val="17"/>
          <w:szCs w:val="17"/>
        </w:rPr>
        <w:t xml:space="preserve">Figure 2 — Conversion rate (left) and bounce rate (right) by channel.</w:t>
      </w:r>
    </w:p>
    <w:p>
      <w:pPr>
        <w:spacing w:after="140" w:before="0" w:line="300"/>
        <w:jc w:val="left"/>
      </w:pPr>
      <w:r>
        <w:rPr>
          <w:rFonts w:ascii="Calibri" w:cs="Calibri" w:eastAsia="Calibri" w:hAnsi="Calibri"/>
          <w:color w:val="1F2A2E"/>
          <w:sz w:val="21"/>
          <w:szCs w:val="21"/>
        </w:rPr>
        <w:t xml:space="preserve">Channels that acquire an audience with existing intent behave very differently from those that interrupt one. Email (22%), Direct (35%) and Organic Search (41%) sit well below the site average, while Display (81%), Organic Social (72%) and Paid Social (68%) sit far above it. High bounce is not automatically bad — a first-touch awareness visit may legitimately bounce — but when it is combined with a low conversion rate it becomes evidence that the traffic is the wrong traffic.</w:t>
      </w:r>
    </w:p>
    <w:tbl>
      <w:tblPr>
        <w:tblW w:type="dxa" w:w="9026"/>
        <w:tblBorders>
          <w:top w:val="none"/>
          <w:left w:val="single" w:color="C97B4A" w:sz="18"/>
          <w:bottom w:val="none"/>
          <w:right w:val="none"/>
          <w:insideH w:val="none"/>
          <w:insideV w:val="none"/>
        </w:tblBorders>
      </w:tblPr>
      <w:tblGrid>
        <w:gridCol w:w="9026"/>
      </w:tblGrid>
      <w:tr>
        <w:tc>
          <w:tcPr>
            <w:tcW w:type="dxa" w:w="9026"/>
            <w:shd w:fill="F4F1EA" w:color="auto" w:val="clear"/>
            <w:tcMar>
              <w:top w:type="dxa" w:w="140"/>
              <w:left w:type="dxa" w:w="200"/>
              <w:bottom w:type="dxa" w:w="140"/>
              <w:right w:type="dxa" w:w="160"/>
            </w:tcMar>
          </w:tcPr>
          <w:p>
            <w:pPr>
              <w:spacing w:after="60"/>
            </w:pPr>
            <w:r>
              <w:rPr>
                <w:rFonts w:ascii="Calibri" w:cs="Calibri" w:eastAsia="Calibri" w:hAnsi="Calibri"/>
                <w:b/>
                <w:bCs/>
                <w:color w:val="C97B4A"/>
                <w:sz w:val="20"/>
                <w:szCs w:val="20"/>
              </w:rPr>
              <w:t xml:space="preserve">The pattern to watch</w:t>
            </w:r>
          </w:p>
          <w:p>
            <w:pPr>
              <w:spacing w:after="0" w:line="290"/>
            </w:pPr>
            <w:r>
              <w:rPr>
                <w:rFonts w:ascii="Calibri" w:cs="Calibri" w:eastAsia="Calibri" w:hAnsi="Calibri"/>
                <w:color w:val="1F2A2E"/>
                <w:sz w:val="19"/>
                <w:szCs w:val="19"/>
              </w:rPr>
              <w:t xml:space="preserve">Bounce rate and conversion rate are inversely related across almost every channel. Display and Organic Social pair the highest bounce rates (81%, 72%) with the lowest conversion rates (0.4%, 0.9%). Email pairs the lowest bounce (22%) with the highest conversion (6.8%). The lesson: buy fewer, better-matched clicks rather than more cheap ones.</w:t>
            </w:r>
          </w:p>
        </w:tc>
      </w:tr>
    </w:tbl>
    <w:p>
      <w:r>
        <w:br w:type="page"/>
      </w:r>
    </w:p>
    <w:p>
      <w:pPr>
        <w:pBdr>
          <w:bottom w:val="single" w:color="D9D5CC" w:sz="6" w:space="6"/>
        </w:pBdr>
        <w:spacing w:after="160" w:before="300"/>
      </w:pPr>
      <w:r>
        <w:rPr>
          <w:rFonts w:ascii="Calibri" w:cs="Calibri" w:eastAsia="Calibri" w:hAnsi="Calibri"/>
          <w:b/>
          <w:bCs/>
          <w:color w:val="235447"/>
          <w:sz w:val="30"/>
          <w:szCs w:val="30"/>
        </w:rPr>
        <w:t xml:space="preserve">5. Conversion Rate — Output by Channel</w:t>
      </w:r>
    </w:p>
    <w:p>
      <w:pPr>
        <w:spacing w:after="140" w:before="0" w:line="300"/>
        <w:jc w:val="left"/>
      </w:pPr>
      <w:r>
        <w:rPr>
          <w:rFonts w:ascii="Calibri" w:cs="Calibri" w:eastAsia="Calibri" w:hAnsi="Calibri"/>
          <w:color w:val="1F2A2E"/>
          <w:sz w:val="21"/>
          <w:szCs w:val="21"/>
        </w:rPr>
        <w:t xml:space="preserve">Blended conversion is 2.46%, but that average conceals a five-fold spread. Email converts at 6.8%, Referral at 3.8% and Direct at 3.4%; at the other end, Organic Social manages 0.9% and Display 0.4%. The channels above the site average are exactly the ones we are under-investing in.</w:t>
      </w:r>
    </w:p>
    <w:tbl>
      <w:tblPr>
        <w:tblW w:type="dxa" w:w="9746"/>
        <w:tblBorders>
          <w:top w:val="single" w:color="D9D5CC" w:sz="2"/>
          <w:left w:val="none" w:color="FFFFFF" w:sz="0"/>
          <w:bottom w:val="single" w:color="D9D5CC" w:sz="2"/>
          <w:right w:val="none" w:color="FFFFFF" w:sz="0"/>
          <w:insideH w:val="single" w:color="D9D5CC" w:sz="2"/>
          <w:insideV w:val="none" w:color="FFFFFF" w:sz="0"/>
        </w:tblBorders>
        <w:tblLayout w:type="fixed"/>
      </w:tblPr>
      <w:tblGrid>
        <w:gridCol w:w="1800"/>
        <w:gridCol w:w="1300"/>
        <w:gridCol w:w="1250"/>
        <w:gridCol w:w="1400"/>
        <w:gridCol w:w="1250"/>
        <w:gridCol w:w="1450"/>
        <w:gridCol w:w="1296"/>
      </w:tblGrid>
      <w:tr>
        <w:trPr>
          <w:tblHeader/>
        </w:trPr>
        <w:tc>
          <w:tcPr>
            <w:tcW w:type="dxa" w:w="180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Channel</w:t>
            </w:r>
          </w:p>
        </w:tc>
        <w:tc>
          <w:tcPr>
            <w:tcW w:type="dxa" w:w="13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Sessions</w:t>
            </w:r>
          </w:p>
        </w:tc>
        <w:tc>
          <w:tcPr>
            <w:tcW w:type="dxa" w:w="125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Orders</w:t>
            </w:r>
          </w:p>
        </w:tc>
        <w:tc>
          <w:tcPr>
            <w:tcW w:type="dxa" w:w="14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Conv. rate</w:t>
            </w:r>
          </w:p>
        </w:tc>
        <w:tc>
          <w:tcPr>
            <w:tcW w:type="dxa" w:w="125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AOV</w:t>
            </w:r>
          </w:p>
        </w:tc>
        <w:tc>
          <w:tcPr>
            <w:tcW w:type="dxa" w:w="145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Revenue</w:t>
            </w:r>
          </w:p>
        </w:tc>
        <w:tc>
          <w:tcPr>
            <w:tcW w:type="dxa" w:w="1296"/>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Revenue / session</w:t>
            </w:r>
          </w:p>
        </w:tc>
      </w:tr>
      <w:tr>
        <w:tc>
          <w:tcPr>
            <w:tcW w:type="dxa" w:w="18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Email</w:t>
            </w:r>
          </w:p>
        </w:tc>
        <w:tc>
          <w:tcPr>
            <w:tcW w:type="dxa" w:w="13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14,000</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952</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6.8%</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₹2,300</w:t>
            </w:r>
          </w:p>
        </w:tc>
        <w:tc>
          <w:tcPr>
            <w:tcW w:type="dxa" w:w="14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₹21,89,600</w:t>
            </w:r>
          </w:p>
        </w:tc>
        <w:tc>
          <w:tcPr>
            <w:tcW w:type="dxa" w:w="129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₹156</w:t>
            </w:r>
          </w:p>
        </w:tc>
      </w:tr>
      <w:tr>
        <w:tc>
          <w:tcPr>
            <w:tcW w:type="dxa" w:w="18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Referral</w:t>
            </w:r>
          </w:p>
        </w:tc>
        <w:tc>
          <w:tcPr>
            <w:tcW w:type="dxa" w:w="13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9,000</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342</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3.8%</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₹2,200</w:t>
            </w:r>
          </w:p>
        </w:tc>
        <w:tc>
          <w:tcPr>
            <w:tcW w:type="dxa" w:w="14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₹7,52,400</w:t>
            </w:r>
          </w:p>
        </w:tc>
        <w:tc>
          <w:tcPr>
            <w:tcW w:type="dxa" w:w="129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₹84</w:t>
            </w:r>
          </w:p>
        </w:tc>
      </w:tr>
      <w:tr>
        <w:tc>
          <w:tcPr>
            <w:tcW w:type="dxa" w:w="18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Direct</w:t>
            </w:r>
          </w:p>
        </w:tc>
        <w:tc>
          <w:tcPr>
            <w:tcW w:type="dxa" w:w="13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38,000</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1,292</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3.4%</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₹2,050</w:t>
            </w:r>
          </w:p>
        </w:tc>
        <w:tc>
          <w:tcPr>
            <w:tcW w:type="dxa" w:w="14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₹26,48,600</w:t>
            </w:r>
          </w:p>
        </w:tc>
        <w:tc>
          <w:tcPr>
            <w:tcW w:type="dxa" w:w="129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₹70</w:t>
            </w:r>
          </w:p>
        </w:tc>
      </w:tr>
      <w:tr>
        <w:tc>
          <w:tcPr>
            <w:tcW w:type="dxa" w:w="18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Paid Search</w:t>
            </w:r>
          </w:p>
        </w:tc>
        <w:tc>
          <w:tcPr>
            <w:tcW w:type="dxa" w:w="13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46,000</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1,426</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3.1%</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₹2,100</w:t>
            </w:r>
          </w:p>
        </w:tc>
        <w:tc>
          <w:tcPr>
            <w:tcW w:type="dxa" w:w="14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₹29,94,600</w:t>
            </w:r>
          </w:p>
        </w:tc>
        <w:tc>
          <w:tcPr>
            <w:tcW w:type="dxa" w:w="129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₹65</w:t>
            </w:r>
          </w:p>
        </w:tc>
      </w:tr>
      <w:tr>
        <w:tc>
          <w:tcPr>
            <w:tcW w:type="dxa" w:w="18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Organic Search</w:t>
            </w:r>
          </w:p>
        </w:tc>
        <w:tc>
          <w:tcPr>
            <w:tcW w:type="dxa" w:w="13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92,000</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2,392</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2.6%</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₹1,850</w:t>
            </w:r>
          </w:p>
        </w:tc>
        <w:tc>
          <w:tcPr>
            <w:tcW w:type="dxa" w:w="14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₹44,25,200</w:t>
            </w:r>
          </w:p>
        </w:tc>
        <w:tc>
          <w:tcPr>
            <w:tcW w:type="dxa" w:w="129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₹48</w:t>
            </w:r>
          </w:p>
        </w:tc>
      </w:tr>
      <w:tr>
        <w:tc>
          <w:tcPr>
            <w:tcW w:type="dxa" w:w="18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Paid Social</w:t>
            </w:r>
          </w:p>
        </w:tc>
        <w:tc>
          <w:tcPr>
            <w:tcW w:type="dxa" w:w="13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58,000</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696</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1.2%</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₹1,700</w:t>
            </w:r>
          </w:p>
        </w:tc>
        <w:tc>
          <w:tcPr>
            <w:tcW w:type="dxa" w:w="14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₹11,83,200</w:t>
            </w:r>
          </w:p>
        </w:tc>
        <w:tc>
          <w:tcPr>
            <w:tcW w:type="dxa" w:w="129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₹20</w:t>
            </w:r>
          </w:p>
        </w:tc>
      </w:tr>
      <w:tr>
        <w:tc>
          <w:tcPr>
            <w:tcW w:type="dxa" w:w="18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Organic Social</w:t>
            </w:r>
          </w:p>
        </w:tc>
        <w:tc>
          <w:tcPr>
            <w:tcW w:type="dxa" w:w="13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18,000</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162</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0.9%</w:t>
            </w:r>
          </w:p>
        </w:tc>
        <w:tc>
          <w:tcPr>
            <w:tcW w:type="dxa" w:w="12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₹1,600</w:t>
            </w:r>
          </w:p>
        </w:tc>
        <w:tc>
          <w:tcPr>
            <w:tcW w:type="dxa" w:w="14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₹2,59,200</w:t>
            </w:r>
          </w:p>
        </w:tc>
        <w:tc>
          <w:tcPr>
            <w:tcW w:type="dxa" w:w="129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w:t>
            </w:r>
          </w:p>
        </w:tc>
      </w:tr>
      <w:tr>
        <w:tc>
          <w:tcPr>
            <w:tcW w:type="dxa" w:w="18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Display</w:t>
            </w:r>
          </w:p>
        </w:tc>
        <w:tc>
          <w:tcPr>
            <w:tcW w:type="dxa" w:w="13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24,000</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96</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0.4%</w:t>
            </w:r>
          </w:p>
        </w:tc>
        <w:tc>
          <w:tcPr>
            <w:tcW w:type="dxa" w:w="12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₹1,500</w:t>
            </w:r>
          </w:p>
        </w:tc>
        <w:tc>
          <w:tcPr>
            <w:tcW w:type="dxa" w:w="14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₹1,44,000</w:t>
            </w:r>
          </w:p>
        </w:tc>
        <w:tc>
          <w:tcPr>
            <w:tcW w:type="dxa" w:w="129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w:t>
            </w:r>
          </w:p>
        </w:tc>
      </w:tr>
    </w:tbl>
    <w:p>
      <w:pPr>
        <w:spacing w:after="200" w:before="60"/>
        <w:jc w:val="left"/>
      </w:pPr>
      <w:r>
        <w:rPr>
          <w:rFonts w:ascii="Calibri" w:cs="Calibri" w:eastAsia="Calibri" w:hAnsi="Calibri"/>
          <w:i/>
          <w:iCs/>
          <w:color w:val="6B7280"/>
          <w:sz w:val="17"/>
          <w:szCs w:val="17"/>
        </w:rPr>
        <w:t xml:space="preserve">Table 2 — Conversion output ranked by conversion rate. Revenue-per-session (right column) is the cleanest single measure of channel value.</w:t>
      </w:r>
    </w:p>
    <w:p>
      <w:pPr>
        <w:spacing w:after="140" w:before="0" w:line="300"/>
        <w:jc w:val="left"/>
      </w:pPr>
      <w:r>
        <w:rPr>
          <w:rFonts w:ascii="Calibri" w:cs="Calibri" w:eastAsia="Calibri" w:hAnsi="Calibri"/>
          <w:color w:val="1F2A2E"/>
          <w:sz w:val="21"/>
          <w:szCs w:val="21"/>
        </w:rPr>
        <w:t xml:space="preserve">Revenue per session sharpens the picture further. Email generates ₹156 of revenue for every session it sends; Referral ₹84; Direct ₹70. Paid Social, despite being our second-largest source of traffic, returns just ₹20 per session and Display ₹6. When a channel's cost per click (Section 7) is a multiple of what a session is worth, no amount of volume will make it work.</w:t>
      </w:r>
    </w:p>
    <w:p>
      <w:r>
        <w:br w:type="page"/>
      </w:r>
    </w:p>
    <w:p>
      <w:pPr>
        <w:pBdr>
          <w:bottom w:val="single" w:color="D9D5CC" w:sz="6" w:space="6"/>
        </w:pBdr>
        <w:spacing w:after="160" w:before="300"/>
      </w:pPr>
      <w:r>
        <w:rPr>
          <w:rFonts w:ascii="Calibri" w:cs="Calibri" w:eastAsia="Calibri" w:hAnsi="Calibri"/>
          <w:b/>
          <w:bCs/>
          <w:color w:val="235447"/>
          <w:sz w:val="30"/>
          <w:szCs w:val="30"/>
        </w:rPr>
        <w:t xml:space="preserve">6. Conversion Funnel — Where the Drop-Off Happens</w:t>
      </w:r>
    </w:p>
    <w:p>
      <w:pPr>
        <w:spacing w:after="140" w:before="0" w:line="300"/>
        <w:jc w:val="left"/>
      </w:pPr>
      <w:r>
        <w:rPr>
          <w:rFonts w:ascii="Calibri" w:cs="Calibri" w:eastAsia="Calibri" w:hAnsi="Calibri"/>
          <w:color w:val="1F2A2E"/>
          <w:sz w:val="21"/>
          <w:szCs w:val="21"/>
        </w:rPr>
        <w:t xml:space="preserve">Tracing the journey from session to order localises the single biggest opportunity on the site. The funnel narrows gradually at the top and then collapses at the bottom.</w:t>
      </w:r>
    </w:p>
    <w:p>
      <w:pPr>
        <w:spacing w:after="40" w:before="120"/>
        <w:jc w:val="center"/>
      </w:pPr>
      <w:r>
        <w:drawing>
          <wp:inline distT="0" distB="0" distL="0" distR="0">
            <wp:extent cx="5334000" cy="2724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24150"/>
                    </a:xfrm>
                    <a:prstGeom prst="rect">
                      <a:avLst/>
                    </a:prstGeom>
                  </pic:spPr>
                </pic:pic>
              </a:graphicData>
            </a:graphic>
          </wp:inline>
        </w:drawing>
      </w:r>
    </w:p>
    <w:p>
      <w:pPr>
        <w:spacing w:after="200" w:before="60"/>
        <w:jc w:val="left"/>
      </w:pPr>
      <w:r>
        <w:rPr>
          <w:rFonts w:ascii="Calibri" w:cs="Calibri" w:eastAsia="Calibri" w:hAnsi="Calibri"/>
          <w:i/>
          <w:iCs/>
          <w:color w:val="6B7280"/>
          <w:sz w:val="17"/>
          <w:szCs w:val="17"/>
        </w:rPr>
        <w:t xml:space="preserve">Figure 3 — Site-wide conversion funnel, session to purchase.</w:t>
      </w:r>
    </w:p>
    <w:tbl>
      <w:tblPr>
        <w:tblW w:type="dxa" w:w="9746"/>
        <w:tblBorders>
          <w:top w:val="single" w:color="D9D5CC" w:sz="2"/>
          <w:left w:val="none" w:color="FFFFFF" w:sz="0"/>
          <w:bottom w:val="single" w:color="D9D5CC" w:sz="2"/>
          <w:right w:val="none" w:color="FFFFFF" w:sz="0"/>
          <w:insideH w:val="single" w:color="D9D5CC" w:sz="2"/>
          <w:insideV w:val="none" w:color="FFFFFF" w:sz="0"/>
        </w:tblBorders>
        <w:tblLayout w:type="fixed"/>
      </w:tblPr>
      <w:tblGrid>
        <w:gridCol w:w="2600"/>
        <w:gridCol w:w="1650"/>
        <w:gridCol w:w="1750"/>
        <w:gridCol w:w="1900"/>
        <w:gridCol w:w="1846"/>
      </w:tblGrid>
      <w:tr>
        <w:trPr>
          <w:tblHeader/>
        </w:trPr>
        <w:tc>
          <w:tcPr>
            <w:tcW w:type="dxa" w:w="260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Funnel stage</w:t>
            </w:r>
          </w:p>
        </w:tc>
        <w:tc>
          <w:tcPr>
            <w:tcW w:type="dxa" w:w="165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Entered</w:t>
            </w:r>
          </w:p>
        </w:tc>
        <w:tc>
          <w:tcPr>
            <w:tcW w:type="dxa" w:w="175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 of sessions</w:t>
            </w:r>
          </w:p>
        </w:tc>
        <w:tc>
          <w:tcPr>
            <w:tcW w:type="dxa" w:w="19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Step conversion</w:t>
            </w:r>
          </w:p>
        </w:tc>
        <w:tc>
          <w:tcPr>
            <w:tcW w:type="dxa" w:w="1846"/>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Drop-off</w:t>
            </w:r>
          </w:p>
        </w:tc>
      </w:tr>
      <w:tr>
        <w:tc>
          <w:tcPr>
            <w:tcW w:type="dxa" w:w="26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Website Sessions</w:t>
            </w:r>
          </w:p>
        </w:tc>
        <w:tc>
          <w:tcPr>
            <w:tcW w:type="dxa" w:w="16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2,99,000</w:t>
            </w:r>
          </w:p>
        </w:tc>
        <w:tc>
          <w:tcPr>
            <w:tcW w:type="dxa" w:w="17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100.0%</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r>
      <w:tr>
        <w:tc>
          <w:tcPr>
            <w:tcW w:type="dxa" w:w="26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Product Page Views</w:t>
            </w:r>
          </w:p>
        </w:tc>
        <w:tc>
          <w:tcPr>
            <w:tcW w:type="dxa" w:w="16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1,85,000</w:t>
            </w:r>
          </w:p>
        </w:tc>
        <w:tc>
          <w:tcPr>
            <w:tcW w:type="dxa" w:w="17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61.9%</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61.9%</w:t>
            </w:r>
          </w:p>
        </w:tc>
        <w:tc>
          <w:tcPr>
            <w:tcW w:type="dxa" w:w="18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38.1%</w:t>
            </w:r>
          </w:p>
        </w:tc>
      </w:tr>
      <w:tr>
        <w:tc>
          <w:tcPr>
            <w:tcW w:type="dxa" w:w="26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Add to Cart</w:t>
            </w:r>
          </w:p>
        </w:tc>
        <w:tc>
          <w:tcPr>
            <w:tcW w:type="dxa" w:w="16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41,860</w:t>
            </w:r>
          </w:p>
        </w:tc>
        <w:tc>
          <w:tcPr>
            <w:tcW w:type="dxa" w:w="17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14.0%</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22.6%</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77.4%</w:t>
            </w:r>
          </w:p>
        </w:tc>
      </w:tr>
      <w:tr>
        <w:tc>
          <w:tcPr>
            <w:tcW w:type="dxa" w:w="26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Checkout Initiated</w:t>
            </w:r>
          </w:p>
        </w:tc>
        <w:tc>
          <w:tcPr>
            <w:tcW w:type="dxa" w:w="16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19,435</w:t>
            </w:r>
          </w:p>
        </w:tc>
        <w:tc>
          <w:tcPr>
            <w:tcW w:type="dxa" w:w="175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6.5%</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46.4%</w:t>
            </w:r>
          </w:p>
        </w:tc>
        <w:tc>
          <w:tcPr>
            <w:tcW w:type="dxa" w:w="18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53.6%</w:t>
            </w:r>
          </w:p>
        </w:tc>
      </w:tr>
      <w:tr>
        <w:tc>
          <w:tcPr>
            <w:tcW w:type="dxa" w:w="26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Purchase</w:t>
            </w:r>
          </w:p>
        </w:tc>
        <w:tc>
          <w:tcPr>
            <w:tcW w:type="dxa" w:w="16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7,358</w:t>
            </w:r>
          </w:p>
        </w:tc>
        <w:tc>
          <w:tcPr>
            <w:tcW w:type="dxa" w:w="175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2.5%</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37.9%</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62.1%</w:t>
            </w:r>
          </w:p>
        </w:tc>
      </w:tr>
    </w:tbl>
    <w:p>
      <w:pPr>
        <w:spacing w:after="200" w:before="60"/>
        <w:jc w:val="left"/>
      </w:pPr>
      <w:r>
        <w:rPr>
          <w:rFonts w:ascii="Calibri" w:cs="Calibri" w:eastAsia="Calibri" w:hAnsi="Calibri"/>
          <w:i/>
          <w:iCs/>
          <w:color w:val="6B7280"/>
          <w:sz w:val="17"/>
          <w:szCs w:val="17"/>
        </w:rPr>
        <w:t xml:space="preserve">Table 3 — Stage-by-stage funnel performance.</w:t>
      </w:r>
    </w:p>
    <w:p>
      <w:pPr>
        <w:spacing w:after="140" w:before="0" w:line="300"/>
        <w:jc w:val="left"/>
      </w:pPr>
      <w:r>
        <w:rPr>
          <w:rFonts w:ascii="Calibri" w:cs="Calibri" w:eastAsia="Calibri" w:hAnsi="Calibri"/>
          <w:color w:val="1F2A2E"/>
          <w:sz w:val="21"/>
          <w:szCs w:val="21"/>
        </w:rPr>
        <w:t xml:space="preserve">Two steps carry almost all of the loss. Product-to-cart converts at just 22.6% — the merchandising and product-page job. More importantly, checkout-to-purchase converts at only 37.9%, meaning roughly six in ten shoppers who have already committed to buy abandon at the final step. This is the highest-intent, highest-value traffic on the entire site, and we are losing the majority of it to friction, payment failures or price/trust hesitation at the last moment.</w:t>
      </w:r>
    </w:p>
    <w:tbl>
      <w:tblPr>
        <w:tblW w:type="dxa" w:w="9026"/>
        <w:tblBorders>
          <w:top w:val="none"/>
          <w:left w:val="single" w:color="2F6F5E" w:sz="18"/>
          <w:bottom w:val="none"/>
          <w:right w:val="none"/>
          <w:insideH w:val="none"/>
          <w:insideV w:val="none"/>
        </w:tblBorders>
      </w:tblPr>
      <w:tblGrid>
        <w:gridCol w:w="9026"/>
      </w:tblGrid>
      <w:tr>
        <w:tc>
          <w:tcPr>
            <w:tcW w:type="dxa" w:w="9026"/>
            <w:shd w:fill="F4F1EA" w:color="auto" w:val="clear"/>
            <w:tcMar>
              <w:top w:type="dxa" w:w="140"/>
              <w:left w:type="dxa" w:w="200"/>
              <w:bottom w:type="dxa" w:w="140"/>
              <w:right w:type="dxa" w:w="160"/>
            </w:tcMar>
          </w:tcPr>
          <w:p>
            <w:pPr>
              <w:spacing w:after="60"/>
            </w:pPr>
            <w:r>
              <w:rPr>
                <w:rFonts w:ascii="Calibri" w:cs="Calibri" w:eastAsia="Calibri" w:hAnsi="Calibri"/>
                <w:b/>
                <w:bCs/>
                <w:color w:val="2F6F5E"/>
                <w:sz w:val="20"/>
                <w:szCs w:val="20"/>
              </w:rPr>
              <w:t xml:space="preserve">Why this is the priority</w:t>
            </w:r>
          </w:p>
          <w:p>
            <w:pPr>
              <w:spacing w:after="0" w:line="290"/>
            </w:pPr>
            <w:r>
              <w:rPr>
                <w:rFonts w:ascii="Calibri" w:cs="Calibri" w:eastAsia="Calibri" w:hAnsi="Calibri"/>
                <w:color w:val="1F2A2E"/>
                <w:sz w:val="19"/>
                <w:szCs w:val="19"/>
              </w:rPr>
              <w:t xml:space="preserve">A shopper who reaches checkout has already chosen a product and decided to pay. Recovering them requires no additional media spend. Lifting checkout completion from 37.9% to 48% would add roughly 1,960 orders and ₹38.9 lakh in revenue in a comparable period — with essentially no incremental acquisition cost. No channel optimisation comes close to that leverage.</w:t>
            </w:r>
          </w:p>
        </w:tc>
      </w:tr>
    </w:tbl>
    <w:p>
      <w:r>
        <w:br w:type="page"/>
      </w:r>
    </w:p>
    <w:p>
      <w:pPr>
        <w:pBdr>
          <w:bottom w:val="single" w:color="D9D5CC" w:sz="6" w:space="6"/>
        </w:pBdr>
        <w:spacing w:after="160" w:before="300"/>
      </w:pPr>
      <w:r>
        <w:rPr>
          <w:rFonts w:ascii="Calibri" w:cs="Calibri" w:eastAsia="Calibri" w:hAnsi="Calibri"/>
          <w:b/>
          <w:bCs/>
          <w:color w:val="235447"/>
          <w:sz w:val="30"/>
          <w:szCs w:val="30"/>
        </w:rPr>
        <w:t xml:space="preserve">7. Paid Media Efficiency — CTR, CPC, CPA and ROI</w:t>
      </w:r>
    </w:p>
    <w:p>
      <w:pPr>
        <w:spacing w:after="140" w:before="0" w:line="300"/>
        <w:jc w:val="left"/>
      </w:pPr>
      <w:r>
        <w:rPr>
          <w:rFonts w:ascii="Calibri" w:cs="Calibri" w:eastAsia="Calibri" w:hAnsi="Calibri"/>
          <w:color w:val="1F2A2E"/>
          <w:sz w:val="21"/>
          <w:szCs w:val="21"/>
        </w:rPr>
        <w:t xml:space="preserve">The three paid channels tell three very different stories. Paid Search is a profitable workhorse, Paid Social is an expensive experiment running at scale, and Display is a structural loss.</w:t>
      </w:r>
    </w:p>
    <w:p>
      <w:pPr>
        <w:spacing w:after="40" w:before="120"/>
        <w:jc w:val="center"/>
      </w:pPr>
      <w:r>
        <w:drawing>
          <wp:inline distT="0" distB="0" distL="0" distR="0">
            <wp:extent cx="5905500" cy="1971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71675"/>
                    </a:xfrm>
                    <a:prstGeom prst="rect">
                      <a:avLst/>
                    </a:prstGeom>
                  </pic:spPr>
                </pic:pic>
              </a:graphicData>
            </a:graphic>
          </wp:inline>
        </w:drawing>
      </w:r>
    </w:p>
    <w:p>
      <w:pPr>
        <w:spacing w:after="200" w:before="60"/>
        <w:jc w:val="left"/>
      </w:pPr>
      <w:r>
        <w:rPr>
          <w:rFonts w:ascii="Calibri" w:cs="Calibri" w:eastAsia="Calibri" w:hAnsi="Calibri"/>
          <w:i/>
          <w:iCs/>
          <w:color w:val="6B7280"/>
          <w:sz w:val="17"/>
          <w:szCs w:val="17"/>
        </w:rPr>
        <w:t xml:space="preserve">Figure 4 — Cost per click, cost per acquisition and return on ad spend by paid channel.</w:t>
      </w:r>
    </w:p>
    <w:tbl>
      <w:tblPr>
        <w:tblW w:type="dxa" w:w="9746"/>
        <w:tblBorders>
          <w:top w:val="single" w:color="D9D5CC" w:sz="2"/>
          <w:left w:val="none" w:color="FFFFFF" w:sz="0"/>
          <w:bottom w:val="single" w:color="D9D5CC" w:sz="2"/>
          <w:right w:val="none" w:color="FFFFFF" w:sz="0"/>
          <w:insideH w:val="single" w:color="D9D5CC" w:sz="2"/>
          <w:insideV w:val="none" w:color="FFFFFF" w:sz="0"/>
        </w:tblBorders>
        <w:tblLayout w:type="fixed"/>
      </w:tblPr>
      <w:tblGrid>
        <w:gridCol w:w="2200"/>
        <w:gridCol w:w="1900"/>
        <w:gridCol w:w="1900"/>
        <w:gridCol w:w="1900"/>
        <w:gridCol w:w="1846"/>
      </w:tblGrid>
      <w:tr>
        <w:trPr>
          <w:tblHeader/>
        </w:trPr>
        <w:tc>
          <w:tcPr>
            <w:tcW w:type="dxa" w:w="220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Metric</w:t>
            </w:r>
          </w:p>
        </w:tc>
        <w:tc>
          <w:tcPr>
            <w:tcW w:type="dxa" w:w="19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Paid Search</w:t>
            </w:r>
          </w:p>
        </w:tc>
        <w:tc>
          <w:tcPr>
            <w:tcW w:type="dxa" w:w="19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Paid Social</w:t>
            </w:r>
          </w:p>
        </w:tc>
        <w:tc>
          <w:tcPr>
            <w:tcW w:type="dxa" w:w="19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Display</w:t>
            </w:r>
          </w:p>
        </w:tc>
        <w:tc>
          <w:tcPr>
            <w:tcW w:type="dxa" w:w="1846"/>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Blended</w:t>
            </w:r>
          </w:p>
        </w:tc>
      </w:tr>
      <w:tr>
        <w:tc>
          <w:tcPr>
            <w:tcW w:type="dxa" w:w="22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Media spend</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6.20 L</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9.80 L</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B6453C"/>
                <w:sz w:val="17"/>
                <w:szCs w:val="17"/>
              </w:rPr>
              <w:t xml:space="preserve">2.10 L</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235447"/>
                <w:sz w:val="17"/>
                <w:szCs w:val="17"/>
              </w:rPr>
              <w:t xml:space="preserve">18.10 L</w:t>
            </w:r>
          </w:p>
        </w:tc>
      </w:tr>
      <w:tr>
        <w:tc>
          <w:tcPr>
            <w:tcW w:type="dxa" w:w="22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Impressions</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7,80,000</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97,00,000</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B6453C"/>
                <w:sz w:val="17"/>
                <w:szCs w:val="17"/>
              </w:rPr>
              <w:t xml:space="preserve">1,21,00,000</w:t>
            </w:r>
          </w:p>
        </w:tc>
        <w:tc>
          <w:tcPr>
            <w:tcW w:type="dxa" w:w="18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235447"/>
                <w:sz w:val="17"/>
                <w:szCs w:val="17"/>
              </w:rPr>
              <w:t xml:space="preserve">2,25,80,000</w:t>
            </w:r>
          </w:p>
        </w:tc>
      </w:tr>
      <w:tr>
        <w:tc>
          <w:tcPr>
            <w:tcW w:type="dxa" w:w="22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Clicks</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42,760</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1,06,500</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B6453C"/>
                <w:sz w:val="17"/>
                <w:szCs w:val="17"/>
              </w:rPr>
              <w:t xml:space="preserve">33,900</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235447"/>
                <w:sz w:val="17"/>
                <w:szCs w:val="17"/>
              </w:rPr>
              <w:t xml:space="preserve">1,83,160</w:t>
            </w:r>
          </w:p>
        </w:tc>
      </w:tr>
      <w:tr>
        <w:tc>
          <w:tcPr>
            <w:tcW w:type="dxa" w:w="22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CTR</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5.48%</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1.10%</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B6453C"/>
                <w:sz w:val="17"/>
                <w:szCs w:val="17"/>
              </w:rPr>
              <w:t xml:space="preserve">0.28%</w:t>
            </w:r>
          </w:p>
        </w:tc>
        <w:tc>
          <w:tcPr>
            <w:tcW w:type="dxa" w:w="18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235447"/>
                <w:sz w:val="17"/>
                <w:szCs w:val="17"/>
              </w:rPr>
              <w:t xml:space="preserve">0.81%</w:t>
            </w:r>
          </w:p>
        </w:tc>
      </w:tr>
      <w:tr>
        <w:tc>
          <w:tcPr>
            <w:tcW w:type="dxa" w:w="22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CPC</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B6453C"/>
                <w:sz w:val="17"/>
                <w:szCs w:val="17"/>
              </w:rPr>
              <w:t xml:space="preserve">₹6</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235447"/>
                <w:sz w:val="17"/>
                <w:szCs w:val="17"/>
              </w:rPr>
              <w:t xml:space="preserve">₹10</w:t>
            </w:r>
          </w:p>
        </w:tc>
      </w:tr>
      <w:tr>
        <w:tc>
          <w:tcPr>
            <w:tcW w:type="dxa" w:w="22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Orders</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1,426</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696</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B6453C"/>
                <w:sz w:val="17"/>
                <w:szCs w:val="17"/>
              </w:rPr>
              <w:t xml:space="preserve">96</w:t>
            </w:r>
          </w:p>
        </w:tc>
        <w:tc>
          <w:tcPr>
            <w:tcW w:type="dxa" w:w="18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235447"/>
                <w:sz w:val="17"/>
                <w:szCs w:val="17"/>
              </w:rPr>
              <w:t xml:space="preserve">2,218</w:t>
            </w:r>
          </w:p>
        </w:tc>
      </w:tr>
      <w:tr>
        <w:tc>
          <w:tcPr>
            <w:tcW w:type="dxa" w:w="22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CPA</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₹435</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₹1,408</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B6453C"/>
                <w:sz w:val="17"/>
                <w:szCs w:val="17"/>
              </w:rPr>
              <w:t xml:space="preserve">₹2,188</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235447"/>
                <w:sz w:val="17"/>
                <w:szCs w:val="17"/>
              </w:rPr>
              <w:t xml:space="preserve">₹816</w:t>
            </w:r>
          </w:p>
        </w:tc>
      </w:tr>
      <w:tr>
        <w:tc>
          <w:tcPr>
            <w:tcW w:type="dxa" w:w="22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ROAS</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4.83x</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1.21x</w:t>
            </w:r>
          </w:p>
        </w:tc>
        <w:tc>
          <w:tcPr>
            <w:tcW w:type="dxa" w:w="19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B6453C"/>
                <w:sz w:val="17"/>
                <w:szCs w:val="17"/>
              </w:rPr>
              <w:t xml:space="preserve">0.69x</w:t>
            </w:r>
          </w:p>
        </w:tc>
        <w:tc>
          <w:tcPr>
            <w:tcW w:type="dxa" w:w="18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235447"/>
                <w:sz w:val="17"/>
                <w:szCs w:val="17"/>
              </w:rPr>
              <w:t xml:space="preserve">2.39x</w:t>
            </w:r>
          </w:p>
        </w:tc>
      </w:tr>
      <w:tr>
        <w:tc>
          <w:tcPr>
            <w:tcW w:type="dxa" w:w="22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ROI</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383%</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21%</w:t>
            </w:r>
          </w:p>
        </w:tc>
        <w:tc>
          <w:tcPr>
            <w:tcW w:type="dxa" w:w="1900"/>
            <w:tcMar>
              <w:top w:type="dxa" w:w="70"/>
              <w:left w:type="dxa" w:w="110"/>
              <w:bottom w:type="dxa" w:w="70"/>
              <w:right w:type="dxa" w:w="110"/>
            </w:tcMar>
            <w:vAlign w:val="center"/>
          </w:tcPr>
          <w:p>
            <w:pPr>
              <w:spacing w:after="0" w:before="0" w:line="240"/>
              <w:jc w:val="right"/>
            </w:pPr>
            <w:r>
              <w:rPr>
                <w:rFonts w:ascii="Calibri" w:cs="Calibri" w:eastAsia="Calibri" w:hAnsi="Calibri"/>
                <w:color w:val="B6453C"/>
                <w:sz w:val="17"/>
                <w:szCs w:val="17"/>
              </w:rPr>
              <w:t xml:space="preserve">-31%</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235447"/>
                <w:sz w:val="17"/>
                <w:szCs w:val="17"/>
              </w:rPr>
              <w:t xml:space="preserve">139%</w:t>
            </w:r>
          </w:p>
        </w:tc>
      </w:tr>
    </w:tbl>
    <w:p>
      <w:pPr>
        <w:spacing w:after="200" w:before="60"/>
        <w:jc w:val="left"/>
      </w:pPr>
      <w:r>
        <w:rPr>
          <w:rFonts w:ascii="Calibri" w:cs="Calibri" w:eastAsia="Calibri" w:hAnsi="Calibri"/>
          <w:i/>
          <w:iCs/>
          <w:color w:val="6B7280"/>
          <w:sz w:val="17"/>
          <w:szCs w:val="17"/>
        </w:rPr>
        <w:t xml:space="preserve">Table 4 — Paid media efficiency. Display is loss-making (ROAS below 1.0x).</w:t>
      </w:r>
    </w:p>
    <w:p>
      <w:pPr>
        <w:spacing w:after="140" w:before="0" w:line="300"/>
        <w:jc w:val="left"/>
      </w:pPr>
      <w:r>
        <w:rPr>
          <w:rFonts w:ascii="Calibri" w:cs="Calibri" w:eastAsia="Calibri" w:hAnsi="Calibri"/>
          <w:color w:val="1F2A2E"/>
          <w:sz w:val="21"/>
          <w:szCs w:val="21"/>
        </w:rPr>
        <w:t xml:space="preserve">Paid Search earns ₹4.83 for every rupee spent, at a ₹435 CPA that sits comfortably below AOV. Paid Social returns only ₹1.21 per rupee at a ₹1,408 CPA — it is not yet recovering its cost once fulfilment and margin are considered. Display returns ₹0.69 per rupee: a ₹2,188 CPA against a ₹1,984 AOV means every Display order is sold below the cost of acquiring it. In aggregate, Paid Social and Display account for 66% of spend but deliver only 31% of paid revenue.</w:t>
      </w:r>
    </w:p>
    <w:p>
      <w:pPr>
        <w:spacing w:after="40" w:before="120"/>
        <w:jc w:val="center"/>
      </w:pPr>
      <w:r>
        <w:drawing>
          <wp:inline distT="0" distB="0" distL="0" distR="0">
            <wp:extent cx="5334000" cy="2981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81325"/>
                    </a:xfrm>
                    <a:prstGeom prst="rect">
                      <a:avLst/>
                    </a:prstGeom>
                  </pic:spPr>
                </pic:pic>
              </a:graphicData>
            </a:graphic>
          </wp:inline>
        </w:drawing>
      </w:r>
    </w:p>
    <w:p>
      <w:pPr>
        <w:spacing w:after="200" w:before="60"/>
        <w:jc w:val="left"/>
      </w:pPr>
      <w:r>
        <w:rPr>
          <w:rFonts w:ascii="Calibri" w:cs="Calibri" w:eastAsia="Calibri" w:hAnsi="Calibri"/>
          <w:i/>
          <w:iCs/>
          <w:color w:val="6B7280"/>
          <w:sz w:val="17"/>
          <w:szCs w:val="17"/>
        </w:rPr>
        <w:t xml:space="preserve">Figure 5 — Media spend versus attributed revenue by paid channel.</w:t>
      </w:r>
    </w:p>
    <w:tbl>
      <w:tblPr>
        <w:tblW w:type="dxa" w:w="9026"/>
        <w:tblBorders>
          <w:top w:val="none"/>
          <w:left w:val="single" w:color="B6453C" w:sz="18"/>
          <w:bottom w:val="none"/>
          <w:right w:val="none"/>
          <w:insideH w:val="none"/>
          <w:insideV w:val="none"/>
        </w:tblBorders>
      </w:tblPr>
      <w:tblGrid>
        <w:gridCol w:w="9026"/>
      </w:tblGrid>
      <w:tr>
        <w:tc>
          <w:tcPr>
            <w:tcW w:type="dxa" w:w="9026"/>
            <w:shd w:fill="F4F1EA" w:color="auto" w:val="clear"/>
            <w:tcMar>
              <w:top w:type="dxa" w:w="140"/>
              <w:left w:type="dxa" w:w="200"/>
              <w:bottom w:type="dxa" w:w="140"/>
              <w:right w:type="dxa" w:w="160"/>
            </w:tcMar>
          </w:tcPr>
          <w:p>
            <w:pPr>
              <w:spacing w:after="60"/>
            </w:pPr>
            <w:r>
              <w:rPr>
                <w:rFonts w:ascii="Calibri" w:cs="Calibri" w:eastAsia="Calibri" w:hAnsi="Calibri"/>
                <w:b/>
                <w:bCs/>
                <w:color w:val="B6453C"/>
                <w:sz w:val="20"/>
                <w:szCs w:val="20"/>
              </w:rPr>
              <w:t xml:space="preserve">Budget verdict</w:t>
            </w:r>
          </w:p>
          <w:p>
            <w:pPr>
              <w:spacing w:after="0" w:line="290"/>
            </w:pPr>
            <w:r>
              <w:rPr>
                <w:rFonts w:ascii="Calibri" w:cs="Calibri" w:eastAsia="Calibri" w:hAnsi="Calibri"/>
                <w:color w:val="1F2A2E"/>
                <w:sz w:val="19"/>
                <w:szCs w:val="19"/>
              </w:rPr>
              <w:t xml:space="preserve">Display should be paused immediately — it is destroying ₹66,000 of value in the period analysed. Paid Social should be held at a hard 1.5x blended ROAS floor and restructured toward retargeting and high-intent audiences before any further scaling. The freed budget belongs in Paid Search and retargeting, where incremental rupees still clear a profit.</w:t>
            </w:r>
          </w:p>
        </w:tc>
      </w:tr>
    </w:tbl>
    <w:p>
      <w:r>
        <w:br w:type="page"/>
      </w:r>
    </w:p>
    <w:p>
      <w:pPr>
        <w:pBdr>
          <w:bottom w:val="single" w:color="D9D5CC" w:sz="6" w:space="6"/>
        </w:pBdr>
        <w:spacing w:after="160" w:before="300"/>
      </w:pPr>
      <w:r>
        <w:rPr>
          <w:rFonts w:ascii="Calibri" w:cs="Calibri" w:eastAsia="Calibri" w:hAnsi="Calibri"/>
          <w:b/>
          <w:bCs/>
          <w:color w:val="235447"/>
          <w:sz w:val="30"/>
          <w:szCs w:val="30"/>
        </w:rPr>
        <w:t xml:space="preserve">8. Growth Tactics — Three Optimization Hacks</w:t>
      </w:r>
    </w:p>
    <w:p>
      <w:pPr>
        <w:spacing w:after="40" w:before="120"/>
      </w:pPr>
      <w:r>
        <w:rPr>
          <w:rFonts w:ascii="Calibri" w:cs="Calibri" w:eastAsia="Calibri" w:hAnsi="Calibri"/>
          <w:b/>
          <w:bCs/>
          <w:color w:val="B9821C"/>
          <w:spacing w:val="20"/>
          <w:sz w:val="17"/>
          <w:szCs w:val="17"/>
        </w:rPr>
        <w:t xml:space="preserve">HACK 01</w:t>
      </w:r>
    </w:p>
    <w:p>
      <w:pPr>
        <w:spacing w:after="100" w:before="220"/>
      </w:pPr>
      <w:r>
        <w:rPr>
          <w:rFonts w:ascii="Calibri" w:cs="Calibri" w:eastAsia="Calibri" w:hAnsi="Calibri"/>
          <w:b/>
          <w:bCs/>
          <w:color w:val="1F2A2E"/>
          <w:sz w:val="24"/>
          <w:szCs w:val="24"/>
        </w:rPr>
        <w:t xml:space="preserve">Reallocate ₹8 lakh of paid budget to the channels that already convert</w:t>
      </w:r>
    </w:p>
    <w:p>
      <w:pPr>
        <w:spacing w:after="140" w:before="0" w:line="300"/>
        <w:jc w:val="left"/>
      </w:pPr>
      <w:r>
        <w:rPr>
          <w:rFonts w:ascii="Calibri" w:cs="Calibri" w:eastAsia="Calibri" w:hAnsi="Calibri"/>
          <w:color w:val="1F2A2E"/>
          <w:sz w:val="21"/>
          <w:szCs w:val="21"/>
        </w:rPr>
        <w:t xml:space="preserve">The fastest available win is not to spend more but to spend better. Display (₹2.10 lakh, 0.69x) should be paused outright, and Paid Social (₹9.80 lakh, 1.21x) reduced and rebuilt around retargeting and lookalikes of purchasers rather than broad cold audiences. Combined, that frees roughly ₹8.0 lakh.</w:t>
      </w:r>
    </w:p>
    <w:p>
      <w:pPr>
        <w:spacing w:after="140" w:before="0" w:line="300"/>
        <w:jc w:val="left"/>
      </w:pPr>
      <w:r>
        <w:rPr>
          <w:rFonts w:ascii="Calibri" w:cs="Calibri" w:eastAsia="Calibri" w:hAnsi="Calibri"/>
          <w:color w:val="1F2A2E"/>
          <w:sz w:val="21"/>
          <w:szCs w:val="21"/>
        </w:rPr>
        <w:t xml:space="preserve">Redeploy it where the audience has demonstrated intent: scale Paid Search on the brand and high-intent non-brand terms that already return 4.83x, and fund a dedicated cart- and browse-abandonment retargeting programme. Even at a conservative 2.4x — half of Paid Search's current efficiency — ₹8.0 lakh redeployed returns approximately ₹19.2 lakh in revenue, versus the ₹1.6 lakh the same money returns through Display today.</w:t>
      </w:r>
    </w:p>
    <w:p>
      <w:pPr>
        <w:spacing w:after="140" w:before="0" w:line="300"/>
        <w:jc w:val="left"/>
      </w:pPr>
      <w:r>
        <w:rPr>
          <w:rFonts w:ascii="Calibri" w:cs="Calibri" w:eastAsia="Calibri" w:hAnsi="Calibri"/>
          <w:b/>
          <w:bCs/>
          <w:color w:val="1F2A2E"/>
          <w:sz w:val="21"/>
          <w:szCs w:val="21"/>
        </w:rPr>
        <w:t xml:space="preserve">Owner: </w:t>
      </w:r>
      <w:r>
        <w:rPr>
          <w:rFonts w:ascii="Calibri" w:cs="Calibri" w:eastAsia="Calibri" w:hAnsi="Calibri"/>
          <w:color w:val="1F2A2E"/>
          <w:sz w:val="21"/>
          <w:szCs w:val="21"/>
        </w:rPr>
        <w:t xml:space="preserve">Performance Marketing  ·  </w:t>
      </w:r>
      <w:r>
        <w:rPr>
          <w:rFonts w:ascii="Calibri" w:cs="Calibri" w:eastAsia="Calibri" w:hAnsi="Calibri"/>
          <w:b/>
          <w:bCs/>
          <w:color w:val="1F2A2E"/>
          <w:sz w:val="21"/>
          <w:szCs w:val="21"/>
        </w:rPr>
        <w:t xml:space="preserve">Timeframe: </w:t>
      </w:r>
      <w:r>
        <w:rPr>
          <w:rFonts w:ascii="Calibri" w:cs="Calibri" w:eastAsia="Calibri" w:hAnsi="Calibri"/>
          <w:color w:val="1F2A2E"/>
          <w:sz w:val="21"/>
          <w:szCs w:val="21"/>
        </w:rPr>
        <w:t xml:space="preserve">Weeks 1–2  ·  </w:t>
      </w:r>
      <w:r>
        <w:rPr>
          <w:rFonts w:ascii="Calibri" w:cs="Calibri" w:eastAsia="Calibri" w:hAnsi="Calibri"/>
          <w:b/>
          <w:bCs/>
          <w:color w:val="1F2A2E"/>
          <w:sz w:val="21"/>
          <w:szCs w:val="21"/>
        </w:rPr>
        <w:t xml:space="preserve">KPI: </w:t>
      </w:r>
      <w:r>
        <w:rPr>
          <w:rFonts w:ascii="Calibri" w:cs="Calibri" w:eastAsia="Calibri" w:hAnsi="Calibri"/>
          <w:color w:val="235447"/>
          <w:sz w:val="21"/>
          <w:szCs w:val="21"/>
        </w:rPr>
        <w:t xml:space="preserve">blended paid ROAS from 2.39x toward 3.0x</w:t>
      </w:r>
    </w:p>
    <w:p>
      <w:pPr>
        <w:spacing w:after="40" w:before="120"/>
      </w:pPr>
      <w:r>
        <w:rPr>
          <w:rFonts w:ascii="Calibri" w:cs="Calibri" w:eastAsia="Calibri" w:hAnsi="Calibri"/>
          <w:b/>
          <w:bCs/>
          <w:color w:val="B9821C"/>
          <w:spacing w:val="20"/>
          <w:sz w:val="17"/>
          <w:szCs w:val="17"/>
        </w:rPr>
        <w:t xml:space="preserve">HACK 02</w:t>
      </w:r>
    </w:p>
    <w:p>
      <w:pPr>
        <w:spacing w:after="100" w:before="220"/>
      </w:pPr>
      <w:r>
        <w:rPr>
          <w:rFonts w:ascii="Calibri" w:cs="Calibri" w:eastAsia="Calibri" w:hAnsi="Calibri"/>
          <w:b/>
          <w:bCs/>
          <w:color w:val="1F2A2E"/>
          <w:sz w:val="24"/>
          <w:szCs w:val="24"/>
        </w:rPr>
        <w:t xml:space="preserve">Fix the checkout and recover the highest-intent traffic on the site</w:t>
      </w:r>
    </w:p>
    <w:p>
      <w:pPr>
        <w:spacing w:after="140" w:before="0" w:line="300"/>
        <w:jc w:val="left"/>
      </w:pPr>
      <w:r>
        <w:rPr>
          <w:rFonts w:ascii="Calibri" w:cs="Calibri" w:eastAsia="Calibri" w:hAnsi="Calibri"/>
          <w:color w:val="1F2A2E"/>
          <w:sz w:val="21"/>
          <w:szCs w:val="21"/>
        </w:rPr>
        <w:t xml:space="preserve">Checkout-to-purchase converts at 37.9% — the weakest step in the funnel and the most expensive leak, because this traffic has already decided to buy. The fix is operational, not creative: a single-page, mobile-first checkout; UPI and wallet options promoted above card; guest checkout by default; transparent shipping and delivery promises shown before payment; and clear trust signals (returns, authenticity, secure-payment badges) at the point of hesitation.</w:t>
      </w:r>
    </w:p>
    <w:p>
      <w:pPr>
        <w:spacing w:after="140" w:before="0" w:line="300"/>
        <w:jc w:val="left"/>
      </w:pPr>
      <w:r>
        <w:rPr>
          <w:rFonts w:ascii="Calibri" w:cs="Calibri" w:eastAsia="Calibri" w:hAnsi="Calibri"/>
          <w:color w:val="1F2A2E"/>
          <w:sz w:val="21"/>
          <w:szCs w:val="21"/>
        </w:rPr>
        <w:t xml:space="preserve">Lifting completion from 37.9% to 48% — a realistic target for a friction-removal programme on this step — adds roughly 1,960 orders and ₹38.9 lakh of revenue in a comparable period, at no incremental media cost. The second priority is the product-to-cart step (22.6%), where better product imagery, reviews and bundle offers can move the middle of the funnel.</w:t>
      </w:r>
    </w:p>
    <w:p>
      <w:pPr>
        <w:spacing w:after="140" w:before="0" w:line="300"/>
        <w:jc w:val="left"/>
      </w:pPr>
      <w:r>
        <w:rPr>
          <w:rFonts w:ascii="Calibri" w:cs="Calibri" w:eastAsia="Calibri" w:hAnsi="Calibri"/>
          <w:b/>
          <w:bCs/>
          <w:color w:val="1F2A2E"/>
          <w:sz w:val="21"/>
          <w:szCs w:val="21"/>
        </w:rPr>
        <w:t xml:space="preserve">Owner: </w:t>
      </w:r>
      <w:r>
        <w:rPr>
          <w:rFonts w:ascii="Calibri" w:cs="Calibri" w:eastAsia="Calibri" w:hAnsi="Calibri"/>
          <w:color w:val="1F2A2E"/>
          <w:sz w:val="21"/>
          <w:szCs w:val="21"/>
        </w:rPr>
        <w:t xml:space="preserve">Product &amp; CRO  ·  </w:t>
      </w:r>
      <w:r>
        <w:rPr>
          <w:rFonts w:ascii="Calibri" w:cs="Calibri" w:eastAsia="Calibri" w:hAnsi="Calibri"/>
          <w:b/>
          <w:bCs/>
          <w:color w:val="1F2A2E"/>
          <w:sz w:val="21"/>
          <w:szCs w:val="21"/>
        </w:rPr>
        <w:t xml:space="preserve">Timeframe: </w:t>
      </w:r>
      <w:r>
        <w:rPr>
          <w:rFonts w:ascii="Calibri" w:cs="Calibri" w:eastAsia="Calibri" w:hAnsi="Calibri"/>
          <w:color w:val="1F2A2E"/>
          <w:sz w:val="21"/>
          <w:szCs w:val="21"/>
        </w:rPr>
        <w:t xml:space="preserve">Weeks 2–6  ·  </w:t>
      </w:r>
      <w:r>
        <w:rPr>
          <w:rFonts w:ascii="Calibri" w:cs="Calibri" w:eastAsia="Calibri" w:hAnsi="Calibri"/>
          <w:b/>
          <w:bCs/>
          <w:color w:val="1F2A2E"/>
          <w:sz w:val="21"/>
          <w:szCs w:val="21"/>
        </w:rPr>
        <w:t xml:space="preserve">KPI: </w:t>
      </w:r>
      <w:r>
        <w:rPr>
          <w:rFonts w:ascii="Calibri" w:cs="Calibri" w:eastAsia="Calibri" w:hAnsi="Calibri"/>
          <w:color w:val="235447"/>
          <w:sz w:val="21"/>
          <w:szCs w:val="21"/>
        </w:rPr>
        <w:t xml:space="preserve">checkout completion ≥ 48%, overall CR from 2.46% toward 3.0%</w:t>
      </w:r>
    </w:p>
    <w:p>
      <w:pPr>
        <w:spacing w:after="40" w:before="120"/>
      </w:pPr>
      <w:r>
        <w:rPr>
          <w:rFonts w:ascii="Calibri" w:cs="Calibri" w:eastAsia="Calibri" w:hAnsi="Calibri"/>
          <w:b/>
          <w:bCs/>
          <w:color w:val="B9821C"/>
          <w:spacing w:val="20"/>
          <w:sz w:val="17"/>
          <w:szCs w:val="17"/>
        </w:rPr>
        <w:t xml:space="preserve">HACK 03</w:t>
      </w:r>
    </w:p>
    <w:p>
      <w:pPr>
        <w:spacing w:after="100" w:before="220"/>
      </w:pPr>
      <w:r>
        <w:rPr>
          <w:rFonts w:ascii="Calibri" w:cs="Calibri" w:eastAsia="Calibri" w:hAnsi="Calibri"/>
          <w:b/>
          <w:bCs/>
          <w:color w:val="1F2A2E"/>
          <w:sz w:val="24"/>
          <w:szCs w:val="24"/>
        </w:rPr>
        <w:t xml:space="preserve">Scale the owned lifecycle engine — email, SMS and referral</w:t>
      </w:r>
    </w:p>
    <w:p>
      <w:pPr>
        <w:spacing w:after="140" w:before="0" w:line="300"/>
        <w:jc w:val="left"/>
      </w:pPr>
      <w:r>
        <w:rPr>
          <w:rFonts w:ascii="Calibri" w:cs="Calibri" w:eastAsia="Calibri" w:hAnsi="Calibri"/>
          <w:color w:val="1F2A2E"/>
          <w:sz w:val="21"/>
          <w:szCs w:val="21"/>
        </w:rPr>
        <w:t xml:space="preserve">Email is the single best-converting channel on the site (6.8%, ₹156 revenue per session) and Referral the second-most efficient (₹84 per session), yet together they drive only 7.7% of sessions. These are channels we control, with no rising CPC and no auction risk.</w:t>
      </w:r>
    </w:p>
    <w:p>
      <w:pPr>
        <w:spacing w:after="140" w:before="0" w:line="300"/>
        <w:jc w:val="left"/>
      </w:pPr>
      <w:r>
        <w:rPr>
          <w:rFonts w:ascii="Calibri" w:cs="Calibri" w:eastAsia="Calibri" w:hAnsi="Calibri"/>
          <w:color w:val="1F2A2E"/>
          <w:sz w:val="21"/>
          <w:szCs w:val="21"/>
        </w:rPr>
        <w:t xml:space="preserve">Build a structured lifecycle programme: a welcome and first-purchase flow, browse- and cart-abandonment sequences, a post-purchase reorder cadence tuned to a consumable product, and a two-sided referral offer (give-₹150, get-₹150) triggered at the moment of highest satisfaction. Growing Email and Referral from 7.7% to 12% of sessions — 12,800 additional sessions at current channel conversion — is worth roughly ₹21.9 lakh in revenue per period, and it compounds as the list grows.</w:t>
      </w:r>
    </w:p>
    <w:p>
      <w:pPr>
        <w:spacing w:after="140" w:before="0" w:line="300"/>
        <w:jc w:val="left"/>
      </w:pPr>
      <w:r>
        <w:rPr>
          <w:rFonts w:ascii="Calibri" w:cs="Calibri" w:eastAsia="Calibri" w:hAnsi="Calibri"/>
          <w:b/>
          <w:bCs/>
          <w:color w:val="1F2A2E"/>
          <w:sz w:val="21"/>
          <w:szCs w:val="21"/>
        </w:rPr>
        <w:t xml:space="preserve">Owner: </w:t>
      </w:r>
      <w:r>
        <w:rPr>
          <w:rFonts w:ascii="Calibri" w:cs="Calibri" w:eastAsia="Calibri" w:hAnsi="Calibri"/>
          <w:color w:val="1F2A2E"/>
          <w:sz w:val="21"/>
          <w:szCs w:val="21"/>
        </w:rPr>
        <w:t xml:space="preserve">CRM &amp; Lifecycle  ·  </w:t>
      </w:r>
      <w:r>
        <w:rPr>
          <w:rFonts w:ascii="Calibri" w:cs="Calibri" w:eastAsia="Calibri" w:hAnsi="Calibri"/>
          <w:b/>
          <w:bCs/>
          <w:color w:val="1F2A2E"/>
          <w:sz w:val="21"/>
          <w:szCs w:val="21"/>
        </w:rPr>
        <w:t xml:space="preserve">Timeframe: </w:t>
      </w:r>
      <w:r>
        <w:rPr>
          <w:rFonts w:ascii="Calibri" w:cs="Calibri" w:eastAsia="Calibri" w:hAnsi="Calibri"/>
          <w:color w:val="1F2A2E"/>
          <w:sz w:val="21"/>
          <w:szCs w:val="21"/>
        </w:rPr>
        <w:t xml:space="preserve">Weeks 3–12  ·  </w:t>
      </w:r>
      <w:r>
        <w:rPr>
          <w:rFonts w:ascii="Calibri" w:cs="Calibri" w:eastAsia="Calibri" w:hAnsi="Calibri"/>
          <w:b/>
          <w:bCs/>
          <w:color w:val="1F2A2E"/>
          <w:sz w:val="21"/>
          <w:szCs w:val="21"/>
        </w:rPr>
        <w:t xml:space="preserve">KPI: </w:t>
      </w:r>
      <w:r>
        <w:rPr>
          <w:rFonts w:ascii="Calibri" w:cs="Calibri" w:eastAsia="Calibri" w:hAnsi="Calibri"/>
          <w:color w:val="235447"/>
          <w:sz w:val="21"/>
          <w:szCs w:val="21"/>
        </w:rPr>
        <w:t xml:space="preserve">owned channels to 12% of sessions; email revenue share doubled</w:t>
      </w:r>
    </w:p>
    <w:p>
      <w:pPr>
        <w:spacing w:after="120" w:before="220"/>
      </w:pPr>
      <w:r>
        <w:rPr>
          <w:rFonts w:ascii="Calibri" w:cs="Calibri" w:eastAsia="Calibri" w:hAnsi="Calibri"/>
          <w:b/>
          <w:bCs/>
          <w:color w:val="1F2A2E"/>
          <w:sz w:val="22"/>
          <w:szCs w:val="22"/>
        </w:rPr>
        <w:t xml:space="preserve">Combined modelled impact</w:t>
      </w:r>
    </w:p>
    <w:tbl>
      <w:tblPr>
        <w:tblW w:type="dxa" w:w="9746"/>
        <w:tblBorders>
          <w:top w:val="single" w:color="D9D5CC" w:sz="2"/>
          <w:left w:val="none" w:color="FFFFFF" w:sz="0"/>
          <w:bottom w:val="single" w:color="D9D5CC" w:sz="2"/>
          <w:right w:val="none" w:color="FFFFFF" w:sz="0"/>
          <w:insideH w:val="single" w:color="D9D5CC" w:sz="2"/>
          <w:insideV w:val="none" w:color="FFFFFF" w:sz="0"/>
        </w:tblBorders>
        <w:tblLayout w:type="fixed"/>
      </w:tblPr>
      <w:tblGrid>
        <w:gridCol w:w="2800"/>
        <w:gridCol w:w="4446"/>
        <w:gridCol w:w="2500"/>
      </w:tblGrid>
      <w:tr>
        <w:trPr>
          <w:tblHeader/>
        </w:trPr>
        <w:tc>
          <w:tcPr>
            <w:tcW w:type="dxa" w:w="280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Growth hack</w:t>
            </w:r>
          </w:p>
        </w:tc>
        <w:tc>
          <w:tcPr>
            <w:tcW w:type="dxa" w:w="4446"/>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Primary lever</w:t>
            </w:r>
          </w:p>
        </w:tc>
        <w:tc>
          <w:tcPr>
            <w:tcW w:type="dxa" w:w="250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Incremental revenue (per 30 days)</w:t>
            </w:r>
          </w:p>
        </w:tc>
      </w:tr>
      <w:tr>
        <w:tc>
          <w:tcPr>
            <w:tcW w:type="dxa" w:w="280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1. Budget reallocation</w:t>
            </w:r>
          </w:p>
        </w:tc>
        <w:tc>
          <w:tcPr>
            <w:tcW w:type="dxa" w:w="44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₹8.0 L moved to Paid Search + retargeting</w:t>
            </w:r>
          </w:p>
        </w:tc>
        <w:tc>
          <w:tcPr>
            <w:tcW w:type="dxa" w:w="2500"/>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 ₹19.2 L</w:t>
            </w:r>
          </w:p>
        </w:tc>
      </w:tr>
      <w:tr>
        <w:tc>
          <w:tcPr>
            <w:tcW w:type="dxa" w:w="28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2. Checkout fix</w:t>
            </w:r>
          </w:p>
        </w:tc>
        <w:tc>
          <w:tcPr>
            <w:tcW w:type="dxa" w:w="4446"/>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Checkout completion 37.9% → 48%</w:t>
            </w:r>
          </w:p>
        </w:tc>
        <w:tc>
          <w:tcPr>
            <w:tcW w:type="dxa" w:w="25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 ₹38.9 L</w:t>
            </w:r>
          </w:p>
        </w:tc>
      </w:tr>
      <w:tr>
        <w:tc>
          <w:tcPr>
            <w:tcW w:type="dxa" w:w="280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3. Owned lifecycle</w:t>
            </w:r>
          </w:p>
        </w:tc>
        <w:tc>
          <w:tcPr>
            <w:tcW w:type="dxa" w:w="44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Email + Referral 7.7% → 12% of sessions</w:t>
            </w:r>
          </w:p>
        </w:tc>
        <w:tc>
          <w:tcPr>
            <w:tcW w:type="dxa" w:w="2500"/>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 ₹21.9 L</w:t>
            </w:r>
          </w:p>
        </w:tc>
      </w:tr>
    </w:tbl>
    <w:p>
      <w:pPr>
        <w:spacing w:after="200" w:before="60"/>
        <w:jc w:val="left"/>
      </w:pPr>
      <w:r>
        <w:rPr>
          <w:rFonts w:ascii="Calibri" w:cs="Calibri" w:eastAsia="Calibri" w:hAnsi="Calibri"/>
          <w:i/>
          <w:iCs/>
          <w:color w:val="6B7280"/>
          <w:sz w:val="17"/>
          <w:szCs w:val="17"/>
        </w:rPr>
        <w:t xml:space="preserve">Table 5 — Individually modelled impact. The three levers overlap (Hack 2 lifts conversion on traffic Hack 3 also grows), so a realistic combined range is ₹55–75 lakh rather than the simple ₹80 lakh sum.</w:t>
      </w:r>
    </w:p>
    <w:p>
      <w:pPr>
        <w:pBdr>
          <w:bottom w:val="single" w:color="D9D5CC" w:sz="6" w:space="6"/>
        </w:pBdr>
        <w:spacing w:after="160" w:before="300"/>
      </w:pPr>
      <w:r>
        <w:rPr>
          <w:rFonts w:ascii="Calibri" w:cs="Calibri" w:eastAsia="Calibri" w:hAnsi="Calibri"/>
          <w:b/>
          <w:bCs/>
          <w:color w:val="235447"/>
          <w:sz w:val="30"/>
          <w:szCs w:val="30"/>
        </w:rPr>
        <w:t xml:space="preserve">9. Recommended 90-Day Action Plan</w:t>
      </w:r>
    </w:p>
    <w:p>
      <w:pPr>
        <w:spacing w:after="140" w:before="0" w:line="300"/>
        <w:jc w:val="left"/>
      </w:pPr>
      <w:r>
        <w:rPr>
          <w:rFonts w:ascii="Calibri" w:cs="Calibri" w:eastAsia="Calibri" w:hAnsi="Calibri"/>
          <w:color w:val="1F2A2E"/>
          <w:sz w:val="21"/>
          <w:szCs w:val="21"/>
        </w:rPr>
        <w:t xml:space="preserve">The sequence matters. Fix the budget and the checkout first — both are high-certainty and fast — then compound the gains with the owned lifecycle engine.</w:t>
      </w:r>
    </w:p>
    <w:tbl>
      <w:tblPr>
        <w:tblW w:type="dxa" w:w="9746"/>
        <w:tblBorders>
          <w:top w:val="single" w:color="D9D5CC" w:sz="2"/>
          <w:left w:val="none" w:color="FFFFFF" w:sz="0"/>
          <w:bottom w:val="single" w:color="D9D5CC" w:sz="2"/>
          <w:right w:val="none" w:color="FFFFFF" w:sz="0"/>
          <w:insideH w:val="single" w:color="D9D5CC" w:sz="2"/>
          <w:insideV w:val="none" w:color="FFFFFF" w:sz="0"/>
        </w:tblBorders>
        <w:tblLayout w:type="fixed"/>
      </w:tblPr>
      <w:tblGrid>
        <w:gridCol w:w="1250"/>
        <w:gridCol w:w="1600"/>
        <w:gridCol w:w="4650"/>
        <w:gridCol w:w="2246"/>
      </w:tblGrid>
      <w:tr>
        <w:trPr>
          <w:tblHeader/>
        </w:trPr>
        <w:tc>
          <w:tcPr>
            <w:tcW w:type="dxa" w:w="125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Phase</w:t>
            </w:r>
          </w:p>
        </w:tc>
        <w:tc>
          <w:tcPr>
            <w:tcW w:type="dxa" w:w="160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Focus</w:t>
            </w:r>
          </w:p>
        </w:tc>
        <w:tc>
          <w:tcPr>
            <w:tcW w:type="dxa" w:w="465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Actions</w:t>
            </w:r>
          </w:p>
        </w:tc>
        <w:tc>
          <w:tcPr>
            <w:tcW w:type="dxa" w:w="2246"/>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Success measure</w:t>
            </w:r>
          </w:p>
        </w:tc>
      </w:tr>
      <w:tr>
        <w:tc>
          <w:tcPr>
            <w:tcW w:type="dxa" w:w="125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Weeks 1–2</w:t>
            </w:r>
          </w:p>
        </w:tc>
        <w:tc>
          <w:tcPr>
            <w:tcW w:type="dxa" w:w="1600"/>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Stop the leak</w:t>
            </w:r>
          </w:p>
        </w:tc>
        <w:tc>
          <w:tcPr>
            <w:tcW w:type="dxa" w:w="4650"/>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Pause Display; cap Paid Social at a 1.5x ROAS floor; launch cart-abandonment retargeting</w:t>
            </w:r>
          </w:p>
        </w:tc>
        <w:tc>
          <w:tcPr>
            <w:tcW w:type="dxa" w:w="22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Blended paid ROAS → 2.8x</w:t>
            </w:r>
          </w:p>
        </w:tc>
      </w:tr>
      <w:tr>
        <w:tc>
          <w:tcPr>
            <w:tcW w:type="dxa" w:w="125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Weeks 2–6</w:t>
            </w:r>
          </w:p>
        </w:tc>
        <w:tc>
          <w:tcPr>
            <w:tcW w:type="dxa" w:w="16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Fix the funnel</w:t>
            </w:r>
          </w:p>
        </w:tc>
        <w:tc>
          <w:tcPr>
            <w:tcW w:type="dxa" w:w="465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One-page mobile checkout; UPI-first payment; guest checkout; trust signals at payment</w:t>
            </w:r>
          </w:p>
        </w:tc>
        <w:tc>
          <w:tcPr>
            <w:tcW w:type="dxa" w:w="2246"/>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Checkout completion ≥ 48%</w:t>
            </w:r>
          </w:p>
        </w:tc>
      </w:tr>
      <w:tr>
        <w:tc>
          <w:tcPr>
            <w:tcW w:type="dxa" w:w="125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Weeks 3–12</w:t>
            </w:r>
          </w:p>
        </w:tc>
        <w:tc>
          <w:tcPr>
            <w:tcW w:type="dxa" w:w="1600"/>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Build the engine</w:t>
            </w:r>
          </w:p>
        </w:tc>
        <w:tc>
          <w:tcPr>
            <w:tcW w:type="dxa" w:w="4650"/>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Welcome, abandonment, reorder flows; two-sided referral programme</w:t>
            </w:r>
          </w:p>
        </w:tc>
        <w:tc>
          <w:tcPr>
            <w:tcW w:type="dxa" w:w="22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Owned channels → 12% of sessions</w:t>
            </w:r>
          </w:p>
        </w:tc>
      </w:tr>
      <w:tr>
        <w:tc>
          <w:tcPr>
            <w:tcW w:type="dxa" w:w="125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Weeks 6–12</w:t>
            </w:r>
          </w:p>
        </w:tc>
        <w:tc>
          <w:tcPr>
            <w:tcW w:type="dxa" w:w="16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Scale what works</w:t>
            </w:r>
          </w:p>
        </w:tc>
        <w:tc>
          <w:tcPr>
            <w:tcW w:type="dxa" w:w="465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Reinvest proven budget into Paid Search; test product-page merchandising to lift add-to-cart</w:t>
            </w:r>
          </w:p>
        </w:tc>
        <w:tc>
          <w:tcPr>
            <w:tcW w:type="dxa" w:w="2246"/>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Overall CR → 3.0%; ROAS → 3.0x</w:t>
            </w:r>
          </w:p>
        </w:tc>
      </w:tr>
    </w:tbl>
    <w:p>
      <w:pPr>
        <w:spacing w:after="200" w:before="60"/>
        <w:jc w:val="left"/>
      </w:pPr>
      <w:r>
        <w:rPr>
          <w:rFonts w:ascii="Calibri" w:cs="Calibri" w:eastAsia="Calibri" w:hAnsi="Calibri"/>
          <w:i/>
          <w:iCs/>
          <w:color w:val="6B7280"/>
          <w:sz w:val="17"/>
          <w:szCs w:val="17"/>
        </w:rPr>
        <w:t xml:space="preserve">Table 6 — Sequenced 90-day plan.</w:t>
      </w:r>
    </w:p>
    <w:p>
      <w:pPr>
        <w:spacing w:after="100" w:before="220"/>
      </w:pPr>
      <w:r>
        <w:rPr>
          <w:rFonts w:ascii="Calibri" w:cs="Calibri" w:eastAsia="Calibri" w:hAnsi="Calibri"/>
          <w:b/>
          <w:bCs/>
          <w:color w:val="1F2A2E"/>
          <w:sz w:val="24"/>
          <w:szCs w:val="24"/>
        </w:rPr>
        <w:t xml:space="preserve">What we are explicitly not recommending</w:t>
      </w:r>
    </w:p>
    <w:p>
      <w:pPr>
        <w:spacing w:after="140" w:before="0" w:line="300"/>
        <w:jc w:val="left"/>
      </w:pPr>
      <w:r>
        <w:rPr>
          <w:rFonts w:ascii="Calibri" w:cs="Calibri" w:eastAsia="Calibri" w:hAnsi="Calibri"/>
          <w:color w:val="1F2A2E"/>
          <w:sz w:val="21"/>
          <w:szCs w:val="21"/>
        </w:rPr>
        <w:t xml:space="preserve">We are not recommending an increase in total media budget this quarter. Every rupee of the modelled upside above comes from reallocation, conversion-rate improvement and owned channels — not from more spend. Only once the checkout leak is closed and Paid Search is absorbing the reallocated budget efficiently should absolute spend be revisited.</w:t>
      </w:r>
    </w:p>
    <w:p>
      <w:pPr>
        <w:spacing w:after="100" w:before="220"/>
      </w:pPr>
      <w:r>
        <w:rPr>
          <w:rFonts w:ascii="Calibri" w:cs="Calibri" w:eastAsia="Calibri" w:hAnsi="Calibri"/>
          <w:b/>
          <w:bCs/>
          <w:color w:val="1F2A2E"/>
          <w:sz w:val="24"/>
          <w:szCs w:val="24"/>
        </w:rPr>
        <w:t xml:space="preserve">Risks and dependencies</w:t>
      </w:r>
    </w:p>
    <w:p>
      <w:pPr>
        <w:spacing w:after="140" w:before="0" w:line="300"/>
        <w:jc w:val="left"/>
      </w:pPr>
      <w:r>
        <w:rPr>
          <w:rFonts w:ascii="Calibri" w:cs="Calibri" w:eastAsia="Calibri" w:hAnsi="Calibri"/>
          <w:color w:val="1F2A2E"/>
          <w:sz w:val="21"/>
          <w:szCs w:val="21"/>
        </w:rPr>
        <w:t xml:space="preserve">The checkout and lifecycle work depends on product and engineering capacity; the referral programme needs margin headroom on the incentive; and Paid Search scaling will face diminishing marginal ROAS as spend grows, which is why the model assumes 2.4x on reallocated budget rather than the current 4.83x. Each assumption is testable within the 90-day window.</w:t>
      </w:r>
    </w:p>
    <w:p>
      <w:r>
        <w:br w:type="page"/>
      </w:r>
    </w:p>
    <w:p>
      <w:pPr>
        <w:pBdr>
          <w:bottom w:val="single" w:color="D9D5CC" w:sz="6" w:space="6"/>
        </w:pBdr>
        <w:spacing w:after="160" w:before="300"/>
      </w:pPr>
      <w:r>
        <w:rPr>
          <w:rFonts w:ascii="Calibri" w:cs="Calibri" w:eastAsia="Calibri" w:hAnsi="Calibri"/>
          <w:b/>
          <w:bCs/>
          <w:color w:val="235447"/>
          <w:sz w:val="30"/>
          <w:szCs w:val="30"/>
        </w:rPr>
        <w:t xml:space="preserve">Appendix A — Full Channel Dataset</w:t>
      </w:r>
    </w:p>
    <w:tbl>
      <w:tblPr>
        <w:tblW w:type="dxa" w:w="9746"/>
        <w:tblBorders>
          <w:top w:val="single" w:color="D9D5CC" w:sz="2"/>
          <w:left w:val="none" w:color="FFFFFF" w:sz="0"/>
          <w:bottom w:val="single" w:color="D9D5CC" w:sz="2"/>
          <w:right w:val="none" w:color="FFFFFF" w:sz="0"/>
          <w:insideH w:val="single" w:color="D9D5CC" w:sz="2"/>
          <w:insideV w:val="none" w:color="FFFFFF" w:sz="0"/>
        </w:tblBorders>
        <w:tblLayout w:type="fixed"/>
      </w:tblPr>
      <w:tblGrid>
        <w:gridCol w:w="2400"/>
        <w:gridCol w:w="1800"/>
        <w:gridCol w:w="1600"/>
        <w:gridCol w:w="2100"/>
        <w:gridCol w:w="1846"/>
      </w:tblGrid>
      <w:tr>
        <w:trPr>
          <w:tblHeader/>
        </w:trPr>
        <w:tc>
          <w:tcPr>
            <w:tcW w:type="dxa" w:w="240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Channel</w:t>
            </w:r>
          </w:p>
        </w:tc>
        <w:tc>
          <w:tcPr>
            <w:tcW w:type="dxa" w:w="18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Sessions</w:t>
            </w:r>
          </w:p>
        </w:tc>
        <w:tc>
          <w:tcPr>
            <w:tcW w:type="dxa" w:w="16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Bounce</w:t>
            </w:r>
          </w:p>
        </w:tc>
        <w:tc>
          <w:tcPr>
            <w:tcW w:type="dxa" w:w="21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Conv. rate</w:t>
            </w:r>
          </w:p>
        </w:tc>
        <w:tc>
          <w:tcPr>
            <w:tcW w:type="dxa" w:w="1846"/>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Orders</w:t>
            </w:r>
          </w:p>
        </w:tc>
      </w:tr>
      <w:tr>
        <w:tc>
          <w:tcPr>
            <w:tcW w:type="dxa" w:w="24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Organic Search</w:t>
            </w:r>
          </w:p>
        </w:tc>
        <w:tc>
          <w:tcPr>
            <w:tcW w:type="dxa" w:w="18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92,000</w:t>
            </w:r>
          </w:p>
        </w:tc>
        <w:tc>
          <w:tcPr>
            <w:tcW w:type="dxa" w:w="16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41%</w:t>
            </w:r>
          </w:p>
        </w:tc>
        <w:tc>
          <w:tcPr>
            <w:tcW w:type="dxa" w:w="21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2.6%</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2,392</w:t>
            </w:r>
          </w:p>
        </w:tc>
      </w:tr>
      <w:tr>
        <w:tc>
          <w:tcPr>
            <w:tcW w:type="dxa" w:w="24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Direct</w:t>
            </w:r>
          </w:p>
        </w:tc>
        <w:tc>
          <w:tcPr>
            <w:tcW w:type="dxa" w:w="18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38,000</w:t>
            </w:r>
          </w:p>
        </w:tc>
        <w:tc>
          <w:tcPr>
            <w:tcW w:type="dxa" w:w="16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35%</w:t>
            </w:r>
          </w:p>
        </w:tc>
        <w:tc>
          <w:tcPr>
            <w:tcW w:type="dxa" w:w="21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3.4%</w:t>
            </w:r>
          </w:p>
        </w:tc>
        <w:tc>
          <w:tcPr>
            <w:tcW w:type="dxa" w:w="18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1,292</w:t>
            </w:r>
          </w:p>
        </w:tc>
      </w:tr>
      <w:tr>
        <w:tc>
          <w:tcPr>
            <w:tcW w:type="dxa" w:w="24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Paid Search</w:t>
            </w:r>
          </w:p>
        </w:tc>
        <w:tc>
          <w:tcPr>
            <w:tcW w:type="dxa" w:w="18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46,000</w:t>
            </w:r>
          </w:p>
        </w:tc>
        <w:tc>
          <w:tcPr>
            <w:tcW w:type="dxa" w:w="16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48%</w:t>
            </w:r>
          </w:p>
        </w:tc>
        <w:tc>
          <w:tcPr>
            <w:tcW w:type="dxa" w:w="21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3.1%</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1,426</w:t>
            </w:r>
          </w:p>
        </w:tc>
      </w:tr>
      <w:tr>
        <w:tc>
          <w:tcPr>
            <w:tcW w:type="dxa" w:w="24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Paid Social</w:t>
            </w:r>
          </w:p>
        </w:tc>
        <w:tc>
          <w:tcPr>
            <w:tcW w:type="dxa" w:w="18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58,000</w:t>
            </w:r>
          </w:p>
        </w:tc>
        <w:tc>
          <w:tcPr>
            <w:tcW w:type="dxa" w:w="16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68%</w:t>
            </w:r>
          </w:p>
        </w:tc>
        <w:tc>
          <w:tcPr>
            <w:tcW w:type="dxa" w:w="21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1.2%</w:t>
            </w:r>
          </w:p>
        </w:tc>
        <w:tc>
          <w:tcPr>
            <w:tcW w:type="dxa" w:w="18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696</w:t>
            </w:r>
          </w:p>
        </w:tc>
      </w:tr>
      <w:tr>
        <w:tc>
          <w:tcPr>
            <w:tcW w:type="dxa" w:w="24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Email</w:t>
            </w:r>
          </w:p>
        </w:tc>
        <w:tc>
          <w:tcPr>
            <w:tcW w:type="dxa" w:w="18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14,000</w:t>
            </w:r>
          </w:p>
        </w:tc>
        <w:tc>
          <w:tcPr>
            <w:tcW w:type="dxa" w:w="16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22%</w:t>
            </w:r>
          </w:p>
        </w:tc>
        <w:tc>
          <w:tcPr>
            <w:tcW w:type="dxa" w:w="21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6.8%</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952</w:t>
            </w:r>
          </w:p>
        </w:tc>
      </w:tr>
      <w:tr>
        <w:tc>
          <w:tcPr>
            <w:tcW w:type="dxa" w:w="24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Organic Social</w:t>
            </w:r>
          </w:p>
        </w:tc>
        <w:tc>
          <w:tcPr>
            <w:tcW w:type="dxa" w:w="18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18,000</w:t>
            </w:r>
          </w:p>
        </w:tc>
        <w:tc>
          <w:tcPr>
            <w:tcW w:type="dxa" w:w="16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72%</w:t>
            </w:r>
          </w:p>
        </w:tc>
        <w:tc>
          <w:tcPr>
            <w:tcW w:type="dxa" w:w="21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0.9%</w:t>
            </w:r>
          </w:p>
        </w:tc>
        <w:tc>
          <w:tcPr>
            <w:tcW w:type="dxa" w:w="18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162</w:t>
            </w:r>
          </w:p>
        </w:tc>
      </w:tr>
      <w:tr>
        <w:tc>
          <w:tcPr>
            <w:tcW w:type="dxa" w:w="24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Referral</w:t>
            </w:r>
          </w:p>
        </w:tc>
        <w:tc>
          <w:tcPr>
            <w:tcW w:type="dxa" w:w="18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9,000</w:t>
            </w:r>
          </w:p>
        </w:tc>
        <w:tc>
          <w:tcPr>
            <w:tcW w:type="dxa" w:w="16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44%</w:t>
            </w:r>
          </w:p>
        </w:tc>
        <w:tc>
          <w:tcPr>
            <w:tcW w:type="dxa" w:w="21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3.8%</w:t>
            </w:r>
          </w:p>
        </w:tc>
        <w:tc>
          <w:tcPr>
            <w:tcW w:type="dxa" w:w="184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342</w:t>
            </w:r>
          </w:p>
        </w:tc>
      </w:tr>
      <w:tr>
        <w:tc>
          <w:tcPr>
            <w:tcW w:type="dxa" w:w="24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Display</w:t>
            </w:r>
          </w:p>
        </w:tc>
        <w:tc>
          <w:tcPr>
            <w:tcW w:type="dxa" w:w="18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24,000</w:t>
            </w:r>
          </w:p>
        </w:tc>
        <w:tc>
          <w:tcPr>
            <w:tcW w:type="dxa" w:w="16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81%</w:t>
            </w:r>
          </w:p>
        </w:tc>
        <w:tc>
          <w:tcPr>
            <w:tcW w:type="dxa" w:w="21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0.4%</w:t>
            </w:r>
          </w:p>
        </w:tc>
        <w:tc>
          <w:tcPr>
            <w:tcW w:type="dxa" w:w="18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96</w:t>
            </w:r>
          </w:p>
        </w:tc>
      </w:tr>
    </w:tbl>
    <w:p>
      <w:pPr>
        <w:spacing w:after="200" w:before="60"/>
        <w:jc w:val="left"/>
      </w:pPr>
      <w:r>
        <w:rPr>
          <w:rFonts w:ascii="Calibri" w:cs="Calibri" w:eastAsia="Calibri" w:hAnsi="Calibri"/>
          <w:i/>
          <w:iCs/>
          <w:color w:val="6B7280"/>
          <w:sz w:val="17"/>
          <w:szCs w:val="17"/>
        </w:rPr>
        <w:t xml:space="preserve">Table A1 — Traffic and conversion by source.</w:t>
      </w:r>
    </w:p>
    <w:tbl>
      <w:tblPr>
        <w:tblW w:type="dxa" w:w="9746"/>
        <w:tblBorders>
          <w:top w:val="single" w:color="D9D5CC" w:sz="2"/>
          <w:left w:val="none" w:color="FFFFFF" w:sz="0"/>
          <w:bottom w:val="single" w:color="D9D5CC" w:sz="2"/>
          <w:right w:val="none" w:color="FFFFFF" w:sz="0"/>
          <w:insideH w:val="single" w:color="D9D5CC" w:sz="2"/>
          <w:insideV w:val="none" w:color="FFFFFF" w:sz="0"/>
        </w:tblBorders>
        <w:tblLayout w:type="fixed"/>
      </w:tblPr>
      <w:tblGrid>
        <w:gridCol w:w="2200"/>
        <w:gridCol w:w="1400"/>
        <w:gridCol w:w="1800"/>
        <w:gridCol w:w="1600"/>
        <w:gridCol w:w="1400"/>
        <w:gridCol w:w="1346"/>
      </w:tblGrid>
      <w:tr>
        <w:trPr>
          <w:tblHeader/>
        </w:trPr>
        <w:tc>
          <w:tcPr>
            <w:tcW w:type="dxa" w:w="220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Channel</w:t>
            </w:r>
          </w:p>
        </w:tc>
        <w:tc>
          <w:tcPr>
            <w:tcW w:type="dxa" w:w="14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AOV</w:t>
            </w:r>
          </w:p>
        </w:tc>
        <w:tc>
          <w:tcPr>
            <w:tcW w:type="dxa" w:w="18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Revenue</w:t>
            </w:r>
          </w:p>
        </w:tc>
        <w:tc>
          <w:tcPr>
            <w:tcW w:type="dxa" w:w="16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Media spend</w:t>
            </w:r>
          </w:p>
        </w:tc>
        <w:tc>
          <w:tcPr>
            <w:tcW w:type="dxa" w:w="1400"/>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CPA</w:t>
            </w:r>
          </w:p>
        </w:tc>
        <w:tc>
          <w:tcPr>
            <w:tcW w:type="dxa" w:w="1346"/>
            <w:shd w:fill="235447"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b/>
                <w:bCs/>
                <w:color w:val="FFFFFF"/>
                <w:sz w:val="17"/>
                <w:szCs w:val="17"/>
              </w:rPr>
              <w:t xml:space="preserve">ROAS</w:t>
            </w:r>
          </w:p>
        </w:tc>
      </w:tr>
      <w:tr>
        <w:tc>
          <w:tcPr>
            <w:tcW w:type="dxa" w:w="22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Organic Search</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₹1,850</w:t>
            </w:r>
          </w:p>
        </w:tc>
        <w:tc>
          <w:tcPr>
            <w:tcW w:type="dxa" w:w="18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₹44,25,200</w:t>
            </w:r>
          </w:p>
        </w:tc>
        <w:tc>
          <w:tcPr>
            <w:tcW w:type="dxa" w:w="16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c>
          <w:tcPr>
            <w:tcW w:type="dxa" w:w="134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r>
      <w:tr>
        <w:tc>
          <w:tcPr>
            <w:tcW w:type="dxa" w:w="22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Direct</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₹2,050</w:t>
            </w:r>
          </w:p>
        </w:tc>
        <w:tc>
          <w:tcPr>
            <w:tcW w:type="dxa" w:w="18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₹26,48,600</w:t>
            </w:r>
          </w:p>
        </w:tc>
        <w:tc>
          <w:tcPr>
            <w:tcW w:type="dxa" w:w="16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c>
          <w:tcPr>
            <w:tcW w:type="dxa" w:w="13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r>
      <w:tr>
        <w:tc>
          <w:tcPr>
            <w:tcW w:type="dxa" w:w="22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Paid Search</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₹2,100</w:t>
            </w:r>
          </w:p>
        </w:tc>
        <w:tc>
          <w:tcPr>
            <w:tcW w:type="dxa" w:w="18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₹29,94,600</w:t>
            </w:r>
          </w:p>
        </w:tc>
        <w:tc>
          <w:tcPr>
            <w:tcW w:type="dxa" w:w="16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₹6,20,000</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₹435</w:t>
            </w:r>
          </w:p>
        </w:tc>
        <w:tc>
          <w:tcPr>
            <w:tcW w:type="dxa" w:w="134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4.83x</w:t>
            </w:r>
          </w:p>
        </w:tc>
      </w:tr>
      <w:tr>
        <w:tc>
          <w:tcPr>
            <w:tcW w:type="dxa" w:w="22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Paid Social</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₹1,700</w:t>
            </w:r>
          </w:p>
        </w:tc>
        <w:tc>
          <w:tcPr>
            <w:tcW w:type="dxa" w:w="18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₹11,83,200</w:t>
            </w:r>
          </w:p>
        </w:tc>
        <w:tc>
          <w:tcPr>
            <w:tcW w:type="dxa" w:w="16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₹9,80,000</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₹1,408</w:t>
            </w:r>
          </w:p>
        </w:tc>
        <w:tc>
          <w:tcPr>
            <w:tcW w:type="dxa" w:w="13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1.21x</w:t>
            </w:r>
          </w:p>
        </w:tc>
      </w:tr>
      <w:tr>
        <w:tc>
          <w:tcPr>
            <w:tcW w:type="dxa" w:w="22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Email</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₹2,300</w:t>
            </w:r>
          </w:p>
        </w:tc>
        <w:tc>
          <w:tcPr>
            <w:tcW w:type="dxa" w:w="18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₹21,89,600</w:t>
            </w:r>
          </w:p>
        </w:tc>
        <w:tc>
          <w:tcPr>
            <w:tcW w:type="dxa" w:w="16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c>
          <w:tcPr>
            <w:tcW w:type="dxa" w:w="134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r>
      <w:tr>
        <w:tc>
          <w:tcPr>
            <w:tcW w:type="dxa" w:w="22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Organic Social</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₹1,600</w:t>
            </w:r>
          </w:p>
        </w:tc>
        <w:tc>
          <w:tcPr>
            <w:tcW w:type="dxa" w:w="18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₹2,59,200</w:t>
            </w:r>
          </w:p>
        </w:tc>
        <w:tc>
          <w:tcPr>
            <w:tcW w:type="dxa" w:w="16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c>
          <w:tcPr>
            <w:tcW w:type="dxa" w:w="13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r>
      <w:tr>
        <w:tc>
          <w:tcPr>
            <w:tcW w:type="dxa" w:w="2200"/>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Referral</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₹2,200</w:t>
            </w:r>
          </w:p>
        </w:tc>
        <w:tc>
          <w:tcPr>
            <w:tcW w:type="dxa" w:w="18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₹7,52,400</w:t>
            </w:r>
          </w:p>
        </w:tc>
        <w:tc>
          <w:tcPr>
            <w:tcW w:type="dxa" w:w="16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c>
          <w:tcPr>
            <w:tcW w:type="dxa" w:w="1400"/>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c>
          <w:tcPr>
            <w:tcW w:type="dxa" w:w="1346"/>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w:t>
            </w:r>
          </w:p>
        </w:tc>
      </w:tr>
      <w:tr>
        <w:tc>
          <w:tcPr>
            <w:tcW w:type="dxa" w:w="22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color w:val="1F2A2E"/>
                <w:sz w:val="17"/>
                <w:szCs w:val="17"/>
              </w:rPr>
              <w:t xml:space="preserve">Display</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₹1,500</w:t>
            </w:r>
          </w:p>
        </w:tc>
        <w:tc>
          <w:tcPr>
            <w:tcW w:type="dxa" w:w="18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₹1,44,000</w:t>
            </w:r>
          </w:p>
        </w:tc>
        <w:tc>
          <w:tcPr>
            <w:tcW w:type="dxa" w:w="16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₹2,10,000</w:t>
            </w:r>
          </w:p>
        </w:tc>
        <w:tc>
          <w:tcPr>
            <w:tcW w:type="dxa" w:w="1400"/>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₹2,188</w:t>
            </w:r>
          </w:p>
        </w:tc>
        <w:tc>
          <w:tcPr>
            <w:tcW w:type="dxa" w:w="1346"/>
            <w:shd w:fill="F7F5F0" w:color="auto" w:val="clear"/>
            <w:tcMar>
              <w:top w:type="dxa" w:w="70"/>
              <w:left w:type="dxa" w:w="110"/>
              <w:bottom w:type="dxa" w:w="70"/>
              <w:right w:type="dxa" w:w="110"/>
            </w:tcMar>
            <w:vAlign w:val="center"/>
          </w:tcPr>
          <w:p>
            <w:pPr>
              <w:spacing w:after="0" w:before="0" w:line="240"/>
              <w:jc w:val="right"/>
            </w:pPr>
            <w:r>
              <w:rPr>
                <w:rFonts w:ascii="Calibri" w:cs="Calibri" w:eastAsia="Calibri" w:hAnsi="Calibri"/>
                <w:color w:val="1F2A2E"/>
                <w:sz w:val="17"/>
                <w:szCs w:val="17"/>
              </w:rPr>
              <w:t xml:space="preserve">0.69x</w:t>
            </w:r>
          </w:p>
        </w:tc>
      </w:tr>
    </w:tbl>
    <w:p>
      <w:pPr>
        <w:spacing w:after="200" w:before="60"/>
        <w:jc w:val="left"/>
      </w:pPr>
      <w:r>
        <w:rPr>
          <w:rFonts w:ascii="Calibri" w:cs="Calibri" w:eastAsia="Calibri" w:hAnsi="Calibri"/>
          <w:i/>
          <w:iCs/>
          <w:color w:val="6B7280"/>
          <w:sz w:val="17"/>
          <w:szCs w:val="17"/>
        </w:rPr>
        <w:t xml:space="preserve">Table A2 — Revenue and paid economics. Paid metrics shown only where media spend exists.</w:t>
      </w:r>
    </w:p>
    <w:p>
      <w:pPr>
        <w:pBdr>
          <w:bottom w:val="single" w:color="D9D5CC" w:sz="6" w:space="6"/>
        </w:pBdr>
        <w:spacing w:after="160" w:before="300"/>
      </w:pPr>
      <w:r>
        <w:rPr>
          <w:rFonts w:ascii="Calibri" w:cs="Calibri" w:eastAsia="Calibri" w:hAnsi="Calibri"/>
          <w:b/>
          <w:bCs/>
          <w:color w:val="235447"/>
          <w:sz w:val="30"/>
          <w:szCs w:val="30"/>
        </w:rPr>
        <w:t xml:space="preserve">Appendix B — Glossary</w:t>
      </w:r>
    </w:p>
    <w:tbl>
      <w:tblPr>
        <w:tblW w:type="dxa" w:w="9746"/>
        <w:tblBorders>
          <w:top w:val="single" w:color="D9D5CC" w:sz="2"/>
          <w:left w:val="none" w:color="FFFFFF" w:sz="0"/>
          <w:bottom w:val="single" w:color="D9D5CC" w:sz="2"/>
          <w:right w:val="none" w:color="FFFFFF" w:sz="0"/>
          <w:insideH w:val="single" w:color="D9D5CC" w:sz="2"/>
          <w:insideV w:val="none" w:color="FFFFFF" w:sz="0"/>
        </w:tblBorders>
        <w:tblLayout w:type="fixed"/>
      </w:tblPr>
      <w:tblGrid>
        <w:gridCol w:w="2600"/>
        <w:gridCol w:w="7146"/>
      </w:tblGrid>
      <w:tr>
        <w:trPr>
          <w:tblHeader/>
        </w:trPr>
        <w:tc>
          <w:tcPr>
            <w:tcW w:type="dxa" w:w="2600"/>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Term</w:t>
            </w:r>
          </w:p>
        </w:tc>
        <w:tc>
          <w:tcPr>
            <w:tcW w:type="dxa" w:w="7146"/>
            <w:shd w:fill="235447"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FFFFFF"/>
                <w:sz w:val="17"/>
                <w:szCs w:val="17"/>
              </w:rPr>
              <w:t xml:space="preserve">Meaning</w:t>
            </w:r>
          </w:p>
        </w:tc>
      </w:tr>
      <w:tr>
        <w:tc>
          <w:tcPr>
            <w:tcW w:type="dxa" w:w="260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AOV</w:t>
            </w:r>
          </w:p>
        </w:tc>
        <w:tc>
          <w:tcPr>
            <w:tcW w:type="dxa" w:w="71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Average order value = revenue ÷ orders</w:t>
            </w:r>
          </w:p>
        </w:tc>
      </w:tr>
      <w:tr>
        <w:tc>
          <w:tcPr>
            <w:tcW w:type="dxa" w:w="26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CTR</w:t>
            </w:r>
          </w:p>
        </w:tc>
        <w:tc>
          <w:tcPr>
            <w:tcW w:type="dxa" w:w="7146"/>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Click-through rate = clicks ÷ impressions</w:t>
            </w:r>
          </w:p>
        </w:tc>
      </w:tr>
      <w:tr>
        <w:tc>
          <w:tcPr>
            <w:tcW w:type="dxa" w:w="260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CPC</w:t>
            </w:r>
          </w:p>
        </w:tc>
        <w:tc>
          <w:tcPr>
            <w:tcW w:type="dxa" w:w="71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Cost per click = media spend ÷ clicks</w:t>
            </w:r>
          </w:p>
        </w:tc>
      </w:tr>
      <w:tr>
        <w:tc>
          <w:tcPr>
            <w:tcW w:type="dxa" w:w="26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CPA</w:t>
            </w:r>
          </w:p>
        </w:tc>
        <w:tc>
          <w:tcPr>
            <w:tcW w:type="dxa" w:w="7146"/>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Cost per acquisition = media spend ÷ orders</w:t>
            </w:r>
          </w:p>
        </w:tc>
      </w:tr>
      <w:tr>
        <w:tc>
          <w:tcPr>
            <w:tcW w:type="dxa" w:w="260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ROAS</w:t>
            </w:r>
          </w:p>
        </w:tc>
        <w:tc>
          <w:tcPr>
            <w:tcW w:type="dxa" w:w="71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Return on ad spend = attributed revenue ÷ media spend (gross)</w:t>
            </w:r>
          </w:p>
        </w:tc>
      </w:tr>
      <w:tr>
        <w:tc>
          <w:tcPr>
            <w:tcW w:type="dxa" w:w="26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ROI</w:t>
            </w:r>
          </w:p>
        </w:tc>
        <w:tc>
          <w:tcPr>
            <w:tcW w:type="dxa" w:w="7146"/>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Return on investment = (revenue − spend) ÷ spend (net of media)</w:t>
            </w:r>
          </w:p>
        </w:tc>
      </w:tr>
      <w:tr>
        <w:tc>
          <w:tcPr>
            <w:tcW w:type="dxa" w:w="2600"/>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Revenue per session</w:t>
            </w:r>
          </w:p>
        </w:tc>
        <w:tc>
          <w:tcPr>
            <w:tcW w:type="dxa" w:w="7146"/>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Revenue ÷ sessions — the value of a single visit by source</w:t>
            </w:r>
          </w:p>
        </w:tc>
      </w:tr>
      <w:tr>
        <w:tc>
          <w:tcPr>
            <w:tcW w:type="dxa" w:w="2600"/>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bCs/>
                <w:color w:val="1F2A2E"/>
                <w:sz w:val="17"/>
                <w:szCs w:val="17"/>
              </w:rPr>
              <w:t xml:space="preserve">Step conversion</w:t>
            </w:r>
          </w:p>
        </w:tc>
        <w:tc>
          <w:tcPr>
            <w:tcW w:type="dxa" w:w="7146"/>
            <w:shd w:fill="F7F5F0" w:color="auto" w:val="clear"/>
            <w:tcMar>
              <w:top w:type="dxa" w:w="70"/>
              <w:left w:type="dxa" w:w="110"/>
              <w:bottom w:type="dxa" w:w="70"/>
              <w:right w:type="dxa" w:w="110"/>
            </w:tcMar>
            <w:vAlign w:val="center"/>
          </w:tcPr>
          <w:p>
            <w:pPr>
              <w:spacing w:after="0" w:before="0" w:line="240"/>
              <w:jc w:val="left"/>
            </w:pPr>
            <w:r>
              <w:rPr>
                <w:rFonts w:ascii="Calibri" w:cs="Calibri" w:eastAsia="Calibri" w:hAnsi="Calibri"/>
                <w:b w:val="false"/>
                <w:bCs w:val="false"/>
                <w:color w:val="1F2A2E"/>
                <w:sz w:val="17"/>
                <w:szCs w:val="17"/>
              </w:rPr>
              <w:t xml:space="preserve">Percentage of users advancing from one funnel stage to the next</w:t>
            </w:r>
          </w:p>
        </w:tc>
      </w:tr>
    </w:tbl>
    <w:p>
      <w:pPr>
        <w:spacing w:before="260"/>
      </w:pPr>
    </w:p>
    <w:p>
      <w:pPr>
        <w:pBdr>
          <w:top w:val="single" w:color="D9D5CC" w:sz="6" w:space="8"/>
        </w:pBdr>
        <w:spacing w:after="0" w:before="120"/>
      </w:pPr>
      <w:r>
        <w:rPr>
          <w:rFonts w:ascii="Calibri" w:cs="Calibri" w:eastAsia="Calibri" w:hAnsi="Calibri"/>
          <w:i/>
          <w:iCs/>
          <w:color w:val="6B7280"/>
          <w:sz w:val="15"/>
          <w:szCs w:val="15"/>
        </w:rPr>
        <w:t xml:space="preserve">Prepared by Growth &amp; Performance Marketing · Kaaya Organics Digital Marketing Analytics Report · Reporting period 1–30 September 2026 · Built on a representative synthetic sample dataset.</w:t>
      </w:r>
    </w:p>
    <w:sectPr>
      <w:footerReference w:type="default" r:id="rId6"/>
      <w:footerReference w:type="first" r:id="rId7"/>
      <w:pgSz w:w="11906" w:h="16838" w:orient="portrait"/>
      <w:pgMar w:top="1080" w:right="1080" w:bottom="1080" w:left="108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5CC" w:sz="4" w:space="6"/>
      </w:pBdr>
      <w:tabs>
        <w:tab w:val="right" w:pos="9026"/>
      </w:tabs>
    </w:pPr>
    <w:r>
      <w:rPr>
        <w:rFonts w:ascii="Calibri" w:cs="Calibri" w:eastAsia="Calibri" w:hAnsi="Calibri"/>
        <w:color w:val="6B7280"/>
        <w:sz w:val="15"/>
        <w:szCs w:val="15"/>
      </w:rPr>
      <w:t xml:space="preserve">Kaaya Organics · Digital Marketing Analytics Report</w:t>
    </w:r>
    <w:r>
      <w:rPr>
        <w:sz w:val="15"/>
        <w:szCs w:val="15"/>
      </w:rPr>
      <w:t xml:space="preserve">	</w:t>
    </w: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0a4c0dd1af811330010c787c4b2bb59620430dc0.png"/><Relationship Id="rId10" Type="http://schemas.openxmlformats.org/officeDocument/2006/relationships/image" Target="media/4aebe77ad3fed905340f25d81e5e28b4ce69d3e0.png"/><Relationship Id="rId11" Type="http://schemas.openxmlformats.org/officeDocument/2006/relationships/image" Target="media/ce8f07462fc01a2424da191ca228a45c52e820d9.png"/><Relationship Id="rId12" Type="http://schemas.openxmlformats.org/officeDocument/2006/relationships/image" Target="media/2cb99bb8a7a16398356fa23793366f62d5efd2b9.png"/><Relationship Id="rId13" Type="http://schemas.openxmlformats.org/officeDocument/2006/relationships/image" Target="media/b1aecb298208ddf2cb6f9faea494c2e4e15fba7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Marketing Analytics Report — Kaaya Organics</dc:title>
  <dc:creator>Growth &amp; Performance Marketing</dc:creator>
  <dc:description>Executive marketing audit and 90-day growth plan</dc:description>
  <cp:lastModifiedBy>Un-named</cp:lastModifiedBy>
  <cp:revision>1</cp:revision>
  <dcterms:created xsi:type="dcterms:W3CDTF">2026-10-18T05:39:06.894Z</dcterms:created>
  <dcterms:modified xsi:type="dcterms:W3CDTF">2026-10-18T05:39:06.895Z</dcterms:modified>
</cp:coreProperties>
</file>

<file path=docProps/custom.xml><?xml version="1.0" encoding="utf-8"?>
<Properties xmlns="http://schemas.openxmlformats.org/officeDocument/2006/custom-properties" xmlns:vt="http://schemas.openxmlformats.org/officeDocument/2006/docPropsVTypes"/>
</file>