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2A44"/>
          <w:sz w:val="44"/>
          <w:szCs w:val="44"/>
        </w:rPr>
        <w:t xml:space="preserve">Email Newsletter &amp; Funnel Campaign</w:t>
      </w:r>
    </w:p>
    <w:p>
      <w:pPr>
        <w:spacing w:after="220"/>
      </w:pPr>
      <w:r>
        <w:rPr>
          <w:rFonts w:ascii="Calibri" w:cs="Calibri" w:eastAsia="Calibri" w:hAnsi="Calibri"/>
          <w:i/>
          <w:iCs/>
          <w:color w:val="5A6472"/>
          <w:sz w:val="22"/>
          <w:szCs w:val="22"/>
        </w:rPr>
        <w:t xml:space="preserve">A 3-part onboarding sequence — subject lines, body copy, and conversion CTAs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shd w:fill="EDF2FF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9"/>
                <w:szCs w:val="19"/>
              </w:rPr>
              <w:t xml:space="preserve">Example brand</w:t>
            </w:r>
          </w:p>
        </w:tc>
        <w:tc>
          <w:tcPr>
            <w:tcW w:type="dxa" w:w="6600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F38"/>
                <w:sz w:val="19"/>
                <w:szCs w:val="19"/>
              </w:rPr>
              <w:t xml:space="preserve">Lumen Academy (fictional example — swap in your own)</w:t>
            </w:r>
          </w:p>
        </w:tc>
      </w:tr>
      <w:tr>
        <w:tc>
          <w:tcPr>
            <w:tcW w:type="dxa" w:w="2600"/>
            <w:shd w:fill="EDF2FF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9"/>
                <w:szCs w:val="19"/>
              </w:rPr>
              <w:t xml:space="preserve">Product</w:t>
            </w:r>
          </w:p>
        </w:tc>
        <w:tc>
          <w:tcPr>
            <w:tcW w:type="dxa" w:w="6600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F38"/>
                <w:sz w:val="19"/>
                <w:szCs w:val="19"/>
              </w:rPr>
              <w:t xml:space="preserve">The Conversion Copywriting Blueprint — a 6-week online course</w:t>
            </w:r>
          </w:p>
        </w:tc>
      </w:tr>
      <w:tr>
        <w:tc>
          <w:tcPr>
            <w:tcW w:type="dxa" w:w="2600"/>
            <w:shd w:fill="EDF2FF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9"/>
                <w:szCs w:val="19"/>
              </w:rPr>
              <w:t xml:space="preserve">Audience</w:t>
            </w:r>
          </w:p>
        </w:tc>
        <w:tc>
          <w:tcPr>
            <w:tcW w:type="dxa" w:w="6600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F38"/>
                <w:sz w:val="19"/>
                <w:szCs w:val="19"/>
              </w:rPr>
              <w:t xml:space="preserve">Freelance copywriters, marketing professionals, and small-business owners</w:t>
            </w:r>
          </w:p>
        </w:tc>
      </w:tr>
      <w:tr>
        <w:tc>
          <w:tcPr>
            <w:tcW w:type="dxa" w:w="2600"/>
            <w:shd w:fill="EDF2FF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9"/>
                <w:szCs w:val="19"/>
              </w:rPr>
              <w:t xml:space="preserve">Sequence goal</w:t>
            </w:r>
          </w:p>
        </w:tc>
        <w:tc>
          <w:tcPr>
            <w:tcW w:type="dxa" w:w="6600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F38"/>
                <w:sz w:val="19"/>
                <w:szCs w:val="19"/>
              </w:rPr>
              <w:t xml:space="preserve">Turn a new subscriber into a paying enrollee within five days</w:t>
            </w:r>
          </w:p>
        </w:tc>
      </w:tr>
      <w:tr>
        <w:tc>
          <w:tcPr>
            <w:tcW w:type="dxa" w:w="2600"/>
            <w:shd w:fill="EDF2FF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9"/>
                <w:szCs w:val="19"/>
              </w:rPr>
              <w:t xml:space="preserve">Tone</w:t>
            </w:r>
          </w:p>
        </w:tc>
        <w:tc>
          <w:tcPr>
            <w:tcW w:type="dxa" w:w="6600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F38"/>
                <w:sz w:val="19"/>
                <w:szCs w:val="19"/>
              </w:rPr>
              <w:t xml:space="preserve">Professional and authoritative</w:t>
            </w:r>
          </w:p>
        </w:tc>
      </w:tr>
      <w:tr>
        <w:tc>
          <w:tcPr>
            <w:tcW w:type="dxa" w:w="2600"/>
            <w:shd w:fill="EDF2FF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9"/>
                <w:szCs w:val="19"/>
              </w:rPr>
              <w:t xml:space="preserve">Sequence length</w:t>
            </w:r>
          </w:p>
        </w:tc>
        <w:tc>
          <w:tcPr>
            <w:tcW w:type="dxa" w:w="6600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F38"/>
                <w:sz w:val="19"/>
                <w:szCs w:val="19"/>
              </w:rPr>
              <w:t xml:space="preserve">3 emails over 5 days</w:t>
            </w:r>
          </w:p>
        </w:tc>
      </w:tr>
    </w:tbl>
    <w:p>
      <w:pPr>
        <w:spacing w:after="160" w:before="160"/>
      </w:pPr>
    </w:p>
    <w:p>
      <w:pPr>
        <w:pStyle w:val="Heading1"/>
        <w:spacing w:after="120" w:before="200"/>
      </w:pPr>
      <w:r>
        <w:rPr>
          <w:b/>
          <w:bCs/>
          <w:color w:val="1F2A44"/>
          <w:sz w:val="28"/>
          <w:szCs w:val="28"/>
        </w:rPr>
        <w:t xml:space="preserve">How the sequence works</w:t>
      </w:r>
    </w:p>
    <w:p>
      <w:pPr>
        <w:spacing w:after="140" w:line="276"/>
      </w:pPr>
      <w:r>
        <w:rPr>
          <w:rFonts w:ascii="Calibri" w:cs="Calibri" w:eastAsia="Calibri" w:hAnsi="Calibri"/>
          <w:color w:val="2B2F38"/>
          <w:sz w:val="21"/>
          <w:szCs w:val="21"/>
        </w:rPr>
        <w:t xml:space="preserve">Each email does one job. The first earns trust by delivering value immediately, the second proves expertise by teaching something genuinely useful, and the third makes the offer with a deadline, an incentive, and a guarantee. The three run on an automated trigger, so a new subscriber enters at the top and moves through them in order.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shd w:fill="EDF2FF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9"/>
                <w:szCs w:val="19"/>
              </w:rPr>
              <w:t xml:space="preserve">Email 1 — Welcome &amp; value proposition</w:t>
            </w:r>
          </w:p>
        </w:tc>
        <w:tc>
          <w:tcPr>
            <w:tcW w:type="dxa" w:w="6600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F38"/>
                <w:sz w:val="19"/>
                <w:szCs w:val="19"/>
              </w:rPr>
              <w:t xml:space="preserve">Sends immediately on signup</w:t>
            </w:r>
          </w:p>
        </w:tc>
      </w:tr>
      <w:tr>
        <w:tc>
          <w:tcPr>
            <w:tcW w:type="dxa" w:w="2600"/>
            <w:shd w:fill="EDF2FF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9"/>
                <w:szCs w:val="19"/>
              </w:rPr>
              <w:t xml:space="preserve">Email 2 — Educational milestone</w:t>
            </w:r>
          </w:p>
        </w:tc>
        <w:tc>
          <w:tcPr>
            <w:tcW w:type="dxa" w:w="6600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F38"/>
                <w:sz w:val="19"/>
                <w:szCs w:val="19"/>
              </w:rPr>
              <w:t xml:space="preserve">Sends 3 days later</w:t>
            </w:r>
          </w:p>
        </w:tc>
      </w:tr>
      <w:tr>
        <w:tc>
          <w:tcPr>
            <w:tcW w:type="dxa" w:w="2600"/>
            <w:shd w:fill="EDF2FF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9"/>
                <w:szCs w:val="19"/>
              </w:rPr>
              <w:t xml:space="preserve">Email 3 — Discount / certificate CTA</w:t>
            </w:r>
          </w:p>
        </w:tc>
        <w:tc>
          <w:tcPr>
            <w:tcW w:type="dxa" w:w="6600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F38"/>
                <w:sz w:val="19"/>
                <w:szCs w:val="19"/>
              </w:rPr>
              <w:t xml:space="preserve">Sends 2 days later; deadline 48 hours out</w:t>
            </w:r>
          </w:p>
        </w:tc>
      </w:tr>
    </w:tbl>
    <w:p>
      <w:r>
        <w:br w:type="page"/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0"/>
        <w:gridCol w:w="3200"/>
      </w:tblGrid>
      <w:tr>
        <w:tc>
          <w:tcPr>
            <w:tcW w:type="dxa" w:w="6000"/>
            <w:shd w:fill="1F2A4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EMAIL 1  ·  Welcome &amp; Value Proposition</w:t>
            </w:r>
          </w:p>
        </w:tc>
        <w:tc>
          <w:tcPr>
            <w:tcW w:type="dxa" w:w="3200"/>
            <w:shd w:fill="1F2A44" w:val="clear"/>
            <w:tcMar>
              <w:top w:type="dxa" w:w="120"/>
              <w:left w:type="dxa" w:w="12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C7D2F0"/>
                <w:sz w:val="18"/>
                <w:szCs w:val="18"/>
              </w:rPr>
              <w:t xml:space="preserve">Sends: immediately on signup</w:t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2E5BFF"/>
          <w:spacing w:val="20"/>
          <w:sz w:val="16"/>
          <w:szCs w:val="16"/>
        </w:rPr>
        <w:t xml:space="preserve">SUBJECT LINE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EDF2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Subject:  </w:t>
            </w:r>
            <w:r>
              <w:rPr>
                <w:rFonts w:ascii="Calibri" w:cs="Calibri" w:eastAsia="Calibri" w:hAnsi="Calibri"/>
                <w:b/>
                <w:bCs/>
                <w:color w:val="1F2A44"/>
                <w:sz w:val="20"/>
                <w:szCs w:val="20"/>
              </w:rPr>
              <w:t xml:space="preserve">Welcome to Lumen — here's what happens next</w:t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2E5BFF"/>
          <w:spacing w:val="20"/>
          <w:sz w:val="16"/>
          <w:szCs w:val="16"/>
        </w:rPr>
        <w:t xml:space="preserve">ALTERNATE SUBJECT LINES (A/B TEST)</w:t>
      </w:r>
    </w:p>
    <w:p>
      <w:pPr>
        <w:spacing w:after="40"/>
      </w:pPr>
      <w:r>
        <w:rPr>
          <w:b/>
          <w:bCs/>
          <w:color w:val="2E5BFF"/>
          <w:sz w:val="20"/>
          <w:szCs w:val="20"/>
        </w:rPr>
        <w:t xml:space="preserve">•  </w:t>
      </w:r>
      <w:r>
        <w:rPr>
          <w:rFonts w:ascii="Calibri" w:cs="Calibri" w:eastAsia="Calibri" w:hAnsi="Calibri"/>
          <w:i/>
          <w:iCs/>
          <w:color w:val="5A6472"/>
          <w:sz w:val="19"/>
          <w:szCs w:val="19"/>
        </w:rPr>
        <w:t xml:space="preserve">You're in. Here's your first step.</w:t>
      </w:r>
    </w:p>
    <w:p>
      <w:pPr>
        <w:spacing w:after="40"/>
      </w:pPr>
      <w:r>
        <w:rPr>
          <w:b/>
          <w:bCs/>
          <w:color w:val="2E5BFF"/>
          <w:sz w:val="20"/>
          <w:szCs w:val="20"/>
        </w:rPr>
        <w:t xml:space="preserve">•  </w:t>
      </w:r>
      <w:r>
        <w:rPr>
          <w:rFonts w:ascii="Calibri" w:cs="Calibri" w:eastAsia="Calibri" w:hAnsi="Calibri"/>
          <w:i/>
          <w:iCs/>
          <w:color w:val="5A6472"/>
          <w:sz w:val="19"/>
          <w:szCs w:val="19"/>
        </w:rPr>
        <w:t xml:space="preserve">The one skill that pays for itself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5A6472"/>
          <w:sz w:val="19"/>
          <w:szCs w:val="19"/>
        </w:rPr>
        <w:t xml:space="preserve">Preview text: </w:t>
      </w:r>
      <w:r>
        <w:rPr>
          <w:rFonts w:ascii="Calibri" w:cs="Calibri" w:eastAsia="Calibri" w:hAnsi="Calibri"/>
          <w:color w:val="5A6472"/>
          <w:sz w:val="19"/>
          <w:szCs w:val="19"/>
        </w:rPr>
        <w:t xml:space="preserve">Your free lesson is waiting inside — plus the roadmap we'll walk together.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2E5BFF"/>
          <w:spacing w:val="20"/>
          <w:sz w:val="16"/>
          <w:szCs w:val="16"/>
        </w:rPr>
        <w:t xml:space="preserve">BODY COPY</w:t>
      </w:r>
    </w:p>
    <w:p>
      <w:pPr>
        <w:spacing w:after="140" w:line="276"/>
      </w:pPr>
      <w:r>
        <w:rPr>
          <w:rFonts w:ascii="Calibri" w:cs="Calibri" w:eastAsia="Calibri" w:hAnsi="Calibri"/>
          <w:color w:val="2B2F38"/>
          <w:sz w:val="21"/>
          <w:szCs w:val="21"/>
        </w:rPr>
        <w:t xml:space="preserve">Hi {{first_name}},</w:t>
      </w:r>
    </w:p>
    <w:p>
      <w:pPr>
        <w:spacing w:after="140" w:line="276"/>
      </w:pPr>
      <w:r>
        <w:rPr>
          <w:rFonts w:ascii="Calibri" w:cs="Calibri" w:eastAsia="Calibri" w:hAnsi="Calibri"/>
          <w:color w:val="2B2F38"/>
          <w:sz w:val="21"/>
          <w:szCs w:val="21"/>
        </w:rPr>
        <w:t xml:space="preserve">Welcome to Lumen Academy — and thank you for trusting us with your inbox. You've just joined thousands of marketers who decided that writing copy that actually converts was worth mastering.</w:t>
      </w:r>
    </w:p>
    <w:p>
      <w:pPr>
        <w:spacing w:after="140" w:line="276"/>
      </w:pPr>
      <w:r>
        <w:rPr>
          <w:rFonts w:ascii="Calibri" w:cs="Calibri" w:eastAsia="Calibri" w:hAnsi="Calibri"/>
          <w:color w:val="2B2F38"/>
          <w:sz w:val="21"/>
          <w:szCs w:val="21"/>
        </w:rPr>
        <w:t xml:space="preserve">Here's what you can expect from us: no fluff, no recycled advice, and nothing you'll need to unsubscribe from. Just one useful idea at a time, drawn from campaigns we've run and tested.</w:t>
      </w:r>
    </w:p>
    <w:p>
      <w:pPr>
        <w:spacing w:after="140" w:line="276"/>
      </w:pPr>
      <w:r>
        <w:rPr>
          <w:rFonts w:ascii="Calibri" w:cs="Calibri" w:eastAsia="Calibri" w:hAnsi="Calibri"/>
          <w:color w:val="2B2F38"/>
          <w:sz w:val="21"/>
          <w:szCs w:val="21"/>
        </w:rPr>
        <w:t xml:space="preserve">To get you started, your free lesson is ready: The Five-Part Framework Behind Every High-Converting Email. In it, you'll see exactly how a single email moves a reader from “just browsing” to “ready to buy” — and how to apply the same structure to your own list this week.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2E5B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Access Your Free Lesson  →</w:t>
            </w:r>
          </w:p>
        </w:tc>
      </w:tr>
    </w:tbl>
    <w:p>
      <w:pPr>
        <w:spacing w:after="140" w:line="276"/>
      </w:pPr>
      <w:r>
        <w:rPr>
          <w:rFonts w:ascii="Calibri" w:cs="Calibri" w:eastAsia="Calibri" w:hAnsi="Calibri"/>
          <w:color w:val="2B2F38"/>
          <w:sz w:val="21"/>
          <w:szCs w:val="21"/>
        </w:rPr>
        <w:t xml:space="preserve">Over the next few days I'll send you two more lessons: a headline test you can run in fifteen minutes, and a case study showing how one change lifted conversions by 118%. After that, if you'd like to go further, I'll share how to join The Conversion Copywriting Blueprint.</w:t>
      </w:r>
    </w:p>
    <w:p>
      <w:pPr>
        <w:spacing w:after="140" w:line="276"/>
      </w:pPr>
      <w:r>
        <w:rPr>
          <w:rFonts w:ascii="Calibri" w:cs="Calibri" w:eastAsia="Calibri" w:hAnsi="Calibri"/>
          <w:color w:val="2B2F38"/>
          <w:sz w:val="21"/>
          <w:szCs w:val="21"/>
        </w:rPr>
        <w:t xml:space="preserve">For now, start with the free lesson. It's the fastest way to see results.</w:t>
      </w:r>
    </w:p>
    <w:p>
      <w:pPr>
        <w:spacing w:after="140" w:line="276"/>
      </w:pPr>
      <w:r>
        <w:rPr>
          <w:rFonts w:ascii="Calibri" w:cs="Calibri" w:eastAsia="Calibri" w:hAnsi="Calibri"/>
          <w:color w:val="2B2F38"/>
          <w:sz w:val="21"/>
          <w:szCs w:val="21"/>
        </w:rPr>
        <w:t xml:space="preserve">Talk soon,</w:t>
      </w:r>
    </w:p>
    <w:p>
      <w:pPr>
        <w:spacing w:after="140" w:line="276"/>
      </w:pPr>
      <w:r>
        <w:rPr>
          <w:rFonts w:ascii="Calibri" w:cs="Calibri" w:eastAsia="Calibri" w:hAnsi="Calibri"/>
          <w:color w:val="2B2F38"/>
          <w:sz w:val="21"/>
          <w:szCs w:val="21"/>
        </w:rPr>
        <w:t xml:space="preserve">The Lumen Academy Team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FF4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26A00"/>
                <w:sz w:val="18"/>
                <w:szCs w:val="18"/>
              </w:rPr>
              <w:t xml:space="preserve">Goal of this email:  </w:t>
            </w:r>
            <w:r>
              <w:rPr>
                <w:rFonts w:ascii="Calibri" w:cs="Calibri" w:eastAsia="Calibri" w:hAnsi="Calibri"/>
                <w:i/>
                <w:iCs/>
                <w:color w:val="5A4A2A"/>
                <w:sz w:val="19"/>
                <w:szCs w:val="19"/>
              </w:rPr>
              <w:t xml:space="preserve">Deliver immediate value, set expectations for the sequence, and establish credibility before any ask is made.</w:t>
            </w:r>
          </w:p>
        </w:tc>
      </w:tr>
    </w:tbl>
    <w:p>
      <w:r>
        <w:br w:type="page"/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0"/>
        <w:gridCol w:w="3200"/>
      </w:tblGrid>
      <w:tr>
        <w:tc>
          <w:tcPr>
            <w:tcW w:type="dxa" w:w="6000"/>
            <w:shd w:fill="1F2A4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EMAIL 2  ·  Educational Milestone</w:t>
            </w:r>
          </w:p>
        </w:tc>
        <w:tc>
          <w:tcPr>
            <w:tcW w:type="dxa" w:w="3200"/>
            <w:shd w:fill="1F2A44" w:val="clear"/>
            <w:tcMar>
              <w:top w:type="dxa" w:w="120"/>
              <w:left w:type="dxa" w:w="12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C7D2F0"/>
                <w:sz w:val="18"/>
                <w:szCs w:val="18"/>
              </w:rPr>
              <w:t xml:space="preserve">Sends: Day 3</w:t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2E5BFF"/>
          <w:spacing w:val="20"/>
          <w:sz w:val="16"/>
          <w:szCs w:val="16"/>
        </w:rPr>
        <w:t xml:space="preserve">SUBJECT LINE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EDF2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Subject:  </w:t>
            </w:r>
            <w:r>
              <w:rPr>
                <w:rFonts w:ascii="Calibri" w:cs="Calibri" w:eastAsia="Calibri" w:hAnsi="Calibri"/>
                <w:b/>
                <w:bCs/>
                <w:color w:val="1F2A44"/>
                <w:sz w:val="20"/>
                <w:szCs w:val="20"/>
              </w:rPr>
              <w:t xml:space="preserve">The 4-word headline test that doubled a client's conversions</w:t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2E5BFF"/>
          <w:spacing w:val="20"/>
          <w:sz w:val="16"/>
          <w:szCs w:val="16"/>
        </w:rPr>
        <w:t xml:space="preserve">ALTERNATE SUBJECT LINES (A/B TEST)</w:t>
      </w:r>
    </w:p>
    <w:p>
      <w:pPr>
        <w:spacing w:after="40"/>
      </w:pPr>
      <w:r>
        <w:rPr>
          <w:b/>
          <w:bCs/>
          <w:color w:val="2E5BFF"/>
          <w:sz w:val="20"/>
          <w:szCs w:val="20"/>
        </w:rPr>
        <w:t xml:space="preserve">•  </w:t>
      </w:r>
      <w:r>
        <w:rPr>
          <w:rFonts w:ascii="Calibri" w:cs="Calibri" w:eastAsia="Calibri" w:hAnsi="Calibri"/>
          <w:i/>
          <w:iCs/>
          <w:color w:val="5A6472"/>
          <w:sz w:val="19"/>
          <w:szCs w:val="19"/>
        </w:rPr>
        <w:t xml:space="preserve">Why “more traffic” is the wrong fix</w:t>
      </w:r>
    </w:p>
    <w:p>
      <w:pPr>
        <w:spacing w:after="40"/>
      </w:pPr>
      <w:r>
        <w:rPr>
          <w:b/>
          <w:bCs/>
          <w:color w:val="2E5BFF"/>
          <w:sz w:val="20"/>
          <w:szCs w:val="20"/>
        </w:rPr>
        <w:t xml:space="preserve">•  </w:t>
      </w:r>
      <w:r>
        <w:rPr>
          <w:rFonts w:ascii="Calibri" w:cs="Calibri" w:eastAsia="Calibri" w:hAnsi="Calibri"/>
          <w:i/>
          <w:iCs/>
          <w:color w:val="5A6472"/>
          <w:sz w:val="19"/>
          <w:szCs w:val="19"/>
        </w:rPr>
        <w:t xml:space="preserve">Read this before you write another headline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5A6472"/>
          <w:sz w:val="19"/>
          <w:szCs w:val="19"/>
        </w:rPr>
        <w:t xml:space="preserve">Preview text: </w:t>
      </w:r>
      <w:r>
        <w:rPr>
          <w:rFonts w:ascii="Calibri" w:cs="Calibri" w:eastAsia="Calibri" w:hAnsi="Calibri"/>
          <w:color w:val="5A6472"/>
          <w:sz w:val="19"/>
          <w:szCs w:val="19"/>
        </w:rPr>
        <w:t xml:space="preserve">A single headline change. A 118% lift. Here's the exact framework.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2E5BFF"/>
          <w:spacing w:val="20"/>
          <w:sz w:val="16"/>
          <w:szCs w:val="16"/>
        </w:rPr>
        <w:t xml:space="preserve">BODY COPY</w:t>
      </w:r>
    </w:p>
    <w:p>
      <w:pPr>
        <w:spacing w:after="140" w:line="276"/>
      </w:pPr>
      <w:r>
        <w:rPr>
          <w:rFonts w:ascii="Calibri" w:cs="Calibri" w:eastAsia="Calibri" w:hAnsi="Calibri"/>
          <w:color w:val="2B2F38"/>
          <w:sz w:val="21"/>
          <w:szCs w:val="21"/>
        </w:rPr>
        <w:t xml:space="preserve">Hi {{first_name}},</w:t>
      </w:r>
    </w:p>
    <w:p>
      <w:pPr>
        <w:spacing w:after="140" w:line="276"/>
      </w:pPr>
      <w:r>
        <w:rPr>
          <w:rFonts w:ascii="Calibri" w:cs="Calibri" w:eastAsia="Calibri" w:hAnsi="Calibri"/>
          <w:color w:val="2B2F38"/>
          <w:sz w:val="21"/>
          <w:szCs w:val="21"/>
        </w:rPr>
        <w:t xml:space="preserve">Yesterday you downloaded the framework. Today, let's put it to work.</w:t>
      </w:r>
    </w:p>
    <w:p>
      <w:pPr>
        <w:spacing w:after="140" w:line="276"/>
      </w:pPr>
      <w:r>
        <w:rPr>
          <w:rFonts w:ascii="Calibri" w:cs="Calibri" w:eastAsia="Calibri" w:hAnsi="Calibri"/>
          <w:color w:val="2B2F38"/>
          <w:sz w:val="21"/>
          <w:szCs w:val="21"/>
        </w:rPr>
        <w:t xml:space="preserve">Most businesses try to fix a conversion problem by buying more traffic. It rarely works — and it's expensive. The fastest lever is almost always the headline, because the headline decides whether anything else you wrote ever gets read.</w:t>
      </w:r>
    </w:p>
    <w:p>
      <w:pPr>
        <w:spacing w:after="140" w:line="276"/>
      </w:pPr>
      <w:r>
        <w:rPr>
          <w:rFonts w:ascii="Calibri" w:cs="Calibri" w:eastAsia="Calibri" w:hAnsi="Calibri"/>
          <w:color w:val="2B2F38"/>
          <w:sz w:val="21"/>
          <w:szCs w:val="21"/>
        </w:rPr>
        <w:t xml:space="preserve">Here's a test we run on every headline before it ships: the Four-Word Test. Read your headline and ask — could a competitor sign their name to this? If the answer is yes, it isn't specific enough. A strong headline is built on one of four elements: a specific outcome, a named audience, a credible timeframe, or a genuine objection turned on its head.</w:t>
      </w:r>
    </w:p>
    <w:p>
      <w:pPr>
        <w:spacing w:after="140" w:line="276"/>
      </w:pPr>
      <w:r>
        <w:rPr>
          <w:rFonts w:ascii="Calibri" w:cs="Calibri" w:eastAsia="Calibri" w:hAnsi="Calibri"/>
          <w:color w:val="2B2F38"/>
          <w:sz w:val="21"/>
          <w:szCs w:val="21"/>
        </w:rPr>
        <w:t xml:space="preserve">Take this before-and-after from a client in B2B software: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B26A00"/>
          <w:sz w:val="21"/>
          <w:szCs w:val="21"/>
        </w:rPr>
        <w:t xml:space="preserve">Before:  </w:t>
      </w:r>
      <w:r>
        <w:rPr>
          <w:rFonts w:ascii="Calibri" w:cs="Calibri" w:eastAsia="Calibri" w:hAnsi="Calibri"/>
          <w:i/>
          <w:iCs/>
          <w:color w:val="2B2F38"/>
          <w:sz w:val="21"/>
          <w:szCs w:val="21"/>
        </w:rPr>
        <w:t xml:space="preserve">“Improve your team's productivity.”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E7B4D"/>
          <w:sz w:val="21"/>
          <w:szCs w:val="21"/>
        </w:rPr>
        <w:t xml:space="preserve">After:  </w:t>
      </w:r>
      <w:r>
        <w:rPr>
          <w:rFonts w:ascii="Calibri" w:cs="Calibri" w:eastAsia="Calibri" w:hAnsi="Calibri"/>
          <w:i/>
          <w:iCs/>
          <w:color w:val="2B2F38"/>
          <w:sz w:val="21"/>
          <w:szCs w:val="21"/>
        </w:rPr>
        <w:t xml:space="preserve">“Cut your team's reporting time by 6 hours a week — without new software.”</w:t>
      </w:r>
    </w:p>
    <w:p>
      <w:pPr>
        <w:spacing w:after="140" w:line="276"/>
      </w:pPr>
      <w:r>
        <w:rPr>
          <w:rFonts w:ascii="Calibri" w:cs="Calibri" w:eastAsia="Calibri" w:hAnsi="Calibri"/>
          <w:color w:val="2B2F38"/>
          <w:sz w:val="21"/>
          <w:szCs w:val="21"/>
        </w:rPr>
        <w:t xml:space="preserve">Same product. Same offer. The second version lifted click-through by 118% and increased demo bookings by 41% over the following month. Notice what changed — not the promise, but the precision. The reader could see themselves in the outcome, and the timeframe made it believable.</w:t>
      </w:r>
    </w:p>
    <w:p>
      <w:pPr>
        <w:spacing w:after="140" w:line="276"/>
      </w:pPr>
      <w:r>
        <w:rPr>
          <w:rFonts w:ascii="Calibri" w:cs="Calibri" w:eastAsia="Calibri" w:hAnsi="Calibri"/>
          <w:color w:val="2B2F38"/>
          <w:sz w:val="21"/>
          <w:szCs w:val="21"/>
        </w:rPr>
        <w:t xml:space="preserve">Try it on your current headline this week. And if you'd like the full system — the twelve headline patterns we test against, and how to pair each one with the right offer — it's all inside The Conversion Copywriting Blueprint.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2E5B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See the Full Framework  →</w:t>
            </w:r>
          </w:p>
        </w:tc>
      </w:tr>
    </w:tbl>
    <w:p>
      <w:pPr>
        <w:spacing w:after="140" w:line="276"/>
      </w:pPr>
      <w:r>
        <w:rPr>
          <w:rFonts w:ascii="Calibri" w:cs="Calibri" w:eastAsia="Calibri" w:hAnsi="Calibri"/>
          <w:color w:val="2B2F38"/>
          <w:sz w:val="21"/>
          <w:szCs w:val="21"/>
        </w:rPr>
        <w:t xml:space="preserve">Talk soon,</w:t>
      </w:r>
    </w:p>
    <w:p>
      <w:pPr>
        <w:spacing w:after="140" w:line="276"/>
      </w:pPr>
      <w:r>
        <w:rPr>
          <w:rFonts w:ascii="Calibri" w:cs="Calibri" w:eastAsia="Calibri" w:hAnsi="Calibri"/>
          <w:color w:val="2B2F38"/>
          <w:sz w:val="21"/>
          <w:szCs w:val="21"/>
        </w:rPr>
        <w:t xml:space="preserve">The Lumen Academy Team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FF4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26A00"/>
                <w:sz w:val="18"/>
                <w:szCs w:val="18"/>
              </w:rPr>
              <w:t xml:space="preserve">Goal of this email:  </w:t>
            </w:r>
            <w:r>
              <w:rPr>
                <w:rFonts w:ascii="Calibri" w:cs="Calibri" w:eastAsia="Calibri" w:hAnsi="Calibri"/>
                <w:i/>
                <w:iCs/>
                <w:color w:val="5A4A2A"/>
                <w:sz w:val="19"/>
                <w:szCs w:val="19"/>
              </w:rPr>
              <w:t xml:space="preserve">Prove expertise with a real, teachable insight and a concrete case study — the “aha” moment that primes the reader for the offer.</w:t>
            </w:r>
          </w:p>
        </w:tc>
      </w:tr>
    </w:tbl>
    <w:p>
      <w:r>
        <w:br w:type="page"/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0"/>
        <w:gridCol w:w="3200"/>
      </w:tblGrid>
      <w:tr>
        <w:tc>
          <w:tcPr>
            <w:tcW w:type="dxa" w:w="6000"/>
            <w:shd w:fill="1F2A4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EMAIL 3  ·  Discount / Certificate CTA</w:t>
            </w:r>
          </w:p>
        </w:tc>
        <w:tc>
          <w:tcPr>
            <w:tcW w:type="dxa" w:w="3200"/>
            <w:shd w:fill="1F2A44" w:val="clear"/>
            <w:tcMar>
              <w:top w:type="dxa" w:w="120"/>
              <w:left w:type="dxa" w:w="12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C7D2F0"/>
                <w:sz w:val="18"/>
                <w:szCs w:val="18"/>
              </w:rPr>
              <w:t xml:space="preserve">Sends: Day 5  ·  Deadline in 48 hours</w:t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2E5BFF"/>
          <w:spacing w:val="20"/>
          <w:sz w:val="16"/>
          <w:szCs w:val="16"/>
        </w:rPr>
        <w:t xml:space="preserve">SUBJECT LINE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EDF2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8"/>
                <w:szCs w:val="18"/>
              </w:rPr>
              <w:t xml:space="preserve">Subject:  </w:t>
            </w:r>
            <w:r>
              <w:rPr>
                <w:rFonts w:ascii="Calibri" w:cs="Calibri" w:eastAsia="Calibri" w:hAnsi="Calibri"/>
                <w:b/>
                <w:bCs/>
                <w:color w:val="1F2A44"/>
                <w:sz w:val="20"/>
                <w:szCs w:val="20"/>
              </w:rPr>
              <w:t xml:space="preserve">Your enrollment window closes Friday (and your certificate)</w:t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2E5BFF"/>
          <w:spacing w:val="20"/>
          <w:sz w:val="16"/>
          <w:szCs w:val="16"/>
        </w:rPr>
        <w:t xml:space="preserve">ALTERNATE SUBJECT LINES (A/B TEST)</w:t>
      </w:r>
    </w:p>
    <w:p>
      <w:pPr>
        <w:spacing w:after="40"/>
      </w:pPr>
      <w:r>
        <w:rPr>
          <w:b/>
          <w:bCs/>
          <w:color w:val="2E5BFF"/>
          <w:sz w:val="20"/>
          <w:szCs w:val="20"/>
        </w:rPr>
        <w:t xml:space="preserve">•  </w:t>
      </w:r>
      <w:r>
        <w:rPr>
          <w:rFonts w:ascii="Calibri" w:cs="Calibri" w:eastAsia="Calibri" w:hAnsi="Calibri"/>
          <w:i/>
          <w:iCs/>
          <w:color w:val="5A6472"/>
          <w:sz w:val="19"/>
          <w:szCs w:val="19"/>
        </w:rPr>
        <w:t xml:space="preserve">48 hours left to join the Blueprint</w:t>
      </w:r>
    </w:p>
    <w:p>
      <w:pPr>
        <w:spacing w:after="40"/>
      </w:pPr>
      <w:r>
        <w:rPr>
          <w:b/>
          <w:bCs/>
          <w:color w:val="2E5BFF"/>
          <w:sz w:val="20"/>
          <w:szCs w:val="20"/>
        </w:rPr>
        <w:t xml:space="preserve">•  </w:t>
      </w:r>
      <w:r>
        <w:rPr>
          <w:rFonts w:ascii="Calibri" w:cs="Calibri" w:eastAsia="Calibri" w:hAnsi="Calibri"/>
          <w:i/>
          <w:iCs/>
          <w:color w:val="5A6472"/>
          <w:sz w:val="19"/>
          <w:szCs w:val="19"/>
        </w:rPr>
        <w:t xml:space="preserve">Doors close Friday — certificate included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5A6472"/>
          <w:sz w:val="19"/>
          <w:szCs w:val="19"/>
        </w:rPr>
        <w:t xml:space="preserve">Preview text: </w:t>
      </w:r>
      <w:r>
        <w:rPr>
          <w:rFonts w:ascii="Calibri" w:cs="Calibri" w:eastAsia="Calibri" w:hAnsi="Calibri"/>
          <w:color w:val="5A6472"/>
          <w:sz w:val="19"/>
          <w:szCs w:val="19"/>
        </w:rPr>
        <w:t xml:space="preserve">Enroll before Friday and earn your verified completion certificate.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2E5BFF"/>
          <w:spacing w:val="20"/>
          <w:sz w:val="16"/>
          <w:szCs w:val="16"/>
        </w:rPr>
        <w:t xml:space="preserve">BODY COPY</w:t>
      </w:r>
    </w:p>
    <w:p>
      <w:pPr>
        <w:spacing w:after="140" w:line="276"/>
      </w:pPr>
      <w:r>
        <w:rPr>
          <w:rFonts w:ascii="Calibri" w:cs="Calibri" w:eastAsia="Calibri" w:hAnsi="Calibri"/>
          <w:color w:val="2B2F38"/>
          <w:sz w:val="21"/>
          <w:szCs w:val="21"/>
        </w:rPr>
        <w:t xml:space="preserve">Hi {{first_name}},</w:t>
      </w:r>
    </w:p>
    <w:p>
      <w:pPr>
        <w:spacing w:after="140" w:line="276"/>
      </w:pPr>
      <w:r>
        <w:rPr>
          <w:rFonts w:ascii="Calibri" w:cs="Calibri" w:eastAsia="Calibri" w:hAnsi="Calibri"/>
          <w:color w:val="2B2F38"/>
          <w:sz w:val="21"/>
          <w:szCs w:val="21"/>
        </w:rPr>
        <w:t xml:space="preserve">Over the past few days I've shared the framework, the headline test, and a real case study. Now I'd like to invite you to put all of it into practice.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Enrollment for The Conversion Copywriting Blueprint closes this Friday at midnight.</w:t>
      </w:r>
    </w:p>
    <w:p>
      <w:pPr>
        <w:spacing w:after="140" w:line="276"/>
      </w:pPr>
      <w:r>
        <w:rPr>
          <w:rFonts w:ascii="Calibri" w:cs="Calibri" w:eastAsia="Calibri" w:hAnsi="Calibri"/>
          <w:color w:val="2B2F38"/>
          <w:sz w:val="21"/>
          <w:szCs w:val="21"/>
        </w:rPr>
        <w:t xml:space="preserve">The Blueprint is our six-week, hands-on program that takes you from “I think this copy is okay” to writing emails, landing pages, and ads you can defend with data. You'll build a portfolio piece every week, and you'll finish with a verified completion certificate you can add to your LinkedIn profile and résumé.</w:t>
      </w:r>
    </w:p>
    <w:p>
      <w:pPr>
        <w:spacing w:after="140" w:line="276"/>
      </w:pPr>
      <w:r>
        <w:rPr>
          <w:rFonts w:ascii="Calibri" w:cs="Calibri" w:eastAsia="Calibri" w:hAnsi="Calibri"/>
          <w:color w:val="2B2F38"/>
          <w:sz w:val="21"/>
          <w:szCs w:val="21"/>
        </w:rPr>
        <w:t xml:space="preserve">Because you joined our list, you're eligible for 30% off standard enrollment — ₹14,700 (about $175), applied automatically at checkout.</w:t>
      </w:r>
    </w:p>
    <w:p>
      <w:pPr>
        <w:spacing w:after="140" w:line="276"/>
      </w:pPr>
      <w:r>
        <w:rPr>
          <w:rFonts w:ascii="Calibri" w:cs="Calibri" w:eastAsia="Calibri" w:hAnsi="Calibri"/>
          <w:color w:val="2B2F38"/>
          <w:sz w:val="21"/>
          <w:szCs w:val="21"/>
        </w:rPr>
        <w:t xml:space="preserve">And you're protected. Complete the first two modules and, if you don't feel more confident in your copy, email us within 30 days for a full refund. You keep the materials.</w:t>
      </w:r>
    </w:p>
    <w:p>
      <w:pPr>
        <w:spacing w:after="140" w:line="276"/>
      </w:pPr>
      <w:r>
        <w:rPr>
          <w:rFonts w:ascii="Calibri" w:cs="Calibri" w:eastAsia="Calibri" w:hAnsi="Calibri"/>
          <w:color w:val="2B2F38"/>
          <w:sz w:val="21"/>
          <w:szCs w:val="21"/>
        </w:rPr>
        <w:t xml:space="preserve">Here's what's waiting for you: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B2F38"/>
          <w:sz w:val="21"/>
          <w:szCs w:val="21"/>
        </w:rPr>
        <w:t xml:space="preserve">6 weeks of guided lessons and templates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B2F38"/>
          <w:sz w:val="21"/>
          <w:szCs w:val="21"/>
        </w:rPr>
        <w:t xml:space="preserve">12 tested headline patterns, with swipe files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B2F38"/>
          <w:sz w:val="21"/>
          <w:szCs w:val="21"/>
        </w:rPr>
        <w:t xml:space="preserve">Weekly live Q&amp;A with our copy team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B2F38"/>
          <w:sz w:val="21"/>
          <w:szCs w:val="21"/>
        </w:rPr>
        <w:t xml:space="preserve">A verified completion certificate</w:t>
      </w:r>
    </w:p>
    <w:p>
      <w:pPr>
        <w:spacing w:after="140" w:line="276"/>
      </w:pPr>
      <w:r>
        <w:rPr>
          <w:rFonts w:ascii="Calibri" w:cs="Calibri" w:eastAsia="Calibri" w:hAnsi="Calibri"/>
          <w:color w:val="2B2F38"/>
          <w:sz w:val="21"/>
          <w:szCs w:val="21"/>
        </w:rPr>
        <w:t xml:space="preserve">Doors close Friday. After that, enrollment reopens next quarter at full price — and without the early-bird discount.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2E5B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Enroll Now &amp; Save 30%  →</w:t>
            </w:r>
          </w:p>
        </w:tc>
      </w:tr>
    </w:tbl>
    <w:p>
      <w:pPr>
        <w:spacing w:after="140" w:line="276"/>
      </w:pPr>
      <w:r>
        <w:rPr>
          <w:rFonts w:ascii="Calibri" w:cs="Calibri" w:eastAsia="Calibri" w:hAnsi="Calibri"/>
          <w:color w:val="2B2F38"/>
          <w:sz w:val="21"/>
          <w:szCs w:val="21"/>
        </w:rPr>
        <w:t xml:space="preserve">Whatever you decide, keep writing. The lessons you already have will pay for themselves many times over.</w:t>
      </w:r>
    </w:p>
    <w:p>
      <w:pPr>
        <w:spacing w:after="140" w:line="276"/>
      </w:pPr>
      <w:r>
        <w:rPr>
          <w:rFonts w:ascii="Calibri" w:cs="Calibri" w:eastAsia="Calibri" w:hAnsi="Calibri"/>
          <w:color w:val="2B2F38"/>
          <w:sz w:val="21"/>
          <w:szCs w:val="21"/>
        </w:rPr>
        <w:t xml:space="preserve">The Lumen Academy Team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FF4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26A00"/>
                <w:sz w:val="18"/>
                <w:szCs w:val="18"/>
              </w:rPr>
              <w:t xml:space="preserve">Goal of this email:  </w:t>
            </w:r>
            <w:r>
              <w:rPr>
                <w:rFonts w:ascii="Calibri" w:cs="Calibri" w:eastAsia="Calibri" w:hAnsi="Calibri"/>
                <w:i/>
                <w:iCs/>
                <w:color w:val="5A4A2A"/>
                <w:sz w:val="19"/>
                <w:szCs w:val="19"/>
              </w:rPr>
              <w:t xml:space="preserve">Convert with urgency, a concrete incentive, and risk reversal — while recapping the transformation the reader is buying.</w:t>
            </w:r>
          </w:p>
        </w:tc>
      </w:tr>
    </w:tbl>
    <w:p>
      <w:r>
        <w:br w:type="page"/>
      </w:r>
    </w:p>
    <w:p>
      <w:pPr>
        <w:pStyle w:val="Heading1"/>
        <w:spacing w:after="140"/>
      </w:pPr>
      <w:r>
        <w:rPr>
          <w:b/>
          <w:bCs/>
          <w:color w:val="1F2A44"/>
          <w:sz w:val="28"/>
          <w:szCs w:val="28"/>
        </w:rPr>
        <w:t xml:space="preserve">Appendix — making it work</w:t>
      </w:r>
    </w:p>
    <w:p>
      <w:pPr>
        <w:pStyle w:val="Heading2"/>
        <w:spacing w:after="100" w:before="160"/>
      </w:pPr>
      <w:r>
        <w:rPr>
          <w:b/>
          <w:bCs/>
          <w:color w:val="2E5BFF"/>
          <w:sz w:val="22"/>
          <w:szCs w:val="22"/>
        </w:rPr>
        <w:t xml:space="preserve">Personalization tokens to wire up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shd w:fill="EDF2FF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9"/>
                <w:szCs w:val="19"/>
              </w:rPr>
              <w:t xml:space="preserve">{{first_name}}</w:t>
            </w:r>
          </w:p>
        </w:tc>
        <w:tc>
          <w:tcPr>
            <w:tcW w:type="dxa" w:w="6600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F38"/>
                <w:sz w:val="19"/>
                <w:szCs w:val="19"/>
              </w:rPr>
              <w:t xml:space="preserve">Subscriber's first name — used in every greeting</w:t>
            </w:r>
          </w:p>
        </w:tc>
      </w:tr>
      <w:tr>
        <w:tc>
          <w:tcPr>
            <w:tcW w:type="dxa" w:w="2600"/>
            <w:shd w:fill="EDF2FF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9"/>
                <w:szCs w:val="19"/>
              </w:rPr>
              <w:t xml:space="preserve">{{company_name}}</w:t>
            </w:r>
          </w:p>
        </w:tc>
        <w:tc>
          <w:tcPr>
            <w:tcW w:type="dxa" w:w="6600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F38"/>
                <w:sz w:val="19"/>
                <w:szCs w:val="19"/>
              </w:rPr>
              <w:t xml:space="preserve">For B2B segments; use only where known</w:t>
            </w:r>
          </w:p>
        </w:tc>
      </w:tr>
      <w:tr>
        <w:tc>
          <w:tcPr>
            <w:tcW w:type="dxa" w:w="2600"/>
            <w:shd w:fill="EDF2FF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9"/>
                <w:szCs w:val="19"/>
              </w:rPr>
              <w:t xml:space="preserve">{{lead_magnet_title}}</w:t>
            </w:r>
          </w:p>
        </w:tc>
        <w:tc>
          <w:tcPr>
            <w:tcW w:type="dxa" w:w="6600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F38"/>
                <w:sz w:val="19"/>
                <w:szCs w:val="19"/>
              </w:rPr>
              <w:t xml:space="preserve">Name of the free resource promised at signup</w:t>
            </w:r>
          </w:p>
        </w:tc>
      </w:tr>
      <w:tr>
        <w:tc>
          <w:tcPr>
            <w:tcW w:type="dxa" w:w="2600"/>
            <w:shd w:fill="EDF2FF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9"/>
                <w:szCs w:val="19"/>
              </w:rPr>
              <w:t xml:space="preserve">{{signup_source}}</w:t>
            </w:r>
          </w:p>
        </w:tc>
        <w:tc>
          <w:tcPr>
            <w:tcW w:type="dxa" w:w="6600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F38"/>
                <w:sz w:val="19"/>
                <w:szCs w:val="19"/>
              </w:rPr>
              <w:t xml:space="preserve">Where the subscriber joined, for segmentation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2E5BFF"/>
          <w:sz w:val="22"/>
          <w:szCs w:val="22"/>
        </w:rPr>
        <w:t xml:space="preserve">Benchmarks to watch</w:t>
      </w:r>
    </w:p>
    <w:p>
      <w:pPr>
        <w:spacing w:after="140" w:line="276"/>
      </w:pPr>
      <w:r>
        <w:rPr>
          <w:rFonts w:ascii="Calibri" w:cs="Calibri" w:eastAsia="Calibri" w:hAnsi="Calibri"/>
          <w:color w:val="2B2F38"/>
          <w:sz w:val="21"/>
          <w:szCs w:val="21"/>
        </w:rPr>
        <w:t xml:space="preserve">These are typical ranges for a well-run B2C/B2B education sequence — use them as a starting baseline, not a guarantee. Test one variable at a time (subject line first), and let each email's numbers tell you what to improve.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shd w:fill="EDF2FF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9"/>
                <w:szCs w:val="19"/>
              </w:rPr>
              <w:t xml:space="preserve">Email 1 open rate</w:t>
            </w:r>
          </w:p>
        </w:tc>
        <w:tc>
          <w:tcPr>
            <w:tcW w:type="dxa" w:w="6600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F38"/>
                <w:sz w:val="19"/>
                <w:szCs w:val="19"/>
              </w:rPr>
              <w:t xml:space="preserve">50–60% (welcome emails run hottest)</w:t>
            </w:r>
          </w:p>
        </w:tc>
      </w:tr>
      <w:tr>
        <w:tc>
          <w:tcPr>
            <w:tcW w:type="dxa" w:w="2600"/>
            <w:shd w:fill="EDF2FF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9"/>
                <w:szCs w:val="19"/>
              </w:rPr>
              <w:t xml:space="preserve">Email 2 open rate</w:t>
            </w:r>
          </w:p>
        </w:tc>
        <w:tc>
          <w:tcPr>
            <w:tcW w:type="dxa" w:w="6600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F38"/>
                <w:sz w:val="19"/>
                <w:szCs w:val="19"/>
              </w:rPr>
              <w:t xml:space="preserve">35–45%</w:t>
            </w:r>
          </w:p>
        </w:tc>
      </w:tr>
      <w:tr>
        <w:tc>
          <w:tcPr>
            <w:tcW w:type="dxa" w:w="2600"/>
            <w:shd w:fill="EDF2FF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9"/>
                <w:szCs w:val="19"/>
              </w:rPr>
              <w:t xml:space="preserve">Email 3 open rate</w:t>
            </w:r>
          </w:p>
        </w:tc>
        <w:tc>
          <w:tcPr>
            <w:tcW w:type="dxa" w:w="6600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F38"/>
                <w:sz w:val="19"/>
                <w:szCs w:val="19"/>
              </w:rPr>
              <w:t xml:space="preserve">30–40%</w:t>
            </w:r>
          </w:p>
        </w:tc>
      </w:tr>
      <w:tr>
        <w:tc>
          <w:tcPr>
            <w:tcW w:type="dxa" w:w="2600"/>
            <w:shd w:fill="EDF2FF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9"/>
                <w:szCs w:val="19"/>
              </w:rPr>
              <w:t xml:space="preserve">Click-through rate</w:t>
            </w:r>
          </w:p>
        </w:tc>
        <w:tc>
          <w:tcPr>
            <w:tcW w:type="dxa" w:w="6600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F38"/>
                <w:sz w:val="19"/>
                <w:szCs w:val="19"/>
              </w:rPr>
              <w:t xml:space="preserve">4–8% per email</w:t>
            </w:r>
          </w:p>
        </w:tc>
      </w:tr>
      <w:tr>
        <w:tc>
          <w:tcPr>
            <w:tcW w:type="dxa" w:w="2600"/>
            <w:shd w:fill="EDF2FF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9"/>
                <w:szCs w:val="19"/>
              </w:rPr>
              <w:t xml:space="preserve">Signup-to-enrollment conversion</w:t>
            </w:r>
          </w:p>
        </w:tc>
        <w:tc>
          <w:tcPr>
            <w:tcW w:type="dxa" w:w="6600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F38"/>
                <w:sz w:val="19"/>
                <w:szCs w:val="19"/>
              </w:rPr>
              <w:t xml:space="preserve">2–5% over the sequence</w:t>
            </w:r>
          </w:p>
        </w:tc>
      </w:tr>
      <w:tr>
        <w:tc>
          <w:tcPr>
            <w:tcW w:type="dxa" w:w="2600"/>
            <w:shd w:fill="EDF2FF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19"/>
                <w:szCs w:val="19"/>
              </w:rPr>
              <w:t xml:space="preserve">Unsubscribe rate</w:t>
            </w:r>
          </w:p>
        </w:tc>
        <w:tc>
          <w:tcPr>
            <w:tcW w:type="dxa" w:w="6600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B2F38"/>
                <w:sz w:val="19"/>
                <w:szCs w:val="19"/>
              </w:rPr>
              <w:t xml:space="preserve">Under 0.5% per send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2E5BFF"/>
          <w:sz w:val="22"/>
          <w:szCs w:val="22"/>
        </w:rPr>
        <w:t xml:space="preserve">Quick checklist before you send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B2F38"/>
          <w:sz w:val="21"/>
          <w:szCs w:val="21"/>
        </w:rPr>
        <w:t xml:space="preserve">Swap the example brand, product, price, and dates for your own.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B2F38"/>
          <w:sz w:val="21"/>
          <w:szCs w:val="21"/>
        </w:rPr>
        <w:t xml:space="preserve">Keep one primary CTA per email — never two competing buttons.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B2F38"/>
          <w:sz w:val="21"/>
          <w:szCs w:val="21"/>
        </w:rPr>
        <w:t xml:space="preserve">Set the deadline to a real date, and honour it; false scarcity erodes trust.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B2F38"/>
          <w:sz w:val="21"/>
          <w:szCs w:val="21"/>
        </w:rPr>
        <w:t xml:space="preserve">Send from a named person, not a generic address, for a better open rate.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B2F38"/>
          <w:sz w:val="21"/>
          <w:szCs w:val="21"/>
        </w:rPr>
        <w:t xml:space="preserve">Check every link and the certificate claim before the sequence goes live.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F38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2026-10-12T04:05:48.492Z</dcterms:created>
  <dcterms:modified xsi:type="dcterms:W3CDTF">2026-10-12T04:05:48.492Z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