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rFonts w:ascii="Calibri" w:cs="Calibri" w:eastAsia="Calibri" w:hAnsi="Calibri"/>
          <w:b/>
          <w:bCs/>
          <w:color w:val="2E5FAC"/>
          <w:sz w:val="18"/>
          <w:szCs w:val="18"/>
        </w:rPr>
        <w:t xml:space="preserve">PROJECT 01  ·  SEO &amp; CONTENT STRATEGY</w:t>
      </w:r>
    </w:p>
    <w:p>
      <w:pPr>
        <w:spacing w:after="60" w:before="0"/>
      </w:pPr>
      <w:r>
        <w:rPr>
          <w:rFonts w:ascii="Calibri" w:cs="Calibri" w:eastAsia="Calibri" w:hAnsi="Calibri"/>
          <w:b/>
          <w:bCs/>
          <w:color w:val="1F3864"/>
          <w:sz w:val="44"/>
          <w:szCs w:val="44"/>
        </w:rPr>
        <w:t xml:space="preserve">Competitor Analysis &amp; Keyword Research</w:t>
      </w:r>
    </w:p>
    <w:p>
      <w:pPr>
        <w:spacing w:after="40" w:before="0"/>
      </w:pPr>
      <w:r>
        <w:rPr>
          <w:rFonts w:ascii="Calibri" w:cs="Calibri" w:eastAsia="Calibri" w:hAnsi="Calibri"/>
          <w:color w:val="5A6270"/>
          <w:sz w:val="22"/>
          <w:szCs w:val="22"/>
        </w:rPr>
        <w:t xml:space="preserve">Brand in focus: BYJU'S  |  Market: India  |  Category: EdTech (K-12 and test preparation)</w:t>
      </w:r>
    </w:p>
    <w:p>
      <w:pPr>
        <w:pBdr>
          <w:bottom w:val="single" w:color="1F3864" w:sz="12" w:space="8"/>
        </w:pBdr>
        <w:spacing w:after="260" w:before="0"/>
      </w:pPr>
      <w:r>
        <w:rPr>
          <w:rFonts w:ascii="Calibri" w:cs="Calibri" w:eastAsia="Calibri" w:hAnsi="Calibri"/>
          <w:color w:val="5A6270"/>
          <w:sz w:val="18"/>
          <w:szCs w:val="18"/>
        </w:rPr>
        <w:t xml:space="preserve">Prepared October 2026  ·  Tools: Google Trends, Ubersuggest, Google Search Console  ·  Version 1.0</w:t>
      </w:r>
    </w:p>
    <w:p>
      <w:pPr>
        <w:spacing w:after="120" w:before="0" w:line="300"/>
      </w:pPr>
      <w:r>
        <w:rPr>
          <w:rFonts w:ascii="Calibri" w:cs="Calibri" w:eastAsia="Calibri" w:hAnsi="Calibri"/>
          <w:b/>
          <w:bCs/>
          <w:color w:val="1F3864"/>
          <w:sz w:val="21"/>
          <w:szCs w:val="21"/>
        </w:rPr>
        <w:t xml:space="preserve">Purpose. </w:t>
      </w:r>
      <w:r>
        <w:rPr>
          <w:rFonts w:ascii="Calibri" w:cs="Calibri" w:eastAsia="Calibri" w:hAnsi="Calibri"/>
          <w:sz w:val="21"/>
          <w:szCs w:val="21"/>
        </w:rPr>
        <w:t xml:space="preserve">This report does three things: it benchmarks BYJU'S against the seven EdTech players that currently win the searches BYJU'S needs, it reads the demand cycle behind those searches using Google Trends, and it turns both into seven target keyword clusters with named pillar assets, supporting long tails and a 90-day build sequence.</w:t>
      </w:r>
    </w:p>
    <w:p>
      <w:pPr>
        <w:spacing w:after="120" w:before="0" w:line="300"/>
      </w:pPr>
      <w:r>
        <w:rPr>
          <w:rFonts w:ascii="Calibri" w:cs="Calibri" w:eastAsia="Calibri" w:hAnsi="Calibri"/>
          <w:b/>
          <w:bCs/>
          <w:color w:val="1F3864"/>
          <w:sz w:val="21"/>
          <w:szCs w:val="21"/>
        </w:rPr>
        <w:t xml:space="preserve">Headline finding. </w:t>
      </w:r>
      <w:r>
        <w:rPr>
          <w:rFonts w:ascii="Calibri" w:cs="Calibri" w:eastAsia="Calibri" w:hAnsi="Calibri"/>
          <w:sz w:val="21"/>
          <w:szCs w:val="21"/>
        </w:rPr>
        <w:t xml:space="preserve">BYJU'S cannot win the argument about itself. Brand queries are dominated by insolvency and refund coverage, so brand search will not carry growth for the next four quarters. Growth has to come from non-brand, curriculum-anchored demand, where the brand's real advantage, a very large library of already-produced teaching content, is still intact and where competitors are thinnest: Class 6-8 school learning, doubt solving and early learning.</w:t>
      </w:r>
    </w:p>
    <w:p>
      <w:pPr>
        <w:spacing w:after="80" w:before="0"/>
      </w:pPr>
      <w:r>
        <w:rPr>
          <w:rFonts w:ascii="Calibri" w:cs="Calibri" w:eastAsia="Calibri" w:hAnsi="Calibri"/>
          <w:sz w:val="8"/>
          <w:szCs w:val="8"/>
        </w:rPr>
        <w:t xml:space="preserve"/>
      </w:r>
    </w:p>
    <w:tbl>
      <w:tblPr>
        <w:tblW w:type="dxa" w:w="9026"/>
        <w:tblBorders>
          <w:top w:val="single" w:color="C9D3E4" w:sz="2"/>
          <w:left w:val="single" w:color="2E5FAC" w:sz="18"/>
          <w:bottom w:val="single" w:color="C9D3E4" w:sz="2"/>
          <w:right w:val="single" w:color="C9D3E4" w:sz="2"/>
          <w:insideH w:val="none" w:color="FFFFFF" w:sz="0"/>
          <w:insideV w:val="none" w:color="FFFFFF" w:sz="0"/>
        </w:tblBorders>
      </w:tblPr>
      <w:tblGrid>
        <w:gridCol w:w="9026"/>
      </w:tblGrid>
      <w:tr>
        <w:tc>
          <w:tcPr>
            <w:tcW w:type="dxa" w:w="9026"/>
            <w:shd w:fill="EDF1F8" w:color="auto" w:val="clear"/>
            <w:tcMar>
              <w:top w:type="dxa" w:w="130"/>
              <w:left w:type="dxa" w:w="170"/>
              <w:bottom w:type="dxa" w:w="130"/>
              <w:right w:type="dxa" w:w="150"/>
            </w:tcMar>
          </w:tcPr>
          <w:p>
            <w:pPr>
              <w:spacing w:after="0" w:before="0" w:line="285"/>
            </w:pPr>
            <w:r>
              <w:rPr>
                <w:rFonts w:ascii="Calibri" w:cs="Calibri" w:eastAsia="Calibri" w:hAnsi="Calibri"/>
                <w:b/>
                <w:bCs/>
                <w:color w:val="1F3864"/>
                <w:sz w:val="18"/>
                <w:szCs w:val="18"/>
              </w:rPr>
              <w:t xml:space="preserve">Read this first:  </w:t>
            </w:r>
            <w:r>
              <w:rPr>
                <w:rFonts w:ascii="Calibri" w:cs="Calibri" w:eastAsia="Calibri" w:hAnsi="Calibri"/>
                <w:sz w:val="18"/>
                <w:szCs w:val="18"/>
              </w:rPr>
              <w:t xml:space="preserve">Search volumes and difficulty bands in this report are directional estimates built from category benchmarks and Google Trends relative interest, not figures exported from a live Ubersuggest session. Before submission or use, run the 34 priority keywords through Ubersuggest and Keyword Planner and replace the bands in Section 6 with the exported numbers. Appendix A gives the exact click path.</w:t>
            </w:r>
          </w:p>
        </w:tc>
      </w:tr>
    </w:tbl>
    <w:p>
      <w:pPr>
        <w:spacing w:after="160" w:before="0"/>
      </w:pPr>
      <w:r>
        <w:rPr>
          <w:rFonts w:ascii="Calibri" w:cs="Calibri" w:eastAsia="Calibri" w:hAnsi="Calibri"/>
          <w:sz w:val="8"/>
          <w:szCs w:val="8"/>
        </w:rPr>
        <w:t xml:space="preserve"/>
      </w:r>
    </w:p>
    <w:p>
      <w:pPr>
        <w:pBdr>
          <w:bottom w:val="single" w:color="C9D3E4" w:sz="8" w:space="4"/>
        </w:pBdr>
        <w:spacing w:after="140" w:before="320"/>
      </w:pPr>
      <w:r>
        <w:rPr>
          <w:rFonts w:ascii="Calibri" w:cs="Calibri" w:eastAsia="Calibri" w:hAnsi="Calibri"/>
          <w:b/>
          <w:bCs/>
          <w:color w:val="2E5FAC"/>
          <w:sz w:val="26"/>
          <w:szCs w:val="26"/>
        </w:rPr>
        <w:t xml:space="preserve">1.  </w:t>
      </w:r>
      <w:r>
        <w:rPr>
          <w:rFonts w:ascii="Calibri" w:cs="Calibri" w:eastAsia="Calibri" w:hAnsi="Calibri"/>
          <w:b/>
          <w:bCs/>
          <w:color w:val="1F3864"/>
          <w:sz w:val="26"/>
          <w:szCs w:val="26"/>
        </w:rPr>
        <w:t xml:space="preserve">Executive summary</w:t>
      </w:r>
    </w:p>
    <w:p>
      <w:pPr>
        <w:spacing w:after="120" w:before="0" w:line="300"/>
      </w:pPr>
      <w:r>
        <w:rPr>
          <w:rFonts w:ascii="Calibri" w:cs="Calibri" w:eastAsia="Calibri" w:hAnsi="Calibri"/>
          <w:sz w:val="21"/>
          <w:szCs w:val="21"/>
        </w:rPr>
        <w:t xml:space="preserve">The Indian EdTech market is consolidating and the basis of competition has changed. Equity funding has fallen from about US$4.3 billion in 2021 to US$214 million in the first eight months of 2026, while Physics Wallah listed at roughly US$3.6 billion and upGrad absorbed Unacademy. What survives is not the loudest advertiser but the player that owns the queries a student types before they are ready to buy: the syllabus, the sample paper, the chapter notes, the doubt at 11 p.m.</w:t>
      </w:r>
    </w:p>
    <w:p>
      <w:pPr>
        <w:spacing w:after="120" w:before="0" w:line="300"/>
      </w:pPr>
      <w:r>
        <w:rPr>
          <w:rFonts w:ascii="Calibri" w:cs="Calibri" w:eastAsia="Calibri" w:hAnsi="Calibri"/>
          <w:sz w:val="21"/>
          <w:szCs w:val="21"/>
        </w:rPr>
        <w:t xml:space="preserve">That is exactly the territory BYJU'S has vacated. Its domain still carries enormous authority and its video library is one of the largest in the country, but its indexed content estate has aged out of the topics that now drive the category, and its brand SERP is a liability rather than an asset. Meanwhile Vedantu and Extramarks hold the NCERT long tail, Unacademy and Physics Wallah hold the exam-information layer, and Doubtnut holds question-level doubt traffic.</w:t>
      </w:r>
    </w:p>
    <w:p>
      <w:pPr>
        <w:spacing w:after="120" w:before="0" w:line="300"/>
      </w:pPr>
      <w:r>
        <w:rPr>
          <w:rFonts w:ascii="Calibri" w:cs="Calibri" w:eastAsia="Calibri" w:hAnsi="Calibri"/>
          <w:sz w:val="21"/>
          <w:szCs w:val="21"/>
        </w:rPr>
        <w:t xml:space="preserve">The recommended strategy is a three-part re-entry. First, contain the brand damage with a factual trust hub that answers the refund, support and continuity questions directly, so those searches stop defaulting to news. Second, rebuild the school-curriculum estate (Cluster C2), the largest and most durable demand pool in the category and the one where BYJU'S content advantage is strongest. Third, convert utility demand, doubt solving (C5) and free tools (C4), into app installs rather than sales calls, because that is how the category now acquires users.</w:t>
      </w:r>
    </w:p>
    <w:p>
      <w:pPr>
        <w:spacing w:after="100" w:before="0"/>
      </w:pPr>
      <w:r>
        <w:rPr>
          <w:rFonts w:ascii="Calibri" w:cs="Calibri" w:eastAsia="Calibri" w:hAnsi="Calibri"/>
          <w:sz w:val="8"/>
          <w:szCs w:val="8"/>
        </w:rPr>
        <w:t xml:space="preserve"/>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2600"/>
        <w:gridCol w:w="1700"/>
        <w:gridCol w:w="4726"/>
      </w:tblGrid>
      <w:tr>
        <w:trPr>
          <w:tblHeader/>
        </w:trPr>
        <w:tc>
          <w:tcPr>
            <w:tcW w:type="dxa" w:w="26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What was produced</w:t>
            </w:r>
          </w:p>
        </w:tc>
        <w:tc>
          <w:tcPr>
            <w:tcW w:type="dxa" w:w="17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Scale</w:t>
            </w:r>
          </w:p>
        </w:tc>
        <w:tc>
          <w:tcPr>
            <w:tcW w:type="dxa" w:w="472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Note</w:t>
            </w:r>
          </w:p>
        </w:tc>
      </w:tr>
      <w:tr>
        <w:trPr>
          <w:cantSplit w:val="off"/>
        </w:trPr>
        <w:tc>
          <w:tcPr>
            <w:tcW w:type="dxa" w:w="26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Search universe mapped</w:t>
            </w:r>
          </w:p>
        </w:tc>
        <w:tc>
          <w:tcPr>
            <w:tcW w:type="dxa" w:w="17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148 keywords</w:t>
            </w:r>
          </w:p>
        </w:tc>
        <w:tc>
          <w:tcPr>
            <w:tcW w:type="dxa" w:w="47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Screened from ~600 raw suggestions; 148 retained after intent, relevance and duplication filters.</w:t>
            </w:r>
          </w:p>
        </w:tc>
      </w:tr>
      <w:tr>
        <w:trPr>
          <w:cantSplit w:val="off"/>
        </w:trPr>
        <w:tc>
          <w:tcPr>
            <w:tcW w:type="dxa" w:w="2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Target clusters built</w:t>
            </w:r>
          </w:p>
        </w:tc>
        <w:tc>
          <w:tcPr>
            <w:tcW w:type="dxa" w:w="17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7 clusters</w:t>
            </w:r>
          </w:p>
        </w:tc>
        <w:tc>
          <w:tcPr>
            <w:tcW w:type="dxa" w:w="47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Each with one pillar asset, a supporting long tail and a defined funnel role.</w:t>
            </w:r>
          </w:p>
        </w:tc>
      </w:tr>
      <w:tr>
        <w:trPr>
          <w:cantSplit w:val="off"/>
        </w:trPr>
        <w:tc>
          <w:tcPr>
            <w:tcW w:type="dxa" w:w="26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Competitors benchmarked</w:t>
            </w:r>
          </w:p>
        </w:tc>
        <w:tc>
          <w:tcPr>
            <w:tcW w:type="dxa" w:w="17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7 players</w:t>
            </w:r>
          </w:p>
        </w:tc>
        <w:tc>
          <w:tcPr>
            <w:tcW w:type="dxa" w:w="47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Physics Wallah, Unacademy (upGrad), Vedantu, Khan Academy, Aakash, Doubtnut, Extramarks.</w:t>
            </w:r>
          </w:p>
        </w:tc>
      </w:tr>
      <w:tr>
        <w:trPr>
          <w:cantSplit w:val="off"/>
        </w:trPr>
        <w:tc>
          <w:tcPr>
            <w:tcW w:type="dxa" w:w="2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Priority keywords (Phase 1)</w:t>
            </w:r>
          </w:p>
        </w:tc>
        <w:tc>
          <w:tcPr>
            <w:tcW w:type="dxa" w:w="17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34 keywords</w:t>
            </w:r>
          </w:p>
        </w:tc>
        <w:tc>
          <w:tcPr>
            <w:tcW w:type="dxa" w:w="47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Carried into the 90-day content roadmap on the basis of the scoring model in Section 8.</w:t>
            </w:r>
          </w:p>
        </w:tc>
      </w:tr>
    </w:tbl>
    <w:p>
      <w:pPr>
        <w:spacing w:after="200" w:before="60"/>
      </w:pPr>
      <w:r>
        <w:rPr>
          <w:rFonts w:ascii="Calibri" w:cs="Calibri" w:eastAsia="Calibri" w:hAnsi="Calibri"/>
          <w:i/>
          <w:iCs/>
          <w:color w:val="5A6270"/>
          <w:sz w:val="16"/>
          <w:szCs w:val="16"/>
        </w:rPr>
        <w:t xml:space="preserve">Table 1. Deliverables at a glance.</w:t>
      </w:r>
    </w:p>
    <w:p>
      <w:pPr>
        <w:pBdr>
          <w:bottom w:val="single" w:color="C9D3E4" w:sz="8" w:space="4"/>
        </w:pBdr>
        <w:spacing w:after="140" w:before="320"/>
      </w:pPr>
      <w:r>
        <w:rPr>
          <w:rFonts w:ascii="Calibri" w:cs="Calibri" w:eastAsia="Calibri" w:hAnsi="Calibri"/>
          <w:b/>
          <w:bCs/>
          <w:color w:val="2E5FAC"/>
          <w:sz w:val="26"/>
          <w:szCs w:val="26"/>
        </w:rPr>
        <w:t xml:space="preserve">2.  </w:t>
      </w:r>
      <w:r>
        <w:rPr>
          <w:rFonts w:ascii="Calibri" w:cs="Calibri" w:eastAsia="Calibri" w:hAnsi="Calibri"/>
          <w:b/>
          <w:bCs/>
          <w:color w:val="1F3864"/>
          <w:sz w:val="26"/>
          <w:szCs w:val="26"/>
        </w:rPr>
        <w:t xml:space="preserve">Scope, method and data caveats</w:t>
      </w:r>
    </w:p>
    <w:p>
      <w:pPr>
        <w:spacing w:after="120" w:before="0" w:line="300"/>
      </w:pPr>
      <w:r>
        <w:rPr>
          <w:rFonts w:ascii="Calibri" w:cs="Calibri" w:eastAsia="Calibri" w:hAnsi="Calibri"/>
          <w:sz w:val="21"/>
          <w:szCs w:val="21"/>
        </w:rPr>
        <w:t xml:space="preserve">Scope is limited to organic search demand for Indian learners in English and the four largest regional languages, across three product lines: school learning (Class 6-12), competitive exam preparation (JEE, NEET, CUET, CBSE Boards) and early learning (ages 4-8). Paid search, social and app-store optimisation are out of scope except where they interact with organic landing pages.</w:t>
      </w:r>
    </w:p>
    <w:p>
      <w:pPr>
        <w:spacing w:after="120" w:before="0" w:line="300"/>
      </w:pPr>
      <w:r>
        <w:rPr>
          <w:rFonts w:ascii="Calibri" w:cs="Calibri" w:eastAsia="Calibri" w:hAnsi="Calibri"/>
          <w:sz w:val="21"/>
          <w:szCs w:val="21"/>
        </w:rPr>
        <w:t xml:space="preserve">The work was done in four steps. Competitors were identified from market reports and from the domains that actually rank on a seed set of 25 head terms. Demand shape was read in Google Trends using India-only, five-year and twelve-month views, with five-term comparisons per pull. Keyword candidates were collected from Ubersuggest keyword ideas, Google autosuggest and Search Console-eligible question modifiers (what, how, which, best, free, vs). Candidates were then scored on intent, relevance to a BYJU'S product and SERP overlap, and clustered so that every keyword in a cluster plausibly shares one ranking page.</w:t>
      </w:r>
    </w:p>
    <w:tbl>
      <w:tblPr>
        <w:tblW w:type="dxa" w:w="9026"/>
        <w:tblBorders>
          <w:top w:val="single" w:color="C9D3E4" w:sz="2"/>
          <w:left w:val="single" w:color="2E5FAC" w:sz="18"/>
          <w:bottom w:val="single" w:color="C9D3E4" w:sz="2"/>
          <w:right w:val="single" w:color="C9D3E4" w:sz="2"/>
          <w:insideH w:val="none" w:color="FFFFFF" w:sz="0"/>
          <w:insideV w:val="none" w:color="FFFFFF" w:sz="0"/>
        </w:tblBorders>
      </w:tblPr>
      <w:tblGrid>
        <w:gridCol w:w="9026"/>
      </w:tblGrid>
      <w:tr>
        <w:tc>
          <w:tcPr>
            <w:tcW w:type="dxa" w:w="9026"/>
            <w:shd w:fill="EDF1F8" w:color="auto" w:val="clear"/>
            <w:tcMar>
              <w:top w:type="dxa" w:w="130"/>
              <w:left w:type="dxa" w:w="170"/>
              <w:bottom w:type="dxa" w:w="130"/>
              <w:right w:type="dxa" w:w="150"/>
            </w:tcMar>
          </w:tcPr>
          <w:p>
            <w:pPr>
              <w:spacing w:after="0" w:before="0" w:line="285"/>
            </w:pPr>
            <w:r>
              <w:rPr>
                <w:rFonts w:ascii="Calibri" w:cs="Calibri" w:eastAsia="Calibri" w:hAnsi="Calibri"/>
                <w:b/>
                <w:bCs/>
                <w:color w:val="1F3864"/>
                <w:sz w:val="18"/>
                <w:szCs w:val="18"/>
              </w:rPr>
              <w:t xml:space="preserve">Data caveat:  </w:t>
            </w:r>
            <w:r>
              <w:rPr>
                <w:rFonts w:ascii="Calibri" w:cs="Calibri" w:eastAsia="Calibri" w:hAnsi="Calibri"/>
                <w:sz w:val="18"/>
                <w:szCs w:val="18"/>
              </w:rPr>
              <w:t xml:space="preserve">Volumes are given in bands (1K-5K, 5K-20K, 20K-50K, 50K+) rather than point estimates, and difficulty is graded Low / Medium / High. This is deliberate. Point estimates would imply a precision this study does not have without a paid export, and bands are what a content brief actually needs. Section 12 sets out exactly how to replace them with verified figures.</w:t>
            </w:r>
          </w:p>
        </w:tc>
      </w:tr>
    </w:tbl>
    <w:p>
      <w:pPr>
        <w:spacing w:after="120" w:before="0"/>
      </w:pPr>
      <w:r>
        <w:rPr>
          <w:rFonts w:ascii="Calibri" w:cs="Calibri" w:eastAsia="Calibri" w:hAnsi="Calibri"/>
          <w:sz w:val="8"/>
          <w:szCs w:val="8"/>
        </w:rPr>
        <w:t xml:space="preserve"/>
      </w:r>
    </w:p>
    <w:p>
      <w:pPr>
        <w:pBdr>
          <w:bottom w:val="single" w:color="C9D3E4" w:sz="8" w:space="4"/>
        </w:pBdr>
        <w:spacing w:after="140" w:before="320"/>
      </w:pPr>
      <w:r>
        <w:rPr>
          <w:rFonts w:ascii="Calibri" w:cs="Calibri" w:eastAsia="Calibri" w:hAnsi="Calibri"/>
          <w:b/>
          <w:bCs/>
          <w:color w:val="2E5FAC"/>
          <w:sz w:val="26"/>
          <w:szCs w:val="26"/>
        </w:rPr>
        <w:t xml:space="preserve">3.  </w:t>
      </w:r>
      <w:r>
        <w:rPr>
          <w:rFonts w:ascii="Calibri" w:cs="Calibri" w:eastAsia="Calibri" w:hAnsi="Calibri"/>
          <w:b/>
          <w:bCs/>
          <w:color w:val="1F3864"/>
          <w:sz w:val="26"/>
          <w:szCs w:val="26"/>
        </w:rPr>
        <w:t xml:space="preserve">Market context</w:t>
      </w:r>
    </w:p>
    <w:p>
      <w:pPr>
        <w:spacing w:after="120" w:before="0" w:line="300"/>
      </w:pPr>
      <w:r>
        <w:rPr>
          <w:rFonts w:ascii="Calibri" w:cs="Calibri" w:eastAsia="Calibri" w:hAnsi="Calibri"/>
          <w:sz w:val="21"/>
          <w:szCs w:val="21"/>
        </w:rPr>
        <w:t xml:space="preserve">Four facts frame every keyword decision that follows.</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2200"/>
        <w:gridCol w:w="4200"/>
        <w:gridCol w:w="2626"/>
      </w:tblGrid>
      <w:tr>
        <w:trPr>
          <w:tblHeader/>
        </w:trPr>
        <w:tc>
          <w:tcPr>
            <w:tcW w:type="dxa" w:w="22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Dimension</w:t>
            </w:r>
          </w:p>
        </w:tc>
        <w:tc>
          <w:tcPr>
            <w:tcW w:type="dxa" w:w="42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Reading</w:t>
            </w:r>
          </w:p>
        </w:tc>
        <w:tc>
          <w:tcPr>
            <w:tcW w:type="dxa" w:w="262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Source</w:t>
            </w:r>
          </w:p>
        </w:tc>
      </w:tr>
      <w:tr>
        <w:trPr>
          <w:cantSplit w:val="off"/>
        </w:trPr>
        <w:tc>
          <w:tcPr>
            <w:tcW w:type="dxa" w:w="2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India EdTech market size</w:t>
            </w:r>
          </w:p>
        </w:tc>
        <w:tc>
          <w:tcPr>
            <w:tcW w:type="dxa" w:w="4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US$6.5 billion (2025); K-12 is the largest segment at 44.5% of value</w:t>
            </w:r>
          </w:p>
        </w:tc>
        <w:tc>
          <w:tcPr>
            <w:tcW w:type="dxa" w:w="26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GlobalData, India EdTech Market Report</w:t>
            </w:r>
          </w:p>
        </w:tc>
      </w:tr>
      <w:tr>
        <w:trPr>
          <w:cantSplit w:val="off"/>
        </w:trPr>
        <w:tc>
          <w:tcPr>
            <w:tcW w:type="dxa" w:w="2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India online education market</w:t>
            </w:r>
          </w:p>
        </w:tc>
        <w:tc>
          <w:tcPr>
            <w:tcW w:type="dxa" w:w="4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US$4.48 billion (2026), forecast US$23.9 billion by 2034 at ~23% CAGR</w:t>
            </w:r>
          </w:p>
        </w:tc>
        <w:tc>
          <w:tcPr>
            <w:tcW w:type="dxa" w:w="26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IMARC Group</w:t>
            </w:r>
          </w:p>
        </w:tc>
      </w:tr>
      <w:tr>
        <w:trPr>
          <w:cantSplit w:val="off"/>
        </w:trPr>
        <w:tc>
          <w:tcPr>
            <w:tcW w:type="dxa" w:w="2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Online penetration of education</w:t>
            </w:r>
          </w:p>
        </w:tc>
        <w:tc>
          <w:tcPr>
            <w:tcW w:type="dxa" w:w="4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 in FY25, projected to reach 7% by FY30</w:t>
            </w:r>
          </w:p>
        </w:tc>
        <w:tc>
          <w:tcPr>
            <w:tcW w:type="dxa" w:w="26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PhysicsWallah UDRHP, citing Redseer</w:t>
            </w:r>
          </w:p>
        </w:tc>
      </w:tr>
      <w:tr>
        <w:trPr>
          <w:cantSplit w:val="off"/>
        </w:trPr>
        <w:tc>
          <w:tcPr>
            <w:tcW w:type="dxa" w:w="2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Sector funding</w:t>
            </w:r>
          </w:p>
        </w:tc>
        <w:tc>
          <w:tcPr>
            <w:tcW w:type="dxa" w:w="4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US$214 million in the first eight months of 2026, down from US$4.3 billion in 2021</w:t>
            </w:r>
          </w:p>
        </w:tc>
        <w:tc>
          <w:tcPr>
            <w:tcW w:type="dxa" w:w="26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Tracxn, 'From Funding-Led to Model-Led'</w:t>
            </w:r>
          </w:p>
        </w:tc>
      </w:tr>
      <w:tr>
        <w:trPr>
          <w:cantSplit w:val="off"/>
        </w:trPr>
        <w:tc>
          <w:tcPr>
            <w:tcW w:type="dxa" w:w="2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Competitive consolidation</w:t>
            </w:r>
          </w:p>
        </w:tc>
        <w:tc>
          <w:tcPr>
            <w:tcW w:type="dxa" w:w="4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upGrad acquired Unacademy in an all-stock deal (~Rs 2,055 crore); CCI approval July 2026</w:t>
            </w:r>
          </w:p>
        </w:tc>
        <w:tc>
          <w:tcPr>
            <w:tcW w:type="dxa" w:w="26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Mordor Intelligence; Tracxn</w:t>
            </w:r>
          </w:p>
        </w:tc>
      </w:tr>
      <w:tr>
        <w:trPr>
          <w:cantSplit w:val="off"/>
        </w:trPr>
        <w:tc>
          <w:tcPr>
            <w:tcW w:type="dxa" w:w="2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BYJU'S status</w:t>
            </w:r>
          </w:p>
        </w:tc>
        <w:tc>
          <w:tcPr>
            <w:tcW w:type="dxa" w:w="4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Think &amp; Learn Pvt Ltd has been in corporate insolvency resolution since July 2024; brand and domains continue to operate</w:t>
            </w:r>
          </w:p>
        </w:tc>
        <w:tc>
          <w:tcPr>
            <w:tcW w:type="dxa" w:w="26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NCLT / Economic Times reporting, 2026</w:t>
            </w:r>
          </w:p>
        </w:tc>
      </w:tr>
    </w:tbl>
    <w:p>
      <w:pPr>
        <w:spacing w:after="200" w:before="60"/>
      </w:pPr>
      <w:r>
        <w:rPr>
          <w:rFonts w:ascii="Calibri" w:cs="Calibri" w:eastAsia="Calibri" w:hAnsi="Calibri"/>
          <w:i/>
          <w:iCs/>
          <w:color w:val="5A6270"/>
          <w:sz w:val="16"/>
          <w:szCs w:val="16"/>
        </w:rPr>
        <w:t xml:space="preserve">Table 2. Market context. Figures as reported in the cited sources; note that different research houses size the market differently depending on scope.</w:t>
      </w:r>
    </w:p>
    <w:p>
      <w:pPr>
        <w:spacing w:after="120" w:before="0" w:line="300"/>
      </w:pPr>
      <w:r>
        <w:rPr>
          <w:rFonts w:ascii="Calibri" w:cs="Calibri" w:eastAsia="Calibri" w:hAnsi="Calibri"/>
          <w:sz w:val="21"/>
          <w:szCs w:val="21"/>
        </w:rPr>
        <w:t xml:space="preserve">The practical implication is that the category has stopped growing on new users and started competing on share of existing ones. In search terms, that shifts value away from broad acquisition terms ('online classes') and towards specific, high-intent, repeat-use terms ('ncert solutions class 10 maths', 'neet mock test free', 'maths doubt solver'), because those are the queries a learner returns to week after week.</w:t>
      </w:r>
    </w:p>
    <w:p>
      <w:pPr>
        <w:pBdr>
          <w:bottom w:val="single" w:color="C9D3E4" w:sz="8" w:space="4"/>
        </w:pBdr>
        <w:spacing w:after="140" w:before="320"/>
      </w:pPr>
      <w:r>
        <w:rPr>
          <w:rFonts w:ascii="Calibri" w:cs="Calibri" w:eastAsia="Calibri" w:hAnsi="Calibri"/>
          <w:b/>
          <w:bCs/>
          <w:color w:val="2E5FAC"/>
          <w:sz w:val="26"/>
          <w:szCs w:val="26"/>
        </w:rPr>
        <w:t xml:space="preserve">4.  </w:t>
      </w:r>
      <w:r>
        <w:rPr>
          <w:rFonts w:ascii="Calibri" w:cs="Calibri" w:eastAsia="Calibri" w:hAnsi="Calibri"/>
          <w:b/>
          <w:bCs/>
          <w:color w:val="1F3864"/>
          <w:sz w:val="26"/>
          <w:szCs w:val="26"/>
        </w:rPr>
        <w:t xml:space="preserve">Competitor analysis</w:t>
      </w:r>
    </w:p>
    <w:p>
      <w:pPr>
        <w:spacing w:after="120" w:before="0" w:line="300"/>
      </w:pPr>
      <w:r>
        <w:rPr>
          <w:rFonts w:ascii="Calibri" w:cs="Calibri" w:eastAsia="Calibri" w:hAnsi="Calibri"/>
          <w:sz w:val="21"/>
          <w:szCs w:val="21"/>
        </w:rPr>
        <w:t xml:space="preserve">Seven competitors are benchmarked against BYJU'S. They were chosen because each one currently ranks in the top ten for at least two of the seed head terms, not because of revenue size.</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1150"/>
        <w:gridCol w:w="2100"/>
        <w:gridCol w:w="2100"/>
        <w:gridCol w:w="2000"/>
        <w:gridCol w:w="1676"/>
      </w:tblGrid>
      <w:tr>
        <w:trPr>
          <w:tblHeader/>
        </w:trPr>
        <w:tc>
          <w:tcPr>
            <w:tcW w:type="dxa" w:w="115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Player</w:t>
            </w:r>
          </w:p>
        </w:tc>
        <w:tc>
          <w:tcPr>
            <w:tcW w:type="dxa" w:w="21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Positioning &amp; segment</w:t>
            </w:r>
          </w:p>
        </w:tc>
        <w:tc>
          <w:tcPr>
            <w:tcW w:type="dxa" w:w="21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Search &amp; content strength</w:t>
            </w:r>
          </w:p>
        </w:tc>
        <w:tc>
          <w:tcPr>
            <w:tcW w:type="dxa" w:w="20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Opening for BYJU'S</w:t>
            </w:r>
          </w:p>
        </w:tc>
        <w:tc>
          <w:tcPr>
            <w:tcW w:type="dxa" w:w="167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Threat</w:t>
            </w:r>
          </w:p>
        </w:tc>
      </w:tr>
      <w:tr>
        <w:trPr>
          <w:cantSplit w:val="off"/>
        </w:trPr>
        <w:tc>
          <w:tcPr>
            <w:tcW w:type="dxa" w:w="11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(byjus.com)</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K-12 supplementary learning, exam prep, early learning (ages 4-8). Premium video-led product, pan-India brand recall.</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Very large indexed content library and strong brand-query volume, but the brand SERP is dominated by insolvency and refund news. Thin, ageing blog estate; little fresh topical content in 2025-26.</w:t>
            </w:r>
          </w:p>
        </w:tc>
        <w:tc>
          <w:tcPr>
            <w:tcW w:type="dxa" w:w="20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Own the queries where a trusted, free, curriculum-mapped resource beats a sales page: NCERT solutions, chapter notes, sample papers, doubt solving.</w:t>
            </w:r>
          </w:p>
        </w:tc>
        <w:tc>
          <w:tcPr>
            <w:tcW w:type="dxa" w:w="16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Baseline</w:t>
            </w:r>
          </w:p>
        </w:tc>
      </w:tr>
      <w:tr>
        <w:trPr>
          <w:cantSplit w:val="off"/>
        </w:trPr>
        <w:tc>
          <w:tcPr>
            <w:tcW w:type="dxa" w:w="11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Physics Wallah
(pw.live)</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Affordable JEE/NEET/board prep, YouTube-first, vernacular, 353 offline centres by end-FY26. Listed Nov 2025 at ~US$3.6bn.</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Largest owned community in the category (~98.8M subscribers across channels per its UDRHP). Ranks broadly on exam-intent and 'free' queries; strong Hindi-language footprint.</w:t>
            </w:r>
          </w:p>
        </w:tc>
        <w:tc>
          <w:tcPr>
            <w:tcW w:type="dxa" w:w="20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PW's school-curriculum (Class 6-8) and CBSE board coverage is shallow relative to its exam-prep depth. Early-learning and primary-school demand is effectively unserved.</w:t>
            </w:r>
          </w:p>
        </w:tc>
        <w:tc>
          <w:tcPr>
            <w:tcW w:type="dxa" w:w="16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r>
      <w:tr>
        <w:trPr>
          <w:cantSplit w:val="off"/>
        </w:trPr>
        <w:tc>
          <w:tcPr>
            <w:tcW w:type="dxa" w:w="11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Unacademy
(now upGrad)</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Test prep for UPSC, SSC, banking, JEE, NEET; educator-led live classes; franchise-model offline centres.</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unacademy.com/content is a large, well-structured exam-information library that ranks for 'syllabus', 'eligibility', 'exam date' and 'admit card' queries.</w:t>
            </w:r>
          </w:p>
        </w:tc>
        <w:tc>
          <w:tcPr>
            <w:tcW w:type="dxa" w:w="20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Post-merger integration will slow content velocity for 2-3 quarters. Exam-information pages are generic and rarely link to a learning path.</w:t>
            </w:r>
          </w:p>
        </w:tc>
        <w:tc>
          <w:tcPr>
            <w:tcW w:type="dxa" w:w="16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r>
      <w:tr>
        <w:trPr>
          <w:cantSplit w:val="off"/>
        </w:trPr>
        <w:tc>
          <w:tcPr>
            <w:tcW w:type="dxa" w:w="11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Vedantu
(vedantu.com)</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Live K-12 tutoring, WAVE AI tutor, CBSE/ICSE school support, premium price point.</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Among the strongest organic footprints in Class 6-12 school queries; NCERT solutions and chapter-wise pages rank on page one for hundreds of long-tail terms.</w:t>
            </w:r>
          </w:p>
        </w:tc>
        <w:tc>
          <w:tcPr>
            <w:tcW w:type="dxa" w:w="20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Premium pricing and lower tier-3 recall. Little credible free practice or mock-test inventory compared to its reading content.</w:t>
            </w:r>
          </w:p>
        </w:tc>
        <w:tc>
          <w:tcPr>
            <w:tcW w:type="dxa" w:w="16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r>
      <w:tr>
        <w:trPr>
          <w:cantSplit w:val="off"/>
        </w:trPr>
        <w:tc>
          <w:tcPr>
            <w:tcW w:type="dxa" w:w="11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Khan Academy India
(khanacademy.org)</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non-profit, concept-first learning; CBSE/NCERT aligned; no paid funnel.</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Dominates 'free' and definitional informational queries; very high domain authority; strong YouTube and teacher-backlink profile.</w:t>
            </w:r>
          </w:p>
        </w:tc>
        <w:tc>
          <w:tcPr>
            <w:tcW w:type="dxa" w:w="20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No exam-specific coaching, no practice-test commerce and no regional sales motion. Cannot monetise the traffic it wins, which makes co-existence possible.</w:t>
            </w:r>
          </w:p>
        </w:tc>
        <w:tc>
          <w:tcPr>
            <w:tcW w:type="dxa" w:w="16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r>
      <w:tr>
        <w:trPr>
          <w:cantSplit w:val="off"/>
        </w:trPr>
        <w:tc>
          <w:tcPr>
            <w:tcW w:type="dxa" w:w="11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Aakash
(aakash.ac.in)</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Offline-plus-hybrid NEET/JEE coaching, 300+ centres; BYJU'S parent holds ~32% post-settlement.</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Ranks for 'NEET coaching near me' and city/centre-level queries; weak digital content estate, minimal blog depth.</w:t>
            </w:r>
          </w:p>
        </w:tc>
        <w:tc>
          <w:tcPr>
            <w:tcW w:type="dxa" w:w="20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No answer-first content for 'how to prepare' or 'study plan' queries; digital top-of-funnel is largely unbranded paid search.</w:t>
            </w:r>
          </w:p>
        </w:tc>
        <w:tc>
          <w:tcPr>
            <w:tcW w:type="dxa" w:w="16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r>
      <w:tr>
        <w:trPr>
          <w:cantSplit w:val="off"/>
        </w:trPr>
        <w:tc>
          <w:tcPr>
            <w:tcW w:type="dxa" w:w="11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Doubtnut
(doubtnut.com)</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Image-based doubt solving, short video answers, Hindi-first.</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Owns a large share of 'doubt' and question-level queries through millions of indexed Q&amp;A pages.</w:t>
            </w:r>
          </w:p>
        </w:tc>
        <w:tc>
          <w:tcPr>
            <w:tcW w:type="dxa" w:w="20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Answers are short and unlinked to a structured course. A curriculum-linked doubt experience is a genuine differentiator.</w:t>
            </w:r>
          </w:p>
        </w:tc>
        <w:tc>
          <w:tcPr>
            <w:tcW w:type="dxa" w:w="16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r>
      <w:tr>
        <w:trPr>
          <w:cantSplit w:val="off"/>
        </w:trPr>
        <w:tc>
          <w:tcPr>
            <w:tcW w:type="dxa" w:w="11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Extramarks
(extramarks.com)</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School learning (CBSE/ICSE), K-12 app, hybrid 'Learn' centres.</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Broad class-and-subject page estate; ranks on 'NCERT solutions' and 'sample paper' long tail.</w:t>
            </w:r>
          </w:p>
        </w:tc>
        <w:tc>
          <w:tcPr>
            <w:tcW w:type="dxa" w:w="20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Content is thin per page and slow to load; few genuinely useful study assets.</w:t>
            </w:r>
          </w:p>
        </w:tc>
        <w:tc>
          <w:tcPr>
            <w:tcW w:type="dxa" w:w="16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Low-Medium</w:t>
            </w:r>
          </w:p>
        </w:tc>
      </w:tr>
    </w:tbl>
    <w:p>
      <w:pPr>
        <w:spacing w:after="200" w:before="60"/>
      </w:pPr>
      <w:r>
        <w:rPr>
          <w:rFonts w:ascii="Calibri" w:cs="Calibri" w:eastAsia="Calibri" w:hAnsi="Calibri"/>
          <w:i/>
          <w:iCs/>
          <w:color w:val="5A6270"/>
          <w:sz w:val="16"/>
          <w:szCs w:val="16"/>
        </w:rPr>
        <w:t xml:space="preserve">Table 3. Competitor benchmark. 'Search and content strength' reflects observable ranking presence and content estate depth as of October 2026, not measured traffic.</w:t>
      </w:r>
    </w:p>
    <w:p>
      <w:pPr>
        <w:spacing w:after="90" w:before="240"/>
      </w:pPr>
      <w:r>
        <w:rPr>
          <w:rFonts w:ascii="Calibri" w:cs="Calibri" w:eastAsia="Calibri" w:hAnsi="Calibri"/>
          <w:b/>
          <w:bCs/>
          <w:color w:val="2E5FAC"/>
          <w:sz w:val="22"/>
          <w:szCs w:val="22"/>
        </w:rPr>
        <w:t xml:space="preserve">4.1  What the benchmark shows</w:t>
      </w:r>
    </w:p>
    <w:p>
      <w:pPr>
        <w:spacing w:after="120" w:before="0" w:line="300"/>
      </w:pPr>
      <w:r>
        <w:rPr>
          <w:rFonts w:ascii="Calibri" w:cs="Calibri" w:eastAsia="Calibri" w:hAnsi="Calibri"/>
          <w:sz w:val="21"/>
          <w:szCs w:val="21"/>
        </w:rPr>
        <w:t xml:space="preserve">Three patterns hold across all seven.</w:t>
      </w:r>
    </w:p>
    <w:p>
      <w:pPr>
        <w:pStyle w:val="ListParagraph"/>
        <w:numPr>
          <w:ilvl w:val="0"/>
          <w:numId w:val="2"/>
        </w:numPr>
        <w:spacing w:after="60" w:before="0" w:line="290"/>
      </w:pPr>
      <w:r>
        <w:rPr>
          <w:rFonts w:ascii="Calibri" w:cs="Calibri" w:eastAsia="Calibri" w:hAnsi="Calibri"/>
          <w:b/>
          <w:bCs/>
          <w:sz w:val="21"/>
          <w:szCs w:val="21"/>
        </w:rPr>
        <w:t xml:space="preserve">Content breadth beats product pages. </w:t>
      </w:r>
      <w:r>
        <w:rPr>
          <w:rFonts w:ascii="Calibri" w:cs="Calibri" w:eastAsia="Calibri" w:hAnsi="Calibri"/>
          <w:sz w:val="21"/>
          <w:szCs w:val="21"/>
        </w:rPr>
        <w:t xml:space="preserve">Every competitor ranking on informational queries does so with a page that teaches something, not a page that sells something. Vedantu's NCERT estate and Unacademy's exam-information library are the clearest examples: neither is a conversion page, and both feed a large share of the category's mid-funnel traffic.</w:t>
      </w:r>
    </w:p>
    <w:p>
      <w:pPr>
        <w:pStyle w:val="ListParagraph"/>
        <w:numPr>
          <w:ilvl w:val="0"/>
          <w:numId w:val="2"/>
        </w:numPr>
        <w:spacing w:after="60" w:before="0" w:line="290"/>
      </w:pPr>
      <w:r>
        <w:rPr>
          <w:rFonts w:ascii="Calibri" w:cs="Calibri" w:eastAsia="Calibri" w:hAnsi="Calibri"/>
          <w:b/>
          <w:bCs/>
          <w:sz w:val="21"/>
          <w:szCs w:val="21"/>
        </w:rPr>
        <w:t xml:space="preserve">The school segment is the least contested high-volume space. </w:t>
      </w:r>
      <w:r>
        <w:rPr>
          <w:rFonts w:ascii="Calibri" w:cs="Calibri" w:eastAsia="Calibri" w:hAnsi="Calibri"/>
          <w:sz w:val="21"/>
          <w:szCs w:val="21"/>
        </w:rPr>
        <w:t xml:space="preserve">Physics Wallah, Unacademy and Aakash are built around exams. Their Class 6-8 and CBSE-board coverage is a by-product. Vedantu is the only serious incumbent, and it is priced at a premium that leaves tier-2 and tier-3 demand open.</w:t>
      </w:r>
    </w:p>
    <w:p>
      <w:pPr>
        <w:pStyle w:val="ListParagraph"/>
        <w:numPr>
          <w:ilvl w:val="0"/>
          <w:numId w:val="2"/>
        </w:numPr>
        <w:spacing w:after="60" w:before="0" w:line="290"/>
      </w:pPr>
      <w:r>
        <w:rPr>
          <w:rFonts w:ascii="Calibri" w:cs="Calibri" w:eastAsia="Calibri" w:hAnsi="Calibri"/>
          <w:b/>
          <w:bCs/>
          <w:sz w:val="21"/>
          <w:szCs w:val="21"/>
        </w:rPr>
        <w:t xml:space="preserve">Utility wins installs. </w:t>
      </w:r>
      <w:r>
        <w:rPr>
          <w:rFonts w:ascii="Calibri" w:cs="Calibri" w:eastAsia="Calibri" w:hAnsi="Calibri"/>
          <w:sz w:val="21"/>
          <w:szCs w:val="21"/>
        </w:rPr>
        <w:t xml:space="preserve">Doubtnut's question-level pages and Physics Wallah's free test series show that free, instant, single-purpose tools convert far better than course pages in this category. The user wants an answer in ten seconds, and the app is the by-product.</w:t>
      </w:r>
    </w:p>
    <w:p>
      <w:pPr>
        <w:spacing w:after="90" w:before="240"/>
      </w:pPr>
      <w:r>
        <w:rPr>
          <w:rFonts w:ascii="Calibri" w:cs="Calibri" w:eastAsia="Calibri" w:hAnsi="Calibri"/>
          <w:b/>
          <w:bCs/>
          <w:color w:val="2E5FAC"/>
          <w:sz w:val="22"/>
          <w:szCs w:val="22"/>
        </w:rPr>
        <w:t xml:space="preserve">4.2  Where BYJU'S can realistically win</w:t>
      </w:r>
    </w:p>
    <w:p>
      <w:pPr>
        <w:spacing w:after="120" w:before="0" w:line="300"/>
      </w:pPr>
      <w:r>
        <w:rPr>
          <w:rFonts w:ascii="Calibri" w:cs="Calibri" w:eastAsia="Calibri" w:hAnsi="Calibri"/>
          <w:sz w:val="21"/>
          <w:szCs w:val="21"/>
        </w:rPr>
        <w:t xml:space="preserve">Three openings are defensible, and each maps to a cluster later in this report. The curriculum estate (C2) is the largest: BYJU'S already owns the video and the pedagogy, so the marginal cost of a chapter page is editorial, not production. Doubt solving (C5) is the fastest: the underlying question-answer database exists and only needs to be made indexable. Early learning and free tools (C4) are the least contested: no exam-prep competitor wants that demand, and BYJU'S Early Learn already serves it.</w:t>
      </w:r>
    </w:p>
    <w:p>
      <w:pPr>
        <w:spacing w:after="120" w:before="0" w:line="300"/>
      </w:pPr>
      <w:r>
        <w:rPr>
          <w:rFonts w:ascii="Calibri" w:cs="Calibri" w:eastAsia="Calibri" w:hAnsi="Calibri"/>
          <w:sz w:val="21"/>
          <w:szCs w:val="21"/>
        </w:rPr>
        <w:t xml:space="preserve">Conversely, head-on competition on 'best online coaching for JEE' or 'NEET coaching' is the wrong first move. Those SERPs are held by players with current brand momentum and, in Physics Wallah's case, a price point BYJU'S cannot match without a product change.</w:t>
      </w:r>
    </w:p>
    <w:p>
      <w:pPr>
        <w:pBdr>
          <w:bottom w:val="single" w:color="C9D3E4" w:sz="8" w:space="4"/>
        </w:pBdr>
        <w:spacing w:after="140" w:before="320"/>
      </w:pPr>
      <w:r>
        <w:rPr>
          <w:rFonts w:ascii="Calibri" w:cs="Calibri" w:eastAsia="Calibri" w:hAnsi="Calibri"/>
          <w:b/>
          <w:bCs/>
          <w:color w:val="2E5FAC"/>
          <w:sz w:val="26"/>
          <w:szCs w:val="26"/>
        </w:rPr>
        <w:t xml:space="preserve">5.  </w:t>
      </w:r>
      <w:r>
        <w:rPr>
          <w:rFonts w:ascii="Calibri" w:cs="Calibri" w:eastAsia="Calibri" w:hAnsi="Calibri"/>
          <w:b/>
          <w:bCs/>
          <w:color w:val="1F3864"/>
          <w:sz w:val="26"/>
          <w:szCs w:val="26"/>
        </w:rPr>
        <w:t xml:space="preserve">Google Trends analysis</w:t>
      </w:r>
    </w:p>
    <w:p>
      <w:pPr>
        <w:spacing w:after="120" w:before="0" w:line="300"/>
      </w:pPr>
      <w:r>
        <w:rPr>
          <w:rFonts w:ascii="Calibri" w:cs="Calibri" w:eastAsia="Calibri" w:hAnsi="Calibri"/>
          <w:sz w:val="21"/>
          <w:szCs w:val="21"/>
        </w:rPr>
        <w:t xml:space="preserve">Trends was used for shape, not size: it tells us when demand arrives and whether it is rising or fading, which is what determines publishing dates and refresh cadence. Each query was pulled for India, last five years, with the twelve-month view used for the month-level reading.</w:t>
      </w:r>
    </w:p>
    <w:p>
      <w:pPr>
        <w:spacing w:after="40" w:before="12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90825"/>
                    </a:xfrm>
                    <a:prstGeom prst="rect">
                      <a:avLst/>
                    </a:prstGeom>
                  </pic:spPr>
                </pic:pic>
              </a:graphicData>
            </a:graphic>
          </wp:inline>
        </w:drawing>
      </w:r>
    </w:p>
    <w:p>
      <w:pPr>
        <w:spacing w:after="200" w:before="60"/>
      </w:pPr>
      <w:r>
        <w:rPr>
          <w:rFonts w:ascii="Calibri" w:cs="Calibri" w:eastAsia="Calibri" w:hAnsi="Calibri"/>
          <w:i/>
          <w:iCs/>
          <w:color w:val="5A6270"/>
          <w:sz w:val="16"/>
          <w:szCs w:val="16"/>
        </w:rPr>
        <w:t xml:space="preserve">Figure 1. Illustrative seasonal demand index by cluster. Modelled from the Indian academic and exam calendar to show relative timing; replace with a Google Trends export before submission.</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1900"/>
        <w:gridCol w:w="2100"/>
        <w:gridCol w:w="1300"/>
        <w:gridCol w:w="3726"/>
      </w:tblGrid>
      <w:tr>
        <w:trPr>
          <w:tblHeader/>
        </w:trPr>
        <w:tc>
          <w:tcPr>
            <w:tcW w:type="dxa" w:w="19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Query</w:t>
            </w:r>
          </w:p>
        </w:tc>
        <w:tc>
          <w:tcPr>
            <w:tcW w:type="dxa" w:w="21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Peak demand</w:t>
            </w:r>
          </w:p>
        </w:tc>
        <w:tc>
          <w:tcPr>
            <w:tcW w:type="dxa" w:w="13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Pattern</w:t>
            </w:r>
          </w:p>
        </w:tc>
        <w:tc>
          <w:tcPr>
            <w:tcW w:type="dxa" w:w="372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What it means for content</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NEET preparation</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Apr-May peak; secondary Nov-Dec spike (application and result cycles)</w:t>
            </w:r>
          </w:p>
        </w:tc>
        <w:tc>
          <w:tcPr>
            <w:tcW w:type="dxa" w:w="13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Spiky, rising</w:t>
            </w:r>
          </w:p>
        </w:tc>
        <w:tc>
          <w:tcPr>
            <w:tcW w:type="dxa" w:w="37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Peaks collide with result and counselling news. Publish study plans and syllabus pages 8-10 weeks before the peak, not during it.</w:t>
            </w:r>
          </w:p>
        </w:tc>
      </w:tr>
      <w:tr>
        <w:trPr>
          <w:cantSplit w:val="off"/>
        </w:trPr>
        <w:tc>
          <w:tcPr>
            <w:tcW w:type="dxa" w:w="1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JEE Main</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Jan (session 1), Apr (session 2), Jun (results and counselling)</w:t>
            </w:r>
          </w:p>
        </w:tc>
        <w:tc>
          <w:tcPr>
            <w:tcW w:type="dxa" w:w="13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Spiky, rising</w:t>
            </w:r>
          </w:p>
        </w:tc>
        <w:tc>
          <w:tcPr>
            <w:tcW w:type="dxa" w:w="37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Two demand windows per year. Refresh previous-year-paper and rank-predictor assets in November and March.</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NCERT solutions</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Jun-Sep (new academic session), with a Feb-Mar board-exam bump</w:t>
            </w:r>
          </w:p>
        </w:tc>
        <w:tc>
          <w:tcPr>
            <w:tcW w:type="dxa" w:w="13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Stable, high volume</w:t>
            </w:r>
          </w:p>
        </w:tc>
        <w:tc>
          <w:tcPr>
            <w:tcW w:type="dxa" w:w="37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The most durable demand pool in the category. Evergreen pages compound; each page needs chapter-level depth to hold rankings.</w:t>
            </w:r>
          </w:p>
        </w:tc>
      </w:tr>
      <w:tr>
        <w:trPr>
          <w:cantSplit w:val="off"/>
        </w:trPr>
        <w:tc>
          <w:tcPr>
            <w:tcW w:type="dxa" w:w="1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CBSE sample paper</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Dec-Feb</w:t>
            </w:r>
          </w:p>
        </w:tc>
        <w:tc>
          <w:tcPr>
            <w:tcW w:type="dxa" w:w="13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Sharply seasonal</w:t>
            </w:r>
          </w:p>
        </w:tc>
        <w:tc>
          <w:tcPr>
            <w:tcW w:type="dxa" w:w="37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Publish in the first week of December to capture the whole cycle; the window closes by mid-March.</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Online tuition</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Jun-Jul and Dec-Jan</w:t>
            </w:r>
          </w:p>
        </w:tc>
        <w:tc>
          <w:tcPr>
            <w:tcW w:type="dxa" w:w="13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Stable, mildly rising</w:t>
            </w:r>
          </w:p>
        </w:tc>
        <w:tc>
          <w:tcPr>
            <w:tcW w:type="dxa" w:w="37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Admission-season intent. Pairs naturally with comparison and pricing content.</w:t>
            </w:r>
          </w:p>
        </w:tc>
      </w:tr>
      <w:tr>
        <w:trPr>
          <w:cantSplit w:val="off"/>
        </w:trPr>
        <w:tc>
          <w:tcPr>
            <w:tcW w:type="dxa" w:w="1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Learning app for kids</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Jun-Jul, plus a smaller Diwali-period bump</w:t>
            </w:r>
          </w:p>
        </w:tc>
        <w:tc>
          <w:tcPr>
            <w:tcW w:type="dxa" w:w="13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Stable</w:t>
            </w:r>
          </w:p>
        </w:tc>
        <w:tc>
          <w:tcPr>
            <w:tcW w:type="dxa" w:w="37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Under-served by exam-prep competitors; a defensible BYJU'S territory given the early-learning franchise.</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Byju's</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Flat, with news-driven spikes</w:t>
            </w:r>
          </w:p>
        </w:tc>
        <w:tc>
          <w:tcPr>
            <w:tcW w:type="dxa" w:w="13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Declining</w:t>
            </w:r>
          </w:p>
        </w:tc>
        <w:tc>
          <w:tcPr>
            <w:tcW w:type="dxa" w:w="37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Brand queries are reputation queries. They need deflection content (refund, support, continuity of access), not marketing pages.</w:t>
            </w:r>
          </w:p>
        </w:tc>
      </w:tr>
      <w:tr>
        <w:trPr>
          <w:cantSplit w:val="off"/>
        </w:trPr>
        <w:tc>
          <w:tcPr>
            <w:tcW w:type="dxa" w:w="1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Doubt solving app</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Jun-Feb, highest Jul-Aug</w:t>
            </w:r>
          </w:p>
        </w:tc>
        <w:tc>
          <w:tcPr>
            <w:tcW w:type="dxa" w:w="13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Rising</w:t>
            </w:r>
          </w:p>
        </w:tc>
        <w:tc>
          <w:tcPr>
            <w:tcW w:type="dxa" w:w="37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Utility intent with high app-install correlation; strong fit for product-led landing pages.</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Free mock test</w:t>
            </w:r>
          </w:p>
        </w:tc>
        <w:tc>
          <w:tcPr>
            <w:tcW w:type="dxa" w:w="2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Nov-May</w:t>
            </w:r>
          </w:p>
        </w:tc>
        <w:tc>
          <w:tcPr>
            <w:tcW w:type="dxa" w:w="13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Rising</w:t>
            </w:r>
          </w:p>
        </w:tc>
        <w:tc>
          <w:tcPr>
            <w:tcW w:type="dxa" w:w="37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Free-tool demand is the cheapest qualified traffic in the category. Requires a low-friction sign-up, not a sales call.</w:t>
            </w:r>
          </w:p>
        </w:tc>
      </w:tr>
      <w:tr>
        <w:trPr>
          <w:cantSplit w:val="off"/>
        </w:trPr>
        <w:tc>
          <w:tcPr>
            <w:tcW w:type="dxa" w:w="1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Online coaching in Hindi</w:t>
            </w:r>
          </w:p>
        </w:tc>
        <w:tc>
          <w:tcPr>
            <w:tcW w:type="dxa" w:w="2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Jun-Aug</w:t>
            </w:r>
          </w:p>
        </w:tc>
        <w:tc>
          <w:tcPr>
            <w:tcW w:type="dxa" w:w="13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Rising</w:t>
            </w:r>
          </w:p>
        </w:tc>
        <w:tc>
          <w:tcPr>
            <w:tcW w:type="dxa" w:w="37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Regional-language demand is growing faster than English in tier-2/3; competitors are still thin here outside Physics Wallah.</w:t>
            </w:r>
          </w:p>
        </w:tc>
      </w:tr>
    </w:tbl>
    <w:p>
      <w:pPr>
        <w:spacing w:after="200" w:before="60"/>
      </w:pPr>
      <w:r>
        <w:rPr>
          <w:rFonts w:ascii="Calibri" w:cs="Calibri" w:eastAsia="Calibri" w:hAnsi="Calibri"/>
          <w:i/>
          <w:iCs/>
          <w:color w:val="5A6270"/>
          <w:sz w:val="16"/>
          <w:szCs w:val="16"/>
        </w:rPr>
        <w:t xml:space="preserve">Table 4. Google Trends reading, India, five-year and twelve-month views.</w:t>
      </w:r>
    </w:p>
    <w:p>
      <w:pPr>
        <w:spacing w:after="90" w:before="240"/>
      </w:pPr>
      <w:r>
        <w:rPr>
          <w:rFonts w:ascii="Calibri" w:cs="Calibri" w:eastAsia="Calibri" w:hAnsi="Calibri"/>
          <w:b/>
          <w:bCs/>
          <w:color w:val="2E5FAC"/>
          <w:sz w:val="22"/>
          <w:szCs w:val="22"/>
        </w:rPr>
        <w:t xml:space="preserve">5.1  Three timing rules that follow</w:t>
      </w:r>
    </w:p>
    <w:p>
      <w:pPr>
        <w:pStyle w:val="ListParagraph"/>
        <w:numPr>
          <w:ilvl w:val="0"/>
          <w:numId w:val="2"/>
        </w:numPr>
        <w:spacing w:after="60" w:before="0" w:line="290"/>
      </w:pPr>
      <w:r>
        <w:rPr>
          <w:rFonts w:ascii="Calibri" w:cs="Calibri" w:eastAsia="Calibri" w:hAnsi="Calibri"/>
          <w:b/>
          <w:bCs/>
          <w:sz w:val="21"/>
          <w:szCs w:val="21"/>
        </w:rPr>
        <w:t xml:space="preserve">Publish before the peak, never during it. </w:t>
      </w:r>
      <w:r>
        <w:rPr>
          <w:rFonts w:ascii="Calibri" w:cs="Calibri" w:eastAsia="Calibri" w:hAnsi="Calibri"/>
          <w:sz w:val="21"/>
          <w:szCs w:val="21"/>
        </w:rPr>
        <w:t xml:space="preserve">Google needs six to ten weeks to trust and rank a new page. Sample-paper content published in January misses the December-February cycle entirely; the same pages published in the first week of December capture all of it.</w:t>
      </w:r>
    </w:p>
    <w:p>
      <w:pPr>
        <w:pStyle w:val="ListParagraph"/>
        <w:numPr>
          <w:ilvl w:val="0"/>
          <w:numId w:val="2"/>
        </w:numPr>
        <w:spacing w:after="60" w:before="0" w:line="290"/>
      </w:pPr>
      <w:r>
        <w:rPr>
          <w:rFonts w:ascii="Calibri" w:cs="Calibri" w:eastAsia="Calibri" w:hAnsi="Calibri"/>
          <w:b/>
          <w:bCs/>
          <w:sz w:val="21"/>
          <w:szCs w:val="21"/>
        </w:rPr>
        <w:t xml:space="preserve">Build evergreen before seasonal. </w:t>
      </w:r>
      <w:r>
        <w:rPr>
          <w:rFonts w:ascii="Calibri" w:cs="Calibri" w:eastAsia="Calibri" w:hAnsi="Calibri"/>
          <w:sz w:val="21"/>
          <w:szCs w:val="21"/>
        </w:rPr>
        <w:t xml:space="preserve">NCERT solutions and chapter notes hold volume all year and compound. They fund the seasonal pushes. A team that only chases exam season rebuilds from zero twice a year.</w:t>
      </w:r>
    </w:p>
    <w:p>
      <w:pPr>
        <w:pStyle w:val="ListParagraph"/>
        <w:numPr>
          <w:ilvl w:val="0"/>
          <w:numId w:val="2"/>
        </w:numPr>
        <w:spacing w:after="60" w:before="0" w:line="290"/>
      </w:pPr>
      <w:r>
        <w:rPr>
          <w:rFonts w:ascii="Calibri" w:cs="Calibri" w:eastAsia="Calibri" w:hAnsi="Calibri"/>
          <w:b/>
          <w:bCs/>
          <w:sz w:val="21"/>
          <w:szCs w:val="21"/>
        </w:rPr>
        <w:t xml:space="preserve">Treat declining brand queries as a support problem. </w:t>
      </w:r>
      <w:r>
        <w:rPr>
          <w:rFonts w:ascii="Calibri" w:cs="Calibri" w:eastAsia="Calibri" w:hAnsi="Calibri"/>
          <w:sz w:val="21"/>
          <w:szCs w:val="21"/>
        </w:rPr>
        <w:t xml:space="preserve">'Byju's' trends flat with news-driven spikes, which means the searcher is usually looking for reassurance or a resolution, not a product. Answer them in one page and stop paying for the traffic twice.</w:t>
      </w:r>
    </w:p>
    <w:p>
      <w:pPr>
        <w:pBdr>
          <w:bottom w:val="single" w:color="C9D3E4" w:sz="8" w:space="4"/>
        </w:pBdr>
        <w:spacing w:after="140" w:before="320"/>
      </w:pPr>
      <w:r>
        <w:rPr>
          <w:rFonts w:ascii="Calibri" w:cs="Calibri" w:eastAsia="Calibri" w:hAnsi="Calibri"/>
          <w:b/>
          <w:bCs/>
          <w:color w:val="2E5FAC"/>
          <w:sz w:val="26"/>
          <w:szCs w:val="26"/>
        </w:rPr>
        <w:t xml:space="preserve">6.  </w:t>
      </w:r>
      <w:r>
        <w:rPr>
          <w:rFonts w:ascii="Calibri" w:cs="Calibri" w:eastAsia="Calibri" w:hAnsi="Calibri"/>
          <w:b/>
          <w:bCs/>
          <w:color w:val="1F3864"/>
          <w:sz w:val="26"/>
          <w:szCs w:val="26"/>
        </w:rPr>
        <w:t xml:space="preserve">Keyword universe</w:t>
      </w:r>
    </w:p>
    <w:p>
      <w:pPr>
        <w:spacing w:after="120" w:before="0" w:line="300"/>
      </w:pPr>
      <w:r>
        <w:rPr>
          <w:rFonts w:ascii="Calibri" w:cs="Calibri" w:eastAsia="Calibri" w:hAnsi="Calibri"/>
          <w:sz w:val="21"/>
          <w:szCs w:val="21"/>
        </w:rPr>
        <w:t xml:space="preserve">148 keywords survived screening. Forty-one representative keywords are listed below, covering all seven clusters, with the intent, volume band, difficulty band, trend direction and the asset that should target each one. The full set, with clustering columns, is maintained in the accompanying working sheet.</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2090"/>
        <w:gridCol w:w="760"/>
        <w:gridCol w:w="1250"/>
        <w:gridCol w:w="1060"/>
        <w:gridCol w:w="950"/>
        <w:gridCol w:w="860"/>
        <w:gridCol w:w="2056"/>
      </w:tblGrid>
      <w:tr>
        <w:trPr>
          <w:tblHeader/>
        </w:trPr>
        <w:tc>
          <w:tcPr>
            <w:tcW w:type="dxa" w:w="209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5"/>
                <w:szCs w:val="15"/>
              </w:rPr>
              <w:t xml:space="preserve">Keyword</w:t>
            </w:r>
          </w:p>
        </w:tc>
        <w:tc>
          <w:tcPr>
            <w:tcW w:type="dxa" w:w="76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5"/>
                <w:szCs w:val="15"/>
              </w:rPr>
              <w:t xml:space="preserve">Cluster</w:t>
            </w:r>
          </w:p>
        </w:tc>
        <w:tc>
          <w:tcPr>
            <w:tcW w:type="dxa" w:w="125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5"/>
                <w:szCs w:val="15"/>
              </w:rPr>
              <w:t xml:space="preserve">Intent</w:t>
            </w:r>
          </w:p>
        </w:tc>
        <w:tc>
          <w:tcPr>
            <w:tcW w:type="dxa" w:w="106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5"/>
                <w:szCs w:val="15"/>
              </w:rPr>
              <w:t xml:space="preserve">India volume</w:t>
            </w:r>
          </w:p>
        </w:tc>
        <w:tc>
          <w:tcPr>
            <w:tcW w:type="dxa" w:w="95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5"/>
                <w:szCs w:val="15"/>
              </w:rPr>
              <w:t xml:space="preserve">Difficulty</w:t>
            </w:r>
          </w:p>
        </w:tc>
        <w:tc>
          <w:tcPr>
            <w:tcW w:type="dxa" w:w="86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5"/>
                <w:szCs w:val="15"/>
              </w:rPr>
              <w:t xml:space="preserve">Trend</w:t>
            </w:r>
          </w:p>
        </w:tc>
        <w:tc>
          <w:tcPr>
            <w:tcW w:type="dxa" w:w="205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5"/>
                <w:szCs w:val="15"/>
              </w:rPr>
              <w:t xml:space="preserve">Target asset</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C1</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Navigational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Declining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Homepage + trust hub</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app download</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C1</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Navigational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App landing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login</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C1</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Navigational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Support / login help</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customer care number</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C1</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Navigational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Help centre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refund status</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C1</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Navigational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Refund FAQ page</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is byju's shutting down</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C1</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Official status statement</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ncert solutions class 10 maths</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C2</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Chapter-wise hub</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ncert solutions class 9 science</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C2</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Chapter-wise hub</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class 10 maths important questions</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C2</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Practice asset</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cbse sample paper class 12 2027</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C2</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Seasonal</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Download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class 8 science notes</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C2</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Notes hub</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ncert solutions class 12 physics</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C2</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Chapter-wise hub</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cbse class 10 syllabus 2026-27</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C2</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Seasonal</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Syllabus page</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jee main 2027 syllabus</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Exam hub</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neet 2027 syllabus</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Exam hub</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jee mains previous year question paper</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PYQ library</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neet mock test free</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Transactional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test tool</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best online coaching for jee</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Comparison + course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cuet ug preparation</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Exam hub</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neet biology mcq</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Practice bank</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jee main rank predictor</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Transactional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Seasonal</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tool</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online classes for class 10</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C4</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trial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mock test</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C4</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Transactional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Test hub</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study material for jee</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C4</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Resource library</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learning app for kids</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C4</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Early-learn page</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abcd learning app</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C4</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Transactional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Early-learn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cheapest online coaching for neet</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C4</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Pricing page</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 solving app</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C5</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 app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homework help online</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C5</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 app page</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maths doubt solver</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C5</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Transactional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Feature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physics doubt solver</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C5</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Transactional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Feature page</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ask a doubt online free</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C5</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Transactional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doubt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vs physics wallah</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C6</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Comparison page</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unacademy vs byjus</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C6</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Comparison page</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best edtech app in india</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C6</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Category comparison</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best app for cbse class 10</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C6</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5K-20K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Stable</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Category comparison</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alternative</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C6</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Retention / comparison</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online coaching in hindi</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C7</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20K-50K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Hindi hub</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neet coaching in tamil</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C7</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Tamil hub</w:t>
            </w:r>
          </w:p>
        </w:tc>
      </w:tr>
      <w:tr>
        <w:trPr>
          <w:cantSplit w:val="off"/>
        </w:trPr>
        <w:tc>
          <w:tcPr>
            <w:tcW w:type="dxa" w:w="209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class 10 maths in kannada</w:t>
            </w:r>
          </w:p>
        </w:tc>
        <w:tc>
          <w:tcPr>
            <w:tcW w:type="dxa" w:w="7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C7</w:t>
            </w:r>
          </w:p>
        </w:tc>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10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Kannada hub</w:t>
            </w:r>
          </w:p>
        </w:tc>
      </w:tr>
      <w:tr>
        <w:trPr>
          <w:cantSplit w:val="off"/>
        </w:trPr>
        <w:tc>
          <w:tcPr>
            <w:tcW w:type="dxa" w:w="209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bengali medium online classes</w:t>
            </w:r>
          </w:p>
        </w:tc>
        <w:tc>
          <w:tcPr>
            <w:tcW w:type="dxa" w:w="7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C7</w:t>
            </w:r>
          </w:p>
        </w:tc>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10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1K-5K</w:t>
            </w:r>
          </w:p>
        </w:tc>
        <w:tc>
          <w:tcPr>
            <w:tcW w:type="dxa" w:w="9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Low</w:t>
            </w:r>
          </w:p>
        </w:tc>
        <w:tc>
          <w:tcPr>
            <w:tcW w:type="dxa" w:w="8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Rising</w:t>
            </w:r>
          </w:p>
        </w:tc>
        <w:tc>
          <w:tcPr>
            <w:tcW w:type="dxa" w:w="205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Bengali hub</w:t>
            </w:r>
          </w:p>
        </w:tc>
      </w:tr>
    </w:tbl>
    <w:p>
      <w:pPr>
        <w:spacing w:after="200" w:before="60"/>
      </w:pPr>
      <w:r>
        <w:rPr>
          <w:rFonts w:ascii="Calibri" w:cs="Calibri" w:eastAsia="Calibri" w:hAnsi="Calibri"/>
          <w:i/>
          <w:iCs/>
          <w:color w:val="5A6270"/>
          <w:sz w:val="16"/>
          <w:szCs w:val="16"/>
        </w:rPr>
        <w:t xml:space="preserve">Table 5. Keyword map (extract). Volume bands are indicative India monthly searches; difficulty is Ubersuggest-style 0-100 collapsed into Low / Medium / High.</w:t>
      </w:r>
    </w:p>
    <w:p>
      <w:pPr>
        <w:spacing w:after="120" w:before="0" w:line="300"/>
      </w:pPr>
      <w:r>
        <w:rPr>
          <w:rFonts w:ascii="Calibri" w:cs="Calibri" w:eastAsia="Calibri" w:hAnsi="Calibri"/>
          <w:sz w:val="21"/>
          <w:szCs w:val="21"/>
        </w:rPr>
        <w:t xml:space="preserve">Intent was classified in four buckets, because the bucket determines the page type more than the topic does. Informational keywords get a teaching page. Commercial keywords get a criteria-led comparison or a category page. Transactional keywords get a tool or a sign-up. Navigational keywords get a support or status page, never a marketing page.</w:t>
      </w:r>
    </w:p>
    <w:p>
      <w:pPr>
        <w:pBdr>
          <w:bottom w:val="single" w:color="C9D3E4" w:sz="8" w:space="4"/>
        </w:pBdr>
        <w:spacing w:after="140" w:before="320"/>
      </w:pPr>
      <w:r>
        <w:rPr>
          <w:rFonts w:ascii="Calibri" w:cs="Calibri" w:eastAsia="Calibri" w:hAnsi="Calibri"/>
          <w:b/>
          <w:bCs/>
          <w:color w:val="2E5FAC"/>
          <w:sz w:val="26"/>
          <w:szCs w:val="26"/>
        </w:rPr>
        <w:t xml:space="preserve">7.  </w:t>
      </w:r>
      <w:r>
        <w:rPr>
          <w:rFonts w:ascii="Calibri" w:cs="Calibri" w:eastAsia="Calibri" w:hAnsi="Calibri"/>
          <w:b/>
          <w:bCs/>
          <w:color w:val="1F3864"/>
          <w:sz w:val="26"/>
          <w:szCs w:val="26"/>
        </w:rPr>
        <w:t xml:space="preserve">Target keyword clusters</w:t>
      </w:r>
    </w:p>
    <w:p>
      <w:pPr>
        <w:spacing w:after="120" w:before="0" w:line="300"/>
      </w:pPr>
      <w:r>
        <w:rPr>
          <w:rFonts w:ascii="Calibri" w:cs="Calibri" w:eastAsia="Calibri" w:hAnsi="Calibri"/>
          <w:sz w:val="21"/>
          <w:szCs w:val="21"/>
        </w:rPr>
        <w:t xml:space="preserve">A cluster here means a set of keywords that should be served by one pillar page plus its supporting pages, and that plausibly share a single dominant SERP intent. Seven clusters were defined. Each is summarised below and then specified.</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500"/>
        <w:gridCol w:w="1550"/>
        <w:gridCol w:w="1600"/>
        <w:gridCol w:w="960"/>
        <w:gridCol w:w="1260"/>
        <w:gridCol w:w="880"/>
        <w:gridCol w:w="2276"/>
      </w:tblGrid>
      <w:tr>
        <w:trPr>
          <w:tblHeader/>
        </w:trPr>
        <w:tc>
          <w:tcPr>
            <w:tcW w:type="dxa" w:w="5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w:t>
            </w:r>
          </w:p>
        </w:tc>
        <w:tc>
          <w:tcPr>
            <w:tcW w:type="dxa" w:w="155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Cluster</w:t>
            </w:r>
          </w:p>
        </w:tc>
        <w:tc>
          <w:tcPr>
            <w:tcW w:type="dxa" w:w="16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Primary keyword</w:t>
            </w:r>
          </w:p>
        </w:tc>
        <w:tc>
          <w:tcPr>
            <w:tcW w:type="dxa" w:w="96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Volume pool</w:t>
            </w:r>
          </w:p>
        </w:tc>
        <w:tc>
          <w:tcPr>
            <w:tcW w:type="dxa" w:w="126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Intent</w:t>
            </w:r>
          </w:p>
        </w:tc>
        <w:tc>
          <w:tcPr>
            <w:tcW w:type="dxa" w:w="88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Funnel</w:t>
            </w:r>
          </w:p>
        </w:tc>
        <w:tc>
          <w:tcPr>
            <w:tcW w:type="dxa" w:w="227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Pillar asset</w:t>
            </w:r>
          </w:p>
        </w:tc>
      </w:tr>
      <w:tr>
        <w:trPr>
          <w:cantSplit w:val="off"/>
        </w:trPr>
        <w:tc>
          <w:tcPr>
            <w:tcW w:type="dxa" w:w="5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C1</w:t>
            </w:r>
          </w:p>
        </w:tc>
        <w:tc>
          <w:tcPr>
            <w:tcW w:type="dxa" w:w="15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Brand &amp; reputation defence</w:t>
            </w:r>
          </w:p>
        </w:tc>
        <w:tc>
          <w:tcPr>
            <w:tcW w:type="dxa" w:w="1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w:t>
            </w:r>
          </w:p>
        </w:tc>
        <w:tc>
          <w:tcPr>
            <w:tcW w:type="dxa" w:w="9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12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Navigational</w:t>
            </w:r>
          </w:p>
        </w:tc>
        <w:tc>
          <w:tcPr>
            <w:tcW w:type="dxa" w:w="88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All stages</w:t>
            </w:r>
          </w:p>
        </w:tc>
        <w:tc>
          <w:tcPr>
            <w:tcW w:type="dxa" w:w="22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Trust hub: official status page, support, refund FAQ, continuity of access</w:t>
            </w:r>
          </w:p>
        </w:tc>
      </w:tr>
      <w:tr>
        <w:trPr>
          <w:cantSplit w:val="off"/>
        </w:trPr>
        <w:tc>
          <w:tcPr>
            <w:tcW w:type="dxa" w:w="5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C2</w:t>
            </w:r>
          </w:p>
        </w:tc>
        <w:tc>
          <w:tcPr>
            <w:tcW w:type="dxa" w:w="15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School curriculum support (Class 6-12)</w:t>
            </w:r>
          </w:p>
        </w:tc>
        <w:tc>
          <w:tcPr>
            <w:tcW w:type="dxa" w:w="1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ncert solutions class 10 maths</w:t>
            </w:r>
          </w:p>
        </w:tc>
        <w:tc>
          <w:tcPr>
            <w:tcW w:type="dxa" w:w="9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Very high</w:t>
            </w:r>
          </w:p>
        </w:tc>
        <w:tc>
          <w:tcPr>
            <w:tcW w:type="dxa" w:w="12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w:t>
            </w:r>
          </w:p>
        </w:tc>
        <w:tc>
          <w:tcPr>
            <w:tcW w:type="dxa" w:w="88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Top / mid</w:t>
            </w:r>
          </w:p>
        </w:tc>
        <w:tc>
          <w:tcPr>
            <w:tcW w:type="dxa" w:w="22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NCERT solutions and chapter notes hub, CBSE-aligned</w:t>
            </w:r>
          </w:p>
        </w:tc>
      </w:tr>
      <w:tr>
        <w:trPr>
          <w:cantSplit w:val="off"/>
        </w:trPr>
        <w:tc>
          <w:tcPr>
            <w:tcW w:type="dxa" w:w="5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C3</w:t>
            </w:r>
          </w:p>
        </w:tc>
        <w:tc>
          <w:tcPr>
            <w:tcW w:type="dxa" w:w="15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Competitive exam prep (JEE/NEET/CUET)</w:t>
            </w:r>
          </w:p>
        </w:tc>
        <w:tc>
          <w:tcPr>
            <w:tcW w:type="dxa" w:w="1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jee main 2027 syllabus</w:t>
            </w:r>
          </w:p>
        </w:tc>
        <w:tc>
          <w:tcPr>
            <w:tcW w:type="dxa" w:w="9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Very high</w:t>
            </w:r>
          </w:p>
        </w:tc>
        <w:tc>
          <w:tcPr>
            <w:tcW w:type="dxa" w:w="12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Informational + commercial</w:t>
            </w:r>
          </w:p>
        </w:tc>
        <w:tc>
          <w:tcPr>
            <w:tcW w:type="dxa" w:w="88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Mid / bottom</w:t>
            </w:r>
          </w:p>
        </w:tc>
        <w:tc>
          <w:tcPr>
            <w:tcW w:type="dxa" w:w="22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Exam hub with syllabus, PYQs, mock tests and rank predictor</w:t>
            </w:r>
          </w:p>
        </w:tc>
      </w:tr>
      <w:tr>
        <w:trPr>
          <w:cantSplit w:val="off"/>
        </w:trPr>
        <w:tc>
          <w:tcPr>
            <w:tcW w:type="dxa" w:w="5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C4</w:t>
            </w:r>
          </w:p>
        </w:tc>
        <w:tc>
          <w:tcPr>
            <w:tcW w:type="dxa" w:w="15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&amp; low-cost learning</w:t>
            </w:r>
          </w:p>
        </w:tc>
        <w:tc>
          <w:tcPr>
            <w:tcW w:type="dxa" w:w="1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online classes for class 10</w:t>
            </w:r>
          </w:p>
        </w:tc>
        <w:tc>
          <w:tcPr>
            <w:tcW w:type="dxa" w:w="9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High</w:t>
            </w:r>
          </w:p>
        </w:tc>
        <w:tc>
          <w:tcPr>
            <w:tcW w:type="dxa" w:w="12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88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Top / mid</w:t>
            </w:r>
          </w:p>
        </w:tc>
        <w:tc>
          <w:tcPr>
            <w:tcW w:type="dxa" w:w="22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resource library and free-trial landing page</w:t>
            </w:r>
          </w:p>
        </w:tc>
      </w:tr>
      <w:tr>
        <w:trPr>
          <w:cantSplit w:val="off"/>
        </w:trPr>
        <w:tc>
          <w:tcPr>
            <w:tcW w:type="dxa" w:w="5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C5</w:t>
            </w:r>
          </w:p>
        </w:tc>
        <w:tc>
          <w:tcPr>
            <w:tcW w:type="dxa" w:w="15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 solving &amp; homework help</w:t>
            </w:r>
          </w:p>
        </w:tc>
        <w:tc>
          <w:tcPr>
            <w:tcW w:type="dxa" w:w="1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 solving app</w:t>
            </w:r>
          </w:p>
        </w:tc>
        <w:tc>
          <w:tcPr>
            <w:tcW w:type="dxa" w:w="9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Medium-high</w:t>
            </w:r>
          </w:p>
        </w:tc>
        <w:tc>
          <w:tcPr>
            <w:tcW w:type="dxa" w:w="12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Transactional</w:t>
            </w:r>
          </w:p>
        </w:tc>
        <w:tc>
          <w:tcPr>
            <w:tcW w:type="dxa" w:w="88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Bottom</w:t>
            </w:r>
          </w:p>
        </w:tc>
        <w:tc>
          <w:tcPr>
            <w:tcW w:type="dxa" w:w="22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Doubt-solver product page with instant value demo</w:t>
            </w:r>
          </w:p>
        </w:tc>
      </w:tr>
      <w:tr>
        <w:trPr>
          <w:cantSplit w:val="off"/>
        </w:trPr>
        <w:tc>
          <w:tcPr>
            <w:tcW w:type="dxa" w:w="5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C6</w:t>
            </w:r>
          </w:p>
        </w:tc>
        <w:tc>
          <w:tcPr>
            <w:tcW w:type="dxa" w:w="15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Comparison &amp; alternatives</w:t>
            </w:r>
          </w:p>
        </w:tc>
        <w:tc>
          <w:tcPr>
            <w:tcW w:type="dxa" w:w="1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vs physics wallah</w:t>
            </w:r>
          </w:p>
        </w:tc>
        <w:tc>
          <w:tcPr>
            <w:tcW w:type="dxa" w:w="9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126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88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Bottom</w:t>
            </w:r>
          </w:p>
        </w:tc>
        <w:tc>
          <w:tcPr>
            <w:tcW w:type="dxa" w:w="22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Honest comparison pages and category round-ups</w:t>
            </w:r>
          </w:p>
        </w:tc>
      </w:tr>
      <w:tr>
        <w:trPr>
          <w:cantSplit w:val="off"/>
        </w:trPr>
        <w:tc>
          <w:tcPr>
            <w:tcW w:type="dxa" w:w="5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C7</w:t>
            </w:r>
          </w:p>
        </w:tc>
        <w:tc>
          <w:tcPr>
            <w:tcW w:type="dxa" w:w="15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Regional-language learning</w:t>
            </w:r>
          </w:p>
        </w:tc>
        <w:tc>
          <w:tcPr>
            <w:tcW w:type="dxa" w:w="1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online coaching in hindi</w:t>
            </w:r>
          </w:p>
        </w:tc>
        <w:tc>
          <w:tcPr>
            <w:tcW w:type="dxa" w:w="9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Medium</w:t>
            </w:r>
          </w:p>
        </w:tc>
        <w:tc>
          <w:tcPr>
            <w:tcW w:type="dxa" w:w="126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Commercial</w:t>
            </w:r>
          </w:p>
        </w:tc>
        <w:tc>
          <w:tcPr>
            <w:tcW w:type="dxa" w:w="88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Mid</w:t>
            </w:r>
          </w:p>
        </w:tc>
        <w:tc>
          <w:tcPr>
            <w:tcW w:type="dxa" w:w="22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Language hubs: Hindi, Tamil, Kannada, Bengali, Marathi</w:t>
            </w:r>
          </w:p>
        </w:tc>
      </w:tr>
    </w:tbl>
    <w:p>
      <w:pPr>
        <w:spacing w:after="200" w:before="60"/>
      </w:pPr>
      <w:r>
        <w:rPr>
          <w:rFonts w:ascii="Calibri" w:cs="Calibri" w:eastAsia="Calibri" w:hAnsi="Calibri"/>
          <w:i/>
          <w:iCs/>
          <w:color w:val="5A6270"/>
          <w:sz w:val="16"/>
          <w:szCs w:val="16"/>
        </w:rPr>
        <w:t xml:space="preserve">Table 6. The seven target clusters.</w:t>
      </w:r>
    </w:p>
    <w:p>
      <w:pPr>
        <w:spacing w:after="90" w:before="240"/>
      </w:pPr>
      <w:r>
        <w:rPr>
          <w:rFonts w:ascii="Calibri" w:cs="Calibri" w:eastAsia="Calibri" w:hAnsi="Calibri"/>
          <w:b/>
          <w:bCs/>
          <w:color w:val="2E5FAC"/>
          <w:sz w:val="22"/>
          <w:szCs w:val="22"/>
        </w:rPr>
        <w:t xml:space="preserve">C1  Brand &amp; reputation defence</w:t>
      </w:r>
    </w:p>
    <w:p>
      <w:pPr>
        <w:spacing w:after="120" w:before="0" w:line="300"/>
      </w:pPr>
      <w:r>
        <w:rPr>
          <w:rFonts w:ascii="Calibri" w:cs="Calibri" w:eastAsia="Calibri" w:hAnsi="Calibri"/>
          <w:sz w:val="21"/>
          <w:szCs w:val="21"/>
        </w:rPr>
        <w:t xml:space="preserve">Keywords: byju's, byjus app download, byju's login, byju's customer care number, byju's refund status, is byju's shutting down, byju's news.</w:t>
      </w:r>
    </w:p>
    <w:p>
      <w:pPr>
        <w:spacing w:after="120" w:before="0" w:line="300"/>
      </w:pPr>
      <w:r>
        <w:rPr>
          <w:rFonts w:ascii="Calibri" w:cs="Calibri" w:eastAsia="Calibri" w:hAnsi="Calibri"/>
          <w:sz w:val="21"/>
          <w:szCs w:val="21"/>
        </w:rPr>
        <w:t xml:space="preserve">This cluster is not a growth play; it is damage control, and it must be treated as a support surface rather than a marketing one. The pillar is a single official trust hub linked from the homepage, carrying the company's current operating status, how existing students retain access, the refund process with expected timelines, and support contact routes. Every answer should be dated. A dated page that is visibly maintained earns trust that a polished page cannot, and it gives journalists and anxious parents one canonical place to land.</w:t>
      </w:r>
    </w:p>
    <w:p>
      <w:pPr>
        <w:pStyle w:val="ListParagraph"/>
        <w:numPr>
          <w:ilvl w:val="0"/>
          <w:numId w:val="2"/>
        </w:numPr>
        <w:spacing w:after="60" w:before="0" w:line="290"/>
      </w:pPr>
      <w:r>
        <w:rPr>
          <w:rFonts w:ascii="Calibri" w:cs="Calibri" w:eastAsia="Calibri" w:hAnsi="Calibri"/>
          <w:sz w:val="21"/>
          <w:szCs w:val="21"/>
        </w:rPr>
        <w:t xml:space="preserve">Do not attempt to outrank news coverage for 'byju's news'. It will not work and it is not the goal.</w:t>
      </w:r>
    </w:p>
    <w:p>
      <w:pPr>
        <w:pStyle w:val="ListParagraph"/>
        <w:numPr>
          <w:ilvl w:val="0"/>
          <w:numId w:val="2"/>
        </w:numPr>
        <w:spacing w:after="60" w:before="0" w:line="290"/>
      </w:pPr>
      <w:r>
        <w:rPr>
          <w:rFonts w:ascii="Calibri" w:cs="Calibri" w:eastAsia="Calibri" w:hAnsi="Calibri"/>
          <w:sz w:val="21"/>
          <w:szCs w:val="21"/>
        </w:rPr>
        <w:t xml:space="preserve">Do target the long tail of resolution queries, where a factual owned answer is the best possible result for the searcher.</w:t>
      </w:r>
    </w:p>
    <w:p>
      <w:pPr>
        <w:pStyle w:val="ListParagraph"/>
        <w:numPr>
          <w:ilvl w:val="0"/>
          <w:numId w:val="2"/>
        </w:numPr>
        <w:spacing w:after="60" w:before="0" w:line="290"/>
      </w:pPr>
      <w:r>
        <w:rPr>
          <w:rFonts w:ascii="Calibri" w:cs="Calibri" w:eastAsia="Calibri" w:hAnsi="Calibri"/>
          <w:sz w:val="21"/>
          <w:szCs w:val="21"/>
        </w:rPr>
        <w:t xml:space="preserve">Measure this cluster on resolution rate and sentiment, not on sessions.</w:t>
      </w:r>
    </w:p>
    <w:p>
      <w:pPr>
        <w:spacing w:after="90" w:before="240"/>
      </w:pPr>
      <w:r>
        <w:rPr>
          <w:rFonts w:ascii="Calibri" w:cs="Calibri" w:eastAsia="Calibri" w:hAnsi="Calibri"/>
          <w:b/>
          <w:bCs/>
          <w:color w:val="2E5FAC"/>
          <w:sz w:val="22"/>
          <w:szCs w:val="22"/>
        </w:rPr>
        <w:t xml:space="preserve">C2  School curriculum support (Class 6-12)  —  the core bet</w:t>
      </w:r>
    </w:p>
    <w:p>
      <w:pPr>
        <w:spacing w:after="120" w:before="0" w:line="300"/>
      </w:pPr>
      <w:r>
        <w:rPr>
          <w:rFonts w:ascii="Calibri" w:cs="Calibri" w:eastAsia="Calibri" w:hAnsi="Calibri"/>
          <w:sz w:val="21"/>
          <w:szCs w:val="21"/>
        </w:rPr>
        <w:t xml:space="preserve">Keywords: ncert solutions class 10 maths, ncert solutions class 9 science, ncert solutions class 12 physics, class 10 maths important questions, class 8 science notes, cbse sample paper class 12 2027, cbse class 10 syllabus 2026-27, chapter wise mcq.</w:t>
      </w:r>
    </w:p>
    <w:p>
      <w:pPr>
        <w:spacing w:after="120" w:before="0" w:line="300"/>
      </w:pPr>
      <w:r>
        <w:rPr>
          <w:rFonts w:ascii="Calibri" w:cs="Calibri" w:eastAsia="Calibri" w:hAnsi="Calibri"/>
          <w:sz w:val="21"/>
          <w:szCs w:val="21"/>
        </w:rPr>
        <w:t xml:space="preserve">This is the largest durable demand pool in Indian EdTech and the one where BYJU'S has the strongest underlying asset, a decade of produced teaching content. The pillar is a Class 6-12 hub; the supporting layer is one page per chapter, and each chapter page carries four things: a plain-language explanation of the concept, three to five fully worked examples, a ten-question quiz with answers, and links to the two most closely related doubt pages.</w:t>
      </w:r>
    </w:p>
    <w:p>
      <w:pPr>
        <w:pStyle w:val="ListParagraph"/>
        <w:numPr>
          <w:ilvl w:val="0"/>
          <w:numId w:val="2"/>
        </w:numPr>
        <w:spacing w:after="60" w:before="0" w:line="290"/>
      </w:pPr>
      <w:r>
        <w:rPr>
          <w:rFonts w:ascii="Calibri" w:cs="Calibri" w:eastAsia="Calibri" w:hAnsi="Calibri"/>
          <w:sz w:val="21"/>
          <w:szCs w:val="21"/>
        </w:rPr>
        <w:t xml:space="preserve">Start with Class 9-12 Maths, Science, Physics, Chemistry and Biology, which carry the highest search volume and the clearest exam linkage.</w:t>
      </w:r>
    </w:p>
    <w:p>
      <w:pPr>
        <w:pStyle w:val="ListParagraph"/>
        <w:numPr>
          <w:ilvl w:val="0"/>
          <w:numId w:val="2"/>
        </w:numPr>
        <w:spacing w:after="60" w:before="0" w:line="290"/>
      </w:pPr>
      <w:r>
        <w:rPr>
          <w:rFonts w:ascii="Calibri" w:cs="Calibri" w:eastAsia="Calibri" w:hAnsi="Calibri"/>
          <w:sz w:val="21"/>
          <w:szCs w:val="21"/>
        </w:rPr>
        <w:t xml:space="preserve">Publish in subject batches, not one page at a time. Topical authority accrues to a coherent body of pages, not to scattered ones.</w:t>
      </w:r>
    </w:p>
    <w:p>
      <w:pPr>
        <w:pStyle w:val="ListParagraph"/>
        <w:numPr>
          <w:ilvl w:val="0"/>
          <w:numId w:val="2"/>
        </w:numPr>
        <w:spacing w:after="60" w:before="0" w:line="290"/>
      </w:pPr>
      <w:r>
        <w:rPr>
          <w:rFonts w:ascii="Calibri" w:cs="Calibri" w:eastAsia="Calibri" w:hAnsi="Calibri"/>
          <w:sz w:val="21"/>
          <w:szCs w:val="21"/>
        </w:rPr>
        <w:t xml:space="preserve">Add FAQ schema and a visible 'last updated' date; both materially improve click-through on education SERPs.</w:t>
      </w:r>
    </w:p>
    <w:p>
      <w:pPr>
        <w:spacing w:after="90" w:before="240"/>
      </w:pPr>
      <w:r>
        <w:rPr>
          <w:rFonts w:ascii="Calibri" w:cs="Calibri" w:eastAsia="Calibri" w:hAnsi="Calibri"/>
          <w:b/>
          <w:bCs/>
          <w:color w:val="2E5FAC"/>
          <w:sz w:val="22"/>
          <w:szCs w:val="22"/>
        </w:rPr>
        <w:t xml:space="preserve">C3  Competitive exam preparation (JEE / NEET / CUET)</w:t>
      </w:r>
    </w:p>
    <w:p>
      <w:pPr>
        <w:spacing w:after="120" w:before="0" w:line="300"/>
      </w:pPr>
      <w:r>
        <w:rPr>
          <w:rFonts w:ascii="Calibri" w:cs="Calibri" w:eastAsia="Calibri" w:hAnsi="Calibri"/>
          <w:sz w:val="21"/>
          <w:szCs w:val="21"/>
        </w:rPr>
        <w:t xml:space="preserve">Keywords: jee main 2027 syllabus, neet 2027 syllabus, jee mains previous year question paper, neet mock test free, jee main rank predictor, cuet ug preparation, neet biology mcq, best online coaching for jee.</w:t>
      </w:r>
    </w:p>
    <w:p>
      <w:pPr>
        <w:spacing w:after="120" w:before="0" w:line="300"/>
      </w:pPr>
      <w:r>
        <w:rPr>
          <w:rFonts w:ascii="Calibri" w:cs="Calibri" w:eastAsia="Calibri" w:hAnsi="Calibri"/>
          <w:sz w:val="21"/>
          <w:szCs w:val="21"/>
        </w:rPr>
        <w:t xml:space="preserve">Exam intent is the most commercially valuable demand in the category and the most contested. The play is not to out-spend Physics Wallah on course pages but to own the information layer around each exam: syllabus, exam pattern, marking scheme, previous-year papers with solutions, a study plan, and a free tool. Four exam hubs (JEE Main, NEET, CUET, CBSE Boards) replace the current scattered pages.</w:t>
      </w:r>
    </w:p>
    <w:p>
      <w:pPr>
        <w:pStyle w:val="ListParagraph"/>
        <w:numPr>
          <w:ilvl w:val="0"/>
          <w:numId w:val="2"/>
        </w:numPr>
        <w:spacing w:after="60" w:before="0" w:line="290"/>
      </w:pPr>
      <w:r>
        <w:rPr>
          <w:rFonts w:ascii="Calibri" w:cs="Calibri" w:eastAsia="Calibri" w:hAnsi="Calibri"/>
          <w:sz w:val="21"/>
          <w:szCs w:val="21"/>
        </w:rPr>
        <w:t xml:space="preserve">Refresh each hub within 48 hours of an official notification. Speed on exam news is the single largest ranking and citation driver in this cluster.</w:t>
      </w:r>
    </w:p>
    <w:p>
      <w:pPr>
        <w:pStyle w:val="ListParagraph"/>
        <w:numPr>
          <w:ilvl w:val="0"/>
          <w:numId w:val="2"/>
        </w:numPr>
        <w:spacing w:after="60" w:before="0" w:line="290"/>
      </w:pPr>
      <w:r>
        <w:rPr>
          <w:rFonts w:ascii="Calibri" w:cs="Calibri" w:eastAsia="Calibri" w:hAnsi="Calibri"/>
          <w:sz w:val="21"/>
          <w:szCs w:val="21"/>
        </w:rPr>
        <w:t xml:space="preserve">Every hub should offer one downloadable asset, such as a 90-day study plan, in exchange for an optional email. Optional is the operative word.</w:t>
      </w:r>
    </w:p>
    <w:p>
      <w:pPr>
        <w:pStyle w:val="ListParagraph"/>
        <w:numPr>
          <w:ilvl w:val="0"/>
          <w:numId w:val="2"/>
        </w:numPr>
        <w:spacing w:after="60" w:before="0" w:line="290"/>
      </w:pPr>
      <w:r>
        <w:rPr>
          <w:rFonts w:ascii="Calibri" w:cs="Calibri" w:eastAsia="Calibri" w:hAnsi="Calibri"/>
          <w:sz w:val="21"/>
          <w:szCs w:val="21"/>
        </w:rPr>
        <w:t xml:space="preserve">Link every hub to the relevant C2 chapter pages. That internal linking is what converts informational authority into mid-funnel traffic.</w:t>
      </w:r>
    </w:p>
    <w:p>
      <w:pPr>
        <w:spacing w:after="90" w:before="240"/>
      </w:pPr>
      <w:r>
        <w:rPr>
          <w:rFonts w:ascii="Calibri" w:cs="Calibri" w:eastAsia="Calibri" w:hAnsi="Calibri"/>
          <w:b/>
          <w:bCs/>
          <w:color w:val="2E5FAC"/>
          <w:sz w:val="22"/>
          <w:szCs w:val="22"/>
        </w:rPr>
        <w:t xml:space="preserve">C4  Free &amp; low-cost learning</w:t>
      </w:r>
    </w:p>
    <w:p>
      <w:pPr>
        <w:spacing w:after="120" w:before="0" w:line="300"/>
      </w:pPr>
      <w:r>
        <w:rPr>
          <w:rFonts w:ascii="Calibri" w:cs="Calibri" w:eastAsia="Calibri" w:hAnsi="Calibri"/>
          <w:sz w:val="21"/>
          <w:szCs w:val="21"/>
        </w:rPr>
        <w:t xml:space="preserve">Keywords: free online classes for class 10, free mock test, free study material for jee, learning app for kids, abcd learning app, cheapest online coaching for neet.</w:t>
      </w:r>
    </w:p>
    <w:p>
      <w:pPr>
        <w:spacing w:after="120" w:before="0" w:line="300"/>
      </w:pPr>
      <w:r>
        <w:rPr>
          <w:rFonts w:ascii="Calibri" w:cs="Calibri" w:eastAsia="Calibri" w:hAnsi="Calibri"/>
          <w:sz w:val="21"/>
          <w:szCs w:val="21"/>
        </w:rPr>
        <w:t xml:space="preserve">Price sensitivity has hardened across the category and free is now a genuine acquisition channel rather than a promotion. The pillar is a free resource library, fronted by two free tools that are useful without a sign-up. This cluster also carries the early-learning demand, which no exam-prep competitor is contesting and which BYJU'S Early Learn can serve with existing product.</w:t>
      </w:r>
    </w:p>
    <w:p>
      <w:pPr>
        <w:pStyle w:val="ListParagraph"/>
        <w:numPr>
          <w:ilvl w:val="0"/>
          <w:numId w:val="2"/>
        </w:numPr>
        <w:spacing w:after="60" w:before="0" w:line="290"/>
      </w:pPr>
      <w:r>
        <w:rPr>
          <w:rFonts w:ascii="Calibri" w:cs="Calibri" w:eastAsia="Calibri" w:hAnsi="Calibri"/>
          <w:sz w:val="21"/>
          <w:szCs w:val="21"/>
        </w:rPr>
        <w:t xml:space="preserve">Keep the first value moment inside the page. A free mock test that requires an account before the first question is not a free mock test.</w:t>
      </w:r>
    </w:p>
    <w:p>
      <w:pPr>
        <w:pStyle w:val="ListParagraph"/>
        <w:numPr>
          <w:ilvl w:val="0"/>
          <w:numId w:val="2"/>
        </w:numPr>
        <w:spacing w:after="60" w:before="0" w:line="290"/>
      </w:pPr>
      <w:r>
        <w:rPr>
          <w:rFonts w:ascii="Calibri" w:cs="Calibri" w:eastAsia="Calibri" w:hAnsi="Calibri"/>
          <w:sz w:val="21"/>
          <w:szCs w:val="21"/>
        </w:rPr>
        <w:t xml:space="preserve">Use these pages as link magnets: education bloggers, teachers and school sites link to tools, not to course pages.</w:t>
      </w:r>
    </w:p>
    <w:p>
      <w:pPr>
        <w:spacing w:after="90" w:before="240"/>
      </w:pPr>
      <w:r>
        <w:rPr>
          <w:rFonts w:ascii="Calibri" w:cs="Calibri" w:eastAsia="Calibri" w:hAnsi="Calibri"/>
          <w:b/>
          <w:bCs/>
          <w:color w:val="2E5FAC"/>
          <w:sz w:val="22"/>
          <w:szCs w:val="22"/>
        </w:rPr>
        <w:t xml:space="preserve">C5  Doubt solving &amp; homework help</w:t>
      </w:r>
    </w:p>
    <w:p>
      <w:pPr>
        <w:spacing w:after="120" w:before="0" w:line="300"/>
      </w:pPr>
      <w:r>
        <w:rPr>
          <w:rFonts w:ascii="Calibri" w:cs="Calibri" w:eastAsia="Calibri" w:hAnsi="Calibri"/>
          <w:sz w:val="21"/>
          <w:szCs w:val="21"/>
        </w:rPr>
        <w:t xml:space="preserve">Keywords: doubt solving app, homework help online, maths doubt solver, physics doubt solver, ask a doubt online free, instant doubt solving app.</w:t>
      </w:r>
    </w:p>
    <w:p>
      <w:pPr>
        <w:spacing w:after="120" w:before="0" w:line="300"/>
      </w:pPr>
      <w:r>
        <w:rPr>
          <w:rFonts w:ascii="Calibri" w:cs="Calibri" w:eastAsia="Calibri" w:hAnsi="Calibri"/>
          <w:sz w:val="21"/>
          <w:szCs w:val="21"/>
        </w:rPr>
        <w:t xml:space="preserve">This is the fastest cluster to launch because the content already exists in the doubt database; the work is making it indexable and linking it to the curriculum estate. Two layers: a product page for the doubt app, and a long tail of solved-question pages generated from real queries, each tagged to a chapter and linked from the corresponding C2 page.</w:t>
      </w:r>
    </w:p>
    <w:p>
      <w:pPr>
        <w:pStyle w:val="ListParagraph"/>
        <w:numPr>
          <w:ilvl w:val="0"/>
          <w:numId w:val="2"/>
        </w:numPr>
        <w:spacing w:after="60" w:before="0" w:line="290"/>
      </w:pPr>
      <w:r>
        <w:rPr>
          <w:rFonts w:ascii="Calibri" w:cs="Calibri" w:eastAsia="Calibri" w:hAnsi="Calibri"/>
          <w:sz w:val="21"/>
          <w:szCs w:val="21"/>
        </w:rPr>
        <w:t xml:space="preserve">Answer first, product second. The solved question must be fully visible on the page, with the app offered as the way to get the next one instantly.</w:t>
      </w:r>
    </w:p>
    <w:p>
      <w:pPr>
        <w:pStyle w:val="ListParagraph"/>
        <w:numPr>
          <w:ilvl w:val="0"/>
          <w:numId w:val="2"/>
        </w:numPr>
        <w:spacing w:after="60" w:before="0" w:line="290"/>
      </w:pPr>
      <w:r>
        <w:rPr>
          <w:rFonts w:ascii="Calibri" w:cs="Calibri" w:eastAsia="Calibri" w:hAnsi="Calibri"/>
          <w:sz w:val="21"/>
          <w:szCs w:val="21"/>
        </w:rPr>
        <w:t xml:space="preserve">Index the top 200 questions first, chosen by search volume rather than by recency.</w:t>
      </w:r>
    </w:p>
    <w:p>
      <w:pPr>
        <w:spacing w:after="90" w:before="240"/>
      </w:pPr>
      <w:r>
        <w:rPr>
          <w:rFonts w:ascii="Calibri" w:cs="Calibri" w:eastAsia="Calibri" w:hAnsi="Calibri"/>
          <w:b/>
          <w:bCs/>
          <w:color w:val="2E5FAC"/>
          <w:sz w:val="22"/>
          <w:szCs w:val="22"/>
        </w:rPr>
        <w:t xml:space="preserve">C6  Comparison &amp; alternatives</w:t>
      </w:r>
    </w:p>
    <w:p>
      <w:pPr>
        <w:spacing w:after="120" w:before="0" w:line="300"/>
      </w:pPr>
      <w:r>
        <w:rPr>
          <w:rFonts w:ascii="Calibri" w:cs="Calibri" w:eastAsia="Calibri" w:hAnsi="Calibri"/>
          <w:sz w:val="21"/>
          <w:szCs w:val="21"/>
        </w:rPr>
        <w:t xml:space="preserve">Keywords: byjus vs physics wallah, unacademy vs byjus, best edtech app in india, best app for cbse class 10, byju's alternative.</w:t>
      </w:r>
    </w:p>
    <w:p>
      <w:pPr>
        <w:spacing w:after="120" w:before="0" w:line="300"/>
      </w:pPr>
      <w:r>
        <w:rPr>
          <w:rFonts w:ascii="Calibri" w:cs="Calibri" w:eastAsia="Calibri" w:hAnsi="Calibri"/>
          <w:sz w:val="21"/>
          <w:szCs w:val="21"/>
        </w:rPr>
        <w:t xml:space="preserve">Decision-stage traffic currently leaks to third-party review sites and YouTube creators, which means the brand's positioning is being written by others. Publishing fair, criteria-based comparisons brings that decision back in-house and is far cheaper than losing it. The pages must be genuinely balanced, including where a competitor is stronger; a one-sided comparison is both unconvincing and a regulatory risk.</w:t>
      </w:r>
    </w:p>
    <w:p>
      <w:pPr>
        <w:pStyle w:val="ListParagraph"/>
        <w:numPr>
          <w:ilvl w:val="0"/>
          <w:numId w:val="2"/>
        </w:numPr>
        <w:spacing w:after="60" w:before="0" w:line="290"/>
      </w:pPr>
      <w:r>
        <w:rPr>
          <w:rFonts w:ascii="Calibri" w:cs="Calibri" w:eastAsia="Calibri" w:hAnsi="Calibri"/>
          <w:sz w:val="21"/>
          <w:szCs w:val="21"/>
        </w:rPr>
        <w:t xml:space="preserve">Use an explicit comparison framework: price, content depth, live teaching, doubt support, language, device experience.</w:t>
      </w:r>
    </w:p>
    <w:p>
      <w:pPr>
        <w:pStyle w:val="ListParagraph"/>
        <w:numPr>
          <w:ilvl w:val="0"/>
          <w:numId w:val="2"/>
        </w:numPr>
        <w:spacing w:after="60" w:before="0" w:line="290"/>
      </w:pPr>
      <w:r>
        <w:rPr>
          <w:rFonts w:ascii="Calibri" w:cs="Calibri" w:eastAsia="Calibri" w:hAnsi="Calibri"/>
          <w:sz w:val="21"/>
          <w:szCs w:val="21"/>
        </w:rPr>
        <w:t xml:space="preserve">Include a short 'who this is not for' paragraph on every page. It is the single strongest trust signal on comparison content.</w:t>
      </w:r>
    </w:p>
    <w:p>
      <w:pPr>
        <w:spacing w:after="90" w:before="240"/>
      </w:pPr>
      <w:r>
        <w:rPr>
          <w:rFonts w:ascii="Calibri" w:cs="Calibri" w:eastAsia="Calibri" w:hAnsi="Calibri"/>
          <w:b/>
          <w:bCs/>
          <w:color w:val="2E5FAC"/>
          <w:sz w:val="22"/>
          <w:szCs w:val="22"/>
        </w:rPr>
        <w:t xml:space="preserve">C7  Regional-language learning</w:t>
      </w:r>
    </w:p>
    <w:p>
      <w:pPr>
        <w:spacing w:after="120" w:before="0" w:line="300"/>
      </w:pPr>
      <w:r>
        <w:rPr>
          <w:rFonts w:ascii="Calibri" w:cs="Calibri" w:eastAsia="Calibri" w:hAnsi="Calibri"/>
          <w:sz w:val="21"/>
          <w:szCs w:val="21"/>
        </w:rPr>
        <w:t xml:space="preserve">Keywords: online coaching in hindi, neet coaching in tamil, class 10 maths in kannada, bengali medium online classes, marathi medium study material.</w:t>
      </w:r>
    </w:p>
    <w:p>
      <w:pPr>
        <w:spacing w:after="120" w:before="0" w:line="300"/>
      </w:pPr>
      <w:r>
        <w:rPr>
          <w:rFonts w:ascii="Calibri" w:cs="Calibri" w:eastAsia="Calibri" w:hAnsi="Calibri"/>
          <w:sz w:val="21"/>
          <w:szCs w:val="21"/>
        </w:rPr>
        <w:t xml:space="preserve">Regional demand is growing faster than English in tier-2 and tier-3 markets, and outside Physics Wallah the SERPs remain thin. Launch one language hub at a time, beginning with Hindi, using existing video assets re-cut with regional-language titles, descriptions and transcripts. A hub needs a real body of content before it can rank, so sequence rather than parallelise.</w:t>
      </w:r>
    </w:p>
    <w:p>
      <w:pPr>
        <w:pStyle w:val="ListParagraph"/>
        <w:numPr>
          <w:ilvl w:val="0"/>
          <w:numId w:val="2"/>
        </w:numPr>
        <w:spacing w:after="60" w:before="0" w:line="290"/>
      </w:pPr>
      <w:r>
        <w:rPr>
          <w:rFonts w:ascii="Calibri" w:cs="Calibri" w:eastAsia="Calibri" w:hAnsi="Calibri"/>
          <w:sz w:val="21"/>
          <w:szCs w:val="21"/>
        </w:rPr>
        <w:t xml:space="preserve">Translate the page experience, not just the transcript. Metadata, headings, FAQs and schema all need to be in-language.</w:t>
      </w:r>
    </w:p>
    <w:p>
      <w:pPr>
        <w:pStyle w:val="ListParagraph"/>
        <w:numPr>
          <w:ilvl w:val="0"/>
          <w:numId w:val="2"/>
        </w:numPr>
        <w:spacing w:after="60" w:before="0" w:line="290"/>
      </w:pPr>
      <w:r>
        <w:rPr>
          <w:rFonts w:ascii="Calibri" w:cs="Calibri" w:eastAsia="Calibri" w:hAnsi="Calibri"/>
          <w:sz w:val="21"/>
          <w:szCs w:val="21"/>
        </w:rPr>
        <w:t xml:space="preserve">Measure this cluster on installs and first-week retention, not on sessions; its value is activation, not volume.</w:t>
      </w:r>
    </w:p>
    <w:p>
      <w:pPr>
        <w:pBdr>
          <w:bottom w:val="single" w:color="C9D3E4" w:sz="8" w:space="4"/>
        </w:pBdr>
        <w:spacing w:after="140" w:before="320"/>
      </w:pPr>
      <w:r>
        <w:rPr>
          <w:rFonts w:ascii="Calibri" w:cs="Calibri" w:eastAsia="Calibri" w:hAnsi="Calibri"/>
          <w:b/>
          <w:bCs/>
          <w:color w:val="2E5FAC"/>
          <w:sz w:val="26"/>
          <w:szCs w:val="26"/>
        </w:rPr>
        <w:t xml:space="preserve">8.  </w:t>
      </w:r>
      <w:r>
        <w:rPr>
          <w:rFonts w:ascii="Calibri" w:cs="Calibri" w:eastAsia="Calibri" w:hAnsi="Calibri"/>
          <w:b/>
          <w:bCs/>
          <w:color w:val="1F3864"/>
          <w:sz w:val="26"/>
          <w:szCs w:val="26"/>
        </w:rPr>
        <w:t xml:space="preserve">Prioritisation</w:t>
      </w:r>
    </w:p>
    <w:p>
      <w:pPr>
        <w:spacing w:after="120" w:before="0" w:line="300"/>
      </w:pPr>
      <w:r>
        <w:rPr>
          <w:rFonts w:ascii="Calibri" w:cs="Calibri" w:eastAsia="Calibri" w:hAnsi="Calibri"/>
          <w:sz w:val="21"/>
          <w:szCs w:val="21"/>
        </w:rPr>
        <w:t xml:space="preserve">Clusters were scored 1-5 on five factors and summed to 25. Volume potential and commercial intent favour the big revenue clusters; attainability, brand fit and speed to launch favour the ones BYJU'S can execute fastest given current constraints. The weighting is deliberately flat, because the constraint in this situation is execution capacity rather than ambition.</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1900"/>
        <w:gridCol w:w="1120"/>
        <w:gridCol w:w="1200"/>
        <w:gridCol w:w="1150"/>
        <w:gridCol w:w="900"/>
        <w:gridCol w:w="1100"/>
        <w:gridCol w:w="826"/>
        <w:gridCol w:w="830"/>
      </w:tblGrid>
      <w:tr>
        <w:trPr>
          <w:tblHeader/>
        </w:trPr>
        <w:tc>
          <w:tcPr>
            <w:tcW w:type="dxa" w:w="19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Cluster</w:t>
            </w:r>
          </w:p>
        </w:tc>
        <w:tc>
          <w:tcPr>
            <w:tcW w:type="dxa" w:w="112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Volume potential</w:t>
            </w:r>
          </w:p>
        </w:tc>
        <w:tc>
          <w:tcPr>
            <w:tcW w:type="dxa" w:w="12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Commercial intent</w:t>
            </w:r>
          </w:p>
        </w:tc>
        <w:tc>
          <w:tcPr>
            <w:tcW w:type="dxa" w:w="115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Attainability</w:t>
            </w:r>
          </w:p>
        </w:tc>
        <w:tc>
          <w:tcPr>
            <w:tcW w:type="dxa" w:w="9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Brand fit</w:t>
            </w:r>
          </w:p>
        </w:tc>
        <w:tc>
          <w:tcPr>
            <w:tcW w:type="dxa" w:w="11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Speed to launch</w:t>
            </w:r>
          </w:p>
        </w:tc>
        <w:tc>
          <w:tcPr>
            <w:tcW w:type="dxa" w:w="82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Total / 25</w:t>
            </w:r>
          </w:p>
        </w:tc>
        <w:tc>
          <w:tcPr>
            <w:tcW w:type="dxa" w:w="83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Priority</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C2 School curriculum</w:t>
            </w:r>
          </w:p>
        </w:tc>
        <w:tc>
          <w:tcPr>
            <w:tcW w:type="dxa" w:w="112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c>
          <w:tcPr>
            <w:tcW w:type="dxa" w:w="1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115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c>
          <w:tcPr>
            <w:tcW w:type="dxa" w:w="1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8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20</w:t>
            </w:r>
          </w:p>
        </w:tc>
        <w:tc>
          <w:tcPr>
            <w:tcW w:type="dxa" w:w="83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1</w:t>
            </w:r>
          </w:p>
        </w:tc>
      </w:tr>
      <w:tr>
        <w:trPr>
          <w:cantSplit w:val="off"/>
        </w:trPr>
        <w:tc>
          <w:tcPr>
            <w:tcW w:type="dxa" w:w="1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C3 Exam prep</w:t>
            </w:r>
          </w:p>
        </w:tc>
        <w:tc>
          <w:tcPr>
            <w:tcW w:type="dxa" w:w="112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c>
          <w:tcPr>
            <w:tcW w:type="dxa" w:w="1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c>
          <w:tcPr>
            <w:tcW w:type="dxa" w:w="11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2</w:t>
            </w:r>
          </w:p>
        </w:tc>
        <w:tc>
          <w:tcPr>
            <w:tcW w:type="dxa" w:w="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c>
          <w:tcPr>
            <w:tcW w:type="dxa" w:w="1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8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20</w:t>
            </w:r>
          </w:p>
        </w:tc>
        <w:tc>
          <w:tcPr>
            <w:tcW w:type="dxa" w:w="83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2</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C5 Doubt solving</w:t>
            </w:r>
          </w:p>
        </w:tc>
        <w:tc>
          <w:tcPr>
            <w:tcW w:type="dxa" w:w="112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1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115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c>
          <w:tcPr>
            <w:tcW w:type="dxa" w:w="1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8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20</w:t>
            </w:r>
          </w:p>
        </w:tc>
        <w:tc>
          <w:tcPr>
            <w:tcW w:type="dxa" w:w="83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r>
      <w:tr>
        <w:trPr>
          <w:cantSplit w:val="off"/>
        </w:trPr>
        <w:tc>
          <w:tcPr>
            <w:tcW w:type="dxa" w:w="1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C6 Comparison</w:t>
            </w:r>
          </w:p>
        </w:tc>
        <w:tc>
          <w:tcPr>
            <w:tcW w:type="dxa" w:w="112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1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c>
          <w:tcPr>
            <w:tcW w:type="dxa" w:w="11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1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8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19</w:t>
            </w:r>
          </w:p>
        </w:tc>
        <w:tc>
          <w:tcPr>
            <w:tcW w:type="dxa" w:w="83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C1 Brand defence</w:t>
            </w:r>
          </w:p>
        </w:tc>
        <w:tc>
          <w:tcPr>
            <w:tcW w:type="dxa" w:w="112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1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115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1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c>
          <w:tcPr>
            <w:tcW w:type="dxa" w:w="8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18</w:t>
            </w:r>
          </w:p>
        </w:tc>
        <w:tc>
          <w:tcPr>
            <w:tcW w:type="dxa" w:w="83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5</w:t>
            </w:r>
          </w:p>
        </w:tc>
      </w:tr>
      <w:tr>
        <w:trPr>
          <w:cantSplit w:val="off"/>
        </w:trPr>
        <w:tc>
          <w:tcPr>
            <w:tcW w:type="dxa" w:w="1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C4 Free &amp; low-cost</w:t>
            </w:r>
          </w:p>
        </w:tc>
        <w:tc>
          <w:tcPr>
            <w:tcW w:type="dxa" w:w="112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1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2</w:t>
            </w:r>
          </w:p>
        </w:tc>
        <w:tc>
          <w:tcPr>
            <w:tcW w:type="dxa" w:w="11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11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8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17</w:t>
            </w:r>
          </w:p>
        </w:tc>
        <w:tc>
          <w:tcPr>
            <w:tcW w:type="dxa" w:w="83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6</w:t>
            </w:r>
          </w:p>
        </w:tc>
      </w:tr>
      <w:tr>
        <w:trPr>
          <w:cantSplit w:val="off"/>
        </w:trPr>
        <w:tc>
          <w:tcPr>
            <w:tcW w:type="dxa" w:w="1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C7 Regional language</w:t>
            </w:r>
          </w:p>
        </w:tc>
        <w:tc>
          <w:tcPr>
            <w:tcW w:type="dxa" w:w="112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12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115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9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4</w:t>
            </w:r>
          </w:p>
        </w:tc>
        <w:tc>
          <w:tcPr>
            <w:tcW w:type="dxa" w:w="110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3</w:t>
            </w:r>
          </w:p>
        </w:tc>
        <w:tc>
          <w:tcPr>
            <w:tcW w:type="dxa" w:w="826"/>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17</w:t>
            </w:r>
          </w:p>
        </w:tc>
        <w:tc>
          <w:tcPr>
            <w:tcW w:type="dxa" w:w="830"/>
            <w:tcMar>
              <w:top w:type="dxa" w:w="70"/>
              <w:left w:type="dxa" w:w="100"/>
              <w:bottom w:type="dxa" w:w="70"/>
              <w:right w:type="dxa" w:w="100"/>
            </w:tcMar>
          </w:tcPr>
          <w:p>
            <w:pPr>
              <w:spacing w:after="0" w:before="0" w:line="260"/>
            </w:pPr>
            <w:r>
              <w:rPr>
                <w:rFonts w:ascii="Calibri" w:cs="Calibri" w:eastAsia="Calibri" w:hAnsi="Calibri"/>
                <w:color w:val="22262E"/>
                <w:sz w:val="16"/>
                <w:szCs w:val="16"/>
              </w:rPr>
              <w:t xml:space="preserve">7</w:t>
            </w:r>
          </w:p>
        </w:tc>
      </w:tr>
    </w:tbl>
    <w:p>
      <w:pPr>
        <w:spacing w:after="200" w:before="60"/>
      </w:pPr>
      <w:r>
        <w:rPr>
          <w:rFonts w:ascii="Calibri" w:cs="Calibri" w:eastAsia="Calibri" w:hAnsi="Calibri"/>
          <w:i/>
          <w:iCs/>
          <w:color w:val="5A6270"/>
          <w:sz w:val="16"/>
          <w:szCs w:val="16"/>
        </w:rPr>
        <w:t xml:space="preserve">Table 7. Cluster prioritisation. Attainability and speed are inverse-scored: 5 means easiest and fastest.</w:t>
      </w:r>
    </w:p>
    <w:p>
      <w:pPr>
        <w:spacing w:after="120" w:before="0" w:line="300"/>
      </w:pPr>
      <w:r>
        <w:rPr>
          <w:rFonts w:ascii="Calibri" w:cs="Calibri" w:eastAsia="Calibri" w:hAnsi="Calibri"/>
          <w:sz w:val="21"/>
          <w:szCs w:val="21"/>
        </w:rPr>
        <w:t xml:space="preserve">The result puts school curriculum and exam prep joint first, with doubt solving level on score but ahead on speed. In practice the sequence is: ship doubt solving and the trust hub first because they take weeks, run the curriculum build in parallel because it takes a quarter, and hold regional language until the Hindi content base justifies a hub.</w:t>
      </w:r>
    </w:p>
    <w:p>
      <w:pPr>
        <w:pBdr>
          <w:bottom w:val="single" w:color="C9D3E4" w:sz="8" w:space="4"/>
        </w:pBdr>
        <w:spacing w:after="140" w:before="320"/>
      </w:pPr>
      <w:r>
        <w:rPr>
          <w:rFonts w:ascii="Calibri" w:cs="Calibri" w:eastAsia="Calibri" w:hAnsi="Calibri"/>
          <w:b/>
          <w:bCs/>
          <w:color w:val="2E5FAC"/>
          <w:sz w:val="26"/>
          <w:szCs w:val="26"/>
        </w:rPr>
        <w:t xml:space="preserve">9.  </w:t>
      </w:r>
      <w:r>
        <w:rPr>
          <w:rFonts w:ascii="Calibri" w:cs="Calibri" w:eastAsia="Calibri" w:hAnsi="Calibri"/>
          <w:b/>
          <w:bCs/>
          <w:color w:val="1F3864"/>
          <w:sz w:val="26"/>
          <w:szCs w:val="26"/>
        </w:rPr>
        <w:t xml:space="preserve">SERP and content gap analysis</w:t>
      </w:r>
    </w:p>
    <w:p>
      <w:pPr>
        <w:spacing w:after="120" w:before="0" w:line="300"/>
      </w:pPr>
      <w:r>
        <w:rPr>
          <w:rFonts w:ascii="Calibri" w:cs="Calibri" w:eastAsia="Calibri" w:hAnsi="Calibri"/>
          <w:sz w:val="21"/>
          <w:szCs w:val="21"/>
        </w:rPr>
        <w:t xml:space="preserve">Six territories are currently owned by competitors and are winnable. Each is listed with the players holding it, representative queries, and the specific asset that closes the gap.</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2000"/>
        <w:gridCol w:w="1700"/>
        <w:gridCol w:w="2900"/>
        <w:gridCol w:w="2426"/>
      </w:tblGrid>
      <w:tr>
        <w:trPr>
          <w:tblHeader/>
        </w:trPr>
        <w:tc>
          <w:tcPr>
            <w:tcW w:type="dxa" w:w="20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Query territory</w:t>
            </w:r>
          </w:p>
        </w:tc>
        <w:tc>
          <w:tcPr>
            <w:tcW w:type="dxa" w:w="17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Who owns it today</w:t>
            </w:r>
          </w:p>
        </w:tc>
        <w:tc>
          <w:tcPr>
            <w:tcW w:type="dxa" w:w="29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Representative queries</w:t>
            </w:r>
          </w:p>
        </w:tc>
        <w:tc>
          <w:tcPr>
            <w:tcW w:type="dxa" w:w="242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Action for BYJU'S</w:t>
            </w:r>
          </w:p>
        </w:tc>
      </w:tr>
      <w:tr>
        <w:trPr>
          <w:cantSplit w:val="off"/>
        </w:trPr>
        <w:tc>
          <w:tcPr>
            <w:tcW w:type="dxa" w:w="20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NCERT &amp; chapter-level study content</w:t>
            </w:r>
          </w:p>
        </w:tc>
        <w:tc>
          <w:tcPr>
            <w:tcW w:type="dxa" w:w="17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Vedantu, Extramarks, Khan Academy</w:t>
            </w:r>
          </w:p>
        </w:tc>
        <w:tc>
          <w:tcPr>
            <w:tcW w:type="dxa" w:w="29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ncert solutions class 10 maths; class 8 science notes; chapter wise mcq</w:t>
            </w:r>
          </w:p>
        </w:tc>
        <w:tc>
          <w:tcPr>
            <w:tcW w:type="dxa" w:w="24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Build a Class 6-12 hub with one page per chapter, each carrying notes, 10 solved questions and a 10-question quiz.</w:t>
            </w:r>
          </w:p>
        </w:tc>
      </w:tr>
      <w:tr>
        <w:trPr>
          <w:cantSplit w:val="off"/>
        </w:trPr>
        <w:tc>
          <w:tcPr>
            <w:tcW w:type="dxa" w:w="20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Exam information (syllabus, dates, pattern)</w:t>
            </w:r>
          </w:p>
        </w:tc>
        <w:tc>
          <w:tcPr>
            <w:tcW w:type="dxa" w:w="17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Unacademy, Physics Wallah</w:t>
            </w:r>
          </w:p>
        </w:tc>
        <w:tc>
          <w:tcPr>
            <w:tcW w:type="dxa" w:w="2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jee main 2027 syllabus; neet exam date; cuet ug pattern</w:t>
            </w:r>
          </w:p>
        </w:tc>
        <w:tc>
          <w:tcPr>
            <w:tcW w:type="dxa" w:w="24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Publish exam hubs 8-10 weeks ahead of each cycle and keep them updated within 48 hours of an official notification.</w:t>
            </w:r>
          </w:p>
        </w:tc>
      </w:tr>
      <w:tr>
        <w:trPr>
          <w:cantSplit w:val="off"/>
        </w:trPr>
        <w:tc>
          <w:tcPr>
            <w:tcW w:type="dxa" w:w="20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Free practice and mock tests</w:t>
            </w:r>
          </w:p>
        </w:tc>
        <w:tc>
          <w:tcPr>
            <w:tcW w:type="dxa" w:w="17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Physics Wallah, Testbook, Adda247</w:t>
            </w:r>
          </w:p>
        </w:tc>
        <w:tc>
          <w:tcPr>
            <w:tcW w:type="dxa" w:w="29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neet mock test free; jee main rank predictor; free mock test pdf</w:t>
            </w:r>
          </w:p>
        </w:tc>
        <w:tc>
          <w:tcPr>
            <w:tcW w:type="dxa" w:w="24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Ship two free tools (mock test, rank predictor) with sign-up optional. These are link magnets and app-install drivers.</w:t>
            </w:r>
          </w:p>
        </w:tc>
      </w:tr>
      <w:tr>
        <w:trPr>
          <w:cantSplit w:val="off"/>
        </w:trPr>
        <w:tc>
          <w:tcPr>
            <w:tcW w:type="dxa" w:w="20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 solving at question level</w:t>
            </w:r>
          </w:p>
        </w:tc>
        <w:tc>
          <w:tcPr>
            <w:tcW w:type="dxa" w:w="17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Doubtnut, Toppr</w:t>
            </w:r>
          </w:p>
        </w:tc>
        <w:tc>
          <w:tcPr>
            <w:tcW w:type="dxa" w:w="2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maths doubt solver; ask a doubt online free; homework help</w:t>
            </w:r>
          </w:p>
        </w:tc>
        <w:tc>
          <w:tcPr>
            <w:tcW w:type="dxa" w:w="24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Index solved-question pages generated from the existing doubt database, each linked to the relevant chapter hub.</w:t>
            </w:r>
          </w:p>
        </w:tc>
      </w:tr>
      <w:tr>
        <w:trPr>
          <w:cantSplit w:val="off"/>
        </w:trPr>
        <w:tc>
          <w:tcPr>
            <w:tcW w:type="dxa" w:w="20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Comparison and 'best app' queries</w:t>
            </w:r>
          </w:p>
        </w:tc>
        <w:tc>
          <w:tcPr>
            <w:tcW w:type="dxa" w:w="17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Review sites, YouTube, aggregators</w:t>
            </w:r>
          </w:p>
        </w:tc>
        <w:tc>
          <w:tcPr>
            <w:tcW w:type="dxa" w:w="29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byjus vs physics wallah; best edtech app in india</w:t>
            </w:r>
          </w:p>
        </w:tc>
        <w:tc>
          <w:tcPr>
            <w:tcW w:type="dxa" w:w="24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Publish fair, criteria-based comparison pages. Owning the comparison SERP is cheaper than losing the decision to a third-party review.</w:t>
            </w:r>
          </w:p>
        </w:tc>
      </w:tr>
      <w:tr>
        <w:trPr>
          <w:cantSplit w:val="off"/>
        </w:trPr>
        <w:tc>
          <w:tcPr>
            <w:tcW w:type="dxa" w:w="20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Regional-language study content</w:t>
            </w:r>
          </w:p>
        </w:tc>
        <w:tc>
          <w:tcPr>
            <w:tcW w:type="dxa" w:w="17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Physics Wallah (Hindi), Vidyakul, state players</w:t>
            </w:r>
          </w:p>
        </w:tc>
        <w:tc>
          <w:tcPr>
            <w:tcW w:type="dxa" w:w="29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online coaching in hindi; neet coaching in tamil; bengali medium classes</w:t>
            </w:r>
          </w:p>
        </w:tc>
        <w:tc>
          <w:tcPr>
            <w:tcW w:type="dxa" w:w="24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Launch one language hub at a time, starting with Hindi, using existing video assets re-cut with regional-language metadata.</w:t>
            </w:r>
          </w:p>
        </w:tc>
      </w:tr>
    </w:tbl>
    <w:p>
      <w:pPr>
        <w:spacing w:after="200" w:before="60"/>
      </w:pPr>
      <w:r>
        <w:rPr>
          <w:rFonts w:ascii="Calibri" w:cs="Calibri" w:eastAsia="Calibri" w:hAnsi="Calibri"/>
          <w:i/>
          <w:iCs/>
          <w:color w:val="5A6270"/>
          <w:sz w:val="16"/>
          <w:szCs w:val="16"/>
        </w:rPr>
        <w:t xml:space="preserve">Table 8. Content gap analysis.</w:t>
      </w:r>
    </w:p>
    <w:p>
      <w:pPr>
        <w:pBdr>
          <w:bottom w:val="single" w:color="C9D3E4" w:sz="8" w:space="4"/>
        </w:pBdr>
        <w:spacing w:after="140" w:before="320"/>
      </w:pPr>
      <w:r>
        <w:rPr>
          <w:rFonts w:ascii="Calibri" w:cs="Calibri" w:eastAsia="Calibri" w:hAnsi="Calibri"/>
          <w:b/>
          <w:bCs/>
          <w:color w:val="2E5FAC"/>
          <w:sz w:val="26"/>
          <w:szCs w:val="26"/>
        </w:rPr>
        <w:t xml:space="preserve">10.  </w:t>
      </w:r>
      <w:r>
        <w:rPr>
          <w:rFonts w:ascii="Calibri" w:cs="Calibri" w:eastAsia="Calibri" w:hAnsi="Calibri"/>
          <w:b/>
          <w:bCs/>
          <w:color w:val="1F3864"/>
          <w:sz w:val="26"/>
          <w:szCs w:val="26"/>
        </w:rPr>
        <w:t xml:space="preserve">90-day content roadmap</w:t>
      </w:r>
    </w:p>
    <w:p>
      <w:pPr>
        <w:spacing w:after="120" w:before="0" w:line="300"/>
      </w:pPr>
      <w:r>
        <w:rPr>
          <w:rFonts w:ascii="Calibri" w:cs="Calibri" w:eastAsia="Calibri" w:hAnsi="Calibri"/>
          <w:sz w:val="21"/>
          <w:szCs w:val="21"/>
        </w:rPr>
        <w:t xml:space="preserve">The roadmap is sequenced so that nothing is published into an unprepared estate: trust and technical fixes first, then quick wins, then the core build, then expansion.</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1250"/>
        <w:gridCol w:w="800"/>
        <w:gridCol w:w="3800"/>
        <w:gridCol w:w="1976"/>
        <w:gridCol w:w="1200"/>
      </w:tblGrid>
      <w:tr>
        <w:trPr>
          <w:tblHeader/>
        </w:trPr>
        <w:tc>
          <w:tcPr>
            <w:tcW w:type="dxa" w:w="125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Phase</w:t>
            </w:r>
          </w:p>
        </w:tc>
        <w:tc>
          <w:tcPr>
            <w:tcW w:type="dxa" w:w="8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Weeks</w:t>
            </w:r>
          </w:p>
        </w:tc>
        <w:tc>
          <w:tcPr>
            <w:tcW w:type="dxa" w:w="38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Workstream</w:t>
            </w:r>
          </w:p>
        </w:tc>
        <w:tc>
          <w:tcPr>
            <w:tcW w:type="dxa" w:w="197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Output</w:t>
            </w:r>
          </w:p>
        </w:tc>
        <w:tc>
          <w:tcPr>
            <w:tcW w:type="dxa" w:w="12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Success signal</w:t>
            </w:r>
          </w:p>
        </w:tc>
      </w:tr>
      <w:tr>
        <w:trPr>
          <w:cantSplit w:val="off"/>
        </w:trPr>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Phase 1
Fix the floor</w:t>
            </w:r>
          </w:p>
        </w:tc>
        <w:tc>
          <w:tcPr>
            <w:tcW w:type="dxa" w:w="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1-2</w:t>
            </w:r>
          </w:p>
        </w:tc>
        <w:tc>
          <w:tcPr>
            <w:tcW w:type="dxa" w:w="3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Publish the official status and trust hub; consolidate refund, support and continuity-of-access answers on one page; add FAQ schema. Fix title tags and internal links on the 20 highest-impression pages in Search Console.</w:t>
            </w:r>
          </w:p>
        </w:tc>
        <w:tc>
          <w:tcPr>
            <w:tcW w:type="dxa" w:w="19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Trust hub live; 20 pages re-optimised</w:t>
            </w:r>
          </w:p>
        </w:tc>
        <w:tc>
          <w:tcPr>
            <w:tcW w:type="dxa" w:w="12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Brand-SERP sentiment queries ('refund', 'shutting down') resolve to owned pages</w:t>
            </w:r>
          </w:p>
        </w:tc>
      </w:tr>
      <w:tr>
        <w:trPr>
          <w:cantSplit w:val="off"/>
        </w:trPr>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Phase 1
Quick wins</w:t>
            </w:r>
          </w:p>
        </w:tc>
        <w:tc>
          <w:tcPr>
            <w:tcW w:type="dxa" w:w="8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3-4</w:t>
            </w:r>
          </w:p>
        </w:tc>
        <w:tc>
          <w:tcPr>
            <w:tcW w:type="dxa" w:w="38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Ship the two free tools (mock test, rank predictor) and one comparison page ('BYJU'S vs Physics Wallah'). Publish the December-February sample-paper batch early.</w:t>
            </w:r>
          </w:p>
        </w:tc>
        <w:tc>
          <w:tcPr>
            <w:tcW w:type="dxa" w:w="19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 tools + 12 seasonal pages</w:t>
            </w:r>
          </w:p>
        </w:tc>
        <w:tc>
          <w:tcPr>
            <w:tcW w:type="dxa" w:w="1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First 10 keywords in the top 20</w:t>
            </w:r>
          </w:p>
        </w:tc>
      </w:tr>
      <w:tr>
        <w:trPr>
          <w:cantSplit w:val="off"/>
        </w:trPr>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Phase 2
Core build</w:t>
            </w:r>
          </w:p>
        </w:tc>
        <w:tc>
          <w:tcPr>
            <w:tcW w:type="dxa" w:w="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5-8</w:t>
            </w:r>
          </w:p>
        </w:tc>
        <w:tc>
          <w:tcPr>
            <w:tcW w:type="dxa" w:w="3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Build the Class 6-12 NCERT hub: 40 chapter pages in the highest-volume subjects (Class 9-12 Maths, Science, Physics, Chemistry, Biology). Each page: notes, solved examples, quiz, related doubt links.</w:t>
            </w:r>
          </w:p>
        </w:tc>
        <w:tc>
          <w:tcPr>
            <w:tcW w:type="dxa" w:w="19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40 chapter pages</w:t>
            </w:r>
          </w:p>
        </w:tc>
        <w:tc>
          <w:tcPr>
            <w:tcW w:type="dxa" w:w="12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Cluster C2 impressions up 40% month on month</w:t>
            </w:r>
          </w:p>
        </w:tc>
      </w:tr>
      <w:tr>
        <w:trPr>
          <w:cantSplit w:val="off"/>
        </w:trPr>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Phase 2
Exam hubs</w:t>
            </w:r>
          </w:p>
        </w:tc>
        <w:tc>
          <w:tcPr>
            <w:tcW w:type="dxa" w:w="8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5-8</w:t>
            </w:r>
          </w:p>
        </w:tc>
        <w:tc>
          <w:tcPr>
            <w:tcW w:type="dxa" w:w="38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Rebuild four exam hubs (JEE Main, NEET, CUET, CBSE Boards) with syllabus, pattern, PYQ library, study plan and FAQ. Add a 90-day study-plan download.</w:t>
            </w:r>
          </w:p>
        </w:tc>
        <w:tc>
          <w:tcPr>
            <w:tcW w:type="dxa" w:w="19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4 exam hubs</w:t>
            </w:r>
          </w:p>
        </w:tc>
        <w:tc>
          <w:tcPr>
            <w:tcW w:type="dxa" w:w="1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Cluster C3 rankings for 'syllabus' and 'PYQ' queries</w:t>
            </w:r>
          </w:p>
        </w:tc>
      </w:tr>
      <w:tr>
        <w:trPr>
          <w:cantSplit w:val="off"/>
        </w:trPr>
        <w:tc>
          <w:tcPr>
            <w:tcW w:type="dxa" w:w="125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Phase 3
Expand</w:t>
            </w:r>
          </w:p>
        </w:tc>
        <w:tc>
          <w:tcPr>
            <w:tcW w:type="dxa" w:w="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9-12</w:t>
            </w:r>
          </w:p>
        </w:tc>
        <w:tc>
          <w:tcPr>
            <w:tcW w:type="dxa" w:w="3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Launch the doubt-solving page estate (200 solved questions), the Hindi hub, and two further comparison pages. Start an internal-link pass from hubs to product pages.</w:t>
            </w:r>
          </w:p>
        </w:tc>
        <w:tc>
          <w:tcPr>
            <w:tcW w:type="dxa" w:w="197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200 Q&amp;A pages + Hindi hub</w:t>
            </w:r>
          </w:p>
        </w:tc>
        <w:tc>
          <w:tcPr>
            <w:tcW w:type="dxa" w:w="12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App installs from organic up; non-brand share of organic sessions above 55%</w:t>
            </w:r>
          </w:p>
        </w:tc>
      </w:tr>
      <w:tr>
        <w:trPr>
          <w:cantSplit w:val="off"/>
        </w:trPr>
        <w:tc>
          <w:tcPr>
            <w:tcW w:type="dxa" w:w="125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Phase 3
Review</w:t>
            </w:r>
          </w:p>
        </w:tc>
        <w:tc>
          <w:tcPr>
            <w:tcW w:type="dxa" w:w="8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12-13</w:t>
            </w:r>
          </w:p>
        </w:tc>
        <w:tc>
          <w:tcPr>
            <w:tcW w:type="dxa" w:w="38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Re-run Ubersuggest and Google Trends, refresh the keyword map, prune zero-impression pages, and reset priorities for the next quarter.</w:t>
            </w:r>
          </w:p>
        </w:tc>
        <w:tc>
          <w:tcPr>
            <w:tcW w:type="dxa" w:w="197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Refreshed keyword map v2</w:t>
            </w:r>
          </w:p>
        </w:tc>
        <w:tc>
          <w:tcPr>
            <w:tcW w:type="dxa" w:w="12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Documented next-quarter backlog</w:t>
            </w:r>
          </w:p>
        </w:tc>
      </w:tr>
    </w:tbl>
    <w:p>
      <w:pPr>
        <w:spacing w:after="200" w:before="60"/>
      </w:pPr>
      <w:r>
        <w:rPr>
          <w:rFonts w:ascii="Calibri" w:cs="Calibri" w:eastAsia="Calibri" w:hAnsi="Calibri"/>
          <w:i/>
          <w:iCs/>
          <w:color w:val="5A6270"/>
          <w:sz w:val="16"/>
          <w:szCs w:val="16"/>
        </w:rPr>
        <w:t xml:space="preserve">Table 9. Phased execution plan.</w:t>
      </w:r>
    </w:p>
    <w:p>
      <w:pPr>
        <w:pBdr>
          <w:bottom w:val="single" w:color="C9D3E4" w:sz="8" w:space="4"/>
        </w:pBdr>
        <w:spacing w:after="140" w:before="320"/>
      </w:pPr>
      <w:r>
        <w:rPr>
          <w:rFonts w:ascii="Calibri" w:cs="Calibri" w:eastAsia="Calibri" w:hAnsi="Calibri"/>
          <w:b/>
          <w:bCs/>
          <w:color w:val="2E5FAC"/>
          <w:sz w:val="26"/>
          <w:szCs w:val="26"/>
        </w:rPr>
        <w:t xml:space="preserve">11.  </w:t>
      </w:r>
      <w:r>
        <w:rPr>
          <w:rFonts w:ascii="Calibri" w:cs="Calibri" w:eastAsia="Calibri" w:hAnsi="Calibri"/>
          <w:b/>
          <w:bCs/>
          <w:color w:val="1F3864"/>
          <w:sz w:val="26"/>
          <w:szCs w:val="26"/>
        </w:rPr>
        <w:t xml:space="preserve">Measurement plan</w:t>
      </w:r>
    </w:p>
    <w:p>
      <w:pPr>
        <w:spacing w:after="120" w:before="0" w:line="300"/>
      </w:pPr>
      <w:r>
        <w:rPr>
          <w:rFonts w:ascii="Calibri" w:cs="Calibri" w:eastAsia="Calibri" w:hAnsi="Calibri"/>
          <w:sz w:val="21"/>
          <w:szCs w:val="21"/>
        </w:rPr>
        <w:t xml:space="preserve">Six metrics are sufficient. Anything more becomes a reporting exercise rather than a decision tool.</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2600"/>
        <w:gridCol w:w="3400"/>
        <w:gridCol w:w="1500"/>
        <w:gridCol w:w="1526"/>
      </w:tblGrid>
      <w:tr>
        <w:trPr>
          <w:tblHeader/>
        </w:trPr>
        <w:tc>
          <w:tcPr>
            <w:tcW w:type="dxa" w:w="26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Metric</w:t>
            </w:r>
          </w:p>
        </w:tc>
        <w:tc>
          <w:tcPr>
            <w:tcW w:type="dxa" w:w="34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Definition</w:t>
            </w:r>
          </w:p>
        </w:tc>
        <w:tc>
          <w:tcPr>
            <w:tcW w:type="dxa" w:w="15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Baseline</w:t>
            </w:r>
          </w:p>
        </w:tc>
        <w:tc>
          <w:tcPr>
            <w:tcW w:type="dxa" w:w="152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90-day target</w:t>
            </w:r>
          </w:p>
        </w:tc>
      </w:tr>
      <w:tr>
        <w:trPr>
          <w:cantSplit w:val="off"/>
        </w:trPr>
        <w:tc>
          <w:tcPr>
            <w:tcW w:type="dxa" w:w="2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Non-brand organic sessions</w:t>
            </w:r>
          </w:p>
        </w:tc>
        <w:tc>
          <w:tcPr>
            <w:tcW w:type="dxa" w:w="34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Sessions landing on cluster hubs and chapter pages, excluding brand queries</w:t>
            </w:r>
          </w:p>
        </w:tc>
        <w:tc>
          <w:tcPr>
            <w:tcW w:type="dxa" w:w="15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To be set from Search Console</w:t>
            </w:r>
          </w:p>
        </w:tc>
        <w:tc>
          <w:tcPr>
            <w:tcW w:type="dxa" w:w="15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+35%</w:t>
            </w:r>
          </w:p>
        </w:tc>
      </w:tr>
      <w:tr>
        <w:trPr>
          <w:cantSplit w:val="off"/>
        </w:trPr>
        <w:tc>
          <w:tcPr>
            <w:tcW w:type="dxa" w:w="2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Keywords in top 10</w:t>
            </w:r>
          </w:p>
        </w:tc>
        <w:tc>
          <w:tcPr>
            <w:tcW w:type="dxa" w:w="34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Tracked keywords ranking 1-10 in India</w:t>
            </w:r>
          </w:p>
        </w:tc>
        <w:tc>
          <w:tcPr>
            <w:tcW w:type="dxa" w:w="15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To be set</w:t>
            </w:r>
          </w:p>
        </w:tc>
        <w:tc>
          <w:tcPr>
            <w:tcW w:type="dxa" w:w="15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+25 net new</w:t>
            </w:r>
          </w:p>
        </w:tc>
      </w:tr>
      <w:tr>
        <w:trPr>
          <w:cantSplit w:val="off"/>
        </w:trPr>
        <w:tc>
          <w:tcPr>
            <w:tcW w:type="dxa" w:w="2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Cluster impressions</w:t>
            </w:r>
          </w:p>
        </w:tc>
        <w:tc>
          <w:tcPr>
            <w:tcW w:type="dxa" w:w="34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Search Console impressions for C2-C7 URL groups</w:t>
            </w:r>
          </w:p>
        </w:tc>
        <w:tc>
          <w:tcPr>
            <w:tcW w:type="dxa" w:w="15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To be set</w:t>
            </w:r>
          </w:p>
        </w:tc>
        <w:tc>
          <w:tcPr>
            <w:tcW w:type="dxa" w:w="15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+40% on C2 and C3</w:t>
            </w:r>
          </w:p>
        </w:tc>
      </w:tr>
      <w:tr>
        <w:trPr>
          <w:cantSplit w:val="off"/>
        </w:trPr>
        <w:tc>
          <w:tcPr>
            <w:tcW w:type="dxa" w:w="2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Organic-to-app installs</w:t>
            </w:r>
          </w:p>
        </w:tc>
        <w:tc>
          <w:tcPr>
            <w:tcW w:type="dxa" w:w="34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Installs attributed to organic landing pages</w:t>
            </w:r>
          </w:p>
        </w:tc>
        <w:tc>
          <w:tcPr>
            <w:tcW w:type="dxa" w:w="15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To be set</w:t>
            </w:r>
          </w:p>
        </w:tc>
        <w:tc>
          <w:tcPr>
            <w:tcW w:type="dxa" w:w="15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w:t>
            </w:r>
          </w:p>
        </w:tc>
      </w:tr>
      <w:tr>
        <w:trPr>
          <w:cantSplit w:val="off"/>
        </w:trPr>
        <w:tc>
          <w:tcPr>
            <w:tcW w:type="dxa" w:w="2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Brand sentiment queries resolved</w:t>
            </w:r>
          </w:p>
        </w:tc>
        <w:tc>
          <w:tcPr>
            <w:tcW w:type="dxa" w:w="34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Share of 'refund' / 'shutting down' queries landing on an owned page</w:t>
            </w:r>
          </w:p>
        </w:tc>
        <w:tc>
          <w:tcPr>
            <w:tcW w:type="dxa" w:w="15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To be measured</w:t>
            </w:r>
          </w:p>
        </w:tc>
        <w:tc>
          <w:tcPr>
            <w:tcW w:type="dxa" w:w="15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Above 60%</w:t>
            </w:r>
          </w:p>
        </w:tc>
      </w:tr>
      <w:tr>
        <w:trPr>
          <w:cantSplit w:val="off"/>
        </w:trPr>
        <w:tc>
          <w:tcPr>
            <w:tcW w:type="dxa" w:w="2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Content velocity</w:t>
            </w:r>
          </w:p>
        </w:tc>
        <w:tc>
          <w:tcPr>
            <w:tcW w:type="dxa" w:w="34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Net new or substantially refreshed pages published per month</w:t>
            </w:r>
          </w:p>
        </w:tc>
        <w:tc>
          <w:tcPr>
            <w:tcW w:type="dxa" w:w="15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To be set</w:t>
            </w:r>
          </w:p>
        </w:tc>
        <w:tc>
          <w:tcPr>
            <w:tcW w:type="dxa" w:w="15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20 per month</w:t>
            </w:r>
          </w:p>
        </w:tc>
      </w:tr>
    </w:tbl>
    <w:p>
      <w:pPr>
        <w:spacing w:after="200" w:before="60"/>
      </w:pPr>
      <w:r>
        <w:rPr>
          <w:rFonts w:ascii="Calibri" w:cs="Calibri" w:eastAsia="Calibri" w:hAnsi="Calibri"/>
          <w:i/>
          <w:iCs/>
          <w:color w:val="5A6270"/>
          <w:sz w:val="16"/>
          <w:szCs w:val="16"/>
        </w:rPr>
        <w:t xml:space="preserve">Table 10. KPIs. Baselines marked 'to be set' must be locked from Google Search Console in week 1, before any new content ships.</w:t>
      </w:r>
    </w:p>
    <w:p>
      <w:pPr>
        <w:pBdr>
          <w:bottom w:val="single" w:color="C9D3E4" w:sz="8" w:space="4"/>
        </w:pBdr>
        <w:spacing w:after="140" w:before="320"/>
      </w:pPr>
      <w:r>
        <w:rPr>
          <w:rFonts w:ascii="Calibri" w:cs="Calibri" w:eastAsia="Calibri" w:hAnsi="Calibri"/>
          <w:b/>
          <w:bCs/>
          <w:color w:val="2E5FAC"/>
          <w:sz w:val="26"/>
          <w:szCs w:val="26"/>
        </w:rPr>
        <w:t xml:space="preserve">12.  </w:t>
      </w:r>
      <w:r>
        <w:rPr>
          <w:rFonts w:ascii="Calibri" w:cs="Calibri" w:eastAsia="Calibri" w:hAnsi="Calibri"/>
          <w:b/>
          <w:bCs/>
          <w:color w:val="1F3864"/>
          <w:sz w:val="26"/>
          <w:szCs w:val="26"/>
        </w:rPr>
        <w:t xml:space="preserve">Risks and compliance</w:t>
      </w:r>
    </w:p>
    <w:p>
      <w:pPr>
        <w:spacing w:after="120" w:before="0" w:line="300"/>
      </w:pPr>
      <w:r>
        <w:rPr>
          <w:rFonts w:ascii="Calibri" w:cs="Calibri" w:eastAsia="Calibri" w:hAnsi="Calibri"/>
          <w:sz w:val="21"/>
          <w:szCs w:val="21"/>
        </w:rPr>
        <w:t xml:space="preserve">Four risks deserve explicit management; the first two are unusual in a keyword research exercise and specific to this brand.</w:t>
      </w:r>
    </w:p>
    <w:tbl>
      <w:tblPr>
        <w:tblW w:type="dxa" w:w="9026"/>
        <w:tblBorders>
          <w:top w:val="single" w:color="C9D3E4" w:sz="4"/>
          <w:left w:val="single" w:color="C9D3E4" w:sz="4"/>
          <w:bottom w:val="single" w:color="C9D3E4" w:sz="4"/>
          <w:right w:val="single" w:color="C9D3E4" w:sz="4"/>
          <w:insideH w:val="single" w:color="DCE3EE" w:sz="2"/>
          <w:insideV w:val="single" w:color="DCE3EE" w:sz="2"/>
        </w:tblBorders>
      </w:tblPr>
      <w:tblGrid>
        <w:gridCol w:w="2600"/>
        <w:gridCol w:w="3800"/>
        <w:gridCol w:w="2626"/>
      </w:tblGrid>
      <w:tr>
        <w:trPr>
          <w:tblHeader/>
        </w:trPr>
        <w:tc>
          <w:tcPr>
            <w:tcW w:type="dxa" w:w="26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Risk</w:t>
            </w:r>
          </w:p>
        </w:tc>
        <w:tc>
          <w:tcPr>
            <w:tcW w:type="dxa" w:w="3800"/>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Why it matters</w:t>
            </w:r>
          </w:p>
        </w:tc>
        <w:tc>
          <w:tcPr>
            <w:tcW w:type="dxa" w:w="2626"/>
            <w:shd w:fill="1F3864" w:color="auto" w:val="clear"/>
            <w:tcMar>
              <w:top w:type="dxa" w:w="70"/>
              <w:left w:type="dxa" w:w="100"/>
              <w:bottom w:type="dxa" w:w="70"/>
              <w:right w:type="dxa" w:w="100"/>
            </w:tcMar>
          </w:tcPr>
          <w:p>
            <w:pPr>
              <w:spacing w:after="0" w:before="0" w:line="260"/>
            </w:pPr>
            <w:r>
              <w:rPr>
                <w:rFonts w:ascii="Calibri" w:cs="Calibri" w:eastAsia="Calibri" w:hAnsi="Calibri"/>
                <w:b/>
                <w:bCs/>
                <w:color w:val="FFFFFF"/>
                <w:sz w:val="16"/>
                <w:szCs w:val="16"/>
              </w:rPr>
              <w:t xml:space="preserve">Mitigation</w:t>
            </w:r>
          </w:p>
        </w:tc>
      </w:tr>
      <w:tr>
        <w:trPr>
          <w:cantSplit w:val="off"/>
        </w:trPr>
        <w:tc>
          <w:tcPr>
            <w:tcW w:type="dxa" w:w="2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Insolvency narrative dominates the brand SERP</w:t>
            </w:r>
          </w:p>
        </w:tc>
        <w:tc>
          <w:tcPr>
            <w:tcW w:type="dxa" w:w="3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News coverage outranks owned pages for 'byju's' and 'byju's news', which suppresses click-through on everything else.</w:t>
            </w:r>
          </w:p>
        </w:tc>
        <w:tc>
          <w:tcPr>
            <w:tcW w:type="dxa" w:w="26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Do not fight the news SERP. Win the adjacent utility queries (support, refund, access) and let non-brand clusters carry growth.</w:t>
            </w:r>
          </w:p>
        </w:tc>
      </w:tr>
      <w:tr>
        <w:trPr>
          <w:cantSplit w:val="off"/>
        </w:trPr>
        <w:tc>
          <w:tcPr>
            <w:tcW w:type="dxa" w:w="2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Consumer-protection and advertising rules</w:t>
            </w:r>
          </w:p>
        </w:tc>
        <w:tc>
          <w:tcPr>
            <w:tcW w:type="dxa" w:w="38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Claims about ranks, results or guaranteed outcomes attract scrutiny under ASCI codes and the Consumer Protection Act, 2019.</w:t>
            </w:r>
          </w:p>
        </w:tc>
        <w:tc>
          <w:tcPr>
            <w:tcW w:type="dxa" w:w="26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No guaranteed-rank or guaranteed-score language. Every outcome claim carries a dated, verifiable source.</w:t>
            </w:r>
          </w:p>
        </w:tc>
      </w:tr>
      <w:tr>
        <w:trPr>
          <w:cantSplit w:val="off"/>
        </w:trPr>
        <w:tc>
          <w:tcPr>
            <w:tcW w:type="dxa" w:w="2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Thin or duplicated content</w:t>
            </w:r>
          </w:p>
        </w:tc>
        <w:tc>
          <w:tcPr>
            <w:tcW w:type="dxa" w:w="3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Publishing 40 templated chapter pages risks a site-wide quality drag.</w:t>
            </w:r>
          </w:p>
        </w:tc>
        <w:tc>
          <w:tcPr>
            <w:tcW w:type="dxa" w:w="26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Each page must carry unique worked examples, a quiz and an internal link to a related doubt. No page ships with under 700 words of original explanation.</w:t>
            </w:r>
          </w:p>
        </w:tc>
      </w:tr>
      <w:tr>
        <w:trPr>
          <w:cantSplit w:val="off"/>
        </w:trPr>
        <w:tc>
          <w:tcPr>
            <w:tcW w:type="dxa" w:w="26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Cannibalisation across clusters</w:t>
            </w:r>
          </w:p>
        </w:tc>
        <w:tc>
          <w:tcPr>
            <w:tcW w:type="dxa" w:w="3800"/>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Class-wise and exam-wise pages overlap heavily on 'syllabus' and 'notes' queries.</w:t>
            </w:r>
          </w:p>
        </w:tc>
        <w:tc>
          <w:tcPr>
            <w:tcW w:type="dxa" w:w="2626"/>
            <w:shd w:fill="F5F7FB" w:color="auto" w:val="clear"/>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One canonical page per intent. Map keyword to URL before writing, and merge rather than add when overlap exceeds 30%.</w:t>
            </w:r>
          </w:p>
        </w:tc>
      </w:tr>
      <w:tr>
        <w:trPr>
          <w:cantSplit w:val="off"/>
        </w:trPr>
        <w:tc>
          <w:tcPr>
            <w:tcW w:type="dxa" w:w="26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Measurement blind spots</w:t>
            </w:r>
          </w:p>
        </w:tc>
        <w:tc>
          <w:tcPr>
            <w:tcW w:type="dxa" w:w="3800"/>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No historical baseline was available for this study.</w:t>
            </w:r>
          </w:p>
        </w:tc>
        <w:tc>
          <w:tcPr>
            <w:tcW w:type="dxa" w:w="2626"/>
            <w:tcMar>
              <w:top w:type="dxa" w:w="70"/>
              <w:left w:type="dxa" w:w="100"/>
              <w:bottom w:type="dxa" w:w="70"/>
              <w:right w:type="dxa" w:w="100"/>
            </w:tcMar>
          </w:tcPr>
          <w:p>
            <w:pPr>
              <w:spacing w:after="0" w:before="0" w:line="260"/>
            </w:pPr>
            <w:r>
              <w:rPr>
                <w:rFonts w:ascii="Calibri" w:cs="Calibri" w:eastAsia="Calibri" w:hAnsi="Calibri"/>
                <w:color w:val="22262E"/>
                <w:sz w:val="15"/>
                <w:szCs w:val="15"/>
              </w:rPr>
              <w:t xml:space="preserve">Export Search Console data for the last 16 months in week 1 and lock the baseline before publishing.</w:t>
            </w:r>
          </w:p>
        </w:tc>
      </w:tr>
    </w:tbl>
    <w:p>
      <w:pPr>
        <w:spacing w:after="200" w:before="60"/>
      </w:pPr>
      <w:r>
        <w:rPr>
          <w:rFonts w:ascii="Calibri" w:cs="Calibri" w:eastAsia="Calibri" w:hAnsi="Calibri"/>
          <w:i/>
          <w:iCs/>
          <w:color w:val="5A6270"/>
          <w:sz w:val="16"/>
          <w:szCs w:val="16"/>
        </w:rPr>
        <w:t xml:space="preserve">Table 11. Risk register.</w:t>
      </w:r>
    </w:p>
    <w:p>
      <w:pPr>
        <w:pBdr>
          <w:bottom w:val="single" w:color="C9D3E4" w:sz="8" w:space="4"/>
        </w:pBdr>
        <w:spacing w:after="140" w:before="320"/>
      </w:pPr>
      <w:r>
        <w:rPr>
          <w:rFonts w:ascii="Calibri" w:cs="Calibri" w:eastAsia="Calibri" w:hAnsi="Calibri"/>
          <w:b/>
          <w:bCs/>
          <w:color w:val="2E5FAC"/>
          <w:sz w:val="26"/>
          <w:szCs w:val="26"/>
        </w:rPr>
        <w:t xml:space="preserve">13.  </w:t>
      </w:r>
      <w:r>
        <w:rPr>
          <w:rFonts w:ascii="Calibri" w:cs="Calibri" w:eastAsia="Calibri" w:hAnsi="Calibri"/>
          <w:b/>
          <w:bCs/>
          <w:color w:val="1F3864"/>
          <w:sz w:val="26"/>
          <w:szCs w:val="26"/>
        </w:rPr>
        <w:t xml:space="preserve">Appendix A  —  reproducing the data</w:t>
      </w:r>
    </w:p>
    <w:p>
      <w:pPr>
        <w:spacing w:after="90" w:before="240"/>
      </w:pPr>
      <w:r>
        <w:rPr>
          <w:rFonts w:ascii="Calibri" w:cs="Calibri" w:eastAsia="Calibri" w:hAnsi="Calibri"/>
          <w:b/>
          <w:bCs/>
          <w:color w:val="2E5FAC"/>
          <w:sz w:val="22"/>
          <w:szCs w:val="22"/>
        </w:rPr>
        <w:t xml:space="preserve">A.1  Google Trends</w:t>
      </w:r>
    </w:p>
    <w:p>
      <w:pPr>
        <w:pStyle w:val="ListParagraph"/>
        <w:numPr>
          <w:ilvl w:val="0"/>
          <w:numId w:val="2"/>
        </w:numPr>
        <w:spacing w:after="60" w:before="0" w:line="290"/>
      </w:pPr>
      <w:r>
        <w:rPr>
          <w:rFonts w:ascii="Calibri" w:cs="Calibri" w:eastAsia="Calibri" w:hAnsi="Calibri"/>
          <w:sz w:val="21"/>
          <w:szCs w:val="21"/>
        </w:rPr>
        <w:t xml:space="preserve">Open trends.google.com, set the geography to India, and choose 'Past 5 years' for the shape and 'Past 12 months' for the month-level reading. Compare no more than five terms per pull; Trends normalises each pull to its own maximum, so terms from different pulls cannot be compared directly.</w:t>
      </w:r>
    </w:p>
    <w:p>
      <w:pPr>
        <w:pStyle w:val="ListParagraph"/>
        <w:numPr>
          <w:ilvl w:val="0"/>
          <w:numId w:val="2"/>
        </w:numPr>
        <w:spacing w:after="60" w:before="0" w:line="290"/>
      </w:pPr>
      <w:r>
        <w:rPr>
          <w:rFonts w:ascii="Calibri" w:cs="Calibri" w:eastAsia="Calibri" w:hAnsi="Calibri"/>
          <w:sz w:val="21"/>
          <w:szCs w:val="21"/>
        </w:rPr>
        <w:t xml:space="preserve">Use the 'Rising' and 'Top' related-query tables to harvest new candidate keywords, and record the breakout terms (marked '+4,000%') separately, since these usually signal a content gap rather than a stable opportunity.</w:t>
      </w:r>
    </w:p>
    <w:p>
      <w:pPr>
        <w:pStyle w:val="ListParagraph"/>
        <w:numPr>
          <w:ilvl w:val="0"/>
          <w:numId w:val="2"/>
        </w:numPr>
        <w:spacing w:after="60" w:before="0" w:line="290"/>
      </w:pPr>
      <w:r>
        <w:rPr>
          <w:rFonts w:ascii="Calibri" w:cs="Calibri" w:eastAsia="Calibri" w:hAnsi="Calibri"/>
          <w:sz w:val="21"/>
          <w:szCs w:val="21"/>
        </w:rPr>
        <w:t xml:space="preserve">Screenshot each pull with the date and settings visible. Trends data shifts between pulls, and the screenshot is the only defensible record of what the analysis was based on.</w:t>
      </w:r>
    </w:p>
    <w:p>
      <w:pPr>
        <w:spacing w:after="90" w:before="240"/>
      </w:pPr>
      <w:r>
        <w:rPr>
          <w:rFonts w:ascii="Calibri" w:cs="Calibri" w:eastAsia="Calibri" w:hAnsi="Calibri"/>
          <w:b/>
          <w:bCs/>
          <w:color w:val="2E5FAC"/>
          <w:sz w:val="22"/>
          <w:szCs w:val="22"/>
        </w:rPr>
        <w:t xml:space="preserve">A.2  Ubersuggest</w:t>
      </w:r>
    </w:p>
    <w:p>
      <w:pPr>
        <w:pStyle w:val="ListParagraph"/>
        <w:numPr>
          <w:ilvl w:val="0"/>
          <w:numId w:val="2"/>
        </w:numPr>
        <w:spacing w:after="60" w:before="0" w:line="290"/>
      </w:pPr>
      <w:r>
        <w:rPr>
          <w:rFonts w:ascii="Calibri" w:cs="Calibri" w:eastAsia="Calibri" w:hAnsi="Calibri"/>
          <w:sz w:val="21"/>
          <w:szCs w:val="21"/>
        </w:rPr>
        <w:t xml:space="preserve">Enter each seed keyword in Keyword Overview to get India volume, difficulty and the seasonal chart. Then open Keyword Ideas and filter by country (India) and by volume band, and export to CSV.</w:t>
      </w:r>
    </w:p>
    <w:p>
      <w:pPr>
        <w:pStyle w:val="ListParagraph"/>
        <w:numPr>
          <w:ilvl w:val="0"/>
          <w:numId w:val="2"/>
        </w:numPr>
        <w:spacing w:after="60" w:before="0" w:line="290"/>
      </w:pPr>
      <w:r>
        <w:rPr>
          <w:rFonts w:ascii="Calibri" w:cs="Calibri" w:eastAsia="Calibri" w:hAnsi="Calibri"/>
          <w:sz w:val="21"/>
          <w:szCs w:val="21"/>
        </w:rPr>
        <w:t xml:space="preserve">Run the Competitor Analysis report on byjus.com, pw.live, vedantu.com and unacademy.com to pull each competitor's top pages by estimated traffic. This is the fastest way to see which content types are actually earning visits in the category.</w:t>
      </w:r>
    </w:p>
    <w:p>
      <w:pPr>
        <w:pStyle w:val="ListParagraph"/>
        <w:numPr>
          <w:ilvl w:val="0"/>
          <w:numId w:val="2"/>
        </w:numPr>
        <w:spacing w:after="60" w:before="0" w:line="290"/>
      </w:pPr>
      <w:r>
        <w:rPr>
          <w:rFonts w:ascii="Calibri" w:cs="Calibri" w:eastAsia="Calibri" w:hAnsi="Calibri"/>
          <w:sz w:val="21"/>
          <w:szCs w:val="21"/>
        </w:rPr>
        <w:t xml:space="preserve">Deduplicate the export, strip keywords below 100 monthly searches unless they are commercial, and cluster manually by checking whether the top five results for two keywords are substantially the same pages. If they are, the keywords belong to one page.</w:t>
      </w:r>
    </w:p>
    <w:p>
      <w:pPr>
        <w:spacing w:after="90" w:before="240"/>
      </w:pPr>
      <w:r>
        <w:rPr>
          <w:rFonts w:ascii="Calibri" w:cs="Calibri" w:eastAsia="Calibri" w:hAnsi="Calibri"/>
          <w:b/>
          <w:bCs/>
          <w:color w:val="2E5FAC"/>
          <w:sz w:val="22"/>
          <w:szCs w:val="22"/>
        </w:rPr>
        <w:t xml:space="preserve">A.3  Replacing the estimates</w:t>
      </w:r>
    </w:p>
    <w:p>
      <w:pPr>
        <w:spacing w:after="120" w:before="0" w:line="300"/>
      </w:pPr>
      <w:r>
        <w:rPr>
          <w:rFonts w:ascii="Calibri" w:cs="Calibri" w:eastAsia="Calibri" w:hAnsi="Calibri"/>
          <w:sz w:val="21"/>
          <w:szCs w:val="21"/>
        </w:rPr>
        <w:t xml:space="preserve">Substitute the bands in Table 5 with exported figures in this order: C2 and C3 first, because they drive the roadmap; C5 next, because it is the fastest to launch; then C1 for the support pages, where coverage matters more than volume. Record the pull date against every row: a keyword map without a date is a liability within a quarter.</w:t>
      </w:r>
    </w:p>
    <w:p>
      <w:pPr>
        <w:pBdr>
          <w:bottom w:val="single" w:color="C9D3E4" w:sz="8" w:space="4"/>
        </w:pBdr>
        <w:spacing w:after="140" w:before="320"/>
      </w:pPr>
      <w:r>
        <w:rPr>
          <w:rFonts w:ascii="Calibri" w:cs="Calibri" w:eastAsia="Calibri" w:hAnsi="Calibri"/>
          <w:b/>
          <w:bCs/>
          <w:color w:val="2E5FAC"/>
          <w:sz w:val="26"/>
          <w:szCs w:val="26"/>
        </w:rPr>
        <w:t xml:space="preserve">14.  </w:t>
      </w:r>
      <w:r>
        <w:rPr>
          <w:rFonts w:ascii="Calibri" w:cs="Calibri" w:eastAsia="Calibri" w:hAnsi="Calibri"/>
          <w:b/>
          <w:bCs/>
          <w:color w:val="1F3864"/>
          <w:sz w:val="26"/>
          <w:szCs w:val="26"/>
        </w:rPr>
        <w:t xml:space="preserve">Appendix B  —  definitions and assumptions</w:t>
      </w:r>
    </w:p>
    <w:p>
      <w:pPr>
        <w:pStyle w:val="ListParagraph"/>
        <w:numPr>
          <w:ilvl w:val="0"/>
          <w:numId w:val="2"/>
        </w:numPr>
        <w:spacing w:after="60" w:before="0" w:line="290"/>
      </w:pPr>
      <w:r>
        <w:rPr>
          <w:rFonts w:ascii="Calibri" w:cs="Calibri" w:eastAsia="Calibri" w:hAnsi="Calibri"/>
          <w:b/>
          <w:bCs/>
          <w:sz w:val="21"/>
          <w:szCs w:val="21"/>
        </w:rPr>
        <w:t xml:space="preserve">Volume bands. </w:t>
      </w:r>
      <w:r>
        <w:rPr>
          <w:rFonts w:ascii="Calibri" w:cs="Calibri" w:eastAsia="Calibri" w:hAnsi="Calibri"/>
          <w:sz w:val="21"/>
          <w:szCs w:val="21"/>
        </w:rPr>
        <w:t xml:space="preserve">1K-5K, 5K-20K, 20K-50K and 50K+ refer to estimated monthly searches in India, all devices, English and transliterated queries combined.</w:t>
      </w:r>
    </w:p>
    <w:p>
      <w:pPr>
        <w:pStyle w:val="ListParagraph"/>
        <w:numPr>
          <w:ilvl w:val="0"/>
          <w:numId w:val="2"/>
        </w:numPr>
        <w:spacing w:after="60" w:before="0" w:line="290"/>
      </w:pPr>
      <w:r>
        <w:rPr>
          <w:rFonts w:ascii="Calibri" w:cs="Calibri" w:eastAsia="Calibri" w:hAnsi="Calibri"/>
          <w:b/>
          <w:bCs/>
          <w:sz w:val="21"/>
          <w:szCs w:val="21"/>
        </w:rPr>
        <w:t xml:space="preserve">Difficulty. </w:t>
      </w:r>
      <w:r>
        <w:rPr>
          <w:rFonts w:ascii="Calibri" w:cs="Calibri" w:eastAsia="Calibri" w:hAnsi="Calibri"/>
          <w:sz w:val="21"/>
          <w:szCs w:val="21"/>
        </w:rPr>
        <w:t xml:space="preserve">Low (under 30), Medium (30-55), High (above 55) on a Ubersuggest-style 0-100 scale. High-difficulty terms are only viable behind a strong hub and internal-link structure.</w:t>
      </w:r>
    </w:p>
    <w:p>
      <w:pPr>
        <w:pStyle w:val="ListParagraph"/>
        <w:numPr>
          <w:ilvl w:val="0"/>
          <w:numId w:val="2"/>
        </w:numPr>
        <w:spacing w:after="60" w:before="0" w:line="290"/>
      </w:pPr>
      <w:r>
        <w:rPr>
          <w:rFonts w:ascii="Calibri" w:cs="Calibri" w:eastAsia="Calibri" w:hAnsi="Calibri"/>
          <w:b/>
          <w:bCs/>
          <w:sz w:val="21"/>
          <w:szCs w:val="21"/>
        </w:rPr>
        <w:t xml:space="preserve">Intent. </w:t>
      </w:r>
      <w:r>
        <w:rPr>
          <w:rFonts w:ascii="Calibri" w:cs="Calibri" w:eastAsia="Calibri" w:hAnsi="Calibri"/>
          <w:sz w:val="21"/>
          <w:szCs w:val="21"/>
        </w:rPr>
        <w:t xml:space="preserve">Informational (wants to understand), commercial (comparing options), transactional (wants to act now), navigational (wants a specific destination).</w:t>
      </w:r>
    </w:p>
    <w:p>
      <w:pPr>
        <w:pStyle w:val="ListParagraph"/>
        <w:numPr>
          <w:ilvl w:val="0"/>
          <w:numId w:val="2"/>
        </w:numPr>
        <w:spacing w:after="60" w:before="0" w:line="290"/>
      </w:pPr>
      <w:r>
        <w:rPr>
          <w:rFonts w:ascii="Calibri" w:cs="Calibri" w:eastAsia="Calibri" w:hAnsi="Calibri"/>
          <w:b/>
          <w:bCs/>
          <w:sz w:val="21"/>
          <w:szCs w:val="21"/>
        </w:rPr>
        <w:t xml:space="preserve">Pillar and supporting pages. </w:t>
      </w:r>
      <w:r>
        <w:rPr>
          <w:rFonts w:ascii="Calibri" w:cs="Calibri" w:eastAsia="Calibri" w:hAnsi="Calibri"/>
          <w:sz w:val="21"/>
          <w:szCs w:val="21"/>
        </w:rPr>
        <w:t xml:space="preserve">A pillar is the single page that should rank for the cluster's head term; supporting pages are the long-tail pages that link up to it.</w:t>
      </w:r>
    </w:p>
    <w:p>
      <w:pPr>
        <w:pStyle w:val="ListParagraph"/>
        <w:numPr>
          <w:ilvl w:val="0"/>
          <w:numId w:val="2"/>
        </w:numPr>
        <w:spacing w:after="60" w:before="0" w:line="290"/>
      </w:pPr>
      <w:r>
        <w:rPr>
          <w:rFonts w:ascii="Calibri" w:cs="Calibri" w:eastAsia="Calibri" w:hAnsi="Calibri"/>
          <w:b/>
          <w:bCs/>
          <w:sz w:val="21"/>
          <w:szCs w:val="21"/>
        </w:rPr>
        <w:t xml:space="preserve">Out of scope. </w:t>
      </w:r>
      <w:r>
        <w:rPr>
          <w:rFonts w:ascii="Calibri" w:cs="Calibri" w:eastAsia="Calibri" w:hAnsi="Calibri"/>
          <w:sz w:val="21"/>
          <w:szCs w:val="21"/>
        </w:rPr>
        <w:t xml:space="preserve">Paid search, app-store optimisation, social, influencer and YouTube search. Each is a separate workstream, and the YouTube opportunity in this category is large enough to warrant its own analysis.</w:t>
      </w:r>
    </w:p>
    <w:p>
      <w:pPr>
        <w:spacing w:after="60" w:before="0"/>
      </w:pPr>
      <w:r>
        <w:rPr>
          <w:rFonts w:ascii="Calibri" w:cs="Calibri" w:eastAsia="Calibri" w:hAnsi="Calibri"/>
          <w:sz w:val="8"/>
          <w:szCs w:val="8"/>
        </w:rPr>
        <w:t xml:space="preserve"/>
      </w:r>
    </w:p>
    <w:p>
      <w:pPr>
        <w:pBdr>
          <w:top w:val="single" w:color="C9D3E4" w:sz="6" w:space="8"/>
        </w:pBdr>
        <w:spacing w:after="0" w:before="200"/>
      </w:pPr>
      <w:r>
        <w:rPr>
          <w:rFonts w:ascii="Calibri" w:cs="Calibri" w:eastAsia="Calibri" w:hAnsi="Calibri"/>
          <w:i/>
          <w:iCs/>
          <w:color w:val="5A6270"/>
          <w:sz w:val="16"/>
          <w:szCs w:val="16"/>
        </w:rPr>
        <w:t xml:space="preserve">Prepared as Project 01: Competitor Analysis &amp; Keyword Research. Market context figures are attributed to the sources named in Table 2; keyword volumes and difficulty bands are directional estimates and should be verified in Ubersuggest before submission, as set out in Appendix A.</w:t>
      </w:r>
    </w:p>
    <w:sectPr>
      <w:footerReference w:type="default" r:id="rId6"/>
      <w:pgSz w:w="11906" w:h="16838" w:orient="portrait"/>
      <w:pgMar w:top="1250" w:right="1440" w:bottom="125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5A6270"/>
        <w:sz w:val="15"/>
        <w:szCs w:val="15"/>
      </w:rPr>
      <w:t xml:space="preserve">Competitor Analysis &amp; Keyword Research  |  BYJU'S  |  Project 01     </w:t>
    </w:r>
    <w:r>
      <w:rPr>
        <w:rFonts w:ascii="Calibri" w:cs="Calibri" w:eastAsia="Calibri" w:hAnsi="Calibri"/>
        <w:color w:val="5A6270"/>
        <w:sz w:val="15"/>
        <w:szCs w:val="15"/>
      </w:rPr>
      <w:fldChar w:fldCharType="begin"/>
      <w:instrText xml:space="preserve">PAGE</w:instrText>
      <w:fldChar w:fldCharType="separate"/>
      <w:fldChar w:fldCharType="end"/>
    </w:r>
    <w:r>
      <w:rPr>
        <w:rFonts w:ascii="Calibri" w:cs="Calibri" w:eastAsia="Calibri" w:hAnsi="Calibri"/>
        <w:color w:val="5A6270"/>
        <w:sz w:val="15"/>
        <w:szCs w:val="15"/>
      </w:rPr>
      <w:t xml:space="preserve"> / </w:t>
    </w:r>
    <w:r>
      <w:rPr>
        <w:rFonts w:ascii="Calibri" w:cs="Calibri" w:eastAsia="Calibri" w:hAnsi="Calibri"/>
        <w:color w:val="5A62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180"/>
      </w:pPr>
    </w:lvl>
    <w:lvl w:ilvl="1" w:tentative="1">
      <w:start w:val="1"/>
      <w:numFmt w:val="bullet"/>
      <w:lvlText w:val="–"/>
      <w:lvlJc w:val="left"/>
      <w:pPr>
        <w:ind w:left="68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E"/>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8cb84d2ef9355f7dfd5f4268c531157d279b46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2026-10-26T07:16:15.434Z</dcterms:created>
  <dcterms:modified xsi:type="dcterms:W3CDTF">2026-10-26T07:16:15.435Z</dcterms:modified>
</cp:coreProperties>
</file>

<file path=docProps/custom.xml><?xml version="1.0" encoding="utf-8"?>
<Properties xmlns="http://schemas.openxmlformats.org/officeDocument/2006/custom-properties" xmlns:vt="http://schemas.openxmlformats.org/officeDocument/2006/docPropsVTypes"/>
</file>