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8550"/>
      </w:tblGrid>
      <w:tr w:rsidR="00B3038C" w:rsidTr="00FB1F56">
        <w:trPr>
          <w:cantSplit/>
        </w:trPr>
        <w:tc>
          <w:tcPr>
            <w:tcW w:w="1800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550" w:type="dxa"/>
          </w:tcPr>
          <w:p w:rsidR="00B3038C" w:rsidRDefault="008F37E3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Megadyne </w:t>
            </w:r>
            <w:r w:rsidR="00EE210A">
              <w:rPr>
                <w:rFonts w:ascii="Arial" w:hAnsi="Arial"/>
              </w:rPr>
              <w:t xml:space="preserve">Mega Power </w:t>
            </w:r>
            <w:r w:rsidR="00C91D55">
              <w:rPr>
                <w:rFonts w:ascii="Arial" w:hAnsi="Arial"/>
              </w:rPr>
              <w:t>1000 Generator Warning Label Update</w:t>
            </w:r>
          </w:p>
        </w:tc>
      </w:tr>
    </w:tbl>
    <w:p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:rsidTr="00FB1F56">
        <w:tc>
          <w:tcPr>
            <w:tcW w:w="10350" w:type="dxa"/>
            <w:gridSpan w:val="3"/>
            <w:tcBorders>
              <w:bottom w:val="nil"/>
            </w:tcBorders>
          </w:tcPr>
          <w:p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1D1CC1">
              <w:rPr>
                <w:rFonts w:ascii="Arial" w:hAnsi="Arial"/>
                <w:b/>
              </w:rPr>
              <w:t>Dave Daniels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:rsidTr="00FB1F56">
        <w:tc>
          <w:tcPr>
            <w:tcW w:w="1489" w:type="dxa"/>
            <w:tcBorders>
              <w:top w:val="nil"/>
              <w:right w:val="nil"/>
            </w:tcBorders>
          </w:tcPr>
          <w:p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:rsidTr="00FB1F56">
        <w:trPr>
          <w:cantSplit/>
        </w:trPr>
        <w:tc>
          <w:tcPr>
            <w:tcW w:w="2178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:rsidR="00B3038C" w:rsidRDefault="00010A82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Karen Cabrera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  <w:tr w:rsidR="006A10E3" w:rsidTr="00FB1F56">
        <w:tc>
          <w:tcPr>
            <w:tcW w:w="1368" w:type="dxa"/>
          </w:tcPr>
          <w:p w:rsidR="006A10E3" w:rsidRDefault="006A10E3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9000" w:type="dxa"/>
          </w:tcPr>
          <w:p w:rsidR="006A10E3" w:rsidRDefault="006A10E3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Project complete. All documentation has been released</w:t>
            </w:r>
            <w:r w:rsidR="004A7E12">
              <w:rPr>
                <w:rFonts w:ascii="Arial" w:hAnsi="Arial"/>
                <w:sz w:val="22"/>
              </w:rPr>
              <w:t xml:space="preserve"> in the Megadyne system</w:t>
            </w:r>
            <w:r>
              <w:rPr>
                <w:rFonts w:ascii="Arial" w:hAnsi="Arial"/>
                <w:sz w:val="22"/>
              </w:rPr>
              <w:t xml:space="preserve"> and attached</w:t>
            </w:r>
            <w:r w:rsidR="004A7E12">
              <w:rPr>
                <w:rFonts w:ascii="Arial" w:hAnsi="Arial"/>
                <w:sz w:val="22"/>
              </w:rPr>
              <w:t xml:space="preserve"> to this CP0235</w:t>
            </w:r>
            <w:r>
              <w:rPr>
                <w:rFonts w:ascii="Arial" w:hAnsi="Arial"/>
                <w:sz w:val="22"/>
              </w:rPr>
              <w:t>.</w:t>
            </w: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FB1F56" w:rsidRDefault="00FB1F56" w:rsidP="00FB1F56"/>
    <w:p w:rsidR="00FB1F56" w:rsidRPr="00FB1F56" w:rsidRDefault="00FB1F56" w:rsidP="00FB1F56"/>
    <w:p w:rsidR="00B41FEF" w:rsidRDefault="00B41FEF" w:rsidP="00B41FEF">
      <w:bookmarkStart w:id="6" w:name="_GoBack"/>
      <w:bookmarkEnd w:id="6"/>
    </w:p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Pr="00B41FEF" w:rsidRDefault="00B41FEF" w:rsidP="00B41FEF"/>
    <w:p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7" w:name="_Toc382374163"/>
      <w:bookmarkStart w:id="8" w:name="_Toc394823266"/>
      <w:bookmarkStart w:id="9" w:name="_Toc394823760"/>
      <w:bookmarkStart w:id="10" w:name="_Toc395337812"/>
      <w:bookmarkStart w:id="11" w:name="_Toc428066730"/>
      <w:r>
        <w:rPr>
          <w:rFonts w:ascii="Arial" w:hAnsi="Arial"/>
          <w:sz w:val="28"/>
        </w:rPr>
        <w:t xml:space="preserve"> </w:t>
      </w:r>
      <w:bookmarkEnd w:id="7"/>
      <w:bookmarkEnd w:id="8"/>
      <w:bookmarkEnd w:id="9"/>
      <w:bookmarkEnd w:id="10"/>
      <w:bookmarkEnd w:id="11"/>
      <w:r>
        <w:rPr>
          <w:rFonts w:ascii="Arial" w:hAnsi="Arial"/>
          <w:sz w:val="28"/>
        </w:rPr>
        <w:t>Scope</w:t>
      </w:r>
    </w:p>
    <w:p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2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  <w:p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:rsidR="00B3038C" w:rsidRPr="00667E56" w:rsidRDefault="00543643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warning label is being added </w:t>
            </w:r>
            <w:r w:rsidR="00391101">
              <w:rPr>
                <w:rFonts w:ascii="Arial" w:hAnsi="Arial" w:cs="Arial"/>
                <w:color w:val="000000"/>
                <w:sz w:val="20"/>
                <w:szCs w:val="20"/>
              </w:rPr>
              <w:t xml:space="preserve">to 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 xml:space="preserve">the Megadyne Mega Power 1000 generator faceplate to caution users not to plug two devices into one channel. This change is a result of an action item defined in CAPA-008296. A mod code change from 00 to 01 will be incorporated to </w:t>
            </w:r>
            <w:r w:rsidR="00B0054E">
              <w:rPr>
                <w:rFonts w:ascii="Arial" w:hAnsi="Arial" w:cs="Arial"/>
                <w:color w:val="000000"/>
                <w:sz w:val="20"/>
                <w:szCs w:val="20"/>
              </w:rPr>
              <w:t>identify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change.</w:t>
            </w:r>
            <w:r w:rsidR="008F37E3" w:rsidRPr="00667E56">
              <w:rPr>
                <w:rFonts w:ascii="Arial" w:hAnsi="Arial" w:cs="Arial"/>
                <w:color w:val="00000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18.15pt" o:ole="">
                  <v:imagedata r:id="rId12" o:title=""/>
                </v:shape>
                <w:control r:id="rId13" w:name="DefaultOcxName" w:shapeid="_x0000_i1028"/>
              </w:object>
            </w:r>
          </w:p>
        </w:tc>
      </w:tr>
    </w:tbl>
    <w:p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3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3"/>
          </w:p>
        </w:tc>
        <w:tc>
          <w:tcPr>
            <w:tcW w:w="8640" w:type="dxa"/>
          </w:tcPr>
          <w:p w:rsidR="00B3038C" w:rsidRPr="00B41FEF" w:rsidRDefault="000C3C24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Megadyne </w:t>
            </w:r>
            <w:r w:rsidR="004A42BF">
              <w:rPr>
                <w:rFonts w:ascii="Arial" w:hAnsi="Arial" w:cs="Arial"/>
                <w:sz w:val="20"/>
                <w:szCs w:val="20"/>
              </w:rPr>
              <w:t>Mega Power 1000</w:t>
            </w:r>
          </w:p>
        </w:tc>
      </w:tr>
    </w:tbl>
    <w:p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4" w:name="_Toc382374167"/>
            <w:bookmarkStart w:id="15" w:name="_Toc394823268"/>
            <w:bookmarkStart w:id="16" w:name="_Toc394823762"/>
            <w:bookmarkStart w:id="17" w:name="_Toc395337712"/>
            <w:bookmarkStart w:id="18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following functional areas have been identified as those responsible for deliverables. </w:t>
            </w:r>
          </w:p>
        </w:tc>
      </w:tr>
      <w:bookmarkEnd w:id="14"/>
      <w:bookmarkEnd w:id="15"/>
      <w:bookmarkEnd w:id="16"/>
      <w:bookmarkEnd w:id="17"/>
      <w:bookmarkEnd w:id="18"/>
    </w:tbl>
    <w:p w:rsidR="00B3038C" w:rsidRDefault="00B3038C"/>
    <w:p w:rsidR="00FB1F56" w:rsidRDefault="00FB1F56"/>
    <w:p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5850"/>
        <w:gridCol w:w="2123"/>
      </w:tblGrid>
      <w:tr w:rsidR="00B3038C" w:rsidTr="00194E64">
        <w:trPr>
          <w:trHeight w:val="486"/>
        </w:trPr>
        <w:tc>
          <w:tcPr>
            <w:tcW w:w="243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585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2123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9617AA" w:rsidTr="00194E64">
        <w:trPr>
          <w:trHeight w:val="243"/>
        </w:trPr>
        <w:tc>
          <w:tcPr>
            <w:tcW w:w="2430" w:type="dxa"/>
          </w:tcPr>
          <w:p w:rsidR="009617AA" w:rsidRPr="00B41FEF" w:rsidRDefault="009617AA" w:rsidP="004C3321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 xml:space="preserve">External MFG </w:t>
            </w:r>
            <w:r>
              <w:rPr>
                <w:rFonts w:ascii="Arial" w:hAnsi="Arial" w:cs="Arial"/>
                <w:b w:val="0"/>
                <w:sz w:val="20"/>
              </w:rPr>
              <w:t>Engineer</w:t>
            </w:r>
          </w:p>
        </w:tc>
        <w:tc>
          <w:tcPr>
            <w:tcW w:w="5850" w:type="dxa"/>
          </w:tcPr>
          <w:p w:rsidR="009617AA" w:rsidRPr="00B41FEF" w:rsidRDefault="00BB0442" w:rsidP="004C3321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4A42BF">
              <w:rPr>
                <w:rFonts w:ascii="Arial" w:hAnsi="Arial" w:cs="Arial"/>
                <w:b w:val="0"/>
                <w:sz w:val="20"/>
              </w:rPr>
              <w:t>2018-</w:t>
            </w:r>
            <w:r>
              <w:rPr>
                <w:rFonts w:ascii="Arial" w:hAnsi="Arial" w:cs="Arial"/>
                <w:b w:val="0"/>
                <w:sz w:val="20"/>
              </w:rPr>
              <w:t>MKT</w:t>
            </w:r>
            <w:r w:rsidR="004A42BF">
              <w:rPr>
                <w:rFonts w:ascii="Arial" w:hAnsi="Arial" w:cs="Arial"/>
                <w:b w:val="0"/>
                <w:sz w:val="20"/>
              </w:rPr>
              <w:t>-DCO-1</w:t>
            </w:r>
            <w:r w:rsidR="00EE4A50">
              <w:rPr>
                <w:rFonts w:ascii="Arial" w:hAnsi="Arial" w:cs="Arial"/>
                <w:b w:val="0"/>
                <w:sz w:val="20"/>
              </w:rPr>
              <w:t>83</w:t>
            </w:r>
          </w:p>
        </w:tc>
        <w:tc>
          <w:tcPr>
            <w:tcW w:w="2123" w:type="dxa"/>
          </w:tcPr>
          <w:p w:rsidR="009617AA" w:rsidRPr="00B41FEF" w:rsidRDefault="009617AA" w:rsidP="00BB0442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Dave Daniels</w:t>
            </w:r>
          </w:p>
        </w:tc>
      </w:tr>
      <w:tr w:rsidR="009617AA" w:rsidTr="00194E64">
        <w:trPr>
          <w:trHeight w:val="243"/>
        </w:trPr>
        <w:tc>
          <w:tcPr>
            <w:tcW w:w="2430" w:type="dxa"/>
          </w:tcPr>
          <w:p w:rsidR="009617AA" w:rsidRPr="00B41FEF" w:rsidRDefault="009617AA" w:rsidP="00BB0442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850" w:type="dxa"/>
          </w:tcPr>
          <w:p w:rsidR="009617AA" w:rsidRPr="00B41FEF" w:rsidRDefault="00BB0442" w:rsidP="00BB0442">
            <w:pPr>
              <w:pStyle w:val="MapTitle"/>
              <w:numPr>
                <w:ilvl w:val="12"/>
                <w:numId w:val="0"/>
              </w:numPr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>
              <w:rPr>
                <w:rFonts w:ascii="Arial" w:hAnsi="Arial" w:cs="Arial"/>
                <w:b w:val="0"/>
                <w:sz w:val="20"/>
              </w:rPr>
              <w:t>Assembly Drawing (1000)</w:t>
            </w:r>
          </w:p>
        </w:tc>
        <w:tc>
          <w:tcPr>
            <w:tcW w:w="2123" w:type="dxa"/>
          </w:tcPr>
          <w:p w:rsidR="009617AA" w:rsidRPr="00B41FEF" w:rsidRDefault="009617AA" w:rsidP="00BB0442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9617AA" w:rsidTr="00194E64">
        <w:trPr>
          <w:trHeight w:val="243"/>
        </w:trPr>
        <w:tc>
          <w:tcPr>
            <w:tcW w:w="2430" w:type="dxa"/>
          </w:tcPr>
          <w:p w:rsidR="009617AA" w:rsidRPr="00B41FEF" w:rsidRDefault="009617AA" w:rsidP="009617AA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850" w:type="dxa"/>
          </w:tcPr>
          <w:p w:rsidR="009617AA" w:rsidRPr="00B41FEF" w:rsidRDefault="00BB0442" w:rsidP="00BB0442">
            <w:pPr>
              <w:pStyle w:val="MapTitle"/>
              <w:numPr>
                <w:ilvl w:val="12"/>
                <w:numId w:val="0"/>
              </w:numPr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**Label, M</w:t>
            </w:r>
            <w:r w:rsidR="00194E64">
              <w:rPr>
                <w:rFonts w:ascii="Arial" w:hAnsi="Arial" w:cs="Arial"/>
                <w:b w:val="0"/>
                <w:sz w:val="20"/>
              </w:rPr>
              <w:t>od</w:t>
            </w:r>
            <w:r>
              <w:rPr>
                <w:rFonts w:ascii="Arial" w:hAnsi="Arial" w:cs="Arial"/>
                <w:b w:val="0"/>
                <w:sz w:val="20"/>
              </w:rPr>
              <w:t xml:space="preserve"> C</w:t>
            </w:r>
            <w:r w:rsidR="00194E64">
              <w:rPr>
                <w:rFonts w:ascii="Arial" w:hAnsi="Arial" w:cs="Arial"/>
                <w:b w:val="0"/>
                <w:sz w:val="20"/>
              </w:rPr>
              <w:t>ode</w:t>
            </w:r>
            <w:r>
              <w:rPr>
                <w:rFonts w:ascii="Arial" w:hAnsi="Arial" w:cs="Arial"/>
                <w:b w:val="0"/>
                <w:sz w:val="20"/>
              </w:rPr>
              <w:t xml:space="preserve"> 01 (3151333)</w:t>
            </w:r>
          </w:p>
        </w:tc>
        <w:tc>
          <w:tcPr>
            <w:tcW w:w="2123" w:type="dxa"/>
          </w:tcPr>
          <w:p w:rsidR="009617AA" w:rsidRPr="00B41FEF" w:rsidRDefault="009617AA" w:rsidP="00BB0442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502C60" w:rsidTr="00194E64">
        <w:trPr>
          <w:trHeight w:val="243"/>
        </w:trPr>
        <w:tc>
          <w:tcPr>
            <w:tcW w:w="2430" w:type="dxa"/>
          </w:tcPr>
          <w:p w:rsidR="00502C60" w:rsidRPr="00FE71EF" w:rsidRDefault="00502C60" w:rsidP="00502C60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850" w:type="dxa"/>
          </w:tcPr>
          <w:p w:rsidR="00502C60" w:rsidRPr="00FE71EF" w:rsidRDefault="00BB0442" w:rsidP="00BB0442">
            <w:pPr>
              <w:pStyle w:val="MapTitle"/>
              <w:numPr>
                <w:ilvl w:val="12"/>
                <w:numId w:val="0"/>
              </w:numPr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**</w:t>
            </w:r>
            <w:r w:rsidR="00194E64">
              <w:rPr>
                <w:rFonts w:ascii="Arial" w:hAnsi="Arial" w:cs="Arial"/>
                <w:b w:val="0"/>
                <w:sz w:val="20"/>
              </w:rPr>
              <w:t>Label, ESU Output Connection Instruction</w:t>
            </w:r>
            <w:r>
              <w:rPr>
                <w:rFonts w:ascii="Arial" w:hAnsi="Arial" w:cs="Arial"/>
                <w:b w:val="0"/>
                <w:sz w:val="20"/>
              </w:rPr>
              <w:t xml:space="preserve"> (315</w:t>
            </w:r>
            <w:r w:rsidR="00194E64">
              <w:rPr>
                <w:rFonts w:ascii="Arial" w:hAnsi="Arial" w:cs="Arial"/>
                <w:b w:val="0"/>
                <w:sz w:val="20"/>
              </w:rPr>
              <w:t>1269</w:t>
            </w:r>
            <w:r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2123" w:type="dxa"/>
          </w:tcPr>
          <w:p w:rsidR="00502C60" w:rsidRPr="00B41FEF" w:rsidRDefault="00502C60" w:rsidP="00502C60">
            <w:pPr>
              <w:pStyle w:val="MapTitle"/>
              <w:numPr>
                <w:ilvl w:val="12"/>
                <w:numId w:val="0"/>
              </w:numPr>
              <w:spacing w:after="0"/>
              <w:outlineLvl w:val="0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4E15FB" w:rsidRDefault="004E15FB" w:rsidP="00C81597">
      <w:pPr>
        <w:rPr>
          <w:color w:val="FF0000"/>
        </w:rPr>
      </w:pPr>
    </w:p>
    <w:p w:rsidR="00B3038C" w:rsidRPr="009B1C1C" w:rsidRDefault="004A42BF" w:rsidP="004A42BF">
      <w:pPr>
        <w:rPr>
          <w:color w:val="FF0000"/>
        </w:rPr>
      </w:pPr>
      <w:r w:rsidRPr="009B1C1C">
        <w:rPr>
          <w:color w:val="FF0000"/>
        </w:rPr>
        <w:t xml:space="preserve"> </w:t>
      </w:r>
    </w:p>
    <w:sectPr w:rsidR="00B3038C" w:rsidRPr="009B1C1C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2432" w:rsidRDefault="002A2432">
      <w:r>
        <w:separator/>
      </w:r>
    </w:p>
  </w:endnote>
  <w:endnote w:type="continuationSeparator" w:id="0">
    <w:p w:rsidR="002A2432" w:rsidRDefault="002A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32" w:rsidRPr="00C92DB9" w:rsidRDefault="002A2432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 xml:space="preserve">Page </w:t>
    </w:r>
    <w:r w:rsidRPr="00C92DB9">
      <w:rPr>
        <w:rStyle w:val="PageNumber"/>
        <w:rFonts w:ascii="Arial" w:hAnsi="Arial" w:cs="Arial"/>
        <w:snapToGrid w:val="0"/>
        <w:sz w:val="22"/>
      </w:rPr>
      <w:fldChar w:fldCharType="begin"/>
    </w:r>
    <w:r w:rsidRPr="00C92DB9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C92DB9">
      <w:rPr>
        <w:rStyle w:val="PageNumber"/>
        <w:rFonts w:ascii="Arial" w:hAnsi="Arial" w:cs="Arial"/>
        <w:snapToGrid w:val="0"/>
        <w:sz w:val="22"/>
      </w:rPr>
      <w:fldChar w:fldCharType="separate"/>
    </w:r>
    <w:r w:rsidR="00E1663C">
      <w:rPr>
        <w:rStyle w:val="PageNumber"/>
        <w:rFonts w:ascii="Arial" w:hAnsi="Arial" w:cs="Arial"/>
        <w:noProof/>
        <w:snapToGrid w:val="0"/>
        <w:sz w:val="22"/>
      </w:rPr>
      <w:t>3</w:t>
    </w:r>
    <w:r w:rsidRPr="00C92DB9">
      <w:rPr>
        <w:rStyle w:val="PageNumber"/>
        <w:rFonts w:ascii="Arial" w:hAnsi="Arial" w:cs="Arial"/>
        <w:snapToGrid w:val="0"/>
        <w:sz w:val="22"/>
      </w:rPr>
      <w:fldChar w:fldCharType="end"/>
    </w:r>
    <w:r>
      <w:rPr>
        <w:rStyle w:val="PageNumber"/>
        <w:rFonts w:ascii="Arial" w:hAnsi="Arial" w:cs="Arial"/>
        <w:snapToGrid w:val="0"/>
        <w:sz w:val="22"/>
      </w:rPr>
      <w:t xml:space="preserve"> of </w:t>
    </w:r>
    <w:r w:rsidR="004C3321">
      <w:rPr>
        <w:rStyle w:val="PageNumber"/>
        <w:rFonts w:ascii="Arial" w:hAnsi="Arial" w:cs="Arial"/>
        <w:snapToGrid w:val="0"/>
        <w:sz w:val="22"/>
      </w:rPr>
      <w:t>2</w:t>
    </w:r>
  </w:p>
  <w:p w:rsidR="002A2432" w:rsidRPr="00C92DB9" w:rsidRDefault="002A2432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:rsidR="002A2432" w:rsidRDefault="002A2432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2432" w:rsidRDefault="002A2432">
      <w:r>
        <w:separator/>
      </w:r>
    </w:p>
  </w:footnote>
  <w:footnote w:type="continuationSeparator" w:id="0">
    <w:p w:rsidR="002A2432" w:rsidRDefault="002A2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32" w:rsidRDefault="002A2432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</w:t>
    </w:r>
    <w:r w:rsidR="0072423F">
      <w:t>61353</w:t>
    </w:r>
  </w:p>
  <w:p w:rsidR="002A2432" w:rsidRDefault="002A24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319B6"/>
    <w:rsid w:val="000371B3"/>
    <w:rsid w:val="00042A2B"/>
    <w:rsid w:val="00047EED"/>
    <w:rsid w:val="000610EE"/>
    <w:rsid w:val="00082066"/>
    <w:rsid w:val="00087315"/>
    <w:rsid w:val="000A1AEF"/>
    <w:rsid w:val="000B0D3B"/>
    <w:rsid w:val="000C3C24"/>
    <w:rsid w:val="000F17C2"/>
    <w:rsid w:val="000F5C1C"/>
    <w:rsid w:val="00131E19"/>
    <w:rsid w:val="00143100"/>
    <w:rsid w:val="00163C35"/>
    <w:rsid w:val="00192F37"/>
    <w:rsid w:val="00194E64"/>
    <w:rsid w:val="001A606D"/>
    <w:rsid w:val="001B2B8E"/>
    <w:rsid w:val="001D1CC1"/>
    <w:rsid w:val="001E05AB"/>
    <w:rsid w:val="00200184"/>
    <w:rsid w:val="002317FF"/>
    <w:rsid w:val="00240C35"/>
    <w:rsid w:val="00263B86"/>
    <w:rsid w:val="00290C1C"/>
    <w:rsid w:val="002A0D76"/>
    <w:rsid w:val="002A2432"/>
    <w:rsid w:val="002B2CA7"/>
    <w:rsid w:val="002C1DF1"/>
    <w:rsid w:val="00380FE4"/>
    <w:rsid w:val="0038696F"/>
    <w:rsid w:val="00391101"/>
    <w:rsid w:val="00397A50"/>
    <w:rsid w:val="003A1B4D"/>
    <w:rsid w:val="003B18B7"/>
    <w:rsid w:val="003D1501"/>
    <w:rsid w:val="003F4A19"/>
    <w:rsid w:val="004044E3"/>
    <w:rsid w:val="00421265"/>
    <w:rsid w:val="004222A5"/>
    <w:rsid w:val="004466C3"/>
    <w:rsid w:val="00451AAA"/>
    <w:rsid w:val="00467C71"/>
    <w:rsid w:val="004708E7"/>
    <w:rsid w:val="00483EE4"/>
    <w:rsid w:val="004A3296"/>
    <w:rsid w:val="004A42BF"/>
    <w:rsid w:val="004A7E12"/>
    <w:rsid w:val="004B49CF"/>
    <w:rsid w:val="004C3321"/>
    <w:rsid w:val="004D21D9"/>
    <w:rsid w:val="004E115C"/>
    <w:rsid w:val="004E15FB"/>
    <w:rsid w:val="004F2A0F"/>
    <w:rsid w:val="004F3282"/>
    <w:rsid w:val="004F4C65"/>
    <w:rsid w:val="00502C60"/>
    <w:rsid w:val="00543643"/>
    <w:rsid w:val="0055098A"/>
    <w:rsid w:val="005509F0"/>
    <w:rsid w:val="00553A2F"/>
    <w:rsid w:val="005569E3"/>
    <w:rsid w:val="00576E04"/>
    <w:rsid w:val="005C4E7E"/>
    <w:rsid w:val="005D3FA4"/>
    <w:rsid w:val="005F3791"/>
    <w:rsid w:val="00601417"/>
    <w:rsid w:val="006458AB"/>
    <w:rsid w:val="00653A7B"/>
    <w:rsid w:val="0066006D"/>
    <w:rsid w:val="00667E56"/>
    <w:rsid w:val="006741D6"/>
    <w:rsid w:val="006A10E3"/>
    <w:rsid w:val="006A5F34"/>
    <w:rsid w:val="006B084A"/>
    <w:rsid w:val="006B4D97"/>
    <w:rsid w:val="006D1645"/>
    <w:rsid w:val="006F7EB3"/>
    <w:rsid w:val="00702F4A"/>
    <w:rsid w:val="0072423F"/>
    <w:rsid w:val="00724B1E"/>
    <w:rsid w:val="007324F1"/>
    <w:rsid w:val="007774EB"/>
    <w:rsid w:val="00793291"/>
    <w:rsid w:val="007E1BB6"/>
    <w:rsid w:val="00805184"/>
    <w:rsid w:val="008209EA"/>
    <w:rsid w:val="00822D24"/>
    <w:rsid w:val="00841F4D"/>
    <w:rsid w:val="00847B5A"/>
    <w:rsid w:val="00854401"/>
    <w:rsid w:val="008836E7"/>
    <w:rsid w:val="0089066F"/>
    <w:rsid w:val="00895E3E"/>
    <w:rsid w:val="008A225D"/>
    <w:rsid w:val="008B1CEF"/>
    <w:rsid w:val="008B7CEC"/>
    <w:rsid w:val="008E5D49"/>
    <w:rsid w:val="008F37E3"/>
    <w:rsid w:val="00900A2F"/>
    <w:rsid w:val="0091381F"/>
    <w:rsid w:val="009269D3"/>
    <w:rsid w:val="00926BA0"/>
    <w:rsid w:val="00935DA7"/>
    <w:rsid w:val="00935DC0"/>
    <w:rsid w:val="00937E6F"/>
    <w:rsid w:val="00941D91"/>
    <w:rsid w:val="009617AA"/>
    <w:rsid w:val="00967F39"/>
    <w:rsid w:val="00993A39"/>
    <w:rsid w:val="009A772A"/>
    <w:rsid w:val="009B1C1C"/>
    <w:rsid w:val="009E04ED"/>
    <w:rsid w:val="009F3E0D"/>
    <w:rsid w:val="00A31221"/>
    <w:rsid w:val="00A3726A"/>
    <w:rsid w:val="00A50B31"/>
    <w:rsid w:val="00A61D69"/>
    <w:rsid w:val="00A6326D"/>
    <w:rsid w:val="00A75A36"/>
    <w:rsid w:val="00A76CB3"/>
    <w:rsid w:val="00A834B3"/>
    <w:rsid w:val="00A90F87"/>
    <w:rsid w:val="00A92631"/>
    <w:rsid w:val="00A96D63"/>
    <w:rsid w:val="00AA07DF"/>
    <w:rsid w:val="00AD4F5E"/>
    <w:rsid w:val="00AE3861"/>
    <w:rsid w:val="00AF6204"/>
    <w:rsid w:val="00B0054E"/>
    <w:rsid w:val="00B029A2"/>
    <w:rsid w:val="00B160DF"/>
    <w:rsid w:val="00B3038C"/>
    <w:rsid w:val="00B3748E"/>
    <w:rsid w:val="00B41FEF"/>
    <w:rsid w:val="00B43997"/>
    <w:rsid w:val="00B577DB"/>
    <w:rsid w:val="00B65313"/>
    <w:rsid w:val="00B84DA8"/>
    <w:rsid w:val="00BB0442"/>
    <w:rsid w:val="00BC1C37"/>
    <w:rsid w:val="00BC5E35"/>
    <w:rsid w:val="00BC6398"/>
    <w:rsid w:val="00BD0664"/>
    <w:rsid w:val="00BD704B"/>
    <w:rsid w:val="00C0131E"/>
    <w:rsid w:val="00C046B2"/>
    <w:rsid w:val="00C04C25"/>
    <w:rsid w:val="00C35E1F"/>
    <w:rsid w:val="00C4558A"/>
    <w:rsid w:val="00C81597"/>
    <w:rsid w:val="00C9076F"/>
    <w:rsid w:val="00C91D55"/>
    <w:rsid w:val="00C92DB9"/>
    <w:rsid w:val="00CB12FF"/>
    <w:rsid w:val="00CD4C42"/>
    <w:rsid w:val="00CF68E2"/>
    <w:rsid w:val="00D3387E"/>
    <w:rsid w:val="00D45285"/>
    <w:rsid w:val="00D66FAE"/>
    <w:rsid w:val="00D80CCF"/>
    <w:rsid w:val="00DB30B9"/>
    <w:rsid w:val="00DC2424"/>
    <w:rsid w:val="00DD090C"/>
    <w:rsid w:val="00DD6C50"/>
    <w:rsid w:val="00DE1983"/>
    <w:rsid w:val="00DE4AF1"/>
    <w:rsid w:val="00DF4A3F"/>
    <w:rsid w:val="00E12E1A"/>
    <w:rsid w:val="00E1663C"/>
    <w:rsid w:val="00E5228E"/>
    <w:rsid w:val="00E52DDB"/>
    <w:rsid w:val="00E5355A"/>
    <w:rsid w:val="00E551CD"/>
    <w:rsid w:val="00E7422A"/>
    <w:rsid w:val="00E753C9"/>
    <w:rsid w:val="00E96827"/>
    <w:rsid w:val="00EB3CF0"/>
    <w:rsid w:val="00EB55C9"/>
    <w:rsid w:val="00EE210A"/>
    <w:rsid w:val="00EE4A50"/>
    <w:rsid w:val="00EE6D69"/>
    <w:rsid w:val="00EF6A8C"/>
    <w:rsid w:val="00F01E76"/>
    <w:rsid w:val="00F026CE"/>
    <w:rsid w:val="00F47914"/>
    <w:rsid w:val="00F5258C"/>
    <w:rsid w:val="00F55A49"/>
    <w:rsid w:val="00F6073D"/>
    <w:rsid w:val="00F85BC7"/>
    <w:rsid w:val="00F95E06"/>
    <w:rsid w:val="00FB1F56"/>
    <w:rsid w:val="00FE71EF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6C936609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D0CF71CE9C743A1F478C8E5A281C2" ma:contentTypeVersion="10" ma:contentTypeDescription="Create a new document." ma:contentTypeScope="" ma:versionID="59d98415f673a25c61891a6fdc281f17">
  <xsd:schema xmlns:xsd="http://www.w3.org/2001/XMLSchema" xmlns:xs="http://www.w3.org/2001/XMLSchema" xmlns:p="http://schemas.microsoft.com/office/2006/metadata/properties" xmlns:ns1="http://schemas.microsoft.com/sharepoint/v3" xmlns:ns2="fb59825e-5a6c-44bc-9fee-5cc8a453ca0c" xmlns:ns3="e7deb875-b273-4c4c-9f24-00558f55ae50" targetNamespace="http://schemas.microsoft.com/office/2006/metadata/properties" ma:root="true" ma:fieldsID="4aa6df9a00d0030bda6023121b43240a" ns1:_="" ns2:_="" ns3:_="">
    <xsd:import namespace="http://schemas.microsoft.com/sharepoint/v3"/>
    <xsd:import namespace="fb59825e-5a6c-44bc-9fee-5cc8a453ca0c"/>
    <xsd:import namespace="e7deb875-b273-4c4c-9f24-00558f55ae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9825e-5a6c-44bc-9fee-5cc8a453ca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eb875-b273-4c4c-9f24-00558f55a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94E516C-5A54-49AA-9FD9-7642A279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59825e-5a6c-44bc-9fee-5cc8a453ca0c"/>
    <ds:schemaRef ds:uri="e7deb875-b273-4c4c-9f24-00558f55a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FB8DEF-8DB0-414B-8FC4-5107F599E4F9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e7deb875-b273-4c4c-9f24-00558f55ae50"/>
    <ds:schemaRef ds:uri="fb59825e-5a6c-44bc-9fee-5cc8a453ca0c"/>
  </ds:schemaRefs>
</ds:datastoreItem>
</file>

<file path=customXml/itemProps5.xml><?xml version="1.0" encoding="utf-8"?>
<ds:datastoreItem xmlns:ds="http://schemas.openxmlformats.org/officeDocument/2006/customXml" ds:itemID="{86EF6A0C-3BDC-4403-A448-888D029B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199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Daniels, Dwight [ETHUS]</cp:lastModifiedBy>
  <cp:revision>6</cp:revision>
  <cp:lastPrinted>2018-04-12T16:44:00Z</cp:lastPrinted>
  <dcterms:created xsi:type="dcterms:W3CDTF">2019-01-02T13:25:00Z</dcterms:created>
  <dcterms:modified xsi:type="dcterms:W3CDTF">2019-01-02T18:16:00Z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</Properties>
</file>