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04/10/2021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10/10/2021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NDWI - Literature Survey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ARVI, GCI, and EVI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 with ARVI, GCI and EVI as inputs to the models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 with ARVI, GCI and EVI as inputs to the models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NDWI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mhgSogr1ume3ZKh6gVaVyTNMA==">AMUW2mWZ80a8GPO+DjSyYOD/2L2DIuBdL1fOiRAP4aA6tbnBrUo1WobfLHWbmnkFa9/V5oy6Xe+wzLXC+zhGNdC08ntVpjbyS4B4Tl1xegh2+JKNJhsNOwI=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