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Project Documentation</w:t>
      </w:r>
    </w:p>
    <w:p>
      <w:pPr>
        <w:jc w:val="center"/>
      </w:pPr>
      <w:r>
        <w:rPr>
          <w:color w:val="404040"/>
          <w:sz w:val="30"/>
        </w:rPr>
        <w:t>Automated GDPR-to-LegalRuleML Rule Representation</w:t>
      </w:r>
    </w:p>
    <w:p>
      <w:pPr>
        <w:jc w:val="center"/>
      </w:pPr>
      <w:r>
        <w:rPr>
          <w:i/>
          <w:sz w:val="22"/>
        </w:rPr>
        <w:t>Proof of Concept — GDPR Article 8(2) encoded in OASIS LegalRuleML</w:t>
      </w:r>
    </w:p>
    <w:p>
      <w:pPr>
        <w:jc w:val="center"/>
      </w:pPr>
      <w:r>
        <w:rPr>
          <w:sz w:val="20"/>
        </w:rPr>
        <w:t>Version 1.0  ·  Standard: OASIS LegalRuleML Core Specification v1.0</w:t>
      </w:r>
    </w:p>
    <w:p>
      <w:r>
        <w:br w:type="page"/>
      </w:r>
    </w:p>
    <w:p>
      <w:pPr>
        <w:pStyle w:val="Heading1"/>
      </w:pPr>
      <w:r>
        <w:t>1. Project Overview</w:t>
      </w:r>
    </w:p>
    <w:p>
      <w:r>
        <w:rPr>
          <w:b w:val="0"/>
        </w:rPr>
        <w:t>This project is a proof of concept that converts a provision of the EU General Data Protection Regulation (GDPR) into a machine-readable legal rule expressed in OASIS LegalRuleML, the international XML standard for representing legal norms. The worked example is GDPR Article 8(2): the controller’s obligation to make reasonable efforts to verify that consent for processing a child’s personal data has been given or authorised by the holder of parental responsibility.</w:t>
      </w:r>
    </w:p>
    <w:p>
      <w:r>
        <w:rPr>
          <w:b w:val="0"/>
        </w:rPr>
        <w:t>The deliverable is not only the XML file but a small, repeatable pipeline that fetches the real legal text, identifies its normative elements, builds the LegalRuleML representation, and then verifies the result both against the standard and against the original text. This makes the conversion transparent, reproducible and provably faithful.</w:t>
      </w:r>
    </w:p>
    <w:p>
      <w:pPr>
        <w:pStyle w:val="Heading1"/>
      </w:pPr>
      <w:r>
        <w:t>2. Objective and Scope</w:t>
      </w:r>
    </w:p>
    <w:p>
      <w:r>
        <w:rPr>
          <w:b/>
        </w:rPr>
        <w:t>Objective:</w:t>
      </w:r>
    </w:p>
    <w:p>
      <w:pPr>
        <w:pStyle w:val="ListBullet"/>
      </w:pPr>
      <w:r>
        <w:t>Represent the normative rule of GDPR Article 8(2) in valid OASIS LegalRuleML.</w:t>
      </w:r>
    </w:p>
    <w:p>
      <w:pPr>
        <w:pStyle w:val="ListBullet"/>
      </w:pPr>
      <w:r>
        <w:t>Document the method for identifying the legal elements (actor, action, conditions, modality and others).</w:t>
      </w:r>
    </w:p>
    <w:p>
      <w:pPr>
        <w:pStyle w:val="ListBullet"/>
      </w:pPr>
      <w:r>
        <w:t>Explain the main XML elements and how they encode the legal rule.</w:t>
      </w:r>
    </w:p>
    <w:p>
      <w:pPr>
        <w:pStyle w:val="ListBullet"/>
      </w:pPr>
      <w:r>
        <w:t>Validate the XML against the LegalRuleML standard and against the source text.</w:t>
      </w:r>
    </w:p>
    <w:p>
      <w:r>
        <w:rPr>
          <w:b/>
        </w:rPr>
        <w:t>In scope:</w:t>
      </w:r>
    </w:p>
    <w:p>
      <w:pPr>
        <w:pStyle w:val="ListBullet"/>
      </w:pPr>
      <w:r>
        <w:t>Article 8(2) is modelled as a full prescriptive rule.</w:t>
      </w:r>
    </w:p>
    <w:p>
      <w:pPr>
        <w:pStyle w:val="ListBullet"/>
      </w:pPr>
      <w:r>
        <w:t>Article 8(1) is used as the triggering conditions (the “in such cases” reference inside 8(2)).</w:t>
      </w:r>
    </w:p>
    <w:p>
      <w:r>
        <w:rPr>
          <w:b/>
        </w:rPr>
        <w:t>Out of scope (for this PoC):</w:t>
      </w:r>
    </w:p>
    <w:p>
      <w:pPr>
        <w:pStyle w:val="ListBullet"/>
      </w:pPr>
      <w:r>
        <w:t>Article 8(3) (effect on national contract law) is not modelled; it is a separate norm.</w:t>
      </w:r>
    </w:p>
    <w:p>
      <w:pPr>
        <w:pStyle w:val="ListBullet"/>
      </w:pPr>
      <w:r>
        <w:t>Automated natural-language extraction (NLP/NER) of the elements — the identification step is a deliberate manual legal-reading task, as the standard intends.</w:t>
      </w:r>
    </w:p>
    <w:p>
      <w:pPr>
        <w:pStyle w:val="Heading1"/>
      </w:pPr>
      <w:r>
        <w:t>3. The Legal Provision</w:t>
      </w:r>
    </w:p>
    <w:p>
      <w:r>
        <w:rPr>
          <w:b w:val="0"/>
        </w:rPr>
        <w:t>Source (client-provided): https://gdpr-info.eu/art-8-gdpr/</w:t>
      </w:r>
    </w:p>
    <w:p>
      <w:r>
        <w:rPr>
          <w:b/>
        </w:rPr>
        <w:t>GDPR Article 8(2), verbatim:</w:t>
      </w:r>
    </w:p>
    <w:p>
      <w:pPr>
        <w:ind w:left="576"/>
      </w:pPr>
      <w:r>
        <w:rPr>
          <w:i/>
        </w:rPr>
        <w:t>“The controller shall make reasonable efforts to verify in such cases that consent is given or authorised by the holder of parental responsibility over the child, taking into consideration available technology.”</w:t>
      </w:r>
    </w:p>
    <w:p>
      <w:pPr>
        <w:pStyle w:val="Heading1"/>
      </w:pPr>
      <w:r>
        <w:t>4. Methodology — Identifying the Normative Elements</w:t>
      </w:r>
    </w:p>
    <w:p>
      <w:r>
        <w:rPr>
          <w:b w:val="0"/>
        </w:rPr>
        <w:t>Each element of the provision is identified by applying one fixed reading rule, tied to a specific phrase in the sentence. This is the core legal analysis the standard requires, and it is recorded in code in src/entities.py.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Rule applied</w:t>
            </w:r>
          </w:p>
        </w:tc>
        <w:tc>
          <w:tcPr>
            <w:tcW w:type="dxa" w:w="2880"/>
          </w:tcPr>
          <w:p>
            <w:r>
              <w:t>Trigger phrase in Art 8(2)</w:t>
            </w:r>
          </w:p>
        </w:tc>
        <w:tc>
          <w:tcPr>
            <w:tcW w:type="dxa" w:w="2880"/>
          </w:tcPr>
          <w:p>
            <w:r>
              <w:t>Element identified</w:t>
            </w:r>
          </w:p>
        </w:tc>
      </w:tr>
      <w:tr>
        <w:tc>
          <w:tcPr>
            <w:tcW w:type="dxa" w:w="2880"/>
          </w:tcPr>
          <w:p>
            <w:r>
              <w:t>Modality rule (shall/must → Obligation)</w:t>
            </w:r>
          </w:p>
        </w:tc>
        <w:tc>
          <w:tcPr>
            <w:tcW w:type="dxa" w:w="2880"/>
          </w:tcPr>
          <w:p>
            <w:r>
              <w:t>“shall”</w:t>
            </w:r>
          </w:p>
        </w:tc>
        <w:tc>
          <w:tcPr>
            <w:tcW w:type="dxa" w:w="2880"/>
          </w:tcPr>
          <w:p>
            <w:r>
              <w:t>Modality = Obligation</w:t>
            </w:r>
          </w:p>
        </w:tc>
      </w:tr>
      <w:tr>
        <w:tc>
          <w:tcPr>
            <w:tcW w:type="dxa" w:w="2880"/>
          </w:tcPr>
          <w:p>
            <w:r>
              <w:t>Actor rule (subject of the modal verb)</w:t>
            </w:r>
          </w:p>
        </w:tc>
        <w:tc>
          <w:tcPr>
            <w:tcW w:type="dxa" w:w="2880"/>
          </w:tcPr>
          <w:p>
            <w:r>
              <w:t>“The controller”</w:t>
            </w:r>
          </w:p>
        </w:tc>
        <w:tc>
          <w:tcPr>
            <w:tcW w:type="dxa" w:w="2880"/>
          </w:tcPr>
          <w:p>
            <w:r>
              <w:t>Actor / bearer = controller</w:t>
            </w:r>
          </w:p>
        </w:tc>
      </w:tr>
      <w:tr>
        <w:tc>
          <w:tcPr>
            <w:tcW w:type="dxa" w:w="2880"/>
          </w:tcPr>
          <w:p>
            <w:r>
              <w:t>Action rule (verb phrase)</w:t>
            </w:r>
          </w:p>
        </w:tc>
        <w:tc>
          <w:tcPr>
            <w:tcW w:type="dxa" w:w="2880"/>
          </w:tcPr>
          <w:p>
            <w:r>
              <w:t>“make reasonable efforts to verify”</w:t>
            </w:r>
          </w:p>
        </w:tc>
        <w:tc>
          <w:tcPr>
            <w:tcW w:type="dxa" w:w="2880"/>
          </w:tcPr>
          <w:p>
            <w:r>
              <w:t>Action</w:t>
            </w:r>
          </w:p>
        </w:tc>
      </w:tr>
      <w:tr>
        <w:tc>
          <w:tcPr>
            <w:tcW w:type="dxa" w:w="2880"/>
          </w:tcPr>
          <w:p>
            <w:r>
              <w:t>Condition rule (antecedents + cross-references)</w:t>
            </w:r>
          </w:p>
        </w:tc>
        <w:tc>
          <w:tcPr>
            <w:tcW w:type="dxa" w:w="2880"/>
          </w:tcPr>
          <w:p>
            <w:r>
              <w:t>“in such cases” → Art 8(1)</w:t>
            </w:r>
          </w:p>
        </w:tc>
        <w:tc>
          <w:tcPr>
            <w:tcW w:type="dxa" w:w="2880"/>
          </w:tcPr>
          <w:p>
            <w:r>
              <w:t>Conditions: service to child; consent-based; below age</w:t>
            </w:r>
          </w:p>
        </w:tc>
      </w:tr>
      <w:tr>
        <w:tc>
          <w:tcPr>
            <w:tcW w:type="dxa" w:w="2880"/>
          </w:tcPr>
          <w:p>
            <w:r>
              <w:t>Object rule</w:t>
            </w:r>
          </w:p>
        </w:tc>
        <w:tc>
          <w:tcPr>
            <w:tcW w:type="dxa" w:w="2880"/>
          </w:tcPr>
          <w:p>
            <w:r>
              <w:t>“that consent is given or authorised”</w:t>
            </w:r>
          </w:p>
        </w:tc>
        <w:tc>
          <w:tcPr>
            <w:tcW w:type="dxa" w:w="2880"/>
          </w:tcPr>
          <w:p>
            <w:r>
              <w:t>Object = consent</w:t>
            </w:r>
          </w:p>
        </w:tc>
      </w:tr>
      <w:tr>
        <w:tc>
          <w:tcPr>
            <w:tcW w:type="dxa" w:w="2880"/>
          </w:tcPr>
          <w:p>
            <w:r>
              <w:t>Party rule</w:t>
            </w:r>
          </w:p>
        </w:tc>
        <w:tc>
          <w:tcPr>
            <w:tcW w:type="dxa" w:w="2880"/>
          </w:tcPr>
          <w:p>
            <w:r>
              <w:t>“holder of parental responsibility”; “the child”</w:t>
            </w:r>
          </w:p>
        </w:tc>
        <w:tc>
          <w:tcPr>
            <w:tcW w:type="dxa" w:w="2880"/>
          </w:tcPr>
          <w:p>
            <w:r>
              <w:t>Parties</w:t>
            </w:r>
          </w:p>
        </w:tc>
      </w:tr>
      <w:tr>
        <w:tc>
          <w:tcPr>
            <w:tcW w:type="dxa" w:w="2880"/>
          </w:tcPr>
          <w:p>
            <w:r>
              <w:t>Qualifier rule</w:t>
            </w:r>
          </w:p>
        </w:tc>
        <w:tc>
          <w:tcPr>
            <w:tcW w:type="dxa" w:w="2880"/>
          </w:tcPr>
          <w:p>
            <w:r>
              <w:t>“taking into consideration available technology”</w:t>
            </w:r>
          </w:p>
        </w:tc>
        <w:tc>
          <w:tcPr>
            <w:tcW w:type="dxa" w:w="2880"/>
          </w:tcPr>
          <w:p>
            <w:r>
              <w:t>Standard on the action</w:t>
            </w:r>
          </w:p>
        </w:tc>
      </w:tr>
      <w:tr>
        <w:tc>
          <w:tcPr>
            <w:tcW w:type="dxa" w:w="2880"/>
          </w:tcPr>
          <w:p>
            <w:r>
              <w:t>Exception rule (unless/except)</w:t>
            </w:r>
          </w:p>
        </w:tc>
        <w:tc>
          <w:tcPr>
            <w:tcW w:type="dxa" w:w="2880"/>
          </w:tcPr>
          <w:p>
            <w:r>
              <w:t>(none in 8(2))</w:t>
            </w:r>
          </w:p>
        </w:tc>
        <w:tc>
          <w:tcPr>
            <w:tcW w:type="dxa" w:w="2880"/>
          </w:tcPr>
          <w:p>
            <w:r>
              <w:t>No exception</w:t>
            </w:r>
          </w:p>
        </w:tc>
      </w:tr>
      <w:tr>
        <w:tc>
          <w:tcPr>
            <w:tcW w:type="dxa" w:w="2880"/>
          </w:tcPr>
          <w:p>
            <w:r>
              <w:t>Provenance rule</w:t>
            </w:r>
          </w:p>
        </w:tc>
        <w:tc>
          <w:tcPr>
            <w:tcW w:type="dxa" w:w="2880"/>
          </w:tcPr>
          <w:p>
            <w:r>
              <w:t>Article 8(2)</w:t>
            </w:r>
          </w:p>
        </w:tc>
        <w:tc>
          <w:tcPr>
            <w:tcW w:type="dxa" w:w="2880"/>
          </w:tcPr>
          <w:p>
            <w:r>
              <w:t>Legal source</w:t>
            </w:r>
          </w:p>
        </w:tc>
      </w:tr>
    </w:tbl>
    <w:p>
      <w:r>
        <w:rPr>
          <w:b w:val="0"/>
        </w:rPr>
      </w:r>
    </w:p>
    <w:p>
      <w:r>
        <w:rPr>
          <w:b w:val="0"/>
        </w:rPr>
        <w:t>Two identifications require genuine legal reading rather than grammar alone: (1) “shall” signals an Obligation, and (2) “in such cases” is a cross-reference that must be expanded into the Article 8(1) conditions — otherwise the rule’s trigger would be incomplete.</w:t>
      </w:r>
    </w:p>
    <w:p>
      <w:pPr>
        <w:pStyle w:val="Heading1"/>
      </w:pPr>
      <w:r>
        <w:t>5. Solution Architecture</w:t>
      </w:r>
    </w:p>
    <w:p>
      <w:r>
        <w:rPr>
          <w:b w:val="0"/>
        </w:rPr>
        <w:t>The solution is a modular Python pipeline with one module per stage:</w:t>
      </w:r>
    </w:p>
    <w:p>
      <w:pPr>
        <w:pStyle w:val="ListBullet"/>
      </w:pPr>
      <w:r>
        <w:t>fetch_article.py — Step 1: fetch and parse Article 8 from gdpr-info.eu, with an offline cached copy as fallback.</w:t>
      </w:r>
    </w:p>
    <w:p>
      <w:pPr>
        <w:pStyle w:val="ListBullet"/>
      </w:pPr>
      <w:r>
        <w:t>entities.py — Step 2: the hand-authored normative model (a formula tree of Atom / And / Or over Var / Ind terms).</w:t>
      </w:r>
    </w:p>
    <w:p>
      <w:pPr>
        <w:pStyle w:val="ListBullet"/>
      </w:pPr>
      <w:r>
        <w:t>build_legalruleml.py — Step 3: render the model into OASIS LegalRuleML XML.</w:t>
      </w:r>
    </w:p>
    <w:p>
      <w:pPr>
        <w:pStyle w:val="ListBullet"/>
      </w:pPr>
      <w:r>
        <w:t>validate.py — Step 4: well-formedness + structural conformance + key/keyref integrity.</w:t>
      </w:r>
    </w:p>
    <w:p>
      <w:pPr>
        <w:pStyle w:val="ListBullet"/>
      </w:pPr>
      <w:r>
        <w:t>compare.py — Step 5: phrase-by-phrase comparison of the real text against the XML.</w:t>
      </w:r>
    </w:p>
    <w:p>
      <w:pPr>
        <w:pStyle w:val="ListBullet"/>
      </w:pPr>
      <w:r>
        <w:t>main.py — orchestrates the whole pipeline and prints a step report.</w:t>
      </w:r>
    </w:p>
    <w:p>
      <w:r>
        <w:rPr>
          <w:b w:val="0"/>
        </w:rPr>
      </w:r>
    </w:p>
    <w:p>
      <w:r>
        <w:rPr>
          <w:b/>
        </w:rPr>
        <w:t>Processing flow:</w:t>
      </w:r>
    </w:p>
    <w:p>
      <w:r>
        <w:rPr>
          <w:rFonts w:ascii="Consolas" w:hAnsi="Consolas"/>
          <w:sz w:val="17"/>
        </w:rPr>
        <w:t>Legal text (gdpr-info.eu)</w:t>
        <w:br/>
        <w:t xml:space="preserve">      |  fetch_article.py</w:t>
        <w:br/>
        <w:t xml:space="preserve">      v</w:t>
        <w:br/>
        <w:t>Structured provision text</w:t>
        <w:br/>
        <w:t xml:space="preserve">      |  entities.py        (manual element identification)</w:t>
        <w:br/>
        <w:t xml:space="preserve">      v</w:t>
        <w:br/>
        <w:t>Normative model (Atom/And/Or)</w:t>
        <w:br/>
        <w:t xml:space="preserve">      |  build_legalruleml.py</w:t>
        <w:br/>
        <w:t xml:space="preserve">      v</w:t>
        <w:br/>
        <w:t>OASIS LegalRuleML XML  --&gt;  validate.py  (structure: VALID)</w:t>
        <w:br/>
        <w:t xml:space="preserve">                       --&gt;  compare.py   (faithfulness: 18/18)</w:t>
      </w:r>
    </w:p>
    <w:p>
      <w:pPr>
        <w:pStyle w:val="Heading1"/>
      </w:pPr>
      <w:r>
        <w:t>6. The LegalRuleML XML — Element Reference</w:t>
      </w:r>
    </w:p>
    <w:p>
      <w:r>
        <w:rPr>
          <w:b w:val="0"/>
        </w:rPr>
        <w:t>The generated file is output/gdpr_art8_2.lrml.xml. Its main elements and the legal meaning each one carries:</w:t>
      </w:r>
    </w:p>
    <w:tbl>
      <w:tblPr>
        <w:tblStyle w:val="LightGrid-Accent1"/>
        <w:tblW w:type="auto" w:w="0"/>
        <w:tblLook w:firstColumn="1" w:firstRow="1" w:lastColumn="0" w:lastRow="0" w:noHBand="0" w:noVBand="1" w:val="04A0"/>
      </w:tblPr>
      <w:tblGrid>
        <w:gridCol w:w="4320"/>
        <w:gridCol w:w="4320"/>
      </w:tblGrid>
      <w:tr>
        <w:tc>
          <w:tcPr>
            <w:tcW w:type="dxa" w:w="4320"/>
          </w:tcPr>
          <w:p>
            <w:r>
              <w:t>XML element</w:t>
            </w:r>
          </w:p>
        </w:tc>
        <w:tc>
          <w:tcPr>
            <w:tcW w:type="dxa" w:w="4320"/>
          </w:tcPr>
          <w:p>
            <w:r>
              <w:t>Legal meaning</w:t>
            </w:r>
          </w:p>
        </w:tc>
      </w:tr>
      <w:tr>
        <w:tc>
          <w:tcPr>
            <w:tcW w:type="dxa" w:w="4320"/>
          </w:tcPr>
          <w:p>
            <w:r>
              <w:t>lrml:LegalRuleML</w:t>
            </w:r>
          </w:p>
        </w:tc>
        <w:tc>
          <w:tcPr>
            <w:tcW w:type="dxa" w:w="4320"/>
          </w:tcPr>
          <w:p>
            <w:r>
              <w:t>Root element; declares the lrml, ruleml and vocabulary namespaces.</w:t>
            </w:r>
          </w:p>
        </w:tc>
      </w:tr>
      <w:tr>
        <w:tc>
          <w:tcPr>
            <w:tcW w:type="dxa" w:w="4320"/>
          </w:tcPr>
          <w:p>
            <w:r>
              <w:t>lrml:LegalSources / lrml:LegalSource</w:t>
            </w:r>
          </w:p>
        </w:tc>
        <w:tc>
          <w:tcPr>
            <w:tcW w:type="dxa" w:w="4320"/>
          </w:tcPr>
          <w:p>
            <w:r>
              <w:t>Provenance — records which provision this file represents (sameAs points to the Article 8 URL).</w:t>
            </w:r>
          </w:p>
        </w:tc>
      </w:tr>
      <w:tr>
        <w:tc>
          <w:tcPr>
            <w:tcW w:type="dxa" w:w="4320"/>
          </w:tcPr>
          <w:p>
            <w:r>
              <w:t>lrml:PrescriptiveStatement</w:t>
            </w:r>
          </w:p>
        </w:tc>
        <w:tc>
          <w:tcPr>
            <w:tcW w:type="dxa" w:w="4320"/>
          </w:tcPr>
          <w:p>
            <w:r>
              <w:t>Marks the content as a norm (a prescriptive rule), not a fact or definition.</w:t>
            </w:r>
          </w:p>
        </w:tc>
      </w:tr>
      <w:tr>
        <w:tc>
          <w:tcPr>
            <w:tcW w:type="dxa" w:w="4320"/>
          </w:tcPr>
          <w:p>
            <w:r>
              <w:t>lrml:Paraphrase</w:t>
            </w:r>
          </w:p>
        </w:tc>
        <w:tc>
          <w:tcPr>
            <w:tcW w:type="dxa" w:w="4320"/>
          </w:tcPr>
          <w:p>
            <w:r>
              <w:t>Holds the verbatim text of the provision alongside the formal model.</w:t>
            </w:r>
          </w:p>
        </w:tc>
      </w:tr>
      <w:tr>
        <w:tc>
          <w:tcPr>
            <w:tcW w:type="dxa" w:w="4320"/>
          </w:tcPr>
          <w:p>
            <w:r>
              <w:t>ruleml:Rule (closure="universal")</w:t>
            </w:r>
          </w:p>
        </w:tc>
        <w:tc>
          <w:tcPr>
            <w:tcW w:type="dxa" w:w="4320"/>
          </w:tcPr>
          <w:p>
            <w:r>
              <w:t>The logical rule: a universally-quantified implication.</w:t>
            </w:r>
          </w:p>
        </w:tc>
      </w:tr>
      <w:tr>
        <w:tc>
          <w:tcPr>
            <w:tcW w:type="dxa" w:w="4320"/>
          </w:tcPr>
          <w:p>
            <w:r>
              <w:t>ruleml:if → ruleml:And</w:t>
            </w:r>
          </w:p>
        </w:tc>
        <w:tc>
          <w:tcPr>
            <w:tcW w:type="dxa" w:w="4320"/>
          </w:tcPr>
          <w:p>
            <w:r>
              <w:t>The triggering conditions (the Art 8(1) “in such cases” set).</w:t>
            </w:r>
          </w:p>
        </w:tc>
      </w:tr>
      <w:tr>
        <w:tc>
          <w:tcPr>
            <w:tcW w:type="dxa" w:w="4320"/>
          </w:tcPr>
          <w:p>
            <w:r>
              <w:t>ruleml:then → lrml:Obligation</w:t>
            </w:r>
          </w:p>
        </w:tc>
        <w:tc>
          <w:tcPr>
            <w:tcW w:type="dxa" w:w="4320"/>
          </w:tcPr>
          <w:p>
            <w:r>
              <w:t>The deontic conclusion; the Obligation is what makes this a legal ‘must’.</w:t>
            </w:r>
          </w:p>
        </w:tc>
      </w:tr>
      <w:tr>
        <w:tc>
          <w:tcPr>
            <w:tcW w:type="dxa" w:w="4320"/>
          </w:tcPr>
          <w:p>
            <w:r>
              <w:t>lrml:Bearer</w:t>
            </w:r>
          </w:p>
        </w:tc>
        <w:tc>
          <w:tcPr>
            <w:tcW w:type="dxa" w:w="4320"/>
          </w:tcPr>
          <w:p>
            <w:r>
              <w:t>Names who the obligation falls on — the controller.</w:t>
            </w:r>
          </w:p>
        </w:tc>
      </w:tr>
      <w:tr>
        <w:tc>
          <w:tcPr>
            <w:tcW w:type="dxa" w:w="4320"/>
          </w:tcPr>
          <w:p>
            <w:r>
              <w:t>ruleml:Or</w:t>
            </w:r>
          </w:p>
        </w:tc>
        <w:tc>
          <w:tcPr>
            <w:tcW w:type="dxa" w:w="4320"/>
          </w:tcPr>
          <w:p>
            <w:r>
              <w:t>Encodes the ‘given or authorised’ disjunction (either option satisfies the rule).</w:t>
            </w:r>
          </w:p>
        </w:tc>
      </w:tr>
      <w:tr>
        <w:tc>
          <w:tcPr>
            <w:tcW w:type="dxa" w:w="4320"/>
          </w:tcPr>
          <w:p>
            <w:r>
              <w:t>ruleml:Atom / Rel / Var / Ind</w:t>
            </w:r>
          </w:p>
        </w:tc>
        <w:tc>
          <w:tcPr>
            <w:tcW w:type="dxa" w:w="4320"/>
          </w:tcPr>
          <w:p>
            <w:r>
              <w:t>Each fact: a relation (Rel) over variables (Var) and individual constants (Ind).</w:t>
            </w:r>
          </w:p>
        </w:tc>
      </w:tr>
      <w:tr>
        <w:tc>
          <w:tcPr>
            <w:tcW w:type="dxa" w:w="4320"/>
          </w:tcPr>
          <w:p>
            <w:r>
              <w:t>lrml:Associations / lrml:Association</w:t>
            </w:r>
          </w:p>
        </w:tc>
        <w:tc>
          <w:tcPr>
            <w:tcW w:type="dxa" w:w="4320"/>
          </w:tcPr>
          <w:p>
            <w:r>
              <w:t>Binds the rule (toTarget) to its legal source (appliesSource).</w:t>
            </w:r>
          </w:p>
        </w:tc>
      </w:tr>
    </w:tbl>
    <w:p>
      <w:r>
        <w:rPr>
          <w:b w:val="0"/>
        </w:rPr>
      </w:r>
    </w:p>
    <w:p>
      <w:r>
        <w:rPr>
          <w:b/>
        </w:rPr>
        <w:t>Design principle:</w:t>
      </w:r>
    </w:p>
    <w:p>
      <w:r>
        <w:rPr>
          <w:b w:val="0"/>
        </w:rPr>
        <w:t>Every phrase of the provision is rendered as an explicit atom rather than hidden inside a predicate name, so the XML is a faithful representation. Predicate prefixes (prOnto, dapreco) mirror the ontologies used in the OASIS DAPRECO GDPR knowledge base; the namespace IRIs are placeholders to be repointed to the official ontologies in production.</w:t>
      </w:r>
    </w:p>
    <w:p>
      <w:pPr>
        <w:pStyle w:val="Heading1"/>
      </w:pPr>
      <w:r>
        <w:t>7. Validation Strategy</w:t>
      </w:r>
    </w:p>
    <w:p>
      <w:r>
        <w:rPr>
          <w:b w:val="0"/>
        </w:rPr>
        <w:t>The provision is validated at four levels, from quickest to most authoritative:</w:t>
      </w:r>
    </w:p>
    <w:p>
      <w:pPr>
        <w:pStyle w:val="ListNumber"/>
      </w:pPr>
      <w:r>
        <w:t>Well-formedness — the file is valid XML (xmllint --noout, or lxml parse).</w:t>
      </w:r>
    </w:p>
    <w:p>
      <w:pPr>
        <w:pStyle w:val="ListNumber"/>
      </w:pPr>
      <w:r>
        <w:t>Structural conformance — the built-in validator (validate.py) checks the LegalRuleML content model: correct root and namespaces, a PrescriptiveStatement → Rule with if/then, a deontic modality in the conclusion, and that every key/keyref reference resolves. Result: VALID.</w:t>
      </w:r>
    </w:p>
    <w:p>
      <w:pPr>
        <w:pStyle w:val="ListNumber"/>
      </w:pPr>
      <w:r>
        <w:t>Official schema — validation against the OASIS LegalRuleML RELAX NG / XSD (jing or xmllint --relaxng, or python main.py --schema ...). The commands and schema source are documented in schema/README.md.</w:t>
      </w:r>
    </w:p>
    <w:p>
      <w:pPr>
        <w:pStyle w:val="ListNumber"/>
      </w:pPr>
      <w:r>
        <w:t>Semantic faithfulness — compare.py maps every phrase of Article 8(2) to the element that must appear in the XML and reports coverage. Result: 18/18 phrases represented, FULLY FAITHFUL.</w:t>
      </w:r>
    </w:p>
    <w:p>
      <w:r>
        <w:rPr>
          <w:b w:val="0"/>
        </w:rPr>
      </w:r>
    </w:p>
    <w:p>
      <w:r>
        <w:rPr>
          <w:b w:val="0"/>
        </w:rPr>
        <w:t>Levels 1, 2 and 4 are automated in the pipeline and currently pass. Level 3 (official schema) requires the OASIS schema file to be downloaded locally; the hook and instructions are included.</w:t>
      </w:r>
    </w:p>
    <w:p>
      <w:pPr>
        <w:pStyle w:val="Heading1"/>
      </w:pPr>
      <w:r>
        <w:t>8. Setup and How to Run</w:t>
      </w:r>
    </w:p>
    <w:p>
      <w:r>
        <w:rPr>
          <w:b w:val="0"/>
        </w:rPr>
        <w:t>Prerequisites: Python 3 and the packages in requirements.txt (lxml, requests, beautifulsoup4).</w:t>
      </w:r>
    </w:p>
    <w:p>
      <w:r>
        <w:rPr>
          <w:b/>
        </w:rPr>
        <w:t>In VS Code:</w:t>
      </w:r>
    </w:p>
    <w:p>
      <w:pPr>
        <w:pStyle w:val="ListNumber"/>
      </w:pPr>
      <w:r>
        <w:t>Open the project folder.</w:t>
      </w:r>
    </w:p>
    <w:p>
      <w:pPr>
        <w:pStyle w:val="ListNumber"/>
      </w:pPr>
      <w:r>
        <w:t>Run the task “Setup: create venv + install deps” (once).</w:t>
      </w:r>
    </w:p>
    <w:p>
      <w:pPr>
        <w:pStyle w:val="ListNumber"/>
      </w:pPr>
      <w:r>
        <w:t>Press F5 and choose “Run pipeline (live fetch)”, or run the “Run: full pipeline” task.</w:t>
      </w:r>
    </w:p>
    <w:p>
      <w:r>
        <w:rPr>
          <w:b/>
        </w:rPr>
        <w:t>From a terminal:</w:t>
      </w:r>
    </w:p>
    <w:p>
      <w:r>
        <w:rPr>
          <w:rFonts w:ascii="Consolas" w:hAnsi="Consolas"/>
          <w:sz w:val="17"/>
        </w:rPr>
        <w:t>python3 -m venv .venv &amp;&amp; source .venv/bin/activate</w:t>
        <w:br/>
        <w:t>pip install -r requirements.txt</w:t>
        <w:br/>
        <w:t>python main.py            # live fetch (falls back to cache if offline)</w:t>
        <w:br/>
        <w:t>python main.py --offline  # force the bundled cached text</w:t>
        <w:br/>
        <w:t>python -m src.validate output/gdpr_art8_2.lrml.xml   # structure</w:t>
        <w:br/>
        <w:t>python -m src.compare  output/gdpr_art8_2.lrml.xml   # faithfulness</w:t>
      </w:r>
    </w:p>
    <w:p>
      <w:pPr>
        <w:pStyle w:val="Heading1"/>
      </w:pPr>
      <w:r>
        <w:t>9. Results</w:t>
      </w:r>
    </w:p>
    <w:p>
      <w:pPr>
        <w:pStyle w:val="ListBullet"/>
      </w:pPr>
      <w:r>
        <w:t>A valid OASIS LegalRuleML representation of GDPR Article 8(2).</w:t>
      </w:r>
    </w:p>
    <w:p>
      <w:pPr>
        <w:pStyle w:val="ListBullet"/>
      </w:pPr>
      <w:r>
        <w:t>Structural validation: RESULT: VALID.</w:t>
      </w:r>
    </w:p>
    <w:p>
      <w:pPr>
        <w:pStyle w:val="ListBullet"/>
      </w:pPr>
      <w:r>
        <w:t>Text-vs-XML faithfulness: Coverage 18/18 — FULLY FAITHFUL.</w:t>
      </w:r>
    </w:p>
    <w:p>
      <w:pPr>
        <w:pStyle w:val="ListBullet"/>
      </w:pPr>
      <w:r>
        <w:t>A reproducible pipeline that regenerates and re-verifies the XML on demand.</w:t>
      </w:r>
    </w:p>
    <w:p>
      <w:pPr>
        <w:pStyle w:val="Heading1"/>
      </w:pPr>
      <w:r>
        <w:t>10. Limitations and Future Work</w:t>
      </w:r>
    </w:p>
    <w:p>
      <w:pPr>
        <w:pStyle w:val="ListBullet"/>
      </w:pPr>
      <w:r>
        <w:t>The domain vocabulary IRIs (prOnto, dapreco, ex) are placeholders and should be repointed to the official published ontologies for production use.</w:t>
      </w:r>
    </w:p>
    <w:p>
      <w:pPr>
        <w:pStyle w:val="ListBullet"/>
      </w:pPr>
      <w:r>
        <w:t>Official OASIS RELAX NG / XSD schema validation (Level 3) is wired but not yet run inside this environment; it should be executed once against the downloaded schema.</w:t>
      </w:r>
    </w:p>
    <w:p>
      <w:pPr>
        <w:pStyle w:val="ListBullet"/>
      </w:pPr>
      <w:r>
        <w:t>Only Article 8(2) is modelled. A natural next phase is to model the full Article 8 (8(1) lawfulness with the 16/13 age logic, 8(3) scope) and then extend across further GDPR articles.</w:t>
      </w:r>
    </w:p>
    <w:p>
      <w:pPr>
        <w:pStyle w:val="ListBullet"/>
      </w:pPr>
      <w:r>
        <w:t>An optional heavier ‘reified’ DAPRECO-style variant (Context-tagged modality, event reification) can be produced to match that reference exactly.</w:t>
      </w:r>
    </w:p>
    <w:p>
      <w:pPr>
        <w:pStyle w:val="ListBullet"/>
      </w:pPr>
      <w:r>
        <w:t>A reasoner integration would allow the rule to be executed against real facts for live compliance checking.</w:t>
      </w:r>
    </w:p>
    <w:p>
      <w:pPr>
        <w:pStyle w:val="Heading1"/>
      </w:pPr>
      <w:r>
        <w:t>11. References</w:t>
      </w:r>
    </w:p>
    <w:p>
      <w:pPr>
        <w:pStyle w:val="ListBullet"/>
      </w:pPr>
      <w:r>
        <w:t>OASIS LegalRuleML Core Specification v1.0 — http://docs.oasis-open.org/legalruleml/legalruleml-core-spec/v1.0/</w:t>
      </w:r>
    </w:p>
    <w:p>
      <w:pPr>
        <w:pStyle w:val="ListBullet"/>
      </w:pPr>
      <w:r>
        <w:t>OASIS LegalRuleML use cases (GDPR) — https://github.com/oasis-tcs/legalruleml</w:t>
      </w:r>
    </w:p>
    <w:p>
      <w:pPr>
        <w:pStyle w:val="ListBullet"/>
      </w:pPr>
      <w:r>
        <w:t>DAPRECO Knowledge Base (GDPR in LegalRuleML), Robaldo et al. — https://github.com/dapreco/daprecokb ; paper: https://aclanthology.org/2020.lrec-1.698</w:t>
      </w:r>
    </w:p>
    <w:p>
      <w:pPr>
        <w:pStyle w:val="ListBullet"/>
      </w:pPr>
      <w:r>
        <w:t>GDPR Article 8 (source text) — https://gdpr-info.eu/art-8-gdpr/</w:t>
      </w:r>
    </w:p>
    <w:p>
      <w:r>
        <w:br w:type="page"/>
      </w:r>
    </w:p>
    <w:p>
      <w:pPr>
        <w:pStyle w:val="Heading1"/>
      </w:pPr>
      <w:r>
        <w:t>Appendix A — Full LegalRuleML Output</w:t>
      </w:r>
    </w:p>
    <w:p>
      <w:r>
        <w:rPr>
          <w:rFonts w:ascii="Consolas" w:hAnsi="Consolas"/>
          <w:sz w:val="17"/>
        </w:rPr>
        <w:t>&lt;?xml version='1.0' encoding='UTF-8'?&gt;</w:t>
      </w:r>
    </w:p>
    <w:p>
      <w:r>
        <w:rPr>
          <w:rFonts w:ascii="Consolas" w:hAnsi="Consolas"/>
          <w:sz w:val="17"/>
        </w:rPr>
        <w:t>&lt;!--</w:t>
      </w:r>
    </w:p>
    <w:p>
      <w:r>
        <w:rPr>
          <w:rFonts w:ascii="Consolas" w:hAnsi="Consolas"/>
          <w:sz w:val="17"/>
        </w:rPr>
        <w:t xml:space="preserve">  OASIS LegalRuleML Core v1.0 representation of GDPR Article 8(2).</w:t>
      </w:r>
    </w:p>
    <w:p>
      <w:r>
        <w:rPr>
          <w:rFonts w:ascii="Consolas" w:hAnsi="Consolas"/>
          <w:sz w:val="17"/>
        </w:rPr>
        <w:t xml:space="preserve">  Every phrase of the provision is rendered as an explicit atom;</w:t>
      </w:r>
    </w:p>
    <w:p>
      <w:r>
        <w:rPr>
          <w:rFonts w:ascii="Consolas" w:hAnsi="Consolas"/>
          <w:sz w:val="17"/>
        </w:rPr>
        <w:t xml:space="preserve">  'given or authorised' is a ruleml:Or; the obligation names its</w:t>
      </w:r>
    </w:p>
    <w:p>
      <w:r>
        <w:rPr>
          <w:rFonts w:ascii="Consolas" w:hAnsi="Consolas"/>
          <w:sz w:val="17"/>
        </w:rPr>
        <w:t xml:space="preserve">  bearer via lrml:Bearer. See HOW_IT_WORKS.md for the full mapping.</w:t>
      </w:r>
    </w:p>
    <w:p>
      <w:r>
        <w:rPr>
          <w:rFonts w:ascii="Consolas" w:hAnsi="Consolas"/>
          <w:sz w:val="17"/>
        </w:rPr>
        <w:t>--&gt;</w:t>
      </w:r>
    </w:p>
    <w:p>
      <w:r>
        <w:rPr>
          <w:rFonts w:ascii="Consolas" w:hAnsi="Consolas"/>
          <w:sz w:val="17"/>
        </w:rPr>
        <w:t>&lt;lrml:LegalRuleML xmlns:lrml="http://docs.oasis-open.org/legalruleml/ns/v1.0/" xmlns:ruleml="http://ruleml.org/spec" xmlns:ex="http://example.org/gdpr#" xmlns:prOnto="http://example.org/pronto#" xmlns:dapreco="http://example.org/dapreco#"&gt;</w:t>
      </w:r>
    </w:p>
    <w:p>
      <w:r>
        <w:rPr>
          <w:rFonts w:ascii="Consolas" w:hAnsi="Consolas"/>
          <w:sz w:val="17"/>
        </w:rPr>
        <w:t xml:space="preserve">  &lt;lrml:LegalSources&gt;</w:t>
      </w:r>
    </w:p>
    <w:p>
      <w:r>
        <w:rPr>
          <w:rFonts w:ascii="Consolas" w:hAnsi="Consolas"/>
          <w:sz w:val="17"/>
        </w:rPr>
        <w:t xml:space="preserve">    &lt;lrml:LegalSource key="ls_art8_2" sameAs="https://gdpr-info.eu/art-8-gdpr/"/&gt;</w:t>
      </w:r>
    </w:p>
    <w:p>
      <w:r>
        <w:rPr>
          <w:rFonts w:ascii="Consolas" w:hAnsi="Consolas"/>
          <w:sz w:val="17"/>
        </w:rPr>
        <w:t xml:space="preserve">  &lt;/lrml:LegalSources&gt;</w:t>
      </w:r>
    </w:p>
    <w:p>
      <w:r>
        <w:rPr>
          <w:rFonts w:ascii="Consolas" w:hAnsi="Consolas"/>
          <w:sz w:val="17"/>
        </w:rPr>
        <w:t xml:space="preserve">  &lt;lrml:Statements key="stmts_art8_2"&gt;</w:t>
      </w:r>
    </w:p>
    <w:p>
      <w:r>
        <w:rPr>
          <w:rFonts w:ascii="Consolas" w:hAnsi="Consolas"/>
          <w:sz w:val="17"/>
        </w:rPr>
        <w:t xml:space="preserve">    &lt;lrml:PrescriptiveStatement key="ps_art8_2"&gt;</w:t>
      </w:r>
    </w:p>
    <w:p>
      <w:r>
        <w:rPr>
          <w:rFonts w:ascii="Consolas" w:hAnsi="Consolas"/>
          <w:sz w:val="17"/>
        </w:rPr>
        <w:t xml:space="preserve">      &lt;lrml:Paraphrase&gt;The controller shall make reasonable efforts to verify in such cases that consent is given or authorised by the holder of parental responsibility over the child, taking into consideration available technology.&lt;/lrml:Paraphrase&gt;</w:t>
      </w:r>
    </w:p>
    <w:p>
      <w:r>
        <w:rPr>
          <w:rFonts w:ascii="Consolas" w:hAnsi="Consolas"/>
          <w:sz w:val="17"/>
        </w:rPr>
        <w:t xml:space="preserve">      &lt;ruleml:Rule closure="universal"&gt;</w:t>
      </w:r>
    </w:p>
    <w:p>
      <w:r>
        <w:rPr>
          <w:rFonts w:ascii="Consolas" w:hAnsi="Consolas"/>
          <w:sz w:val="17"/>
        </w:rPr>
        <w:t xml:space="preserve">        &lt;ruleml:if&gt;</w:t>
      </w:r>
    </w:p>
    <w:p>
      <w:r>
        <w:rPr>
          <w:rFonts w:ascii="Consolas" w:hAnsi="Consolas"/>
          <w:sz w:val="17"/>
        </w:rPr>
        <w:t xml:space="preserve">          &lt;!-- triggering conditions ("in such cases" -&gt; Art 8(1)) --&gt;</w:t>
      </w:r>
    </w:p>
    <w:p>
      <w:r>
        <w:rPr>
          <w:rFonts w:ascii="Consolas" w:hAnsi="Consolas"/>
          <w:sz w:val="17"/>
        </w:rPr>
        <w:t xml:space="preserve">          &lt;ruleml:And&gt;</w:t>
      </w:r>
    </w:p>
    <w:p>
      <w:r>
        <w:rPr>
          <w:rFonts w:ascii="Consolas" w:hAnsi="Consolas"/>
          <w:sz w:val="17"/>
        </w:rPr>
        <w:t xml:space="preserve">            &lt;ruleml:Atom&gt;</w:t>
      </w:r>
    </w:p>
    <w:p>
      <w:r>
        <w:rPr>
          <w:rFonts w:ascii="Consolas" w:hAnsi="Consolas"/>
          <w:sz w:val="17"/>
        </w:rPr>
        <w:t xml:space="preserve">              &lt;!-- the actor is a data controller --&gt;</w:t>
      </w:r>
    </w:p>
    <w:p>
      <w:r>
        <w:rPr>
          <w:rFonts w:ascii="Consolas" w:hAnsi="Consolas"/>
          <w:sz w:val="17"/>
        </w:rPr>
        <w:t xml:space="preserve">              &lt;ruleml:Rel iri="prOnto:Controller"/&gt;</w:t>
      </w:r>
    </w:p>
    <w:p>
      <w:r>
        <w:rPr>
          <w:rFonts w:ascii="Consolas" w:hAnsi="Consolas"/>
          <w:sz w:val="17"/>
        </w:rPr>
        <w:t xml:space="preserve">              &lt;ruleml:Var key="controller"&gt;controller&lt;/ruleml:Var&gt;</w:t>
      </w:r>
    </w:p>
    <w:p>
      <w:r>
        <w:rPr>
          <w:rFonts w:ascii="Consolas" w:hAnsi="Consolas"/>
          <w:sz w:val="17"/>
        </w:rPr>
        <w:t xml:space="preserve">            &lt;/ruleml:Atom&gt;</w:t>
      </w:r>
    </w:p>
    <w:p>
      <w:r>
        <w:rPr>
          <w:rFonts w:ascii="Consolas" w:hAnsi="Consolas"/>
          <w:sz w:val="17"/>
        </w:rPr>
        <w:t xml:space="preserve">            &lt;ruleml:Atom&gt;</w:t>
      </w:r>
    </w:p>
    <w:p>
      <w:r>
        <w:rPr>
          <w:rFonts w:ascii="Consolas" w:hAnsi="Consolas"/>
          <w:sz w:val="17"/>
        </w:rPr>
        <w:t xml:space="preserve">              &lt;!-- the data subject is the child --&gt;</w:t>
      </w:r>
    </w:p>
    <w:p>
      <w:r>
        <w:rPr>
          <w:rFonts w:ascii="Consolas" w:hAnsi="Consolas"/>
          <w:sz w:val="17"/>
        </w:rPr>
        <w:t xml:space="preserve">              &lt;ruleml:Rel iri="prOnto:DataSubject"/&gt;</w:t>
      </w:r>
    </w:p>
    <w:p>
      <w:r>
        <w:rPr>
          <w:rFonts w:ascii="Consolas" w:hAnsi="Consolas"/>
          <w:sz w:val="17"/>
        </w:rPr>
        <w:t xml:space="preserve">              &lt;ruleml:Var key="child"&gt;child&lt;/ruleml:Var&gt;</w:t>
      </w:r>
    </w:p>
    <w:p>
      <w:r>
        <w:rPr>
          <w:rFonts w:ascii="Consolas" w:hAnsi="Consolas"/>
          <w:sz w:val="17"/>
        </w:rPr>
        <w:t xml:space="preserve">            &lt;/ruleml:Atom&gt;</w:t>
      </w:r>
    </w:p>
    <w:p>
      <w:r>
        <w:rPr>
          <w:rFonts w:ascii="Consolas" w:hAnsi="Consolas"/>
          <w:sz w:val="17"/>
        </w:rPr>
        <w:t xml:space="preserve">            &lt;ruleml:Atom&gt;</w:t>
      </w:r>
    </w:p>
    <w:p>
      <w:r>
        <w:rPr>
          <w:rFonts w:ascii="Consolas" w:hAnsi="Consolas"/>
          <w:sz w:val="17"/>
        </w:rPr>
        <w:t xml:space="preserve">              &lt;!-- the data subject is a minor (child) --&gt;</w:t>
      </w:r>
    </w:p>
    <w:p>
      <w:r>
        <w:rPr>
          <w:rFonts w:ascii="Consolas" w:hAnsi="Consolas"/>
          <w:sz w:val="17"/>
        </w:rPr>
        <w:t xml:space="preserve">              &lt;ruleml:Rel iri="ex:Child"/&gt;</w:t>
      </w:r>
    </w:p>
    <w:p>
      <w:r>
        <w:rPr>
          <w:rFonts w:ascii="Consolas" w:hAnsi="Consolas"/>
          <w:sz w:val="17"/>
        </w:rPr>
        <w:t xml:space="preserve">              &lt;ruleml:Var&gt;child&lt;/ruleml:Var&gt;</w:t>
      </w:r>
    </w:p>
    <w:p>
      <w:r>
        <w:rPr>
          <w:rFonts w:ascii="Consolas" w:hAnsi="Consolas"/>
          <w:sz w:val="17"/>
        </w:rPr>
        <w:t xml:space="preserve">            &lt;/ruleml:Atom&gt;</w:t>
      </w:r>
    </w:p>
    <w:p>
      <w:r>
        <w:rPr>
          <w:rFonts w:ascii="Consolas" w:hAnsi="Consolas"/>
          <w:sz w:val="17"/>
        </w:rPr>
        <w:t xml:space="preserve">            &lt;ruleml:Atom&gt;</w:t>
      </w:r>
    </w:p>
    <w:p>
      <w:r>
        <w:rPr>
          <w:rFonts w:ascii="Consolas" w:hAnsi="Consolas"/>
          <w:sz w:val="17"/>
        </w:rPr>
        <w:t xml:space="preserve">              &lt;!-- an information society service --&gt;</w:t>
      </w:r>
    </w:p>
    <w:p>
      <w:r>
        <w:rPr>
          <w:rFonts w:ascii="Consolas" w:hAnsi="Consolas"/>
          <w:sz w:val="17"/>
        </w:rPr>
        <w:t xml:space="preserve">              &lt;ruleml:Rel iri="ex:InformationSocietyService"/&gt;</w:t>
      </w:r>
    </w:p>
    <w:p>
      <w:r>
        <w:rPr>
          <w:rFonts w:ascii="Consolas" w:hAnsi="Consolas"/>
          <w:sz w:val="17"/>
        </w:rPr>
        <w:t xml:space="preserve">              &lt;ruleml:Var key="service"&gt;service&lt;/ruleml:Var&gt;</w:t>
      </w:r>
    </w:p>
    <w:p>
      <w:r>
        <w:rPr>
          <w:rFonts w:ascii="Consolas" w:hAnsi="Consolas"/>
          <w:sz w:val="17"/>
        </w:rPr>
        <w:t xml:space="preserve">            &lt;/ruleml:Atom&gt;</w:t>
      </w:r>
    </w:p>
    <w:p>
      <w:r>
        <w:rPr>
          <w:rFonts w:ascii="Consolas" w:hAnsi="Consolas"/>
          <w:sz w:val="17"/>
        </w:rPr>
        <w:t xml:space="preserve">            &lt;ruleml:Atom&gt;</w:t>
      </w:r>
    </w:p>
    <w:p>
      <w:r>
        <w:rPr>
          <w:rFonts w:ascii="Consolas" w:hAnsi="Consolas"/>
          <w:sz w:val="17"/>
        </w:rPr>
        <w:t xml:space="preserve">              &lt;!-- offered directly to the child (Art 8(1)) --&gt;</w:t>
      </w:r>
    </w:p>
    <w:p>
      <w:r>
        <w:rPr>
          <w:rFonts w:ascii="Consolas" w:hAnsi="Consolas"/>
          <w:sz w:val="17"/>
        </w:rPr>
        <w:t xml:space="preserve">              &lt;ruleml:Rel iri="ex:offeredDirectlyToChild"/&gt;</w:t>
      </w:r>
    </w:p>
    <w:p>
      <w:r>
        <w:rPr>
          <w:rFonts w:ascii="Consolas" w:hAnsi="Consolas"/>
          <w:sz w:val="17"/>
        </w:rPr>
        <w:t xml:space="preserve">              &lt;ruleml:Var&gt;service&lt;/ruleml:Var&gt;</w:t>
      </w:r>
    </w:p>
    <w:p>
      <w:r>
        <w:rPr>
          <w:rFonts w:ascii="Consolas" w:hAnsi="Consolas"/>
          <w:sz w:val="17"/>
        </w:rPr>
        <w:t xml:space="preserve">              &lt;ruleml:Var&gt;child&lt;/ruleml:Var&gt;</w:t>
      </w:r>
    </w:p>
    <w:p>
      <w:r>
        <w:rPr>
          <w:rFonts w:ascii="Consolas" w:hAnsi="Consolas"/>
          <w:sz w:val="17"/>
        </w:rPr>
        <w:t xml:space="preserve">            &lt;/ruleml:Atom&gt;</w:t>
      </w:r>
    </w:p>
    <w:p>
      <w:r>
        <w:rPr>
          <w:rFonts w:ascii="Consolas" w:hAnsi="Consolas"/>
          <w:sz w:val="17"/>
        </w:rPr>
        <w:t xml:space="preserve">            &lt;ruleml:Atom&gt;</w:t>
      </w:r>
    </w:p>
    <w:p>
      <w:r>
        <w:rPr>
          <w:rFonts w:ascii="Consolas" w:hAnsi="Consolas"/>
          <w:sz w:val="17"/>
        </w:rPr>
        <w:t xml:space="preserve">              &lt;!-- processing of the child's personal data --&gt;</w:t>
      </w:r>
    </w:p>
    <w:p>
      <w:r>
        <w:rPr>
          <w:rFonts w:ascii="Consolas" w:hAnsi="Consolas"/>
          <w:sz w:val="17"/>
        </w:rPr>
        <w:t xml:space="preserve">              &lt;ruleml:Rel iri="prOnto:PersonalDataProcessing"/&gt;</w:t>
      </w:r>
    </w:p>
    <w:p>
      <w:r>
        <w:rPr>
          <w:rFonts w:ascii="Consolas" w:hAnsi="Consolas"/>
          <w:sz w:val="17"/>
        </w:rPr>
        <w:t xml:space="preserve">              &lt;ruleml:Var key="processing"&gt;processing&lt;/ruleml:Var&gt;</w:t>
      </w:r>
    </w:p>
    <w:p>
      <w:r>
        <w:rPr>
          <w:rFonts w:ascii="Consolas" w:hAnsi="Consolas"/>
          <w:sz w:val="17"/>
        </w:rPr>
        <w:t xml:space="preserve">              &lt;ruleml:Var&gt;controller&lt;/ruleml:Var&gt;</w:t>
      </w:r>
    </w:p>
    <w:p>
      <w:r>
        <w:rPr>
          <w:rFonts w:ascii="Consolas" w:hAnsi="Consolas"/>
          <w:sz w:val="17"/>
        </w:rPr>
        <w:t xml:space="preserve">              &lt;ruleml:Var&gt;child&lt;/ruleml:Var&gt;</w:t>
      </w:r>
    </w:p>
    <w:p>
      <w:r>
        <w:rPr>
          <w:rFonts w:ascii="Consolas" w:hAnsi="Consolas"/>
          <w:sz w:val="17"/>
        </w:rPr>
        <w:t xml:space="preserve">            &lt;/ruleml:Atom&gt;</w:t>
      </w:r>
    </w:p>
    <w:p>
      <w:r>
        <w:rPr>
          <w:rFonts w:ascii="Consolas" w:hAnsi="Consolas"/>
          <w:sz w:val="17"/>
        </w:rPr>
        <w:t xml:space="preserve">            &lt;ruleml:Atom&gt;</w:t>
      </w:r>
    </w:p>
    <w:p>
      <w:r>
        <w:rPr>
          <w:rFonts w:ascii="Consolas" w:hAnsi="Consolas"/>
          <w:sz w:val="17"/>
        </w:rPr>
        <w:t xml:space="preserve">              &lt;!-- processing relies on consent as legal basis (Art 6(1)(a)) --&gt;</w:t>
      </w:r>
    </w:p>
    <w:p>
      <w:r>
        <w:rPr>
          <w:rFonts w:ascii="Consolas" w:hAnsi="Consolas"/>
          <w:sz w:val="17"/>
        </w:rPr>
        <w:t xml:space="preserve">              &lt;ruleml:Rel iri="ex:basedOnConsent"/&gt;</w:t>
      </w:r>
    </w:p>
    <w:p>
      <w:r>
        <w:rPr>
          <w:rFonts w:ascii="Consolas" w:hAnsi="Consolas"/>
          <w:sz w:val="17"/>
        </w:rPr>
        <w:t xml:space="preserve">              &lt;ruleml:Var&gt;processing&lt;/ruleml:Var&gt;</w:t>
      </w:r>
    </w:p>
    <w:p>
      <w:r>
        <w:rPr>
          <w:rFonts w:ascii="Consolas" w:hAnsi="Consolas"/>
          <w:sz w:val="17"/>
        </w:rPr>
        <w:t xml:space="preserve">            &lt;/ruleml:Atom&gt;</w:t>
      </w:r>
    </w:p>
    <w:p>
      <w:r>
        <w:rPr>
          <w:rFonts w:ascii="Consolas" w:hAnsi="Consolas"/>
          <w:sz w:val="17"/>
        </w:rPr>
        <w:t xml:space="preserve">            &lt;ruleml:Atom&gt;</w:t>
      </w:r>
    </w:p>
    <w:p>
      <w:r>
        <w:rPr>
          <w:rFonts w:ascii="Consolas" w:hAnsi="Consolas"/>
          <w:sz w:val="17"/>
        </w:rPr>
        <w:t xml:space="preserve">              &lt;!-- the child is below the applicable consent age (Art 8(1)) --&gt;</w:t>
      </w:r>
    </w:p>
    <w:p>
      <w:r>
        <w:rPr>
          <w:rFonts w:ascii="Consolas" w:hAnsi="Consolas"/>
          <w:sz w:val="17"/>
        </w:rPr>
        <w:t xml:space="preserve">              &lt;ruleml:Rel iri="ex:belowConsentAge"/&gt;</w:t>
      </w:r>
    </w:p>
    <w:p>
      <w:r>
        <w:rPr>
          <w:rFonts w:ascii="Consolas" w:hAnsi="Consolas"/>
          <w:sz w:val="17"/>
        </w:rPr>
        <w:t xml:space="preserve">              &lt;ruleml:Var&gt;child&lt;/ruleml:Var&gt;</w:t>
      </w:r>
    </w:p>
    <w:p>
      <w:r>
        <w:rPr>
          <w:rFonts w:ascii="Consolas" w:hAnsi="Consolas"/>
          <w:sz w:val="17"/>
        </w:rPr>
        <w:t xml:space="preserve">            &lt;/ruleml:Atom&gt;</w:t>
      </w:r>
    </w:p>
    <w:p>
      <w:r>
        <w:rPr>
          <w:rFonts w:ascii="Consolas" w:hAnsi="Consolas"/>
          <w:sz w:val="17"/>
        </w:rPr>
        <w:t xml:space="preserve">          &lt;/ruleml:And&gt;</w:t>
      </w:r>
    </w:p>
    <w:p>
      <w:r>
        <w:rPr>
          <w:rFonts w:ascii="Consolas" w:hAnsi="Consolas"/>
          <w:sz w:val="17"/>
        </w:rPr>
        <w:t xml:space="preserve">        &lt;/ruleml:if&gt;</w:t>
      </w:r>
    </w:p>
    <w:p>
      <w:r>
        <w:rPr>
          <w:rFonts w:ascii="Consolas" w:hAnsi="Consolas"/>
          <w:sz w:val="17"/>
        </w:rPr>
        <w:t xml:space="preserve">        &lt;ruleml:then&gt;</w:t>
      </w:r>
    </w:p>
    <w:p>
      <w:r>
        <w:rPr>
          <w:rFonts w:ascii="Consolas" w:hAnsi="Consolas"/>
          <w:sz w:val="17"/>
        </w:rPr>
        <w:t xml:space="preserve">          &lt;lrml:Obligation&gt;</w:t>
      </w:r>
    </w:p>
    <w:p>
      <w:r>
        <w:rPr>
          <w:rFonts w:ascii="Consolas" w:hAnsi="Consolas"/>
          <w:sz w:val="17"/>
        </w:rPr>
        <w:t xml:space="preserve">            &lt;!-- normative modality: Obligation ('shall') --&gt;</w:t>
      </w:r>
    </w:p>
    <w:p>
      <w:r>
        <w:rPr>
          <w:rFonts w:ascii="Consolas" w:hAnsi="Consolas"/>
          <w:sz w:val="17"/>
        </w:rPr>
        <w:t xml:space="preserve">            &lt;lrml:Bearer keyref="#controller"&gt;</w:t>
      </w:r>
    </w:p>
    <w:p>
      <w:r>
        <w:rPr>
          <w:rFonts w:ascii="Consolas" w:hAnsi="Consolas"/>
          <w:sz w:val="17"/>
        </w:rPr>
        <w:t xml:space="preserve">              &lt;!-- bearer of the obligation: the controller --&gt;</w:t>
      </w:r>
    </w:p>
    <w:p>
      <w:r>
        <w:rPr>
          <w:rFonts w:ascii="Consolas" w:hAnsi="Consolas"/>
          <w:sz w:val="17"/>
        </w:rPr>
        <w:t xml:space="preserve">            &lt;/lrml:Bearer&gt;</w:t>
      </w:r>
    </w:p>
    <w:p>
      <w:r>
        <w:rPr>
          <w:rFonts w:ascii="Consolas" w:hAnsi="Consolas"/>
          <w:sz w:val="17"/>
        </w:rPr>
        <w:t xml:space="preserve">            &lt;ruleml:And&gt;</w:t>
      </w:r>
    </w:p>
    <w:p>
      <w:r>
        <w:rPr>
          <w:rFonts w:ascii="Consolas" w:hAnsi="Consolas"/>
          <w:sz w:val="17"/>
        </w:rPr>
        <w:t xml:space="preserve">              &lt;ruleml:Atom&gt;</w:t>
      </w:r>
    </w:p>
    <w:p>
      <w:r>
        <w:rPr>
          <w:rFonts w:ascii="Consolas" w:hAnsi="Consolas"/>
          <w:sz w:val="17"/>
        </w:rPr>
        <w:t xml:space="preserve">                &lt;!-- a reasonable effort --&gt;</w:t>
      </w:r>
    </w:p>
    <w:p>
      <w:r>
        <w:rPr>
          <w:rFonts w:ascii="Consolas" w:hAnsi="Consolas"/>
          <w:sz w:val="17"/>
        </w:rPr>
        <w:t xml:space="preserve">                &lt;ruleml:Rel iri="ex:ReasonableEffort"/&gt;</w:t>
      </w:r>
    </w:p>
    <w:p>
      <w:r>
        <w:rPr>
          <w:rFonts w:ascii="Consolas" w:hAnsi="Consolas"/>
          <w:sz w:val="17"/>
        </w:rPr>
        <w:t xml:space="preserve">                &lt;ruleml:Var key="effort"&gt;effort&lt;/ruleml:Var&gt;</w:t>
      </w:r>
    </w:p>
    <w:p>
      <w:r>
        <w:rPr>
          <w:rFonts w:ascii="Consolas" w:hAnsi="Consolas"/>
          <w:sz w:val="17"/>
        </w:rPr>
        <w:t xml:space="preserve">              &lt;/ruleml:Atom&gt;</w:t>
      </w:r>
    </w:p>
    <w:p>
      <w:r>
        <w:rPr>
          <w:rFonts w:ascii="Consolas" w:hAnsi="Consolas"/>
          <w:sz w:val="17"/>
        </w:rPr>
        <w:t xml:space="preserve">              &lt;ruleml:Atom&gt;</w:t>
      </w:r>
    </w:p>
    <w:p>
      <w:r>
        <w:rPr>
          <w:rFonts w:ascii="Consolas" w:hAnsi="Consolas"/>
          <w:sz w:val="17"/>
        </w:rPr>
        <w:t xml:space="preserve">                &lt;!-- the controller makes that effort --&gt;</w:t>
      </w:r>
    </w:p>
    <w:p>
      <w:r>
        <w:rPr>
          <w:rFonts w:ascii="Consolas" w:hAnsi="Consolas"/>
          <w:sz w:val="17"/>
        </w:rPr>
        <w:t xml:space="preserve">                &lt;ruleml:Rel iri="ex:makesEffort"/&gt;</w:t>
      </w:r>
    </w:p>
    <w:p>
      <w:r>
        <w:rPr>
          <w:rFonts w:ascii="Consolas" w:hAnsi="Consolas"/>
          <w:sz w:val="17"/>
        </w:rPr>
        <w:t xml:space="preserve">                &lt;ruleml:Var&gt;controller&lt;/ruleml:Var&gt;</w:t>
      </w:r>
    </w:p>
    <w:p>
      <w:r>
        <w:rPr>
          <w:rFonts w:ascii="Consolas" w:hAnsi="Consolas"/>
          <w:sz w:val="17"/>
        </w:rPr>
        <w:t xml:space="preserve">                &lt;ruleml:Var&gt;effort&lt;/ruleml:Var&gt;</w:t>
      </w:r>
    </w:p>
    <w:p>
      <w:r>
        <w:rPr>
          <w:rFonts w:ascii="Consolas" w:hAnsi="Consolas"/>
          <w:sz w:val="17"/>
        </w:rPr>
        <w:t xml:space="preserve">              &lt;/ruleml:Atom&gt;</w:t>
      </w:r>
    </w:p>
    <w:p>
      <w:r>
        <w:rPr>
          <w:rFonts w:ascii="Consolas" w:hAnsi="Consolas"/>
          <w:sz w:val="17"/>
        </w:rPr>
        <w:t xml:space="preserve">              &lt;ruleml:Atom&gt;</w:t>
      </w:r>
    </w:p>
    <w:p>
      <w:r>
        <w:rPr>
          <w:rFonts w:ascii="Consolas" w:hAnsi="Consolas"/>
          <w:sz w:val="17"/>
        </w:rPr>
        <w:t xml:space="preserve">                &lt;!-- the effort's purpose is to verify the consent --&gt;</w:t>
      </w:r>
    </w:p>
    <w:p>
      <w:r>
        <w:rPr>
          <w:rFonts w:ascii="Consolas" w:hAnsi="Consolas"/>
          <w:sz w:val="17"/>
        </w:rPr>
        <w:t xml:space="preserve">                &lt;ruleml:Rel iri="ex:hasPurposeToVerify"/&gt;</w:t>
      </w:r>
    </w:p>
    <w:p>
      <w:r>
        <w:rPr>
          <w:rFonts w:ascii="Consolas" w:hAnsi="Consolas"/>
          <w:sz w:val="17"/>
        </w:rPr>
        <w:t xml:space="preserve">                &lt;ruleml:Var&gt;effort&lt;/ruleml:Var&gt;</w:t>
      </w:r>
    </w:p>
    <w:p>
      <w:r>
        <w:rPr>
          <w:rFonts w:ascii="Consolas" w:hAnsi="Consolas"/>
          <w:sz w:val="17"/>
        </w:rPr>
        <w:t xml:space="preserve">                &lt;ruleml:Var key="consent"&gt;consent&lt;/ruleml:Var&gt;</w:t>
      </w:r>
    </w:p>
    <w:p>
      <w:r>
        <w:rPr>
          <w:rFonts w:ascii="Consolas" w:hAnsi="Consolas"/>
          <w:sz w:val="17"/>
        </w:rPr>
        <w:t xml:space="preserve">              &lt;/ruleml:Atom&gt;</w:t>
      </w:r>
    </w:p>
    <w:p>
      <w:r>
        <w:rPr>
          <w:rFonts w:ascii="Consolas" w:hAnsi="Consolas"/>
          <w:sz w:val="17"/>
        </w:rPr>
        <w:t xml:space="preserve">              &lt;ruleml:Atom&gt;</w:t>
      </w:r>
    </w:p>
    <w:p>
      <w:r>
        <w:rPr>
          <w:rFonts w:ascii="Consolas" w:hAnsi="Consolas"/>
          <w:sz w:val="17"/>
        </w:rPr>
        <w:t xml:space="preserve">                &lt;!-- considering available technology --&gt;</w:t>
      </w:r>
    </w:p>
    <w:p>
      <w:r>
        <w:rPr>
          <w:rFonts w:ascii="Consolas" w:hAnsi="Consolas"/>
          <w:sz w:val="17"/>
        </w:rPr>
        <w:t xml:space="preserve">                &lt;ruleml:Rel iri="ex:takesIntoConsideration"/&gt;</w:t>
      </w:r>
    </w:p>
    <w:p>
      <w:r>
        <w:rPr>
          <w:rFonts w:ascii="Consolas" w:hAnsi="Consolas"/>
          <w:sz w:val="17"/>
        </w:rPr>
        <w:t xml:space="preserve">                &lt;ruleml:Var&gt;effort&lt;/ruleml:Var&gt;</w:t>
      </w:r>
    </w:p>
    <w:p>
      <w:r>
        <w:rPr>
          <w:rFonts w:ascii="Consolas" w:hAnsi="Consolas"/>
          <w:sz w:val="17"/>
        </w:rPr>
        <w:t xml:space="preserve">                &lt;ruleml:Ind&gt;availableTechnology&lt;/ruleml:Ind&gt;</w:t>
      </w:r>
    </w:p>
    <w:p>
      <w:r>
        <w:rPr>
          <w:rFonts w:ascii="Consolas" w:hAnsi="Consolas"/>
          <w:sz w:val="17"/>
        </w:rPr>
        <w:t xml:space="preserve">              &lt;/ruleml:Atom&gt;</w:t>
      </w:r>
    </w:p>
    <w:p>
      <w:r>
        <w:rPr>
          <w:rFonts w:ascii="Consolas" w:hAnsi="Consolas"/>
          <w:sz w:val="17"/>
        </w:rPr>
        <w:t xml:space="preserve">              &lt;ruleml:Atom&gt;</w:t>
      </w:r>
    </w:p>
    <w:p>
      <w:r>
        <w:rPr>
          <w:rFonts w:ascii="Consolas" w:hAnsi="Consolas"/>
          <w:sz w:val="17"/>
        </w:rPr>
        <w:t xml:space="preserve">                &lt;!-- available technology --&gt;</w:t>
      </w:r>
    </w:p>
    <w:p>
      <w:r>
        <w:rPr>
          <w:rFonts w:ascii="Consolas" w:hAnsi="Consolas"/>
          <w:sz w:val="17"/>
        </w:rPr>
        <w:t xml:space="preserve">                &lt;ruleml:Rel iri="ex:AvailableTechnology"/&gt;</w:t>
      </w:r>
    </w:p>
    <w:p>
      <w:r>
        <w:rPr>
          <w:rFonts w:ascii="Consolas" w:hAnsi="Consolas"/>
          <w:sz w:val="17"/>
        </w:rPr>
        <w:t xml:space="preserve">                &lt;ruleml:Ind&gt;availableTechnology&lt;/ruleml:Ind&gt;</w:t>
      </w:r>
    </w:p>
    <w:p>
      <w:r>
        <w:rPr>
          <w:rFonts w:ascii="Consolas" w:hAnsi="Consolas"/>
          <w:sz w:val="17"/>
        </w:rPr>
        <w:t xml:space="preserve">              &lt;/ruleml:Atom&gt;</w:t>
      </w:r>
    </w:p>
    <w:p>
      <w:r>
        <w:rPr>
          <w:rFonts w:ascii="Consolas" w:hAnsi="Consolas"/>
          <w:sz w:val="17"/>
        </w:rPr>
        <w:t xml:space="preserve">              &lt;ruleml:Atom&gt;</w:t>
      </w:r>
    </w:p>
    <w:p>
      <w:r>
        <w:rPr>
          <w:rFonts w:ascii="Consolas" w:hAnsi="Consolas"/>
          <w:sz w:val="17"/>
        </w:rPr>
        <w:t xml:space="preserve">                &lt;!-- the consent in question --&gt;</w:t>
      </w:r>
    </w:p>
    <w:p>
      <w:r>
        <w:rPr>
          <w:rFonts w:ascii="Consolas" w:hAnsi="Consolas"/>
          <w:sz w:val="17"/>
        </w:rPr>
        <w:t xml:space="preserve">                &lt;ruleml:Rel iri="prOnto:Consent"/&gt;</w:t>
      </w:r>
    </w:p>
    <w:p>
      <w:r>
        <w:rPr>
          <w:rFonts w:ascii="Consolas" w:hAnsi="Consolas"/>
          <w:sz w:val="17"/>
        </w:rPr>
        <w:t xml:space="preserve">                &lt;ruleml:Var&gt;consent&lt;/ruleml:Var&gt;</w:t>
      </w:r>
    </w:p>
    <w:p>
      <w:r>
        <w:rPr>
          <w:rFonts w:ascii="Consolas" w:hAnsi="Consolas"/>
          <w:sz w:val="17"/>
        </w:rPr>
        <w:t xml:space="preserve">              &lt;/ruleml:Atom&gt;</w:t>
      </w:r>
    </w:p>
    <w:p>
      <w:r>
        <w:rPr>
          <w:rFonts w:ascii="Consolas" w:hAnsi="Consolas"/>
          <w:sz w:val="17"/>
        </w:rPr>
        <w:t xml:space="preserve">              &lt;ruleml:Atom&gt;</w:t>
      </w:r>
    </w:p>
    <w:p>
      <w:r>
        <w:rPr>
          <w:rFonts w:ascii="Consolas" w:hAnsi="Consolas"/>
          <w:sz w:val="17"/>
        </w:rPr>
        <w:t xml:space="preserve">                &lt;!-- the holder of parental responsibility over the child --&gt;</w:t>
      </w:r>
    </w:p>
    <w:p>
      <w:r>
        <w:rPr>
          <w:rFonts w:ascii="Consolas" w:hAnsi="Consolas"/>
          <w:sz w:val="17"/>
        </w:rPr>
        <w:t xml:space="preserve">                &lt;ruleml:Rel iri="ex:HolderOfParentalResponsibility"/&gt;</w:t>
      </w:r>
    </w:p>
    <w:p>
      <w:r>
        <w:rPr>
          <w:rFonts w:ascii="Consolas" w:hAnsi="Consolas"/>
          <w:sz w:val="17"/>
        </w:rPr>
        <w:t xml:space="preserve">                &lt;ruleml:Var key="holder"&gt;holder&lt;/ruleml:Var&gt;</w:t>
      </w:r>
    </w:p>
    <w:p>
      <w:r>
        <w:rPr>
          <w:rFonts w:ascii="Consolas" w:hAnsi="Consolas"/>
          <w:sz w:val="17"/>
        </w:rPr>
        <w:t xml:space="preserve">                &lt;ruleml:Var&gt;child&lt;/ruleml:Var&gt;</w:t>
      </w:r>
    </w:p>
    <w:p>
      <w:r>
        <w:rPr>
          <w:rFonts w:ascii="Consolas" w:hAnsi="Consolas"/>
          <w:sz w:val="17"/>
        </w:rPr>
        <w:t xml:space="preserve">              &lt;/ruleml:Atom&gt;</w:t>
      </w:r>
    </w:p>
    <w:p>
      <w:r>
        <w:rPr>
          <w:rFonts w:ascii="Consolas" w:hAnsi="Consolas"/>
          <w:sz w:val="17"/>
        </w:rPr>
        <w:t xml:space="preserve">              &lt;ruleml:Or&gt;</w:t>
      </w:r>
    </w:p>
    <w:p>
      <w:r>
        <w:rPr>
          <w:rFonts w:ascii="Consolas" w:hAnsi="Consolas"/>
          <w:sz w:val="17"/>
        </w:rPr>
        <w:t xml:space="preserve">                &lt;!-- disjunction: 'given OR authorised' --&gt;</w:t>
      </w:r>
    </w:p>
    <w:p>
      <w:r>
        <w:rPr>
          <w:rFonts w:ascii="Consolas" w:hAnsi="Consolas"/>
          <w:sz w:val="17"/>
        </w:rPr>
        <w:t xml:space="preserve">                &lt;ruleml:Atom&gt;</w:t>
      </w:r>
    </w:p>
    <w:p>
      <w:r>
        <w:rPr>
          <w:rFonts w:ascii="Consolas" w:hAnsi="Consolas"/>
          <w:sz w:val="17"/>
        </w:rPr>
        <w:t xml:space="preserve">                  &lt;!-- consent is GIVEN by the holder ... --&gt;</w:t>
      </w:r>
    </w:p>
    <w:p>
      <w:r>
        <w:rPr>
          <w:rFonts w:ascii="Consolas" w:hAnsi="Consolas"/>
          <w:sz w:val="17"/>
        </w:rPr>
        <w:t xml:space="preserve">                  &lt;ruleml:Rel iri="dapreco:givenBy"/&gt;</w:t>
      </w:r>
    </w:p>
    <w:p>
      <w:r>
        <w:rPr>
          <w:rFonts w:ascii="Consolas" w:hAnsi="Consolas"/>
          <w:sz w:val="17"/>
        </w:rPr>
        <w:t xml:space="preserve">                  &lt;ruleml:Var&gt;consent&lt;/ruleml:Var&gt;</w:t>
      </w:r>
    </w:p>
    <w:p>
      <w:r>
        <w:rPr>
          <w:rFonts w:ascii="Consolas" w:hAnsi="Consolas"/>
          <w:sz w:val="17"/>
        </w:rPr>
        <w:t xml:space="preserve">                  &lt;ruleml:Var&gt;holder&lt;/ruleml:Var&gt;</w:t>
      </w:r>
    </w:p>
    <w:p>
      <w:r>
        <w:rPr>
          <w:rFonts w:ascii="Consolas" w:hAnsi="Consolas"/>
          <w:sz w:val="17"/>
        </w:rPr>
        <w:t xml:space="preserve">                &lt;/ruleml:Atom&gt;</w:t>
      </w:r>
    </w:p>
    <w:p>
      <w:r>
        <w:rPr>
          <w:rFonts w:ascii="Consolas" w:hAnsi="Consolas"/>
          <w:sz w:val="17"/>
        </w:rPr>
        <w:t xml:space="preserve">                &lt;ruleml:Atom&gt;</w:t>
      </w:r>
    </w:p>
    <w:p>
      <w:r>
        <w:rPr>
          <w:rFonts w:ascii="Consolas" w:hAnsi="Consolas"/>
          <w:sz w:val="17"/>
        </w:rPr>
        <w:t xml:space="preserve">                  &lt;!-- ... OR authorised by the holder --&gt;</w:t>
      </w:r>
    </w:p>
    <w:p>
      <w:r>
        <w:rPr>
          <w:rFonts w:ascii="Consolas" w:hAnsi="Consolas"/>
          <w:sz w:val="17"/>
        </w:rPr>
        <w:t xml:space="preserve">                  &lt;ruleml:Rel iri="dapreco:authorisedBy"/&gt;</w:t>
      </w:r>
    </w:p>
    <w:p>
      <w:r>
        <w:rPr>
          <w:rFonts w:ascii="Consolas" w:hAnsi="Consolas"/>
          <w:sz w:val="17"/>
        </w:rPr>
        <w:t xml:space="preserve">                  &lt;ruleml:Var&gt;consent&lt;/ruleml:Var&gt;</w:t>
      </w:r>
    </w:p>
    <w:p>
      <w:r>
        <w:rPr>
          <w:rFonts w:ascii="Consolas" w:hAnsi="Consolas"/>
          <w:sz w:val="17"/>
        </w:rPr>
        <w:t xml:space="preserve">                  &lt;ruleml:Var&gt;holder&lt;/ruleml:Var&gt;</w:t>
      </w:r>
    </w:p>
    <w:p>
      <w:r>
        <w:rPr>
          <w:rFonts w:ascii="Consolas" w:hAnsi="Consolas"/>
          <w:sz w:val="17"/>
        </w:rPr>
        <w:t xml:space="preserve">                &lt;/ruleml:Atom&gt;</w:t>
      </w:r>
    </w:p>
    <w:p>
      <w:r>
        <w:rPr>
          <w:rFonts w:ascii="Consolas" w:hAnsi="Consolas"/>
          <w:sz w:val="17"/>
        </w:rPr>
        <w:t xml:space="preserve">              &lt;/ruleml:Or&gt;</w:t>
      </w:r>
    </w:p>
    <w:p>
      <w:r>
        <w:rPr>
          <w:rFonts w:ascii="Consolas" w:hAnsi="Consolas"/>
          <w:sz w:val="17"/>
        </w:rPr>
        <w:t xml:space="preserve">            &lt;/ruleml:And&gt;</w:t>
      </w:r>
    </w:p>
    <w:p>
      <w:r>
        <w:rPr>
          <w:rFonts w:ascii="Consolas" w:hAnsi="Consolas"/>
          <w:sz w:val="17"/>
        </w:rPr>
        <w:t xml:space="preserve">          &lt;/lrml:Obligation&gt;</w:t>
      </w:r>
    </w:p>
    <w:p>
      <w:r>
        <w:rPr>
          <w:rFonts w:ascii="Consolas" w:hAnsi="Consolas"/>
          <w:sz w:val="17"/>
        </w:rPr>
        <w:t xml:space="preserve">        &lt;/ruleml:then&gt;</w:t>
      </w:r>
    </w:p>
    <w:p>
      <w:r>
        <w:rPr>
          <w:rFonts w:ascii="Consolas" w:hAnsi="Consolas"/>
          <w:sz w:val="17"/>
        </w:rPr>
        <w:t xml:space="preserve">      &lt;/ruleml:Rule&gt;</w:t>
      </w:r>
    </w:p>
    <w:p>
      <w:r>
        <w:rPr>
          <w:rFonts w:ascii="Consolas" w:hAnsi="Consolas"/>
          <w:sz w:val="17"/>
        </w:rPr>
        <w:t xml:space="preserve">    &lt;/lrml:PrescriptiveStatement&gt;</w:t>
      </w:r>
    </w:p>
    <w:p>
      <w:r>
        <w:rPr>
          <w:rFonts w:ascii="Consolas" w:hAnsi="Consolas"/>
          <w:sz w:val="17"/>
        </w:rPr>
        <w:t xml:space="preserve">  &lt;/lrml:Statements&gt;</w:t>
      </w:r>
    </w:p>
    <w:p>
      <w:r>
        <w:rPr>
          <w:rFonts w:ascii="Consolas" w:hAnsi="Consolas"/>
          <w:sz w:val="17"/>
        </w:rPr>
        <w:t xml:space="preserve">  &lt;lrml:Associations&gt;</w:t>
      </w:r>
    </w:p>
    <w:p>
      <w:r>
        <w:rPr>
          <w:rFonts w:ascii="Consolas" w:hAnsi="Consolas"/>
          <w:sz w:val="17"/>
        </w:rPr>
        <w:t xml:space="preserve">    &lt;lrml:Association&gt;</w:t>
      </w:r>
    </w:p>
    <w:p>
      <w:r>
        <w:rPr>
          <w:rFonts w:ascii="Consolas" w:hAnsi="Consolas"/>
          <w:sz w:val="17"/>
        </w:rPr>
        <w:t xml:space="preserve">      &lt;lrml:appliesSource keyref="#ls_art8_2"/&gt;</w:t>
      </w:r>
    </w:p>
    <w:p>
      <w:r>
        <w:rPr>
          <w:rFonts w:ascii="Consolas" w:hAnsi="Consolas"/>
          <w:sz w:val="17"/>
        </w:rPr>
        <w:t xml:space="preserve">      &lt;lrml:toTarget keyref="#ps_art8_2"/&gt;</w:t>
      </w:r>
    </w:p>
    <w:p>
      <w:r>
        <w:rPr>
          <w:rFonts w:ascii="Consolas" w:hAnsi="Consolas"/>
          <w:sz w:val="17"/>
        </w:rPr>
        <w:t xml:space="preserve">    &lt;/lrml:Association&gt;</w:t>
      </w:r>
    </w:p>
    <w:p>
      <w:r>
        <w:rPr>
          <w:rFonts w:ascii="Consolas" w:hAnsi="Consolas"/>
          <w:sz w:val="17"/>
        </w:rPr>
        <w:t xml:space="preserve">  &lt;/lrml:Associations&gt;</w:t>
      </w:r>
    </w:p>
    <w:p>
      <w:r>
        <w:rPr>
          <w:rFonts w:ascii="Consolas" w:hAnsi="Consolas"/>
          <w:sz w:val="17"/>
        </w:rPr>
        <w:t>&lt;/lrml:LegalRuleML&gt;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