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F8" w:rsidRDefault="000E7DF8">
      <w:r w:rsidRPr="000E7DF8">
        <w:rPr>
          <w:rStyle w:val="Strong"/>
          <w:sz w:val="32"/>
        </w:rPr>
        <w:t>Class Diagram</w:t>
      </w:r>
    </w:p>
    <w:p w:rsidR="000E7DF8" w:rsidRDefault="00B22463">
      <w:r>
        <w:rPr>
          <w:noProof/>
        </w:rPr>
        <w:drawing>
          <wp:inline distT="0" distB="0" distL="0" distR="0">
            <wp:extent cx="5943600" cy="2751455"/>
            <wp:effectExtent l="19050" t="0" r="0" b="0"/>
            <wp:docPr id="2" name="Picture 1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List1"/>
        <w:tblpPr w:leftFromText="180" w:rightFromText="180" w:vertAnchor="page" w:horzAnchor="margin" w:tblpY="7261"/>
        <w:tblW w:w="0" w:type="auto"/>
        <w:tblLook w:val="04A0"/>
      </w:tblPr>
      <w:tblGrid>
        <w:gridCol w:w="2988"/>
        <w:gridCol w:w="6588"/>
      </w:tblGrid>
      <w:tr w:rsidR="000E7DF8" w:rsidTr="000E7DF8">
        <w:trPr>
          <w:cnfStyle w:val="100000000000"/>
        </w:trPr>
        <w:tc>
          <w:tcPr>
            <w:cnfStyle w:val="001000000000"/>
            <w:tcW w:w="2988" w:type="dxa"/>
          </w:tcPr>
          <w:p w:rsidR="000E7DF8" w:rsidRDefault="000E7DF8" w:rsidP="000E7DF8">
            <w:pPr>
              <w:jc w:val="center"/>
            </w:pPr>
            <w:r>
              <w:t>Class</w:t>
            </w:r>
          </w:p>
        </w:tc>
        <w:tc>
          <w:tcPr>
            <w:tcW w:w="6588" w:type="dxa"/>
          </w:tcPr>
          <w:p w:rsidR="000E7DF8" w:rsidRDefault="000E7DF8" w:rsidP="000E7DF8">
            <w:pPr>
              <w:jc w:val="center"/>
              <w:cnfStyle w:val="100000000000"/>
            </w:pPr>
            <w:r>
              <w:t>Purpose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Calculator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Provides access to calculator functionality.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and returns it as a string.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FileReader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Reads the user input from a file.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CommandLineReader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Reads the user input from the command line.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FileWriter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Writes the output of the calculation to a file.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CommandLineWriter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Writes the output of the calculation to the command line.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Expression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the expression to be evaluated.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Evaluates a given expression.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PostfixEvaluator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Evaluates a given expression by converting the expression to the postfix notation.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Item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Holds individual segments of the given expression.</w:t>
            </w:r>
          </w:p>
        </w:tc>
      </w:tr>
      <w:tr w:rsidR="000E7DF8" w:rsidTr="000E7DF8">
        <w:tc>
          <w:tcPr>
            <w:cnfStyle w:val="001000000000"/>
            <w:tcW w:w="2988" w:type="dxa"/>
          </w:tcPr>
          <w:p w:rsidR="000E7DF8" w:rsidRDefault="000E7DF8" w:rsidP="000E7DF8">
            <w:r>
              <w:t>Operand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000000"/>
            </w:pPr>
            <w:r>
              <w:t>Holds an operand in the given expression</w:t>
            </w:r>
          </w:p>
        </w:tc>
      </w:tr>
      <w:tr w:rsidR="000E7DF8" w:rsidTr="000E7DF8">
        <w:trPr>
          <w:cnfStyle w:val="000000100000"/>
        </w:trPr>
        <w:tc>
          <w:tcPr>
            <w:cnfStyle w:val="001000000000"/>
            <w:tcW w:w="2988" w:type="dxa"/>
          </w:tcPr>
          <w:p w:rsidR="000E7DF8" w:rsidRDefault="000E7DF8" w:rsidP="000E7DF8">
            <w:r>
              <w:t>Operation</w:t>
            </w:r>
          </w:p>
        </w:tc>
        <w:tc>
          <w:tcPr>
            <w:tcW w:w="6588" w:type="dxa"/>
          </w:tcPr>
          <w:p w:rsidR="000E7DF8" w:rsidRDefault="000E7DF8" w:rsidP="000E7DF8">
            <w:pPr>
              <w:cnfStyle w:val="000000100000"/>
            </w:pPr>
            <w:r>
              <w:t>Holds an operation in the given expression</w:t>
            </w:r>
          </w:p>
        </w:tc>
      </w:tr>
      <w:tr w:rsidR="00195D30" w:rsidTr="000E7DF8">
        <w:tc>
          <w:tcPr>
            <w:cnfStyle w:val="001000000000"/>
            <w:tcW w:w="2988" w:type="dxa"/>
          </w:tcPr>
          <w:p w:rsidR="00195D30" w:rsidRDefault="00195D30" w:rsidP="000E7DF8">
            <w:r>
              <w:t>InvalidExpressionException</w:t>
            </w:r>
          </w:p>
        </w:tc>
        <w:tc>
          <w:tcPr>
            <w:tcW w:w="6588" w:type="dxa"/>
          </w:tcPr>
          <w:p w:rsidR="00195D30" w:rsidRDefault="00195D30" w:rsidP="000E7DF8">
            <w:pPr>
              <w:cnfStyle w:val="000000000000"/>
            </w:pPr>
            <w:r>
              <w:t>Gets thrown when a given expression is invalid.</w:t>
            </w:r>
          </w:p>
        </w:tc>
      </w:tr>
    </w:tbl>
    <w:p w:rsidR="000E7DF8" w:rsidRDefault="000E7DF8">
      <w:r>
        <w:br w:type="page"/>
      </w:r>
    </w:p>
    <w:p w:rsidR="000E7DF8" w:rsidRDefault="000E7DF8" w:rsidP="000E7DF8">
      <w:pPr>
        <w:rPr>
          <w:rStyle w:val="Strong"/>
          <w:sz w:val="32"/>
        </w:rPr>
      </w:pPr>
      <w:r>
        <w:rPr>
          <w:rStyle w:val="Strong"/>
          <w:sz w:val="32"/>
        </w:rPr>
        <w:lastRenderedPageBreak/>
        <w:t>Object</w:t>
      </w:r>
      <w:r w:rsidRPr="000E7DF8">
        <w:rPr>
          <w:rStyle w:val="Strong"/>
          <w:sz w:val="32"/>
        </w:rPr>
        <w:t xml:space="preserve"> Diagram</w:t>
      </w:r>
    </w:p>
    <w:p w:rsidR="00133D30" w:rsidRDefault="00443773" w:rsidP="000E7DF8">
      <w:r>
        <w:rPr>
          <w:noProof/>
        </w:rPr>
        <w:drawing>
          <wp:inline distT="0" distB="0" distL="0" distR="0">
            <wp:extent cx="5943600" cy="2809875"/>
            <wp:effectExtent l="19050" t="0" r="0" b="0"/>
            <wp:docPr id="1" name="Picture 0" descr="objec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iagr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8" w:rsidRDefault="000E7DF8" w:rsidP="000E7DF8">
      <w:r>
        <w:rPr>
          <w:rStyle w:val="Strong"/>
          <w:sz w:val="32"/>
        </w:rPr>
        <w:t>Sequence</w:t>
      </w:r>
      <w:r w:rsidRPr="000E7DF8">
        <w:rPr>
          <w:rStyle w:val="Strong"/>
          <w:sz w:val="32"/>
        </w:rPr>
        <w:t xml:space="preserve"> Diagram</w:t>
      </w:r>
    </w:p>
    <w:p w:rsidR="009D3D57" w:rsidRDefault="009D3D57">
      <w:pPr>
        <w:rPr>
          <w:noProof/>
        </w:rPr>
      </w:pPr>
    </w:p>
    <w:p w:rsidR="00D1591A" w:rsidRDefault="00443773">
      <w:r>
        <w:rPr>
          <w:noProof/>
        </w:rPr>
        <w:drawing>
          <wp:inline distT="0" distB="0" distL="0" distR="0">
            <wp:extent cx="5943600" cy="3825875"/>
            <wp:effectExtent l="19050" t="0" r="0" b="0"/>
            <wp:docPr id="3" name="Picture 2" descr="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1A" w:rsidSect="00D1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21B" w:rsidRDefault="00AC721B" w:rsidP="000E7DF8">
      <w:pPr>
        <w:spacing w:after="0" w:line="240" w:lineRule="auto"/>
      </w:pPr>
      <w:r>
        <w:separator/>
      </w:r>
    </w:p>
  </w:endnote>
  <w:endnote w:type="continuationSeparator" w:id="1">
    <w:p w:rsidR="00AC721B" w:rsidRDefault="00AC721B" w:rsidP="000E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21B" w:rsidRDefault="00AC721B" w:rsidP="000E7DF8">
      <w:pPr>
        <w:spacing w:after="0" w:line="240" w:lineRule="auto"/>
      </w:pPr>
      <w:r>
        <w:separator/>
      </w:r>
    </w:p>
  </w:footnote>
  <w:footnote w:type="continuationSeparator" w:id="1">
    <w:p w:rsidR="00AC721B" w:rsidRDefault="00AC721B" w:rsidP="000E7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01B"/>
    <w:rsid w:val="00003BFB"/>
    <w:rsid w:val="00021D74"/>
    <w:rsid w:val="00044146"/>
    <w:rsid w:val="0007651C"/>
    <w:rsid w:val="000A4E4D"/>
    <w:rsid w:val="000E7DF8"/>
    <w:rsid w:val="00133D30"/>
    <w:rsid w:val="001760E4"/>
    <w:rsid w:val="00195D30"/>
    <w:rsid w:val="001C2748"/>
    <w:rsid w:val="00213B9B"/>
    <w:rsid w:val="00245130"/>
    <w:rsid w:val="00345E6A"/>
    <w:rsid w:val="00407EC6"/>
    <w:rsid w:val="00443773"/>
    <w:rsid w:val="00483638"/>
    <w:rsid w:val="004D027B"/>
    <w:rsid w:val="004F047E"/>
    <w:rsid w:val="00506A1D"/>
    <w:rsid w:val="00511524"/>
    <w:rsid w:val="005A363A"/>
    <w:rsid w:val="005E1518"/>
    <w:rsid w:val="00600DE2"/>
    <w:rsid w:val="00614314"/>
    <w:rsid w:val="00641003"/>
    <w:rsid w:val="006A3628"/>
    <w:rsid w:val="00733935"/>
    <w:rsid w:val="007910B2"/>
    <w:rsid w:val="007A5C65"/>
    <w:rsid w:val="007B2A9D"/>
    <w:rsid w:val="0086794A"/>
    <w:rsid w:val="008C31A3"/>
    <w:rsid w:val="008E501B"/>
    <w:rsid w:val="00942058"/>
    <w:rsid w:val="00992242"/>
    <w:rsid w:val="009D3D57"/>
    <w:rsid w:val="009F71A6"/>
    <w:rsid w:val="00A65DD3"/>
    <w:rsid w:val="00AB255C"/>
    <w:rsid w:val="00AC721B"/>
    <w:rsid w:val="00AD0081"/>
    <w:rsid w:val="00AE03BF"/>
    <w:rsid w:val="00B21F94"/>
    <w:rsid w:val="00B22463"/>
    <w:rsid w:val="00B37206"/>
    <w:rsid w:val="00BA61B4"/>
    <w:rsid w:val="00BE08E4"/>
    <w:rsid w:val="00BE3625"/>
    <w:rsid w:val="00C82FD1"/>
    <w:rsid w:val="00C930B9"/>
    <w:rsid w:val="00C940A0"/>
    <w:rsid w:val="00CC171D"/>
    <w:rsid w:val="00D1591A"/>
    <w:rsid w:val="00E44AB2"/>
    <w:rsid w:val="00E60F40"/>
    <w:rsid w:val="00E70F1C"/>
    <w:rsid w:val="00E94555"/>
    <w:rsid w:val="00ED237F"/>
    <w:rsid w:val="00F15108"/>
    <w:rsid w:val="00FA279C"/>
    <w:rsid w:val="00FA2834"/>
    <w:rsid w:val="00FE5494"/>
    <w:rsid w:val="00FF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1A"/>
  </w:style>
  <w:style w:type="paragraph" w:styleId="Heading1">
    <w:name w:val="heading 1"/>
    <w:basedOn w:val="Normal"/>
    <w:next w:val="Normal"/>
    <w:link w:val="Heading1Char"/>
    <w:uiPriority w:val="9"/>
    <w:qFormat/>
    <w:rsid w:val="000E7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E5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DF8"/>
  </w:style>
  <w:style w:type="paragraph" w:styleId="Footer">
    <w:name w:val="footer"/>
    <w:basedOn w:val="Normal"/>
    <w:link w:val="FooterChar"/>
    <w:uiPriority w:val="99"/>
    <w:semiHidden/>
    <w:unhideWhenUsed/>
    <w:rsid w:val="000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DF8"/>
  </w:style>
  <w:style w:type="character" w:customStyle="1" w:styleId="Heading1Char">
    <w:name w:val="Heading 1 Char"/>
    <w:basedOn w:val="DefaultParagraphFont"/>
    <w:link w:val="Heading1"/>
    <w:uiPriority w:val="9"/>
    <w:rsid w:val="000E7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E7D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ishans</dc:creator>
  <cp:lastModifiedBy>ishans</cp:lastModifiedBy>
  <cp:revision>12</cp:revision>
  <dcterms:created xsi:type="dcterms:W3CDTF">2014-09-15T15:14:00Z</dcterms:created>
  <dcterms:modified xsi:type="dcterms:W3CDTF">2014-09-16T13:59:00Z</dcterms:modified>
</cp:coreProperties>
</file>