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i w:val="0"/>
          <w:color w:val="F51F27"/>
          <w:sz w:val="18"/>
        </w:rPr>
        <w:t>SAAS TRANSFORMATION</w:t>
      </w:r>
    </w:p>
    <w:p>
      <w:pPr>
        <w:keepNext/>
        <w:spacing w:before="0" w:after="140"/>
      </w:pPr>
      <w:r>
        <w:rPr>
          <w:rFonts w:ascii="Calibri" w:hAnsi="Calibri"/>
          <w:b/>
          <w:i w:val="0"/>
          <w:color w:val="263242"/>
          <w:sz w:val="51"/>
        </w:rPr>
        <w:t>GND Millwork</w:t>
        <w:br/>
        <w:t>Multi-Tenant SaaS Transformation</w:t>
      </w:r>
    </w:p>
    <w:p>
      <w:pPr>
        <w:spacing w:before="0" w:after="300"/>
      </w:pPr>
      <w:r>
        <w:rPr>
          <w:rFonts w:ascii="Calibri" w:hAnsi="Calibri"/>
          <w:b w:val="0"/>
          <w:i/>
          <w:color w:val="6B7280"/>
          <w:sz w:val="25"/>
        </w:rPr>
        <w:t>A concise roadmap from the current platform to commercial market launch</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150" w:type="dxa"/>
              <w:start w:w="220" w:type="dxa"/>
              <w:bottom w:w="150" w:type="dxa"/>
              <w:end w:w="220" w:type="dxa"/>
            </w:tcMar>
            <w:vAlign w:val="center"/>
            <w:shd w:fill="EEF3FF" w:val="clear"/>
          </w:tcPr>
          <w:p>
            <w:pPr>
              <w:spacing w:before="0" w:after="40"/>
              <w:jc w:val="center"/>
            </w:pPr>
            <w:r>
              <w:rPr>
                <w:rFonts w:ascii="Calibri" w:hAnsi="Calibri"/>
                <w:b/>
                <w:i w:val="0"/>
                <w:color w:val="F51F27"/>
                <w:sz w:val="17"/>
              </w:rPr>
              <w:t>ESTIMATED DELIVERY</w:t>
            </w:r>
          </w:p>
          <w:p>
            <w:pPr>
              <w:spacing w:before="0" w:after="40"/>
              <w:jc w:val="center"/>
            </w:pPr>
            <w:r>
              <w:rPr>
                <w:rFonts w:ascii="Calibri" w:hAnsi="Calibri"/>
                <w:b/>
                <w:i w:val="0"/>
                <w:color w:val="3F5EB0"/>
                <w:sz w:val="46"/>
              </w:rPr>
              <w:t>12-15 weeks</w:t>
            </w:r>
          </w:p>
          <w:p>
            <w:pPr>
              <w:spacing w:before="0" w:after="0"/>
              <w:jc w:val="center"/>
            </w:pPr>
            <w:r>
              <w:rPr>
                <w:rFonts w:ascii="Calibri" w:hAnsi="Calibri"/>
                <w:b/>
                <w:i w:val="0"/>
                <w:color w:val="263242"/>
                <w:sz w:val="20"/>
              </w:rPr>
              <w:t>Approximately 3-4 months to a guided public SaaS launch</w:t>
            </w:r>
          </w:p>
        </w:tc>
      </w:tr>
    </w:tbl>
    <w:p>
      <w:pPr>
        <w:pStyle w:val="Heading1"/>
        <w:keepNext/>
      </w:pPr>
      <w:r>
        <w:t>Purpose</w:t>
      </w:r>
    </w:p>
    <w:p>
      <w:pPr>
        <w:spacing w:before="0" w:after="140" w:line="264" w:lineRule="auto"/>
      </w:pPr>
      <w:r>
        <w:rPr>
          <w:rFonts w:ascii="Calibri" w:hAnsi="Calibri"/>
          <w:b w:val="0"/>
          <w:i w:val="0"/>
          <w:color w:val="263242"/>
          <w:sz w:val="22"/>
        </w:rPr>
        <w:t>Transform the existing GND operating platform into a secure subscription-based service that independent companies can use without separate codebases. Each company receives its own protected workspace, configuration, people, data, pricing, branding and enabled modules.</w:t>
      </w:r>
    </w:p>
    <w:p>
      <w:pPr>
        <w:pStyle w:val="Heading1"/>
        <w:keepNext/>
      </w:pPr>
      <w:r>
        <w:t>What the SaaS platform will deliver</w:t>
      </w:r>
    </w:p>
    <w:p>
      <w:pPr>
        <w:numPr>
          <w:ilvl w:val="0"/>
          <w:numId w:val="40"/>
        </w:numPr>
        <w:spacing w:before="0" w:after="80" w:line="280" w:lineRule="auto"/>
      </w:pPr>
      <w:r>
        <w:rPr>
          <w:rFonts w:ascii="Calibri" w:hAnsi="Calibri"/>
          <w:b w:val="0"/>
          <w:i w:val="0"/>
          <w:color w:val="263242"/>
          <w:sz w:val="20"/>
        </w:rPr>
        <w:t>Secure company workspaces with isolated users, customers, sales, inventory, production, payments, documents and reporting.</w:t>
      </w:r>
    </w:p>
    <w:p>
      <w:pPr>
        <w:numPr>
          <w:ilvl w:val="0"/>
          <w:numId w:val="40"/>
        </w:numPr>
        <w:spacing w:before="0" w:after="80" w:line="280" w:lineRule="auto"/>
      </w:pPr>
      <w:r>
        <w:rPr>
          <w:rFonts w:ascii="Calibri" w:hAnsi="Calibri"/>
          <w:b w:val="0"/>
          <w:i w:val="0"/>
          <w:color w:val="263242"/>
          <w:sz w:val="20"/>
        </w:rPr>
        <w:t>Subscription plans and server-enforced feature selection for Sales, Inventory, Production, Dispatch, Dealership, Storefront, Finance and Communications.</w:t>
      </w:r>
    </w:p>
    <w:p>
      <w:pPr>
        <w:numPr>
          <w:ilvl w:val="0"/>
          <w:numId w:val="40"/>
        </w:numPr>
        <w:spacing w:before="0" w:after="80" w:line="280" w:lineRule="auto"/>
      </w:pPr>
      <w:r>
        <w:rPr>
          <w:rFonts w:ascii="Calibri" w:hAnsi="Calibri"/>
          <w:b w:val="0"/>
          <w:i w:val="0"/>
          <w:color w:val="263242"/>
          <w:sz w:val="20"/>
        </w:rPr>
        <w:t>A shared Sales Form and product workflow that every company can configure without creating a separate application version.</w:t>
      </w:r>
    </w:p>
    <w:p>
      <w:pPr>
        <w:numPr>
          <w:ilvl w:val="0"/>
          <w:numId w:val="40"/>
        </w:numPr>
        <w:spacing w:before="0" w:after="80" w:line="280" w:lineRule="auto"/>
      </w:pPr>
      <w:r>
        <w:rPr>
          <w:rFonts w:ascii="Calibri" w:hAnsi="Calibri"/>
          <w:b w:val="0"/>
          <w:i w:val="0"/>
          <w:color w:val="263242"/>
          <w:sz w:val="20"/>
        </w:rPr>
        <w:t>Company-owned prices, customer price profiles, taxes and publishable configuration revisions, with no exposure of GND private pricing or supplier data.</w:t>
      </w:r>
    </w:p>
    <w:p>
      <w:pPr>
        <w:numPr>
          <w:ilvl w:val="0"/>
          <w:numId w:val="40"/>
        </w:numPr>
        <w:spacing w:before="0" w:after="80" w:line="280" w:lineRule="auto"/>
      </w:pPr>
      <w:r>
        <w:rPr>
          <w:rFonts w:ascii="Calibri" w:hAnsi="Calibri"/>
          <w:b w:val="0"/>
          <w:i w:val="0"/>
          <w:color w:val="263242"/>
          <w:sz w:val="20"/>
        </w:rPr>
        <w:t>Custom domains, platform subdomains and company branding across the application, emails, quotes, invoices and generated PDFs.</w:t>
      </w:r>
    </w:p>
    <w:p>
      <w:pPr>
        <w:numPr>
          <w:ilvl w:val="0"/>
          <w:numId w:val="40"/>
        </w:numPr>
        <w:spacing w:before="0" w:after="80" w:line="280" w:lineRule="auto"/>
      </w:pPr>
      <w:r>
        <w:rPr>
          <w:rFonts w:ascii="Calibri" w:hAnsi="Calibri"/>
          <w:b w:val="0"/>
          <w:i w:val="0"/>
          <w:color w:val="263242"/>
          <w:sz w:val="20"/>
        </w:rPr>
        <w:t>Guided onboarding, data migration, administrative controls, monitoring, audit trails, support tools and secure offboarding.</w:t>
      </w:r>
    </w:p>
    <w:p>
      <w:pPr>
        <w:pStyle w:val="Heading1"/>
        <w:keepNext/>
      </w:pPr>
      <w:r>
        <w:t>Shared Sales Form principle</w:t>
      </w:r>
    </w:p>
    <w:p>
      <w:pPr>
        <w:spacing w:before="0" w:after="0" w:line="264" w:lineRule="auto"/>
      </w:pPr>
      <w:r>
        <w:rPr>
          <w:rFonts w:ascii="Calibri" w:hAnsi="Calibri"/>
          <w:b w:val="0"/>
          <w:i w:val="0"/>
          <w:color w:val="263242"/>
          <w:sz w:val="22"/>
        </w:rPr>
        <w:t>GND maintains one tested base structure of steps, components and compatibility rules. Each company can hide, rename, reorder or extend approved components and set its own prices. Published revisions are recorded with each quote or order so later changes do not rewrite historical work.</w:t>
      </w:r>
    </w:p>
    <w:p>
      <w:pPr>
        <w:pStyle w:val="Heading1"/>
        <w:keepNext/>
        <w:pageBreakBefore/>
      </w:pPr>
      <w:r>
        <w:t>Delivery team and working model</w:t>
      </w:r>
    </w:p>
    <w:p>
      <w:pPr>
        <w:spacing w:before="0" w:after="140" w:line="264" w:lineRule="auto"/>
      </w:pPr>
      <w:r>
        <w:rPr>
          <w:rFonts w:ascii="Calibri" w:hAnsi="Calibri"/>
          <w:b w:val="0"/>
          <w:i w:val="0"/>
          <w:color w:val="263242"/>
          <w:sz w:val="21"/>
        </w:rPr>
        <w:t>The SaaS transformation will use a structured, AI-accelerated engineering workflow designed around the existing GND platform. Requirements will be organized into clearly defined and traceable work packages for implementation, validation and release.</w:t>
      </w:r>
    </w:p>
    <w:p>
      <w:pPr>
        <w:spacing w:before="0" w:after="100" w:line="264" w:lineRule="auto"/>
      </w:pPr>
      <w:r>
        <w:rPr>
          <w:rFonts w:ascii="Calibri" w:hAnsi="Calibri"/>
          <w:b w:val="0"/>
          <w:i w:val="0"/>
          <w:color w:val="263242"/>
          <w:sz w:val="21"/>
        </w:rPr>
        <w:t>Advanced coding and reasoning models will support repository analysis, implementation, refactoring, automated testing, documentation and technical review. Architecture, tenant isolation, data security, business correctness, provider integrations and final release approval will remain under experienced technical oversight.</w:t>
      </w:r>
    </w:p>
    <w:p>
      <w:pPr>
        <w:pStyle w:val="Heading1"/>
        <w:keepNext/>
      </w:pPr>
      <w:r>
        <w:t>Roadmap to market</w:t>
      </w:r>
    </w:p>
    <w:p>
      <w:pPr>
        <w:spacing w:before="0" w:after="160" w:line="264" w:lineRule="auto"/>
      </w:pPr>
      <w:r>
        <w:rPr>
          <w:rFonts w:ascii="Calibri" w:hAnsi="Calibri"/>
          <w:b w:val="0"/>
          <w:i w:val="0"/>
          <w:color w:val="263242"/>
          <w:sz w:val="21"/>
        </w:rPr>
        <w:t>The work is delivered in controlled, partly overlapping stages so infrastructure, tenant isolation and commercial capabilities can be validated before public release.</w:t>
      </w:r>
    </w:p>
    <w:tbl>
      <w:tblPr>
        <w:tblW w:type="dxa" w:w="9360"/>
        <w:jc w:val="left"/>
        <w:tblLayout w:type="fixed"/>
        <w:tblLook w:firstColumn="1" w:firstRow="1" w:lastColumn="0" w:lastRow="0" w:noHBand="0" w:noVBand="1" w:val="04A0"/>
        <w:tblInd w:w="120" w:type="dxa"/>
        <w:tblBorders>
          <w:top w:val="single" w:sz="6" w:color="D8DEE8"/>
          <w:left w:val="single" w:sz="6" w:color="D8DEE8"/>
          <w:bottom w:val="single" w:sz="6" w:color="D8DEE8"/>
          <w:right w:val="single" w:sz="6" w:color="D8DEE8"/>
          <w:insideH w:val="single" w:sz="6" w:color="D8DEE8"/>
          <w:insideV w:val="single" w:sz="6" w:color="D8DEE8"/>
        </w:tblBorders>
      </w:tblPr>
      <w:tblGrid>
        <w:gridCol w:w="2160"/>
        <w:gridCol w:w="1500"/>
        <w:gridCol w:w="5700"/>
      </w:tblGrid>
      <w:tr>
        <w:trPr>
          <w:tblHeader w:val="true"/>
        </w:trPr>
        <w:tc>
          <w:tcPr>
            <w:tcW w:type="dxa" w:w="2160"/>
            <w:tcMar>
              <w:top w:w="80" w:type="dxa"/>
              <w:start w:w="120" w:type="dxa"/>
              <w:bottom w:w="80" w:type="dxa"/>
              <w:end w:w="120" w:type="dxa"/>
            </w:tcMar>
            <w:vAlign w:val="center"/>
            <w:shd w:fill="3F5EB0" w:val="clear"/>
          </w:tcPr>
          <w:p>
            <w:pPr>
              <w:spacing w:after="0"/>
            </w:pPr>
            <w:r>
              <w:rPr>
                <w:rFonts w:ascii="Calibri" w:hAnsi="Calibri"/>
                <w:b/>
                <w:i w:val="0"/>
                <w:color w:val="FFFFFF"/>
                <w:sz w:val="18"/>
              </w:rPr>
              <w:t>Stage</w:t>
            </w:r>
          </w:p>
        </w:tc>
        <w:tc>
          <w:tcPr>
            <w:tcW w:type="dxa" w:w="1500"/>
            <w:tcMar>
              <w:top w:w="80" w:type="dxa"/>
              <w:start w:w="120" w:type="dxa"/>
              <w:bottom w:w="80" w:type="dxa"/>
              <w:end w:w="120" w:type="dxa"/>
            </w:tcMar>
            <w:vAlign w:val="center"/>
            <w:shd w:fill="3F5EB0" w:val="clear"/>
          </w:tcPr>
          <w:p>
            <w:pPr>
              <w:spacing w:after="0"/>
            </w:pPr>
            <w:r>
              <w:rPr>
                <w:rFonts w:ascii="Calibri" w:hAnsi="Calibri"/>
                <w:b/>
                <w:i w:val="0"/>
                <w:color w:val="FFFFFF"/>
                <w:sz w:val="18"/>
              </w:rPr>
              <w:t>Delivery window</w:t>
            </w:r>
          </w:p>
        </w:tc>
        <w:tc>
          <w:tcPr>
            <w:tcW w:type="dxa" w:w="5700"/>
            <w:tcMar>
              <w:top w:w="80" w:type="dxa"/>
              <w:start w:w="120" w:type="dxa"/>
              <w:bottom w:w="80" w:type="dxa"/>
              <w:end w:w="120" w:type="dxa"/>
            </w:tcMar>
            <w:vAlign w:val="center"/>
            <w:shd w:fill="3F5EB0" w:val="clear"/>
          </w:tcPr>
          <w:p>
            <w:pPr>
              <w:spacing w:after="0"/>
            </w:pPr>
            <w:r>
              <w:rPr>
                <w:rFonts w:ascii="Calibri" w:hAnsi="Calibri"/>
                <w:b/>
                <w:i w:val="0"/>
                <w:color w:val="FFFFFF"/>
                <w:sz w:val="18"/>
              </w:rPr>
              <w:t>Primary outcome</w:t>
            </w:r>
          </w:p>
        </w:tc>
      </w:tr>
      <w:tr>
        <w:tc>
          <w:tcPr>
            <w:tcW w:type="dxa" w:w="2160"/>
            <w:tcMar>
              <w:top w:w="100" w:type="dxa"/>
              <w:start w:w="120" w:type="dxa"/>
              <w:bottom w:w="100" w:type="dxa"/>
              <w:end w:w="120" w:type="dxa"/>
            </w:tcMar>
            <w:vAlign w:val="center"/>
          </w:tcPr>
          <w:p>
            <w:pPr>
              <w:spacing w:before="0" w:after="0" w:line="252" w:lineRule="auto"/>
            </w:pPr>
            <w:r>
              <w:rPr>
                <w:rFonts w:ascii="Calibri" w:hAnsi="Calibri"/>
                <w:b/>
                <w:i w:val="0"/>
                <w:color w:val="263242"/>
                <w:sz w:val="18"/>
              </w:rPr>
              <w:t>1. Define</w:t>
            </w:r>
          </w:p>
        </w:tc>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263242"/>
                <w:sz w:val="18"/>
              </w:rPr>
              <w:t>Weeks 1-2</w:t>
            </w:r>
          </w:p>
        </w:tc>
        <w:tc>
          <w:tcPr>
            <w:tcW w:type="dxa" w:w="5700"/>
            <w:tcMar>
              <w:top w:w="100" w:type="dxa"/>
              <w:start w:w="120" w:type="dxa"/>
              <w:bottom w:w="100" w:type="dxa"/>
              <w:end w:w="120" w:type="dxa"/>
            </w:tcMar>
            <w:vAlign w:val="center"/>
          </w:tcPr>
          <w:p>
            <w:pPr>
              <w:spacing w:before="0" w:after="0" w:line="252" w:lineRule="auto"/>
            </w:pPr>
            <w:r>
              <w:rPr>
                <w:rFonts w:ascii="Calibri" w:hAnsi="Calibri"/>
                <w:b w:val="0"/>
                <w:i w:val="0"/>
                <w:color w:val="263242"/>
                <w:sz w:val="18"/>
              </w:rPr>
              <w:t>Confirm product scope, modules, architecture, security and launch requirements.</w:t>
            </w:r>
          </w:p>
        </w:tc>
      </w:tr>
      <w:tr>
        <w:tc>
          <w:tcPr>
            <w:tcW w:type="dxa" w:w="2160"/>
            <w:tcMar>
              <w:top w:w="100" w:type="dxa"/>
              <w:start w:w="120" w:type="dxa"/>
              <w:bottom w:w="100" w:type="dxa"/>
              <w:end w:w="120" w:type="dxa"/>
            </w:tcMar>
            <w:vAlign w:val="center"/>
            <w:shd w:fill="F2F4F7" w:val="clear"/>
          </w:tcPr>
          <w:p>
            <w:pPr>
              <w:spacing w:before="0" w:after="0" w:line="252" w:lineRule="auto"/>
            </w:pPr>
            <w:r>
              <w:rPr>
                <w:rFonts w:ascii="Calibri" w:hAnsi="Calibri"/>
                <w:b/>
                <w:i w:val="0"/>
                <w:color w:val="263242"/>
                <w:sz w:val="18"/>
              </w:rPr>
              <w:t>2. Foundation</w:t>
            </w:r>
          </w:p>
        </w:tc>
        <w:tc>
          <w:tcPr>
            <w:tcW w:type="dxa" w:w="1500"/>
            <w:tcMar>
              <w:top w:w="100" w:type="dxa"/>
              <w:start w:w="120" w:type="dxa"/>
              <w:bottom w:w="100" w:type="dxa"/>
              <w:end w:w="120" w:type="dxa"/>
            </w:tcMar>
            <w:vAlign w:val="center"/>
            <w:shd w:fill="F2F4F7" w:val="clear"/>
          </w:tcPr>
          <w:p>
            <w:pPr>
              <w:spacing w:before="0" w:after="0" w:line="252" w:lineRule="auto"/>
            </w:pPr>
            <w:r>
              <w:rPr>
                <w:rFonts w:ascii="Calibri" w:hAnsi="Calibri"/>
                <w:b w:val="0"/>
                <w:i w:val="0"/>
                <w:color w:val="263242"/>
                <w:sz w:val="18"/>
              </w:rPr>
              <w:t>Weeks 1-4</w:t>
            </w:r>
          </w:p>
        </w:tc>
        <w:tc>
          <w:tcPr>
            <w:tcW w:type="dxa" w:w="5700"/>
            <w:tcMar>
              <w:top w:w="100" w:type="dxa"/>
              <w:start w:w="120" w:type="dxa"/>
              <w:bottom w:w="100" w:type="dxa"/>
              <w:end w:w="120" w:type="dxa"/>
            </w:tcMar>
            <w:vAlign w:val="center"/>
            <w:shd w:fill="F2F4F7" w:val="clear"/>
          </w:tcPr>
          <w:p>
            <w:pPr>
              <w:spacing w:before="0" w:after="0" w:line="252" w:lineRule="auto"/>
            </w:pPr>
            <w:r>
              <w:rPr>
                <w:rFonts w:ascii="Calibri" w:hAnsi="Calibri"/>
                <w:b w:val="0"/>
                <w:i w:val="0"/>
                <w:color w:val="263242"/>
                <w:sz w:val="18"/>
              </w:rPr>
              <w:t>Prepare the database, environments, backups, monitoring and release controls.</w:t>
            </w:r>
          </w:p>
        </w:tc>
      </w:tr>
      <w:tr>
        <w:tc>
          <w:tcPr>
            <w:tcW w:type="dxa" w:w="2160"/>
            <w:tcMar>
              <w:top w:w="100" w:type="dxa"/>
              <w:start w:w="120" w:type="dxa"/>
              <w:bottom w:w="100" w:type="dxa"/>
              <w:end w:w="120" w:type="dxa"/>
            </w:tcMar>
            <w:vAlign w:val="center"/>
          </w:tcPr>
          <w:p>
            <w:pPr>
              <w:spacing w:before="0" w:after="0" w:line="252" w:lineRule="auto"/>
            </w:pPr>
            <w:r>
              <w:rPr>
                <w:rFonts w:ascii="Calibri" w:hAnsi="Calibri"/>
                <w:b/>
                <w:i w:val="0"/>
                <w:color w:val="263242"/>
                <w:sz w:val="18"/>
              </w:rPr>
              <w:t>3. Isolate</w:t>
            </w:r>
          </w:p>
        </w:tc>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263242"/>
                <w:sz w:val="18"/>
              </w:rPr>
              <w:t>Weeks 2-7</w:t>
            </w:r>
          </w:p>
        </w:tc>
        <w:tc>
          <w:tcPr>
            <w:tcW w:type="dxa" w:w="5700"/>
            <w:tcMar>
              <w:top w:w="100" w:type="dxa"/>
              <w:start w:w="120" w:type="dxa"/>
              <w:bottom w:w="100" w:type="dxa"/>
              <w:end w:w="120" w:type="dxa"/>
            </w:tcMar>
            <w:vAlign w:val="center"/>
          </w:tcPr>
          <w:p>
            <w:pPr>
              <w:spacing w:before="0" w:after="0" w:line="252" w:lineRule="auto"/>
            </w:pPr>
            <w:r>
              <w:rPr>
                <w:rFonts w:ascii="Calibri" w:hAnsi="Calibri"/>
                <w:b w:val="0"/>
                <w:i w:val="0"/>
                <w:color w:val="263242"/>
                <w:sz w:val="18"/>
              </w:rPr>
              <w:t>Add company workspaces, memberships, permissions and tenant-safe business data.</w:t>
            </w:r>
          </w:p>
        </w:tc>
      </w:tr>
      <w:tr>
        <w:tc>
          <w:tcPr>
            <w:tcW w:type="dxa" w:w="2160"/>
            <w:tcMar>
              <w:top w:w="100" w:type="dxa"/>
              <w:start w:w="120" w:type="dxa"/>
              <w:bottom w:w="100" w:type="dxa"/>
              <w:end w:w="120" w:type="dxa"/>
            </w:tcMar>
            <w:vAlign w:val="center"/>
            <w:shd w:fill="F2F4F7" w:val="clear"/>
          </w:tcPr>
          <w:p>
            <w:pPr>
              <w:spacing w:before="0" w:after="0" w:line="252" w:lineRule="auto"/>
            </w:pPr>
            <w:r>
              <w:rPr>
                <w:rFonts w:ascii="Calibri" w:hAnsi="Calibri"/>
                <w:b/>
                <w:i w:val="0"/>
                <w:color w:val="263242"/>
                <w:sz w:val="18"/>
              </w:rPr>
              <w:t>4. Configure</w:t>
            </w:r>
          </w:p>
        </w:tc>
        <w:tc>
          <w:tcPr>
            <w:tcW w:type="dxa" w:w="1500"/>
            <w:tcMar>
              <w:top w:w="100" w:type="dxa"/>
              <w:start w:w="120" w:type="dxa"/>
              <w:bottom w:w="100" w:type="dxa"/>
              <w:end w:w="120" w:type="dxa"/>
            </w:tcMar>
            <w:vAlign w:val="center"/>
            <w:shd w:fill="F2F4F7" w:val="clear"/>
          </w:tcPr>
          <w:p>
            <w:pPr>
              <w:spacing w:before="0" w:after="0" w:line="252" w:lineRule="auto"/>
            </w:pPr>
            <w:r>
              <w:rPr>
                <w:rFonts w:ascii="Calibri" w:hAnsi="Calibri"/>
                <w:b w:val="0"/>
                <w:i w:val="0"/>
                <w:color w:val="263242"/>
                <w:sz w:val="18"/>
              </w:rPr>
              <w:t>Weeks 4-10</w:t>
            </w:r>
          </w:p>
        </w:tc>
        <w:tc>
          <w:tcPr>
            <w:tcW w:type="dxa" w:w="5700"/>
            <w:tcMar>
              <w:top w:w="100" w:type="dxa"/>
              <w:start w:w="120" w:type="dxa"/>
              <w:bottom w:w="100" w:type="dxa"/>
              <w:end w:w="120" w:type="dxa"/>
            </w:tcMar>
            <w:vAlign w:val="center"/>
            <w:shd w:fill="F2F4F7" w:val="clear"/>
          </w:tcPr>
          <w:p>
            <w:pPr>
              <w:spacing w:before="0" w:after="0" w:line="252" w:lineRule="auto"/>
            </w:pPr>
            <w:r>
              <w:rPr>
                <w:rFonts w:ascii="Calibri" w:hAnsi="Calibri"/>
                <w:b w:val="0"/>
                <w:i w:val="0"/>
                <w:color w:val="263242"/>
                <w:sz w:val="18"/>
              </w:rPr>
              <w:t>Deliver subscriptions, feature packages, shared Sales Form overlays and tenant pricing.</w:t>
            </w:r>
          </w:p>
        </w:tc>
      </w:tr>
      <w:tr>
        <w:tc>
          <w:tcPr>
            <w:tcW w:type="dxa" w:w="2160"/>
            <w:tcMar>
              <w:top w:w="100" w:type="dxa"/>
              <w:start w:w="120" w:type="dxa"/>
              <w:bottom w:w="100" w:type="dxa"/>
              <w:end w:w="120" w:type="dxa"/>
            </w:tcMar>
            <w:vAlign w:val="center"/>
          </w:tcPr>
          <w:p>
            <w:pPr>
              <w:spacing w:before="0" w:after="0" w:line="252" w:lineRule="auto"/>
            </w:pPr>
            <w:r>
              <w:rPr>
                <w:rFonts w:ascii="Calibri" w:hAnsi="Calibri"/>
                <w:b/>
                <w:i w:val="0"/>
                <w:color w:val="263242"/>
                <w:sz w:val="18"/>
              </w:rPr>
              <w:t>5. Brand</w:t>
            </w:r>
          </w:p>
        </w:tc>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263242"/>
                <w:sz w:val="18"/>
              </w:rPr>
              <w:t>Weeks 7-11</w:t>
            </w:r>
          </w:p>
        </w:tc>
        <w:tc>
          <w:tcPr>
            <w:tcW w:type="dxa" w:w="5700"/>
            <w:tcMar>
              <w:top w:w="100" w:type="dxa"/>
              <w:start w:w="120" w:type="dxa"/>
              <w:bottom w:w="100" w:type="dxa"/>
              <w:end w:w="120" w:type="dxa"/>
            </w:tcMar>
            <w:vAlign w:val="center"/>
          </w:tcPr>
          <w:p>
            <w:pPr>
              <w:spacing w:before="0" w:after="0" w:line="252" w:lineRule="auto"/>
            </w:pPr>
            <w:r>
              <w:rPr>
                <w:rFonts w:ascii="Calibri" w:hAnsi="Calibri"/>
                <w:b w:val="0"/>
                <w:i w:val="0"/>
                <w:color w:val="263242"/>
                <w:sz w:val="18"/>
              </w:rPr>
              <w:t>Add custom domains, branding, email identity, PDFs and secure document handling.</w:t>
            </w:r>
          </w:p>
        </w:tc>
      </w:tr>
      <w:tr>
        <w:tc>
          <w:tcPr>
            <w:tcW w:type="dxa" w:w="2160"/>
            <w:tcMar>
              <w:top w:w="100" w:type="dxa"/>
              <w:start w:w="120" w:type="dxa"/>
              <w:bottom w:w="100" w:type="dxa"/>
              <w:end w:w="120" w:type="dxa"/>
            </w:tcMar>
            <w:vAlign w:val="center"/>
            <w:shd w:fill="F2F4F7" w:val="clear"/>
          </w:tcPr>
          <w:p>
            <w:pPr>
              <w:spacing w:before="0" w:after="0" w:line="252" w:lineRule="auto"/>
            </w:pPr>
            <w:r>
              <w:rPr>
                <w:rFonts w:ascii="Calibri" w:hAnsi="Calibri"/>
                <w:b/>
                <w:i w:val="0"/>
                <w:color w:val="263242"/>
                <w:sz w:val="18"/>
              </w:rPr>
              <w:t>6. Launch</w:t>
            </w:r>
          </w:p>
        </w:tc>
        <w:tc>
          <w:tcPr>
            <w:tcW w:type="dxa" w:w="1500"/>
            <w:tcMar>
              <w:top w:w="100" w:type="dxa"/>
              <w:start w:w="120" w:type="dxa"/>
              <w:bottom w:w="100" w:type="dxa"/>
              <w:end w:w="120" w:type="dxa"/>
            </w:tcMar>
            <w:vAlign w:val="center"/>
            <w:shd w:fill="F2F4F7" w:val="clear"/>
          </w:tcPr>
          <w:p>
            <w:pPr>
              <w:spacing w:before="0" w:after="0" w:line="252" w:lineRule="auto"/>
            </w:pPr>
            <w:r>
              <w:rPr>
                <w:rFonts w:ascii="Calibri" w:hAnsi="Calibri"/>
                <w:b w:val="0"/>
                <w:i w:val="0"/>
                <w:color w:val="263242"/>
                <w:sz w:val="18"/>
              </w:rPr>
              <w:t>Weeks 10-15</w:t>
            </w:r>
          </w:p>
        </w:tc>
        <w:tc>
          <w:tcPr>
            <w:tcW w:type="dxa" w:w="5700"/>
            <w:tcMar>
              <w:top w:w="100" w:type="dxa"/>
              <w:start w:w="120" w:type="dxa"/>
              <w:bottom w:w="100" w:type="dxa"/>
              <w:end w:w="120" w:type="dxa"/>
            </w:tcMar>
            <w:vAlign w:val="center"/>
            <w:shd w:fill="F2F4F7" w:val="clear"/>
          </w:tcPr>
          <w:p>
            <w:pPr>
              <w:spacing w:before="0" w:after="0" w:line="252" w:lineRule="auto"/>
            </w:pPr>
            <w:r>
              <w:rPr>
                <w:rFonts w:ascii="Calibri" w:hAnsi="Calibri"/>
                <w:b w:val="0"/>
                <w:i w:val="0"/>
                <w:color w:val="263242"/>
                <w:sz w:val="18"/>
              </w:rPr>
              <w:t>Pilot with selected companies, complete security and performance validation, then release.</w:t>
            </w:r>
          </w:p>
        </w:tc>
      </w:tr>
    </w:tbl>
    <w:p>
      <w:pPr>
        <w:pStyle w:val="Heading2"/>
        <w:keepNext/>
      </w:pPr>
      <w:r>
        <w:t>Delivery milestones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tcMar>
              <w:top w:w="130" w:type="dxa"/>
              <w:start w:w="170" w:type="dxa"/>
              <w:bottom w:w="130" w:type="dxa"/>
              <w:end w:w="170" w:type="dxa"/>
            </w:tcMar>
            <w:vAlign w:val="center"/>
            <w:shd w:fill="F2F4F7" w:val="clear"/>
          </w:tcPr>
          <w:p>
            <w:pPr>
              <w:spacing w:after="40"/>
              <w:jc w:val="center"/>
            </w:pPr>
            <w:r>
              <w:rPr>
                <w:rFonts w:ascii="Calibri" w:hAnsi="Calibri"/>
                <w:b/>
                <w:i w:val="0"/>
                <w:color w:val="F51F27"/>
                <w:sz w:val="17"/>
              </w:rPr>
              <w:t>PRIVATE PILOT</w:t>
            </w:r>
          </w:p>
          <w:p>
            <w:pPr>
              <w:spacing w:after="0"/>
              <w:jc w:val="center"/>
            </w:pPr>
            <w:r>
              <w:rPr>
                <w:rFonts w:ascii="Calibri" w:hAnsi="Calibri"/>
                <w:b/>
                <w:i w:val="0"/>
                <w:color w:val="263242"/>
                <w:sz w:val="32"/>
              </w:rPr>
              <w:t>9-11 weeks</w:t>
            </w:r>
          </w:p>
        </w:tc>
        <w:tc>
          <w:tcPr>
            <w:tcW w:type="dxa" w:w="4680"/>
            <w:tcMar>
              <w:top w:w="130" w:type="dxa"/>
              <w:start w:w="170" w:type="dxa"/>
              <w:bottom w:w="130" w:type="dxa"/>
              <w:end w:w="170" w:type="dxa"/>
            </w:tcMar>
            <w:vAlign w:val="center"/>
            <w:shd w:fill="F2F4F7" w:val="clear"/>
          </w:tcPr>
          <w:p>
            <w:pPr>
              <w:spacing w:after="40"/>
              <w:jc w:val="center"/>
            </w:pPr>
            <w:r>
              <w:rPr>
                <w:rFonts w:ascii="Calibri" w:hAnsi="Calibri"/>
                <w:b/>
                <w:i w:val="0"/>
                <w:color w:val="3F5EB0"/>
                <w:sz w:val="17"/>
              </w:rPr>
              <w:t>PUBLIC LAUNCH</w:t>
            </w:r>
          </w:p>
          <w:p>
            <w:pPr>
              <w:spacing w:after="0"/>
              <w:jc w:val="center"/>
            </w:pPr>
            <w:r>
              <w:rPr>
                <w:rFonts w:ascii="Calibri" w:hAnsi="Calibri"/>
                <w:b/>
                <w:i w:val="0"/>
                <w:color w:val="263242"/>
                <w:sz w:val="32"/>
              </w:rPr>
              <w:t>12-15 weeks</w:t>
            </w:r>
          </w:p>
        </w:tc>
      </w:tr>
    </w:tbl>
    <w:p>
      <w:pPr>
        <w:pStyle w:val="Heading1"/>
        <w:keepNext/>
        <w:pageBreakBefore/>
      </w:pPr>
      <w:r>
        <w:t>Quality assurance</w:t>
      </w:r>
    </w:p>
    <w:p>
      <w:pPr>
        <w:spacing w:before="0" w:after="100" w:line="264" w:lineRule="auto"/>
      </w:pPr>
      <w:r>
        <w:rPr>
          <w:rFonts w:ascii="Calibri" w:hAnsi="Calibri"/>
          <w:b w:val="0"/>
          <w:i w:val="0"/>
          <w:color w:val="263242"/>
          <w:sz w:val="21"/>
        </w:rPr>
        <w:t>Quality assurance will be integrated throughout development rather than postponed until the end. AI-assisted and automated validation will cover:</w:t>
      </w:r>
    </w:p>
    <w:p>
      <w:pPr>
        <w:numPr>
          <w:ilvl w:val="0"/>
          <w:numId w:val="40"/>
        </w:numPr>
        <w:spacing w:before="0" w:after="80" w:line="280" w:lineRule="auto"/>
      </w:pPr>
      <w:r>
        <w:rPr>
          <w:rFonts w:ascii="Calibri" w:hAnsi="Calibri"/>
          <w:b w:val="0"/>
          <w:i w:val="0"/>
          <w:color w:val="263242"/>
          <w:sz w:val="20"/>
        </w:rPr>
        <w:t>Unit, integration and regression testing for existing GND workflows.</w:t>
      </w:r>
    </w:p>
    <w:p>
      <w:pPr>
        <w:numPr>
          <w:ilvl w:val="0"/>
          <w:numId w:val="40"/>
        </w:numPr>
        <w:spacing w:before="0" w:after="80" w:line="280" w:lineRule="auto"/>
      </w:pPr>
      <w:r>
        <w:rPr>
          <w:rFonts w:ascii="Calibri" w:hAnsi="Calibri"/>
          <w:b w:val="0"/>
          <w:i w:val="0"/>
          <w:color w:val="263242"/>
          <w:sz w:val="20"/>
        </w:rPr>
        <w:t>Cross-company tenant-isolation and permission testing.</w:t>
      </w:r>
    </w:p>
    <w:p>
      <w:pPr>
        <w:numPr>
          <w:ilvl w:val="0"/>
          <w:numId w:val="40"/>
        </w:numPr>
        <w:spacing w:before="0" w:after="80" w:line="280" w:lineRule="auto"/>
      </w:pPr>
      <w:r>
        <w:rPr>
          <w:rFonts w:ascii="Calibri" w:hAnsi="Calibri"/>
          <w:b w:val="0"/>
          <w:i w:val="0"/>
          <w:color w:val="263242"/>
          <w:sz w:val="20"/>
        </w:rPr>
        <w:t>Subscription, entitlement and payment-boundary validation.</w:t>
      </w:r>
    </w:p>
    <w:p>
      <w:pPr>
        <w:numPr>
          <w:ilvl w:val="0"/>
          <w:numId w:val="40"/>
        </w:numPr>
        <w:spacing w:before="0" w:after="80" w:line="280" w:lineRule="auto"/>
      </w:pPr>
      <w:r>
        <w:rPr>
          <w:rFonts w:ascii="Calibri" w:hAnsi="Calibri"/>
          <w:b w:val="0"/>
          <w:i w:val="0"/>
          <w:color w:val="263242"/>
          <w:sz w:val="20"/>
        </w:rPr>
        <w:t>Browser and end-to-end workflow testing.</w:t>
      </w:r>
    </w:p>
    <w:p>
      <w:pPr>
        <w:numPr>
          <w:ilvl w:val="0"/>
          <w:numId w:val="40"/>
        </w:numPr>
        <w:spacing w:before="0" w:after="80" w:line="280" w:lineRule="auto"/>
      </w:pPr>
      <w:r>
        <w:rPr>
          <w:rFonts w:ascii="Calibri" w:hAnsi="Calibri"/>
          <w:b w:val="0"/>
          <w:i w:val="0"/>
          <w:color w:val="263242"/>
          <w:sz w:val="20"/>
        </w:rPr>
        <w:t>Database migration, backup and restoration checks.</w:t>
      </w:r>
    </w:p>
    <w:p>
      <w:pPr>
        <w:numPr>
          <w:ilvl w:val="0"/>
          <w:numId w:val="40"/>
        </w:numPr>
        <w:spacing w:before="0" w:after="80" w:line="280" w:lineRule="auto"/>
      </w:pPr>
      <w:r>
        <w:rPr>
          <w:rFonts w:ascii="Calibri" w:hAnsi="Calibri"/>
          <w:b w:val="0"/>
          <w:i w:val="0"/>
          <w:color w:val="263242"/>
          <w:sz w:val="20"/>
        </w:rPr>
        <w:t>Email, PDF, file-storage and custom-domain validation.</w:t>
      </w:r>
    </w:p>
    <w:p>
      <w:pPr>
        <w:numPr>
          <w:ilvl w:val="0"/>
          <w:numId w:val="40"/>
        </w:numPr>
        <w:spacing w:before="0" w:after="80" w:line="280" w:lineRule="auto"/>
      </w:pPr>
      <w:r>
        <w:rPr>
          <w:rFonts w:ascii="Calibri" w:hAnsi="Calibri"/>
          <w:b w:val="0"/>
          <w:i w:val="0"/>
          <w:color w:val="263242"/>
          <w:sz w:val="20"/>
        </w:rPr>
        <w:t>Pre-release security, performance and deployment checks.</w:t>
      </w:r>
    </w:p>
    <w:p>
      <w:pPr>
        <w:spacing w:before="0" w:after="80" w:line="264" w:lineRule="auto"/>
      </w:pPr>
      <w:r>
        <w:rPr>
          <w:rFonts w:ascii="Calibri" w:hAnsi="Calibri"/>
          <w:b w:val="0"/>
          <w:i/>
          <w:color w:val="6B7280"/>
          <w:sz w:val="19"/>
        </w:rPr>
        <w:t>Critical areas must pass documented validation before public release.</w:t>
      </w:r>
    </w:p>
    <w:p>
      <w:pPr>
        <w:pStyle w:val="Heading1"/>
        <w:keepNext/>
      </w:pPr>
      <w:r>
        <w:t>Recommended go-to-market sequence</w:t>
      </w:r>
    </w:p>
    <w:p>
      <w:pPr>
        <w:numPr>
          <w:ilvl w:val="0"/>
          <w:numId w:val="41"/>
        </w:numPr>
        <w:spacing w:before="0" w:after="100" w:line="280" w:lineRule="auto"/>
      </w:pPr>
      <w:r>
        <w:rPr>
          <w:rFonts w:ascii="Calibri" w:hAnsi="Calibri"/>
          <w:b w:val="0"/>
          <w:i w:val="0"/>
          <w:color w:val="263242"/>
          <w:sz w:val="20"/>
        </w:rPr>
        <w:t>Complete the core tenant-security, subscription and shared-configuration foundation.</w:t>
      </w:r>
    </w:p>
    <w:p>
      <w:pPr>
        <w:numPr>
          <w:ilvl w:val="0"/>
          <w:numId w:val="41"/>
        </w:numPr>
        <w:spacing w:before="0" w:after="100" w:line="280" w:lineRule="auto"/>
      </w:pPr>
      <w:r>
        <w:rPr>
          <w:rFonts w:ascii="Calibri" w:hAnsi="Calibri"/>
          <w:b w:val="0"/>
          <w:i w:val="0"/>
          <w:color w:val="263242"/>
          <w:sz w:val="20"/>
        </w:rPr>
        <w:t>Onboard two or three selected companies into managed pilot environments.</w:t>
      </w:r>
    </w:p>
    <w:p>
      <w:pPr>
        <w:numPr>
          <w:ilvl w:val="0"/>
          <w:numId w:val="41"/>
        </w:numPr>
        <w:spacing w:before="0" w:after="100" w:line="280" w:lineRule="auto"/>
      </w:pPr>
      <w:r>
        <w:rPr>
          <w:rFonts w:ascii="Calibri" w:hAnsi="Calibri"/>
          <w:b w:val="0"/>
          <w:i w:val="0"/>
          <w:color w:val="263242"/>
          <w:sz w:val="20"/>
        </w:rPr>
        <w:t>Operate the pilot for approximately 3-4 weeks and measure usability, support demand, security and platform performance.</w:t>
      </w:r>
    </w:p>
    <w:p>
      <w:pPr>
        <w:numPr>
          <w:ilvl w:val="0"/>
          <w:numId w:val="41"/>
        </w:numPr>
        <w:spacing w:before="0" w:after="100" w:line="280" w:lineRule="auto"/>
      </w:pPr>
      <w:r>
        <w:rPr>
          <w:rFonts w:ascii="Calibri" w:hAnsi="Calibri"/>
          <w:b w:val="0"/>
          <w:i w:val="0"/>
          <w:color w:val="263242"/>
          <w:sz w:val="20"/>
        </w:rPr>
        <w:t>Resolve critical pilot findings and complete launch, restore and incident-response checks.</w:t>
      </w:r>
    </w:p>
    <w:p>
      <w:pPr>
        <w:numPr>
          <w:ilvl w:val="0"/>
          <w:numId w:val="41"/>
        </w:numPr>
        <w:spacing w:before="0" w:after="100" w:line="280" w:lineRule="auto"/>
      </w:pPr>
      <w:r>
        <w:rPr>
          <w:rFonts w:ascii="Calibri" w:hAnsi="Calibri"/>
          <w:b w:val="0"/>
          <w:i w:val="0"/>
          <w:color w:val="263242"/>
          <w:sz w:val="20"/>
        </w:rPr>
        <w:t>Begin guided commercial onboarding.</w:t>
      </w:r>
    </w:p>
    <w:p>
      <w:pPr>
        <w:numPr>
          <w:ilvl w:val="0"/>
          <w:numId w:val="41"/>
        </w:numPr>
        <w:spacing w:before="0" w:after="100" w:line="280" w:lineRule="auto"/>
      </w:pPr>
      <w:r>
        <w:rPr>
          <w:rFonts w:ascii="Calibri" w:hAnsi="Calibri"/>
          <w:b w:val="0"/>
          <w:i w:val="0"/>
          <w:color w:val="263242"/>
          <w:sz w:val="20"/>
        </w:rPr>
        <w:t>Introduce broader self-service onboarding after the launch process is proven.</w:t>
      </w:r>
    </w:p>
    <w:p>
      <w:pPr>
        <w:pStyle w:val="Heading2"/>
        <w:keepNext/>
      </w:pPr>
      <w:r>
        <w:t>Delivery assumptions</w:t>
      </w:r>
    </w:p>
    <w:p>
      <w:pPr>
        <w:spacing w:before="0" w:after="0" w:line="264" w:lineRule="auto"/>
      </w:pPr>
      <w:r>
        <w:rPr>
          <w:rFonts w:ascii="Calibri" w:hAnsi="Calibri"/>
          <w:b w:val="0"/>
          <w:i/>
          <w:color w:val="6B7280"/>
          <w:sz w:val="19"/>
        </w:rPr>
        <w:t>The estimate assumes approximately 32-35 focused development hours per week, generally equivalent to 4.5-5 hours per day across seven days. It also assumes continued use of production-grade AI engineering models, timely product and provider decisions, reuse of proven GND modules, guided onboarding, controlled launch scope and no major unplanned database, compliance, security or third-party integration complication. The range will be reviewed after the initial 1-2 week architecture and data-discovery stage.</w:t>
      </w:r>
    </w:p>
    <w:p>
      <w:pPr>
        <w:pStyle w:val="Heading1"/>
        <w:keepNext/>
        <w:pageBreakBefore/>
      </w:pPr>
      <w:r>
        <w:t>Client Scope and Launch Questionnaire</w:t>
      </w:r>
    </w:p>
    <w:p>
      <w:pPr>
        <w:spacing w:before="0" w:after="120"/>
      </w:pPr>
      <w:r>
        <w:rPr>
          <w:rFonts w:ascii="Calibri" w:hAnsi="Calibri"/>
          <w:b/>
          <w:i w:val="0"/>
          <w:color w:val="F51F27"/>
          <w:sz w:val="17"/>
        </w:rPr>
        <w:t>CLIENT DECISION APPENDIX</w:t>
      </w:r>
    </w:p>
    <w:p>
      <w:pPr>
        <w:spacing w:before="0" w:after="160" w:line="264" w:lineRule="auto"/>
      </w:pPr>
      <w:r>
        <w:rPr>
          <w:rFonts w:ascii="Calibri" w:hAnsi="Calibri"/>
          <w:b w:val="0"/>
          <w:i w:val="0"/>
          <w:color w:val="263242"/>
          <w:sz w:val="21"/>
        </w:rPr>
        <w:t>These questions confirm the initial SaaS scope, subscription structure, onboarding process and public-launch requirements. Complete the selections and add notes wherever a decision needs clarification.</w:t>
      </w:r>
    </w:p>
    <w:p>
      <w:pPr>
        <w:pStyle w:val="Heading2"/>
        <w:keepNext/>
      </w:pPr>
      <w:r>
        <w:t>1. Which modules should be available at the initial public launch?</w:t>
      </w:r>
    </w:p>
    <w:p>
      <w:pPr>
        <w:spacing w:before="0" w:after="120" w:line="264" w:lineRule="auto"/>
      </w:pPr>
      <w:r>
        <w:rPr>
          <w:rFonts w:ascii="Calibri" w:hAnsi="Calibri"/>
          <w:b w:val="0"/>
          <w:i/>
          <w:color w:val="6B7280"/>
          <w:sz w:val="19"/>
        </w:rPr>
        <w:t>Select one option for each module.</w:t>
      </w:r>
    </w:p>
    <w:tbl>
      <w:tblPr>
        <w:tblW w:type="dxa" w:w="9360"/>
        <w:jc w:val="left"/>
        <w:tblLayout w:type="fixed"/>
        <w:tblLook w:firstColumn="1" w:firstRow="1" w:lastColumn="0" w:lastRow="0" w:noHBand="0" w:noVBand="1" w:val="04A0"/>
        <w:tblInd w:w="120" w:type="dxa"/>
        <w:tblBorders>
          <w:top w:val="single" w:sz="6" w:color="D8DEE8"/>
          <w:left w:val="single" w:sz="6" w:color="D8DEE8"/>
          <w:bottom w:val="single" w:sz="6" w:color="D8DEE8"/>
          <w:right w:val="single" w:sz="6" w:color="D8DEE8"/>
          <w:insideH w:val="single" w:sz="6" w:color="D8DEE8"/>
          <w:insideV w:val="single" w:sz="6" w:color="D8DEE8"/>
        </w:tblBorders>
      </w:tblPr>
      <w:tblGrid>
        <w:gridCol w:w="4900"/>
        <w:gridCol w:w="760"/>
        <w:gridCol w:w="760"/>
        <w:gridCol w:w="940"/>
        <w:gridCol w:w="2000"/>
      </w:tblGrid>
      <w:tr>
        <w:trPr>
          <w:tblHeader w:val="true"/>
        </w:trPr>
        <w:tc>
          <w:tcPr>
            <w:tcW w:type="dxa" w:w="4900"/>
            <w:tcMar>
              <w:top w:w="90" w:type="dxa"/>
              <w:start w:w="90" w:type="dxa"/>
              <w:bottom w:w="90" w:type="dxa"/>
              <w:end w:w="90" w:type="dxa"/>
            </w:tcMar>
            <w:vAlign w:val="center"/>
            <w:shd w:fill="3F5EB0" w:val="clear"/>
          </w:tcPr>
          <w:p>
            <w:pPr>
              <w:spacing w:after="0"/>
              <w:jc w:val="left"/>
            </w:pPr>
            <w:r>
              <w:rPr>
                <w:rFonts w:ascii="Calibri" w:hAnsi="Calibri"/>
                <w:b/>
                <w:i w:val="0"/>
                <w:color w:val="FFFFFF"/>
                <w:sz w:val="16"/>
              </w:rPr>
              <w:t>Module</w:t>
            </w:r>
          </w:p>
        </w:tc>
        <w:tc>
          <w:tcPr>
            <w:tcW w:type="dxa" w:w="760"/>
            <w:tcMar>
              <w:top w:w="90" w:type="dxa"/>
              <w:start w:w="90" w:type="dxa"/>
              <w:bottom w:w="90" w:type="dxa"/>
              <w:end w:w="90" w:type="dxa"/>
            </w:tcMar>
            <w:vAlign w:val="center"/>
            <w:shd w:fill="3F5EB0" w:val="clear"/>
          </w:tcPr>
          <w:p>
            <w:pPr>
              <w:spacing w:after="0"/>
              <w:jc w:val="center"/>
            </w:pPr>
            <w:r>
              <w:rPr>
                <w:rFonts w:ascii="Calibri" w:hAnsi="Calibri"/>
                <w:b/>
                <w:i w:val="0"/>
                <w:color w:val="FFFFFF"/>
                <w:sz w:val="16"/>
              </w:rPr>
              <w:t>Launch</w:t>
            </w:r>
          </w:p>
        </w:tc>
        <w:tc>
          <w:tcPr>
            <w:tcW w:type="dxa" w:w="760"/>
            <w:tcMar>
              <w:top w:w="90" w:type="dxa"/>
              <w:start w:w="90" w:type="dxa"/>
              <w:bottom w:w="90" w:type="dxa"/>
              <w:end w:w="90" w:type="dxa"/>
            </w:tcMar>
            <w:vAlign w:val="center"/>
            <w:shd w:fill="3F5EB0" w:val="clear"/>
          </w:tcPr>
          <w:p>
            <w:pPr>
              <w:spacing w:after="0"/>
              <w:jc w:val="center"/>
            </w:pPr>
            <w:r>
              <w:rPr>
                <w:rFonts w:ascii="Calibri" w:hAnsi="Calibri"/>
                <w:b/>
                <w:i w:val="0"/>
                <w:color w:val="FFFFFF"/>
                <w:sz w:val="16"/>
              </w:rPr>
              <w:t>Later</w:t>
            </w:r>
          </w:p>
        </w:tc>
        <w:tc>
          <w:tcPr>
            <w:tcW w:type="dxa" w:w="940"/>
            <w:tcMar>
              <w:top w:w="90" w:type="dxa"/>
              <w:start w:w="90" w:type="dxa"/>
              <w:bottom w:w="90" w:type="dxa"/>
              <w:end w:w="90" w:type="dxa"/>
            </w:tcMar>
            <w:vAlign w:val="center"/>
            <w:shd w:fill="3F5EB0" w:val="clear"/>
          </w:tcPr>
          <w:p>
            <w:pPr>
              <w:spacing w:after="0"/>
              <w:jc w:val="center"/>
            </w:pPr>
            <w:r>
              <w:rPr>
                <w:rFonts w:ascii="Calibri" w:hAnsi="Calibri"/>
                <w:b/>
                <w:i w:val="0"/>
                <w:color w:val="FFFFFF"/>
                <w:sz w:val="16"/>
              </w:rPr>
              <w:t>Not</w:t>
              <w:br/>
              <w:t>required</w:t>
            </w:r>
          </w:p>
        </w:tc>
        <w:tc>
          <w:tcPr>
            <w:tcW w:type="dxa" w:w="2000"/>
            <w:tcMar>
              <w:top w:w="90" w:type="dxa"/>
              <w:start w:w="90" w:type="dxa"/>
              <w:bottom w:w="90" w:type="dxa"/>
              <w:end w:w="90" w:type="dxa"/>
            </w:tcMar>
            <w:vAlign w:val="center"/>
            <w:shd w:fill="3F5EB0" w:val="clear"/>
          </w:tcPr>
          <w:p>
            <w:pPr>
              <w:spacing w:after="0"/>
              <w:jc w:val="left"/>
            </w:pPr>
            <w:r>
              <w:rPr>
                <w:rFonts w:ascii="Calibri" w:hAnsi="Calibri"/>
                <w:b/>
                <w:i w:val="0"/>
                <w:color w:val="FFFFFF"/>
                <w:sz w:val="16"/>
              </w:rPr>
              <w:t>Notes</w:t>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Core Administration, Users and Permissions</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Sales, Customers, Quotes and Orders</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Shared Sales Form and Company Pricing</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Inventory and Suppliers</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Production Management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Packing and Dispatch</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Community Projects and Units</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Community Templates, Builders and Install Costs</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Customer Service and Work Orders</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Finance, Accounting and Reports</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HRM, Employees and Document Approvals</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Contractor Jobs, Payments and Accounting</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Dealership Portal</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Customer Storefront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tcPr>
          <w:p>
            <w:pPr>
              <w:spacing w:before="0" w:after="0" w:line="240" w:lineRule="auto"/>
              <w:jc w:val="left"/>
            </w:pPr>
            <w:r>
              <w:rPr>
                <w:rFonts w:ascii="Calibri" w:hAnsi="Calibri"/>
                <w:b/>
                <w:i w:val="0"/>
                <w:color w:val="263242"/>
                <w:sz w:val="17"/>
              </w:rPr>
              <w:t>Mobile Application</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tcPr>
          <w:p>
            <w:pPr>
              <w:spacing w:before="0" w:after="0" w:line="240" w:lineRule="auto"/>
              <w:jc w:val="left"/>
            </w:pPr>
            <w:r>
              <w:rPr>
                <w:rFonts w:ascii="Calibri" w:hAnsi="Calibri"/>
                <w:b w:val="0"/>
                <w:i w:val="0"/>
                <w:color w:val="263242"/>
                <w:sz w:val="20"/>
              </w:rPr>
            </w:r>
          </w:p>
        </w:tc>
      </w:tr>
      <w:tr>
        <w:trPr>
          <w:cantSplit/>
        </w:trPr>
        <w:tc>
          <w:tcPr>
            <w:tcW w:type="dxa" w:w="4900"/>
            <w:tcMar>
              <w:top w:w="62" w:type="dxa"/>
              <w:start w:w="90" w:type="dxa"/>
              <w:bottom w:w="62" w:type="dxa"/>
              <w:end w:w="90" w:type="dxa"/>
            </w:tcMar>
            <w:vAlign w:val="center"/>
            <w:shd w:fill="F2F4F7" w:val="clear"/>
          </w:tcPr>
          <w:p>
            <w:pPr>
              <w:spacing w:before="0" w:after="0" w:line="240" w:lineRule="auto"/>
              <w:jc w:val="left"/>
            </w:pPr>
            <w:r>
              <w:rPr>
                <w:rFonts w:ascii="Calibri" w:hAnsi="Calibri"/>
                <w:b/>
                <w:i w:val="0"/>
                <w:color w:val="263242"/>
                <w:sz w:val="17"/>
              </w:rPr>
              <w:t>Emails, Notifications and PDF Documents</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76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940"/>
            <w:tcMar>
              <w:top w:w="62" w:type="dxa"/>
              <w:start w:w="90" w:type="dxa"/>
              <w:bottom w:w="62" w:type="dxa"/>
              <w:end w:w="90" w:type="dxa"/>
            </w:tcMar>
            <w:vAlign w:val="center"/>
            <w:shd w:fill="F2F4F7" w:val="clear"/>
          </w:tcPr>
          <w:p>
            <w:pPr>
              <w:spacing w:before="0" w:after="0" w:line="240" w:lineRule="auto"/>
              <w:jc w:val="center"/>
            </w:pPr>
            <w:r>
              <w:rPr>
                <w:rFonts w:ascii="Calibri" w:hAnsi="Calibri"/>
                <w:b w:val="0"/>
                <w:i w:val="0"/>
                <w:color w:val="263242"/>
                <w:sz w:val="20"/>
              </w:rPr>
              <w:t>☐</w:t>
            </w:r>
          </w:p>
        </w:tc>
        <w:tc>
          <w:tcPr>
            <w:tcW w:type="dxa" w:w="2000"/>
            <w:tcMar>
              <w:top w:w="62" w:type="dxa"/>
              <w:start w:w="90" w:type="dxa"/>
              <w:bottom w:w="62" w:type="dxa"/>
              <w:end w:w="90" w:type="dxa"/>
            </w:tcMar>
            <w:vAlign w:val="center"/>
            <w:shd w:fill="F2F4F7" w:val="clear"/>
          </w:tcPr>
          <w:p>
            <w:pPr>
              <w:spacing w:before="0" w:after="0" w:line="240" w:lineRule="auto"/>
              <w:jc w:val="left"/>
            </w:pPr>
            <w:r>
              <w:rPr>
                <w:rFonts w:ascii="Calibri" w:hAnsi="Calibri"/>
                <w:b w:val="0"/>
                <w:i w:val="0"/>
                <w:color w:val="263242"/>
                <w:sz w:val="20"/>
              </w:rPr>
            </w:r>
          </w:p>
        </w:tc>
      </w:tr>
    </w:tbl>
    <w:p>
      <w:pPr>
        <w:pStyle w:val="Heading2"/>
        <w:keepNext/>
        <w:pageBreakBefore/>
      </w:pPr>
      <w:r>
        <w:t>2. How should the modules be packaged?</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Customers select individual modules.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Modules are grouped into subscription packages.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 core package is required, with optional module add-ons.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Every subscription includes all modules.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 enterprise packages are negotiated separately.</w:t>
      </w:r>
    </w:p>
    <w:p>
      <w:pPr>
        <w:spacing w:before="60" w:after="140" w:line="259" w:lineRule="auto"/>
        <w:ind w:left="259"/>
      </w:pPr>
      <w:r>
        <w:rPr>
          <w:rFonts w:ascii="Calibri" w:hAnsi="Calibri"/>
          <w:b/>
          <w:i w:val="0"/>
          <w:color w:val="3F5EB0"/>
          <w:sz w:val="19"/>
        </w:rPr>
        <w:t xml:space="preserve">Recommended: </w:t>
      </w:r>
      <w:r>
        <w:rPr>
          <w:rFonts w:ascii="Calibri" w:hAnsi="Calibri"/>
          <w:b w:val="0"/>
          <w:i/>
          <w:color w:val="6B7280"/>
          <w:sz w:val="19"/>
        </w:rPr>
        <w:t>Use a required core package with optional operational and industry-specific add-ons.</w:t>
      </w:r>
    </w:p>
    <w:p>
      <w:pPr>
        <w:pStyle w:val="Heading2"/>
        <w:keepNext/>
      </w:pPr>
      <w:r>
        <w:t>3. Should Customer Service remain part of Community?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Keep Customer Service within the Community module.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Make Customer Service an independent module.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Include Customer Service with Sales and customer management.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Allow Customer Service to be purchased separately or bundled with Community.</w:t>
      </w:r>
    </w:p>
    <w:p>
      <w:pPr>
        <w:spacing w:before="60" w:after="140" w:line="259" w:lineRule="auto"/>
        <w:ind w:left="259"/>
      </w:pPr>
      <w:r>
        <w:rPr>
          <w:rFonts w:ascii="Calibri" w:hAnsi="Calibri"/>
          <w:b/>
          <w:i w:val="0"/>
          <w:color w:val="3F5EB0"/>
          <w:sz w:val="19"/>
        </w:rPr>
        <w:t xml:space="preserve">Recommended: </w:t>
      </w:r>
      <w:r>
        <w:rPr>
          <w:rFonts w:ascii="Calibri" w:hAnsi="Calibri"/>
          <w:b w:val="0"/>
          <w:i/>
          <w:color w:val="6B7280"/>
          <w:sz w:val="19"/>
        </w:rPr>
        <w:t>Make Customer Service independently configurable so companies that do not use Community can still use work orders and support workflows.</w:t>
      </w:r>
    </w:p>
    <w:p>
      <w:pPr>
        <w:pStyle w:val="Heading2"/>
        <w:keepNext/>
      </w:pPr>
      <w:r>
        <w:t>4. Which types of companies are the initial target customers?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Millwork and manufacturing companies.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Dealers and resellers.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Builders and community-project operators.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Installation and contractor businesses.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General sales and inventory businesses.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Other: ________________________________________________</w:t>
      </w:r>
    </w:p>
    <w:p>
      <w:pPr>
        <w:pStyle w:val="Heading2"/>
        <w:keepNext/>
      </w:pPr>
      <w:r>
        <w:t>5. What should define the initial public launch?</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 limited release for selected companies.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Guided commercial onboarding for approved companies.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Open self-service registration for any company.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 combination of guided onboarding and invite-only registration.</w:t>
      </w:r>
    </w:p>
    <w:p>
      <w:pPr>
        <w:spacing w:before="60" w:after="140" w:line="259" w:lineRule="auto"/>
        <w:ind w:left="259"/>
      </w:pPr>
      <w:r>
        <w:rPr>
          <w:rFonts w:ascii="Calibri" w:hAnsi="Calibri"/>
          <w:b/>
          <w:i w:val="0"/>
          <w:color w:val="3F5EB0"/>
          <w:sz w:val="19"/>
        </w:rPr>
        <w:t xml:space="preserve">Recommended: </w:t>
      </w:r>
      <w:r>
        <w:rPr>
          <w:rFonts w:ascii="Calibri" w:hAnsi="Calibri"/>
          <w:b w:val="0"/>
          <w:i/>
          <w:color w:val="6B7280"/>
          <w:sz w:val="19"/>
        </w:rPr>
        <w:t>Begin with guided commercial onboarding, then introduce open self-service after the process is proven.</w:t>
      </w:r>
    </w:p>
    <w:p>
      <w:pPr>
        <w:pStyle w:val="Heading2"/>
        <w:keepNext/>
      </w:pPr>
      <w:r>
        <w:t>6. How many pilot companies should participate?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One pilot company.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Two or three pilot companies.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Four or more pilot companies.</w:t>
      </w:r>
    </w:p>
    <w:p>
      <w:pPr>
        <w:spacing w:before="0" w:after="0" w:line="264" w:lineRule="auto"/>
      </w:pPr>
      <w:r>
        <w:rPr>
          <w:rFonts w:ascii="Calibri" w:hAnsi="Calibri"/>
          <w:b w:val="0"/>
          <w:i/>
          <w:color w:val="6B7280"/>
          <w:sz w:val="18"/>
        </w:rPr>
        <w:t>Pilot companies should use different module combinations so feature packaging and tenant isolation can be validated.</w:t>
      </w:r>
    </w:p>
    <w:p>
      <w:pPr>
        <w:pStyle w:val="Heading2"/>
        <w:keepNext/>
        <w:pageBreakBefore/>
      </w:pPr>
      <w:r>
        <w:t>7. What company structure must the platform support?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One company with one office.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One company with multiple offices or locations.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Companies with departments and separate teams.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Parent companies with multiple operating businesses.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Users who can belong to more than one company.</w:t>
      </w:r>
    </w:p>
    <w:p>
      <w:pPr>
        <w:pStyle w:val="Heading2"/>
        <w:keepNext/>
      </w:pPr>
      <w:r>
        <w:t>8. How much Sales Form customization should companies receive?</w:t>
      </w:r>
    </w:p>
    <w:p>
      <w:pPr>
        <w:spacing w:before="0" w:after="80" w:line="264" w:lineRule="auto"/>
      </w:pPr>
      <w:r>
        <w:rPr>
          <w:rFonts w:ascii="Calibri" w:hAnsi="Calibri"/>
          <w:b w:val="0"/>
          <w:i w:val="0"/>
          <w:color w:val="6B7280"/>
          <w:sz w:val="19"/>
        </w:rPr>
        <w:t>Should companies be able to:</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Hide standard steps or components.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Rename steps and components.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Reorder workflow steps.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Change required or optional fields.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Add company-specific components.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Create custom combinations.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Set their own prices.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Create different pricing profiles for different customers.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Maintain draft and published configurations.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Review platform updates before applying them.</w:t>
      </w:r>
    </w:p>
    <w:p>
      <w:pPr>
        <w:pStyle w:val="Heading2"/>
        <w:keepNext/>
      </w:pPr>
      <w:r>
        <w:t>9. How should subscriptions be priced?</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Fixed monthly price per company.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Price based on selected modules.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Price based on the number of users.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Base subscription plus user seats and module add-ons.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Usage-based pricing.</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 enterprise quotation.</w:t>
      </w:r>
    </w:p>
    <w:p>
      <w:pPr>
        <w:pStyle w:val="Heading2"/>
        <w:keepNext/>
        <w:pageBreakBefore/>
      </w:pPr>
      <w:r>
        <w:t>10. Which branding capabilities are required at launch?</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Company name and logo.</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Company colors and visual theme.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Platform subdomain.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 company domain.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Branded emails.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Branded quotations and invoices.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Branded PDF documents.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Company address, legal information and document footers.</w:t>
      </w:r>
    </w:p>
    <w:p>
      <w:pPr>
        <w:pStyle w:val="Heading2"/>
        <w:keepNext/>
      </w:pPr>
      <w:r>
        <w:t>11. How should payments operate?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The platform collects only SaaS subscription payments.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Each company connects its own payment-provider account.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The platform also processes payments from the company's customers.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Operational payments will be introduced after the initial launch.</w:t>
      </w:r>
    </w:p>
    <w:p>
      <w:pPr>
        <w:spacing w:before="0" w:after="140" w:line="264" w:lineRule="auto"/>
      </w:pPr>
      <w:r>
        <w:rPr>
          <w:rFonts w:ascii="Calibri" w:hAnsi="Calibri"/>
          <w:b w:val="0"/>
          <w:i/>
          <w:color w:val="6B7280"/>
          <w:sz w:val="18"/>
        </w:rPr>
        <w:t>This decision must distinguish GND's SaaS subscription revenue from payments collected by each company from its own customers.</w:t>
      </w:r>
    </w:p>
    <w:p>
      <w:pPr>
        <w:pStyle w:val="Heading2"/>
        <w:keepNext/>
        <w:pageBreakBefore/>
      </w:pPr>
      <w:r>
        <w:t>12. What data must be migrated during onboarding?</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Employees and users.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Existing quotations and orders.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Products and Sales Form configurations.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Company pricing.</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Inventory and suppliers.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Community projects and units.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Accounting and payment records.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Documents and files.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No historical data; begin with a new workspace.</w:t>
      </w:r>
    </w:p>
    <w:p>
      <w:pPr>
        <w:pStyle w:val="Heading2"/>
        <w:keepNext/>
      </w:pPr>
      <w:r>
        <w:t>13. What communications are required?</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Platform security and subscription emails.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Company-branded operational emails.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Customer quotation and invoice emails.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Internal notifications.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SMS notifications.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WhatsApp communication.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Inbound customer-support email.</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Scheduled reminders and reports.</w:t>
      </w:r>
    </w:p>
    <w:p>
      <w:pPr>
        <w:pStyle w:val="Heading2"/>
        <w:keepNext/>
        <w:pageBreakBefore/>
      </w:pPr>
      <w:r>
        <w:t>14. Which integrations are required for the initial launch?</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Subscription billing provider.</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Customer-payment provider.</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Transactional email provider.</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Custom-domain and DNS provider.</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Cloud file storage.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Accounting software.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Shipping or delivery provider.</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Existing ERP or CRM.</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Other: ________________________________________________</w:t>
      </w:r>
    </w:p>
    <w:p>
      <w:pPr>
        <w:pStyle w:val="Heading2"/>
        <w:keepNext/>
      </w:pPr>
      <w:r>
        <w:t>15. What security or compliance requirements apply?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Standard business data protection.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Data residency requirements.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Defined document-retention periods.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Customer data export and deletion.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Single sign-on.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Multi-factor authentication.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Formal audit logs.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External penetration or security testing.</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Industry-specific compliance: __________________________</w:t>
      </w:r>
    </w:p>
    <w:p>
      <w:pPr>
        <w:pStyle w:val="Heading2"/>
        <w:keepNext/>
        <w:pageBreakBefore/>
      </w:pPr>
      <w:r>
        <w:t>16. What support should customers receive?</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Email support.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In-application support.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Phone or video support.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Guided onboarding and training.</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Knowledge base and tutorials.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Dedicated account management.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Guaranteed response times or service-level agreement.</w:t>
      </w:r>
    </w:p>
    <w:p>
      <w:pPr>
        <w:pStyle w:val="Heading2"/>
        <w:keepNext/>
      </w:pPr>
      <w:r>
        <w:t>17. What will determine that the launch is successful?</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Pilot companies complete onboarding.</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Companies create and complete live sales.</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Subscription billing operates successfully.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No cross-company data exposure is detected.</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Custom domains, emails and PDFs work successfully.</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Backups and restoration are tested.</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Performance meets an agreed target.</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No critical launch defects remain.</w:t>
      </w:r>
    </w:p>
    <w:p>
      <w:pPr>
        <w:spacing w:before="0" w:after="60" w:line="259" w:lineRule="auto"/>
        <w:ind w:left="389" w:hanging="288"/>
      </w:pPr>
      <w:r>
        <w:rPr>
          <w:rFonts w:ascii="Calibri" w:hAnsi="Calibri"/>
          <w:b w:val="0"/>
          <w:i w:val="0"/>
          <w:color w:val="3F5EB0"/>
          <w:sz w:val="21"/>
        </w:rPr>
        <w:t xml:space="preserve">☐  </w:t>
      </w:r>
      <w:r>
        <w:rPr>
          <w:rFonts w:ascii="Calibri" w:hAnsi="Calibri"/>
          <w:b w:val="0"/>
          <w:i w:val="0"/>
          <w:color w:val="263242"/>
          <w:sz w:val="20"/>
        </w:rPr>
        <w:t>Other success measure: _________________________________</w:t>
      </w:r>
    </w:p>
    <w:p>
      <w:pPr>
        <w:pStyle w:val="Heading1"/>
        <w:keepNext/>
        <w:pageBreakBefore/>
      </w:pPr>
      <w:r>
        <w:t>Suggested module packaging</w:t>
      </w:r>
    </w:p>
    <w:p>
      <w:pPr>
        <w:numPr>
          <w:ilvl w:val="0"/>
          <w:numId w:val="40"/>
        </w:numPr>
        <w:spacing w:before="0" w:after="80" w:line="280" w:lineRule="auto"/>
      </w:pPr>
      <w:r>
        <w:rPr>
          <w:rFonts w:ascii="Calibri" w:hAnsi="Calibri"/>
          <w:b w:val="0"/>
          <w:i w:val="0"/>
          <w:color w:val="263242"/>
          <w:sz w:val="20"/>
        </w:rPr>
        <w:t>Core Platform: company administration, users, permissions, customers, Sales, shared Sales Form, email and PDFs.</w:t>
      </w:r>
    </w:p>
    <w:p>
      <w:pPr>
        <w:numPr>
          <w:ilvl w:val="0"/>
          <w:numId w:val="40"/>
        </w:numPr>
        <w:spacing w:before="0" w:after="80" w:line="280" w:lineRule="auto"/>
      </w:pPr>
      <w:r>
        <w:rPr>
          <w:rFonts w:ascii="Calibri" w:hAnsi="Calibri"/>
          <w:b w:val="0"/>
          <w:i w:val="0"/>
          <w:color w:val="263242"/>
          <w:sz w:val="20"/>
        </w:rPr>
        <w:t>Operations: Inventory, Production, Packing and Dispatch.</w:t>
      </w:r>
    </w:p>
    <w:p>
      <w:pPr>
        <w:numPr>
          <w:ilvl w:val="0"/>
          <w:numId w:val="40"/>
        </w:numPr>
        <w:spacing w:before="0" w:after="80" w:line="280" w:lineRule="auto"/>
      </w:pPr>
      <w:r>
        <w:rPr>
          <w:rFonts w:ascii="Calibri" w:hAnsi="Calibri"/>
          <w:b w:val="0"/>
          <w:i w:val="0"/>
          <w:color w:val="263242"/>
          <w:sz w:val="20"/>
        </w:rPr>
        <w:t>Community and Service: Community Projects, Units, Builders, Invoices, Install Costs, Customer Service and Work Orders.</w:t>
      </w:r>
    </w:p>
    <w:p>
      <w:pPr>
        <w:numPr>
          <w:ilvl w:val="0"/>
          <w:numId w:val="40"/>
        </w:numPr>
        <w:spacing w:before="0" w:after="80" w:line="280" w:lineRule="auto"/>
      </w:pPr>
      <w:r>
        <w:rPr>
          <w:rFonts w:ascii="Calibri" w:hAnsi="Calibri"/>
          <w:b w:val="0"/>
          <w:i w:val="0"/>
          <w:color w:val="263242"/>
          <w:sz w:val="20"/>
        </w:rPr>
        <w:t>Commerce: Dealership, Storefront and customer-facing portals.</w:t>
      </w:r>
    </w:p>
    <w:p>
      <w:pPr>
        <w:numPr>
          <w:ilvl w:val="0"/>
          <w:numId w:val="40"/>
        </w:numPr>
        <w:spacing w:before="0" w:after="80" w:line="280" w:lineRule="auto"/>
      </w:pPr>
      <w:r>
        <w:rPr>
          <w:rFonts w:ascii="Calibri" w:hAnsi="Calibri"/>
          <w:b w:val="0"/>
          <w:i w:val="0"/>
          <w:color w:val="263242"/>
          <w:sz w:val="20"/>
        </w:rPr>
        <w:t>Workforce: HRM, Employees, Contractor Jobs, Payments and Accounting.</w:t>
      </w:r>
    </w:p>
    <w:p>
      <w:pPr>
        <w:numPr>
          <w:ilvl w:val="0"/>
          <w:numId w:val="40"/>
        </w:numPr>
        <w:spacing w:before="0" w:after="80" w:line="280" w:lineRule="auto"/>
      </w:pPr>
      <w:r>
        <w:rPr>
          <w:rFonts w:ascii="Calibri" w:hAnsi="Calibri"/>
          <w:b w:val="0"/>
          <w:i w:val="0"/>
          <w:color w:val="263242"/>
          <w:sz w:val="20"/>
        </w:rPr>
        <w:t>Optional Add-ons: custom domains, mobile access, advanced reporting, integrations and increased usage allowances.</w:t>
      </w:r>
    </w:p>
    <w:p>
      <w:pPr>
        <w:spacing w:before="60" w:after="140" w:line="259" w:lineRule="auto"/>
        <w:ind w:left="259"/>
      </w:pPr>
      <w:r>
        <w:rPr>
          <w:rFonts w:ascii="Calibri" w:hAnsi="Calibri"/>
          <w:b/>
          <w:i w:val="0"/>
          <w:color w:val="3F5EB0"/>
          <w:sz w:val="19"/>
        </w:rPr>
        <w:t xml:space="preserve">Recommended: </w:t>
      </w:r>
      <w:r>
        <w:rPr>
          <w:rFonts w:ascii="Calibri" w:hAnsi="Calibri"/>
          <w:b w:val="0"/>
          <w:i/>
          <w:color w:val="6B7280"/>
          <w:sz w:val="19"/>
        </w:rPr>
        <w:t>Confirm whether the 12-15 week target covers every selected module or the Core Platform plus the first priority package before the delivery schedule is finalized.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val="0"/>
        <w:color w:val="6B7280"/>
        <w:sz w:val="17"/>
      </w:rPr>
      <w:t xml:space="preserve">GND Millwork Corp  |  SaaS Launch Brief  |  Page </w:t>
    </w:r>
    <w:r>
      <w:rPr>
        <w:rFonts w:ascii="Calibri" w:hAnsi="Calibri"/>
        <w:b w:val="0"/>
        <w:i w:val="0"/>
        <w:color w:val="6B7280"/>
        <w:sz w:val="17"/>
      </w:rPr>
      <w:fldChar w:fldCharType="begin"/>
      <w:instrText xml:space="preserve"> PAGE </w:instrText>
      <w:fldChar w:fldCharType="separate"/>
      <w:t>1</w:t>
      <w:fldChar w:fldCharType="end"/>
    </w:r>
    <w:r>
      <w:rPr>
        <w:rFonts w:ascii="Calibri" w:hAnsi="Calibri"/>
        <w:b w:val="0"/>
        <w:i w:val="0"/>
        <w:color w:val="6B7280"/>
        <w:sz w:val="17"/>
      </w:rPr>
      <w:t xml:space="preserve"> of </w:t>
    </w:r>
    <w:r>
      <w:rPr>
        <w:rFonts w:ascii="Calibri" w:hAnsi="Calibri"/>
        <w:b w:val="0"/>
        <w:i w:val="0"/>
        <w:color w:val="6B7280"/>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6840"/>
    </w:tblGrid>
    <w:tr>
      <w:tc>
        <w:tcPr>
          <w:tcW w:type="dxa" w:w="2520"/>
          <w:tcMar>
            <w:top w:w="0" w:type="dxa"/>
            <w:start w:w="0" w:type="dxa"/>
            <w:bottom w:w="0" w:type="dxa"/>
            <w:end w:w="80" w:type="dxa"/>
          </w:tcMar>
          <w:vAlign w:val="center"/>
        </w:tcPr>
        <w:p>
          <w:r>
            <w:drawing>
              <wp:inline xmlns:a="http://schemas.openxmlformats.org/drawingml/2006/main" xmlns:pic="http://schemas.openxmlformats.org/drawingml/2006/picture">
                <wp:extent cx="1444752" cy="647306"/>
                <wp:docPr id="1" name="Picture 1" title="GND Millwork logo" descr="GND Millwork corporate logo"/>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44752" cy="647306"/>
                        </a:xfrm>
                        <a:prstGeom prst="rect"/>
                      </pic:spPr>
                    </pic:pic>
                  </a:graphicData>
                </a:graphic>
              </wp:inline>
            </w:drawing>
          </w:r>
        </w:p>
      </w:tc>
      <w:tc>
        <w:tcPr>
          <w:tcW w:type="dxa" w:w="6840"/>
          <w:tcMar>
            <w:top w:w="0" w:type="dxa"/>
            <w:start w:w="80" w:type="dxa"/>
            <w:bottom w:w="0" w:type="dxa"/>
            <w:end w:w="0" w:type="dxa"/>
          </w:tcMar>
          <w:vAlign w:val="center"/>
        </w:tcPr>
        <w:p>
          <w:pPr>
            <w:spacing w:before="200" w:after="0"/>
            <w:jc w:val="right"/>
          </w:pPr>
          <w:r>
            <w:rPr>
              <w:rFonts w:ascii="Calibri" w:hAnsi="Calibri"/>
              <w:b/>
              <w:i w:val="0"/>
              <w:color w:val="6B7280"/>
              <w:sz w:val="17"/>
            </w:rPr>
            <w:t>EXECUTIVE SAAS LAUNCH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bullet"/>
      <w:lvlText w:val="•"/>
      <w:suff w:val="tab"/>
      <w:pPr>
        <w:tabs>
          <w:tab w:val="num" w:pos="720"/>
        </w:tabs>
        <w:ind w:left="720" w:hanging="360"/>
        <w:spacing w:after="80" w:line="280" w:lineRule="auto"/>
      </w:pPr>
      <w:rPr>
        <w:rFonts w:ascii="Calibri" w:hAnsi="Calibri"/>
      </w:rPr>
    </w:lvl>
  </w:abstractNum>
  <w:num w:numId="40">
    <w:abstractNumId w:val="40"/>
  </w:num>
  <w:abstractNum w:abstractNumId="41">
    <w:multiLevelType w:val="singleLevel"/>
    <w:lvl w:ilvl="0">
      <w:start w:val="1"/>
      <w:numFmt w:val="decimal"/>
      <w:lvlText w:val="%1."/>
      <w:suff w:val="tab"/>
      <w:pPr>
        <w:tabs>
          <w:tab w:val="num" w:pos="720"/>
        </w:tabs>
        <w:ind w:left="720" w:hanging="360"/>
        <w:spacing w:after="100" w:line="280" w:lineRule="auto"/>
      </w:pPr>
      <w:rPr>
        <w:rFonts w:ascii="Calibri" w:hAnsi="Calibri"/>
      </w:rPr>
    </w:lvl>
  </w:abstract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2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F5EB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F5EB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632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GND Millwork SaaS Launch Brief</dc:title>
  <dc:subject>Multi-Tenant SaaS Transformation Roadmap</dc:subject>
  <dc:creator>GND Millwork Corp</dc:creator>
  <cp:keywords>GND Millwork, SaaS, roadmap, delivery timeline</cp:keywords>
  <dc:description>generated by python-docx</dc:description>
  <cp:lastModifiedBy/>
  <cp:revision>1</cp:revision>
  <dcterms:created xsi:type="dcterms:W3CDTF">2013-12-23T23:15:00Z</dcterms:created>
  <dcterms:modified xsi:type="dcterms:W3CDTF">2013-12-23T23:15:00Z</dcterms:modified>
  <cp:category/>
</cp:coreProperties>
</file>