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3243" w14:textId="77777777" w:rsidR="00585832" w:rsidRDefault="00585832" w:rsidP="00585832"/>
    <w:p w14:paraId="4E36001D" w14:textId="77777777" w:rsidR="00585832" w:rsidRDefault="00585832" w:rsidP="00585832"/>
    <w:p w14:paraId="43ED2164" w14:textId="77777777" w:rsidR="00585832" w:rsidRDefault="00585832" w:rsidP="00585832"/>
    <w:p w14:paraId="1D855304" w14:textId="77777777" w:rsidR="00585832" w:rsidRDefault="00585832" w:rsidP="00585832"/>
    <w:p w14:paraId="750817AD" w14:textId="77777777" w:rsidR="00585832" w:rsidRDefault="00585832" w:rsidP="00585832"/>
    <w:p w14:paraId="441AB374" w14:textId="2D204071" w:rsidR="00585832" w:rsidRDefault="00585832" w:rsidP="00585832"/>
    <w:p w14:paraId="4954FF26" w14:textId="5CCD3550" w:rsidR="00585832" w:rsidRDefault="00585832" w:rsidP="00585832"/>
    <w:p w14:paraId="4783161A" w14:textId="0AF3CDB2" w:rsidR="00585832" w:rsidRDefault="00585832" w:rsidP="00585832"/>
    <w:p w14:paraId="4626EEDE" w14:textId="5EA6A63E" w:rsidR="00585832" w:rsidRDefault="00585832" w:rsidP="00585832">
      <w:pPr>
        <w:jc w:val="center"/>
      </w:pPr>
    </w:p>
    <w:p w14:paraId="3A44926F" w14:textId="77777777" w:rsidR="00585832" w:rsidRDefault="00585832" w:rsidP="00585832">
      <w:pPr>
        <w:jc w:val="center"/>
      </w:pPr>
    </w:p>
    <w:p w14:paraId="36D9EF76" w14:textId="77777777" w:rsidR="00585832" w:rsidRDefault="00585832" w:rsidP="00585832">
      <w:pPr>
        <w:jc w:val="center"/>
      </w:pPr>
    </w:p>
    <w:p w14:paraId="450D5FC7" w14:textId="77777777" w:rsidR="00585832" w:rsidRDefault="00585832" w:rsidP="00585832">
      <w:pPr>
        <w:jc w:val="center"/>
      </w:pPr>
    </w:p>
    <w:p w14:paraId="44C22BCB" w14:textId="692475F7" w:rsidR="00585832" w:rsidRDefault="00585832" w:rsidP="00585832">
      <w:pPr>
        <w:jc w:val="center"/>
      </w:pPr>
      <w:r>
        <w:t>Ivan Sheng</w:t>
      </w:r>
      <w:r>
        <w:br/>
      </w:r>
      <w:r>
        <w:t>Applications Brownian Motion on Financial Assets</w:t>
      </w:r>
      <w:r>
        <w:br/>
        <w:t>EN.625.714.82.SU21</w:t>
      </w:r>
      <w:r>
        <w:br/>
        <w:t xml:space="preserve">Total Pages: </w:t>
      </w:r>
      <w:r w:rsidR="00141C02">
        <w:t>1</w:t>
      </w:r>
      <w:r w:rsidR="00984ACD">
        <w:t>2</w:t>
      </w:r>
    </w:p>
    <w:p w14:paraId="78525AE2" w14:textId="55008001" w:rsidR="00585832" w:rsidRDefault="00585832">
      <w:pPr>
        <w:rPr>
          <w:rFonts w:asciiTheme="majorHAnsi" w:eastAsiaTheme="majorEastAsia" w:hAnsiTheme="majorHAnsi" w:cstheme="majorBidi"/>
          <w:color w:val="2F5496" w:themeColor="accent1" w:themeShade="BF"/>
          <w:sz w:val="32"/>
          <w:szCs w:val="32"/>
        </w:rPr>
      </w:pPr>
    </w:p>
    <w:p w14:paraId="0F3B8899" w14:textId="79F40E13" w:rsidR="00585832" w:rsidRDefault="00585832">
      <w:pPr>
        <w:rPr>
          <w:rFonts w:asciiTheme="majorHAnsi" w:eastAsiaTheme="majorEastAsia" w:hAnsiTheme="majorHAnsi" w:cstheme="majorBidi"/>
          <w:color w:val="2F5496" w:themeColor="accent1" w:themeShade="BF"/>
          <w:sz w:val="32"/>
          <w:szCs w:val="32"/>
        </w:rPr>
      </w:pPr>
    </w:p>
    <w:p w14:paraId="22CCED75" w14:textId="2ABE7367" w:rsidR="00585832" w:rsidRDefault="00585832">
      <w:pPr>
        <w:rPr>
          <w:rFonts w:asciiTheme="majorHAnsi" w:eastAsiaTheme="majorEastAsia" w:hAnsiTheme="majorHAnsi" w:cstheme="majorBidi"/>
          <w:color w:val="2F5496" w:themeColor="accent1" w:themeShade="BF"/>
          <w:sz w:val="32"/>
          <w:szCs w:val="32"/>
        </w:rPr>
      </w:pPr>
    </w:p>
    <w:p w14:paraId="675DFE59" w14:textId="1BF3848F" w:rsidR="00585832" w:rsidRDefault="00585832">
      <w:pPr>
        <w:rPr>
          <w:rFonts w:asciiTheme="majorHAnsi" w:eastAsiaTheme="majorEastAsia" w:hAnsiTheme="majorHAnsi" w:cstheme="majorBidi"/>
          <w:color w:val="2F5496" w:themeColor="accent1" w:themeShade="BF"/>
          <w:sz w:val="32"/>
          <w:szCs w:val="32"/>
        </w:rPr>
      </w:pPr>
    </w:p>
    <w:p w14:paraId="68312ED3" w14:textId="73B2741A" w:rsidR="00585832" w:rsidRDefault="00585832">
      <w:pPr>
        <w:rPr>
          <w:rFonts w:asciiTheme="majorHAnsi" w:eastAsiaTheme="majorEastAsia" w:hAnsiTheme="majorHAnsi" w:cstheme="majorBidi"/>
          <w:color w:val="2F5496" w:themeColor="accent1" w:themeShade="BF"/>
          <w:sz w:val="32"/>
          <w:szCs w:val="32"/>
        </w:rPr>
      </w:pPr>
    </w:p>
    <w:p w14:paraId="201D0A19" w14:textId="77777777" w:rsidR="00585832" w:rsidRDefault="00585832">
      <w:pPr>
        <w:rPr>
          <w:rFonts w:asciiTheme="majorHAnsi" w:eastAsiaTheme="majorEastAsia" w:hAnsiTheme="majorHAnsi" w:cstheme="majorBidi"/>
          <w:color w:val="2F5496" w:themeColor="accent1" w:themeShade="BF"/>
          <w:sz w:val="32"/>
          <w:szCs w:val="32"/>
        </w:rPr>
      </w:pPr>
    </w:p>
    <w:p w14:paraId="05C11165" w14:textId="5AC50377" w:rsidR="00585832" w:rsidRDefault="00585832">
      <w:pPr>
        <w:rPr>
          <w:rFonts w:asciiTheme="majorHAnsi" w:eastAsiaTheme="majorEastAsia" w:hAnsiTheme="majorHAnsi" w:cstheme="majorBidi"/>
          <w:color w:val="2F5496" w:themeColor="accent1" w:themeShade="BF"/>
          <w:sz w:val="32"/>
          <w:szCs w:val="32"/>
        </w:rPr>
      </w:pPr>
    </w:p>
    <w:p w14:paraId="5322D9C6" w14:textId="7B097032" w:rsidR="00585832" w:rsidRDefault="00585832">
      <w:pPr>
        <w:rPr>
          <w:rFonts w:asciiTheme="majorHAnsi" w:eastAsiaTheme="majorEastAsia" w:hAnsiTheme="majorHAnsi" w:cstheme="majorBidi"/>
          <w:color w:val="2F5496" w:themeColor="accent1" w:themeShade="BF"/>
          <w:sz w:val="32"/>
          <w:szCs w:val="32"/>
        </w:rPr>
      </w:pPr>
    </w:p>
    <w:p w14:paraId="34222441" w14:textId="1CD58F48" w:rsidR="00585832" w:rsidRDefault="00585832">
      <w:pPr>
        <w:rPr>
          <w:rFonts w:asciiTheme="majorHAnsi" w:eastAsiaTheme="majorEastAsia" w:hAnsiTheme="majorHAnsi" w:cstheme="majorBidi"/>
          <w:color w:val="2F5496" w:themeColor="accent1" w:themeShade="BF"/>
          <w:sz w:val="32"/>
          <w:szCs w:val="32"/>
        </w:rPr>
      </w:pPr>
    </w:p>
    <w:p w14:paraId="45660DA3" w14:textId="77777777" w:rsidR="00585832" w:rsidRDefault="00585832">
      <w:pPr>
        <w:rPr>
          <w:rFonts w:asciiTheme="majorHAnsi" w:eastAsiaTheme="majorEastAsia" w:hAnsiTheme="majorHAnsi" w:cstheme="majorBidi"/>
          <w:color w:val="2F5496" w:themeColor="accent1" w:themeShade="BF"/>
          <w:sz w:val="32"/>
          <w:szCs w:val="32"/>
        </w:rPr>
      </w:pPr>
    </w:p>
    <w:p w14:paraId="179F5F59" w14:textId="1A3EDA88" w:rsidR="00585528" w:rsidRDefault="00585528" w:rsidP="00E86F54">
      <w:pPr>
        <w:pStyle w:val="Heading1"/>
        <w:spacing w:before="0" w:line="240" w:lineRule="auto"/>
      </w:pPr>
      <w:r>
        <w:lastRenderedPageBreak/>
        <w:t>Introduction:</w:t>
      </w:r>
    </w:p>
    <w:p w14:paraId="21C0189A" w14:textId="76191E5F" w:rsidR="005B60DC" w:rsidRDefault="005B60DC" w:rsidP="00E86F54">
      <w:pPr>
        <w:spacing w:line="240" w:lineRule="auto"/>
      </w:pPr>
      <w:r>
        <w:t xml:space="preserve">Geometric Brownian Motion is widely used to model market behavior of </w:t>
      </w:r>
      <w:r w:rsidR="00131112">
        <w:t>financial asset</w:t>
      </w:r>
      <w:r>
        <w:t xml:space="preserve"> prices.</w:t>
      </w:r>
      <w:r w:rsidR="00996F23">
        <w:t xml:space="preserve"> By utilizing </w:t>
      </w:r>
      <w:r w:rsidR="0098134B">
        <w:t>historic price</w:t>
      </w:r>
      <w:r w:rsidR="00996F23">
        <w:t xml:space="preserve"> information, the forecasted price is </w:t>
      </w:r>
      <w:r w:rsidR="0098134B">
        <w:t>based on the assumption that returns are normally distributed (or that the price is log-normally distributed).</w:t>
      </w:r>
      <w:r w:rsidR="00BE1DC0">
        <w:t xml:space="preserve"> This has been </w:t>
      </w:r>
      <w:r w:rsidR="0098134B">
        <w:t>popularly used</w:t>
      </w:r>
      <w:r w:rsidR="00BE1DC0">
        <w:t xml:space="preserve"> on traditional financial assets</w:t>
      </w:r>
      <w:r w:rsidR="0098134B">
        <w:t xml:space="preserve">, but with the rapidly increasing interest in cryptocurrencies as a new financial class – there is new territory for geometric Brownian motion to be applied. </w:t>
      </w:r>
    </w:p>
    <w:p w14:paraId="2E9AF9D2" w14:textId="573AFD2A" w:rsidR="003D60D9" w:rsidRDefault="003D60D9" w:rsidP="00E86F54">
      <w:pPr>
        <w:spacing w:line="240" w:lineRule="auto"/>
      </w:pPr>
      <w:r>
        <w:t xml:space="preserve">Utilizing </w:t>
      </w:r>
      <w:r w:rsidR="005503C0">
        <w:t>M</w:t>
      </w:r>
      <w:r>
        <w:t xml:space="preserve">onte </w:t>
      </w:r>
      <w:r w:rsidR="005503C0">
        <w:t>Carlo</w:t>
      </w:r>
      <w:r>
        <w:t xml:space="preserve"> simulations</w:t>
      </w:r>
      <w:r w:rsidR="005503C0">
        <w:t>, financial</w:t>
      </w:r>
      <w:r>
        <w:t xml:space="preserve"> risk can be assessed </w:t>
      </w:r>
      <w:r w:rsidR="005503C0">
        <w:t>by generating thousands of</w:t>
      </w:r>
      <w:r w:rsidR="004266D8">
        <w:t xml:space="preserve"> geometric Brownian motion</w:t>
      </w:r>
      <w:r w:rsidR="005503C0">
        <w:t xml:space="preserve"> realizatio</w:t>
      </w:r>
      <w:r w:rsidR="004266D8">
        <w:t xml:space="preserve">ns </w:t>
      </w:r>
      <w:r w:rsidR="005503C0">
        <w:t xml:space="preserve">to </w:t>
      </w:r>
      <w:r w:rsidR="004266D8">
        <w:t xml:space="preserve">calculate a mean price and </w:t>
      </w:r>
      <w:r w:rsidR="005503C0">
        <w:t xml:space="preserve">confidence interval on </w:t>
      </w:r>
      <w:r w:rsidR="004266D8">
        <w:t xml:space="preserve">future </w:t>
      </w:r>
      <w:r w:rsidR="005503C0">
        <w:t>asset price</w:t>
      </w:r>
      <w:r w:rsidR="004266D8">
        <w:t>s</w:t>
      </w:r>
      <w:r w:rsidR="005503C0">
        <w:t>.</w:t>
      </w:r>
      <w:r w:rsidR="004266D8">
        <w:t xml:space="preserve"> </w:t>
      </w:r>
    </w:p>
    <w:p w14:paraId="451CA76D" w14:textId="28872E7F" w:rsidR="004266D8" w:rsidRPr="00DE2BC3" w:rsidRDefault="00131112" w:rsidP="00E86F54">
      <w:pPr>
        <w:spacing w:line="240" w:lineRule="auto"/>
        <w:rPr>
          <w:color w:val="FF0000"/>
        </w:rPr>
      </w:pPr>
      <w:r>
        <w:t>As noted above, b</w:t>
      </w:r>
      <w:r w:rsidR="004266D8">
        <w:t xml:space="preserve">ecause </w:t>
      </w:r>
      <w:r w:rsidR="00D00FD3">
        <w:t xml:space="preserve">these applications have been </w:t>
      </w:r>
      <w:r>
        <w:t>popularly used to model</w:t>
      </w:r>
      <w:r w:rsidR="00D00FD3">
        <w:t xml:space="preserve"> </w:t>
      </w:r>
      <w:r>
        <w:t>market behavior</w:t>
      </w:r>
      <w:r w:rsidR="00D00FD3">
        <w:t xml:space="preserve">, there is comparable performance metrics to </w:t>
      </w:r>
      <w:r w:rsidR="0070483E">
        <w:t>measure</w:t>
      </w:r>
      <w:r w:rsidR="00D00FD3">
        <w:t xml:space="preserve"> implementation</w:t>
      </w:r>
      <w:r>
        <w:t xml:space="preserve"> performance before attempting to model cryptocurrencies (Bitcoin).</w:t>
      </w:r>
    </w:p>
    <w:p w14:paraId="711D99BA" w14:textId="527DD055" w:rsidR="00585528" w:rsidRDefault="00585528" w:rsidP="00E86F54">
      <w:pPr>
        <w:pStyle w:val="Heading1"/>
        <w:spacing w:before="0" w:line="240" w:lineRule="auto"/>
      </w:pPr>
      <w:r>
        <w:t>Methodology:</w:t>
      </w:r>
    </w:p>
    <w:p w14:paraId="583B9626" w14:textId="4E1F27CE" w:rsidR="00D45376" w:rsidRDefault="00D45376" w:rsidP="00E86F54">
      <w:pPr>
        <w:spacing w:line="240" w:lineRule="auto"/>
      </w:pPr>
      <w:r>
        <w:t xml:space="preserve">Standard Geometric Brownian motion assumes that the noise is normally distributed. This assumption should be checked on the available data </w:t>
      </w:r>
      <w:r w:rsidR="00DD3D80">
        <w:t>to</w:t>
      </w:r>
      <w:r>
        <w:t xml:space="preserve"> determine if standard geometric Brownian motion would be an acceptable method to model/forecast market prices. Stock prices are log-normally </w:t>
      </w:r>
      <w:r w:rsidR="005D2BC8">
        <w:t>distributed but</w:t>
      </w:r>
      <w:r>
        <w:t xml:space="preserve"> returns (noise) </w:t>
      </w:r>
      <w:r w:rsidR="00DD3D80">
        <w:t>follow a gaussian behavior</w:t>
      </w:r>
      <w:r w:rsidR="005D2BC8">
        <w:t xml:space="preserve">. The returns histogram will be plotted against a normal distribution line, and a Q-Q plot will also be plotted to </w:t>
      </w:r>
      <w:r w:rsidR="005D750B">
        <w:t>determine if the behavior can be described by a normal distribution.</w:t>
      </w:r>
    </w:p>
    <w:p w14:paraId="03AFE542" w14:textId="5AEC7A94" w:rsidR="001757A5" w:rsidRDefault="00EE6103" w:rsidP="00E86F54">
      <w:pPr>
        <w:spacing w:line="240" w:lineRule="auto"/>
      </w:pPr>
      <w:r>
        <w:t>The</w:t>
      </w:r>
      <w:r w:rsidR="00C94E1C">
        <w:t xml:space="preserve"> multiple day</w:t>
      </w:r>
      <w:r>
        <w:t xml:space="preserve"> </w:t>
      </w:r>
      <w:r w:rsidR="00C94E1C">
        <w:t>(</w:t>
      </w:r>
      <w:r>
        <w:t>step</w:t>
      </w:r>
      <w:r w:rsidR="00C94E1C">
        <w:t>)</w:t>
      </w:r>
      <w:r>
        <w:t xml:space="preserve"> predictions can be applied over a set period to determine how well it forecasts future values of </w:t>
      </w:r>
      <w:r w:rsidR="00F02ED5">
        <w:t xml:space="preserve">market </w:t>
      </w:r>
      <w:r>
        <w:t xml:space="preserve">price. In the research paper </w:t>
      </w:r>
      <w:r w:rsidR="00373C4C" w:rsidRPr="00373C4C">
        <w:rPr>
          <w:i/>
          <w:iCs/>
        </w:rPr>
        <w:t>Stock Price Predictions using a Geometric Brownian Motion</w:t>
      </w:r>
      <w:r w:rsidR="00373C4C">
        <w:rPr>
          <w:b/>
          <w:bCs/>
          <w:color w:val="FF0000"/>
        </w:rPr>
        <w:t xml:space="preserve"> </w:t>
      </w:r>
      <w:r w:rsidR="00373C4C" w:rsidRPr="00373C4C">
        <w:t>paper</w:t>
      </w:r>
      <w:r w:rsidR="00373C4C" w:rsidRPr="00373C4C">
        <w:rPr>
          <w:color w:val="FF0000"/>
        </w:rPr>
        <w:t xml:space="preserve"> </w:t>
      </w:r>
      <w:r w:rsidR="00373C4C">
        <w:t>from Uppsala University</w:t>
      </w:r>
      <w:r>
        <w:t>, it was determined that a training set of 60 days produced the best predictions based on the mean squared value</w:t>
      </w:r>
      <w:r w:rsidR="001757A5">
        <w:t xml:space="preserve"> (MSE)</w:t>
      </w:r>
      <w:r>
        <w:t xml:space="preserve">. </w:t>
      </w:r>
    </w:p>
    <w:p w14:paraId="6A55EB63" w14:textId="7942CDE4" w:rsidR="001757A5" w:rsidRDefault="001757A5" w:rsidP="00E86F54">
      <w:pPr>
        <w:spacing w:line="240" w:lineRule="auto"/>
      </w:pPr>
      <w:r>
        <w:t>Instead of re-creating the procedure set in that research paper, root mean squared error (RSME) will replace the MSE because RSME is in the same units as the dependent variable</w:t>
      </w:r>
      <w:r w:rsidR="001864B7">
        <w:t>, and thus provides better interpretability.</w:t>
      </w:r>
      <w:r w:rsidR="00F64C6C">
        <w:t xml:space="preserve"> Additionally,</w:t>
      </w:r>
      <w:r w:rsidR="0084457C">
        <w:t xml:space="preserve"> </w:t>
      </w:r>
      <w:r w:rsidR="00F64C6C">
        <w:t>b</w:t>
      </w:r>
      <w:r>
        <w:t>ecause this paper will be looking across three different types of financial assets (stock options, ETFs, cryptocurrencies), the RSME will be normalized (nRSME) so that the values can be compared across all assets</w:t>
      </w:r>
      <w:r w:rsidR="004A3065">
        <w:t xml:space="preserve"> since RSME will only make sense within the domain that it is calculated.</w:t>
      </w:r>
    </w:p>
    <w:p w14:paraId="1569A588" w14:textId="68710DFE" w:rsidR="00EE6103" w:rsidRDefault="00EE6103" w:rsidP="00E86F54">
      <w:pPr>
        <w:spacing w:line="240" w:lineRule="auto"/>
      </w:pPr>
      <w:r>
        <w:t xml:space="preserve">100,000 </w:t>
      </w:r>
      <w:r w:rsidR="003421C4">
        <w:t xml:space="preserve">30-day </w:t>
      </w:r>
      <w:r>
        <w:t xml:space="preserve">geometric Brownian motion simulations </w:t>
      </w:r>
      <w:r w:rsidR="00B1613E">
        <w:t>will be</w:t>
      </w:r>
      <w:r>
        <w:t xml:space="preserve"> generated from training sets of 30 to 100 days each, and the resulting simulations are compared to the actual </w:t>
      </w:r>
      <w:r w:rsidR="0006261B">
        <w:t xml:space="preserve">(test) </w:t>
      </w:r>
      <w:r>
        <w:t>stock price</w:t>
      </w:r>
      <w:r w:rsidR="00937073">
        <w:t>s</w:t>
      </w:r>
      <w:r>
        <w:t xml:space="preserve"> to obtain the </w:t>
      </w:r>
      <w:r w:rsidR="00283449">
        <w:t>R</w:t>
      </w:r>
      <w:r>
        <w:t>MSE</w:t>
      </w:r>
      <w:r w:rsidR="00283449">
        <w:t>, nRMSE,</w:t>
      </w:r>
      <w:r w:rsidR="009D2C7E">
        <w:t xml:space="preserve"> </w:t>
      </w:r>
      <w:r>
        <w:t>and MAPE.</w:t>
      </w:r>
    </w:p>
    <w:p w14:paraId="398CAFB1" w14:textId="561B9196" w:rsidR="0084457C" w:rsidRDefault="0084457C" w:rsidP="00E86F54">
      <w:pPr>
        <w:spacing w:line="240" w:lineRule="auto"/>
      </w:pPr>
      <w:r>
        <w:t xml:space="preserve">A two-tailed t-test with a critical value of 5% will be conducted to determine if there </w:t>
      </w:r>
      <w:r w:rsidR="00887181">
        <w:t>are</w:t>
      </w:r>
      <w:r>
        <w:t xml:space="preserve"> any significant differences between the forecasting capabilities of the varying training set sizes.</w:t>
      </w:r>
    </w:p>
    <w:p w14:paraId="43195EF6" w14:textId="6F4FCA50" w:rsidR="0084457C" w:rsidRDefault="00EE6103" w:rsidP="00E86F54">
      <w:pPr>
        <w:spacing w:line="240" w:lineRule="auto"/>
      </w:pPr>
      <w:r>
        <w:t xml:space="preserve">Another interesting methodology that the same research paper conducts is examining the experimental probability of predicting the correct direction of the price change. According to the same research paper, 100-day sets produced the most accurate direction prediction. To perform this experiment, 100,000 one-day simulations will be generated for training sizes from 30 to 100 each. The resulting experimental prices will be subtracted by the true </w:t>
      </w:r>
      <w:r w:rsidRPr="001757A5">
        <w:rPr>
          <w:i/>
          <w:iCs/>
        </w:rPr>
        <w:t>s(t-1)</w:t>
      </w:r>
      <w:r>
        <w:t xml:space="preserve"> price, and the direction will be checked against the true price change direction of </w:t>
      </w:r>
      <w:r w:rsidRPr="001757A5">
        <w:rPr>
          <w:i/>
          <w:iCs/>
        </w:rPr>
        <w:t>s(t)-s(t-1)</w:t>
      </w:r>
      <w:r>
        <w:t xml:space="preserve">. </w:t>
      </w:r>
    </w:p>
    <w:p w14:paraId="17035D11" w14:textId="07D87546" w:rsidR="00DC63CD" w:rsidRDefault="00887181" w:rsidP="00E86F54">
      <w:pPr>
        <w:spacing w:line="240" w:lineRule="auto"/>
      </w:pPr>
      <w:r>
        <w:t>When the most accurate training set(s) are determined</w:t>
      </w:r>
      <w:r w:rsidR="00084078">
        <w:t>, sample Geometric Brownian motion realizations will be generated and plotted against the actual data points.</w:t>
      </w:r>
    </w:p>
    <w:p w14:paraId="1617AEC3" w14:textId="6A6EF84F" w:rsidR="00887181" w:rsidRDefault="00887181" w:rsidP="00E86F54">
      <w:pPr>
        <w:spacing w:line="240" w:lineRule="auto"/>
      </w:pPr>
      <w:r>
        <w:lastRenderedPageBreak/>
        <w:t xml:space="preserve">The final process to look at is the moving training set. Theoretically, the farther the dataset goes out, the less likely the static training set would be representative of the current or future state, so having a training set that moves </w:t>
      </w:r>
      <w:r w:rsidR="00657987">
        <w:t>(</w:t>
      </w:r>
      <w:r>
        <w:t>or updates</w:t>
      </w:r>
      <w:r w:rsidR="00657987">
        <w:t>)</w:t>
      </w:r>
      <w:r>
        <w:t xml:space="preserve"> as actual data comes in would be valuable went utilizing this model long</w:t>
      </w:r>
      <w:r w:rsidR="00EB3A87">
        <w:t>-</w:t>
      </w:r>
      <w:r>
        <w:t>term</w:t>
      </w:r>
      <w:r w:rsidR="002B5871">
        <w:t>.</w:t>
      </w:r>
      <w:r w:rsidR="0035261B">
        <w:t xml:space="preserve"> To simulate this, the forecasting length will be increased to 120 days.</w:t>
      </w:r>
    </w:p>
    <w:p w14:paraId="2853A0A4" w14:textId="41EF0A11" w:rsidR="001F6F5C" w:rsidRDefault="00F178BF" w:rsidP="00E86F54">
      <w:pPr>
        <w:pStyle w:val="Heading1"/>
        <w:spacing w:before="0" w:line="240" w:lineRule="auto"/>
      </w:pPr>
      <w:r>
        <w:t>Results</w:t>
      </w:r>
      <w:r w:rsidR="001F6F5C">
        <w:t>:</w:t>
      </w:r>
    </w:p>
    <w:p w14:paraId="121E13C9" w14:textId="63B16A9B" w:rsidR="00D42411" w:rsidRDefault="00D42411" w:rsidP="00E86F54">
      <w:pPr>
        <w:pStyle w:val="Heading2"/>
        <w:spacing w:before="0" w:line="240" w:lineRule="auto"/>
      </w:pPr>
      <w:r>
        <w:t>AMD Stock:</w:t>
      </w:r>
    </w:p>
    <w:p w14:paraId="3A8CA5C1" w14:textId="0BAC9626" w:rsidR="007D47BA" w:rsidRDefault="007D47BA" w:rsidP="00E86F54">
      <w:pPr>
        <w:pStyle w:val="Heading3"/>
        <w:spacing w:before="0" w:line="240" w:lineRule="auto"/>
      </w:pPr>
      <w:r>
        <w:t>Analysis of Returns:</w:t>
      </w:r>
    </w:p>
    <w:p w14:paraId="7708DDBC" w14:textId="17DFBD70" w:rsidR="007D47BA" w:rsidRPr="007D47BA" w:rsidRDefault="007D47BA" w:rsidP="00E86F54">
      <w:pPr>
        <w:spacing w:line="240" w:lineRule="auto"/>
      </w:pPr>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E86F54">
      <w:pPr>
        <w:spacing w:line="240" w:lineRule="auto"/>
      </w:pPr>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977089" cy="2069077"/>
                    </a:xfrm>
                    <a:prstGeom prst="rect">
                      <a:avLst/>
                    </a:prstGeom>
                  </pic:spPr>
                </pic:pic>
              </a:graphicData>
            </a:graphic>
          </wp:inline>
        </w:drawing>
      </w:r>
    </w:p>
    <w:p w14:paraId="51A69BA5" w14:textId="77777777" w:rsidR="00C27198" w:rsidRDefault="00C27198" w:rsidP="00E86F54">
      <w:pPr>
        <w:pStyle w:val="Heading2"/>
        <w:spacing w:before="0" w:line="240" w:lineRule="auto"/>
      </w:pPr>
    </w:p>
    <w:p w14:paraId="3B178EC1" w14:textId="60FD32D3" w:rsidR="009C41F9" w:rsidRDefault="00155E8F" w:rsidP="00E86F54">
      <w:pPr>
        <w:pStyle w:val="Heading3"/>
        <w:spacing w:before="0" w:line="240" w:lineRule="auto"/>
      </w:pPr>
      <w:r>
        <w:t>Forecasting</w:t>
      </w:r>
      <w:r w:rsidR="009C41F9">
        <w:t xml:space="preserve"> Predictions</w:t>
      </w:r>
      <w:r w:rsidR="00432DD4">
        <w:t xml:space="preserve"> (Stationary Training Set)</w:t>
      </w:r>
      <w:r w:rsidR="009C41F9">
        <w:t>:</w:t>
      </w:r>
    </w:p>
    <w:p w14:paraId="2EBC77AC" w14:textId="78DDCD69" w:rsidR="00616249" w:rsidRDefault="00616249" w:rsidP="00E86F54">
      <w:pPr>
        <w:spacing w:line="240" w:lineRule="auto"/>
      </w:pPr>
      <w:r>
        <w:t xml:space="preserve">The expected RMSE and expected MAPE for the </w:t>
      </w:r>
      <w:r w:rsidR="005F3B30">
        <w:t>40</w:t>
      </w:r>
      <w:r>
        <w:t>-day set is the lowest amongst the training sets. This differs from the findings in</w:t>
      </w:r>
      <w:r w:rsidR="00090CBE">
        <w:t xml:space="preserve"> research paper from Uppsala University</w:t>
      </w:r>
      <w:r w:rsidRPr="003F7310">
        <w:t>, which concluded a 60-day training set to be the most accurate.</w:t>
      </w:r>
    </w:p>
    <w:p w14:paraId="385513C0" w14:textId="4237839E" w:rsidR="00616249" w:rsidRDefault="00616249" w:rsidP="00E86F54">
      <w:pPr>
        <w:spacing w:line="240" w:lineRule="auto"/>
      </w:pPr>
      <w:r>
        <w:t xml:space="preserve">In comparison to the same paper’s results of </w:t>
      </w:r>
      <w:r w:rsidR="001B5559">
        <w:t xml:space="preserve">the </w:t>
      </w:r>
      <w:r>
        <w:t>100</w:t>
      </w:r>
      <w:r w:rsidR="001B5559">
        <w:t>-</w:t>
      </w:r>
      <w:r>
        <w:t>day</w:t>
      </w:r>
      <w:r w:rsidR="001B5559">
        <w:t xml:space="preserve"> set</w:t>
      </w:r>
      <w:r>
        <w:t xml:space="preserve"> being the most accurate training size when it comes to predicting the correct direction of the price change, th</w:t>
      </w:r>
      <w:r w:rsidR="000969C7">
        <w:t xml:space="preserve">e testing set on AMD stock prices </w:t>
      </w:r>
      <w:r>
        <w:t xml:space="preserve">results in a training size of </w:t>
      </w:r>
      <w:r w:rsidR="005F3B30">
        <w:t>90</w:t>
      </w:r>
      <w:r>
        <w:t xml:space="preserve"> being the most accurate.</w:t>
      </w:r>
    </w:p>
    <w:p w14:paraId="4EF7D68C" w14:textId="5E2F9F11" w:rsidR="00265259" w:rsidRDefault="005F3B30" w:rsidP="00E86F54">
      <w:pPr>
        <w:spacing w:line="240" w:lineRule="auto"/>
        <w:jc w:val="center"/>
      </w:pPr>
      <w:r w:rsidRPr="005F3B30">
        <w:rPr>
          <w:noProof/>
        </w:rPr>
        <w:drawing>
          <wp:inline distT="0" distB="0" distL="0" distR="0" wp14:anchorId="63F633CD" wp14:editId="44AA4C7B">
            <wp:extent cx="3051740" cy="157549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237" cy="1588139"/>
                    </a:xfrm>
                    <a:prstGeom prst="rect">
                      <a:avLst/>
                    </a:prstGeom>
                  </pic:spPr>
                </pic:pic>
              </a:graphicData>
            </a:graphic>
          </wp:inline>
        </w:drawing>
      </w:r>
    </w:p>
    <w:p w14:paraId="7889D1C8" w14:textId="7552BAB6" w:rsidR="00924CF6" w:rsidRDefault="00924CF6" w:rsidP="00E86F54">
      <w:pPr>
        <w:spacing w:line="240" w:lineRule="auto"/>
      </w:pPr>
      <w:r>
        <w:lastRenderedPageBreak/>
        <w:t>The expected RMSE of each training size are</w:t>
      </w:r>
      <w:r w:rsidR="00D47E39">
        <w:t xml:space="preserve"> all</w:t>
      </w:r>
      <w:r>
        <w:t xml:space="preserve"> similar</w:t>
      </w:r>
      <w:r w:rsidR="002118E8">
        <w:t>;</w:t>
      </w:r>
      <w:r>
        <w:t xml:space="preserve"> to determine if there is a statistically significant difference between each training size</w:t>
      </w:r>
      <w:r w:rsidR="00D13CA3">
        <w:t>’s expected RMSE</w:t>
      </w:r>
      <w:r>
        <w:t>, a two-tailed t-test will be performed against each permutation:</w:t>
      </w:r>
    </w:p>
    <w:p w14:paraId="60812DAC" w14:textId="38EED888" w:rsidR="00924CF6" w:rsidRDefault="00930BF5" w:rsidP="00E86F54">
      <w:pPr>
        <w:spacing w:line="240" w:lineRule="auto"/>
        <w:jc w:val="center"/>
      </w:pPr>
      <w:r w:rsidRPr="00930BF5">
        <w:rPr>
          <w:noProof/>
        </w:rPr>
        <w:drawing>
          <wp:inline distT="0" distB="0" distL="0" distR="0" wp14:anchorId="3DF5AFE0" wp14:editId="6ACDD434">
            <wp:extent cx="4730782" cy="159879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6"/>
                    <a:stretch/>
                  </pic:blipFill>
                  <pic:spPr bwMode="auto">
                    <a:xfrm>
                      <a:off x="0" y="0"/>
                      <a:ext cx="4791640" cy="1619365"/>
                    </a:xfrm>
                    <a:prstGeom prst="rect">
                      <a:avLst/>
                    </a:prstGeom>
                    <a:ln>
                      <a:noFill/>
                    </a:ln>
                    <a:extLst>
                      <a:ext uri="{53640926-AAD7-44D8-BBD7-CCE9431645EC}">
                        <a14:shadowObscured xmlns:a14="http://schemas.microsoft.com/office/drawing/2010/main"/>
                      </a:ext>
                    </a:extLst>
                  </pic:spPr>
                </pic:pic>
              </a:graphicData>
            </a:graphic>
          </wp:inline>
        </w:drawing>
      </w:r>
    </w:p>
    <w:p w14:paraId="4864D093" w14:textId="470BD772" w:rsidR="00924CF6" w:rsidRDefault="00924CF6" w:rsidP="00E86F54">
      <w:pPr>
        <w:spacing w:line="240" w:lineRule="auto"/>
      </w:pPr>
      <w:r>
        <w:t>The table above displays the calculate p-values of each tested permutation of training sizes.</w:t>
      </w:r>
      <w:r w:rsidR="004A67E2">
        <w:t xml:space="preserve"> With a critical value of 5%,</w:t>
      </w:r>
      <w:r>
        <w:t xml:space="preserve"> </w:t>
      </w:r>
      <w:r w:rsidR="004A67E2">
        <w:t>t</w:t>
      </w:r>
      <w:r>
        <w:t xml:space="preserve">his test reveals that </w:t>
      </w:r>
      <w:r w:rsidR="00930BF5">
        <w:t>there</w:t>
      </w:r>
      <w:r w:rsidR="00314882">
        <w:t xml:space="preserve"> i</w:t>
      </w:r>
      <w:r w:rsidR="00930BF5">
        <w:t>s no statistically significant difference between 40 and 50 days, but there is a difference between the rest.</w:t>
      </w:r>
      <w:r w:rsidR="00DF5CDE">
        <w:t xml:space="preserve"> Unfortunately, this means that there has to be compromises between RSME versus P(Correct Direction). Given that the 50-day training set results in a higher P(Correct Direction), that should be the better choice between the two.</w:t>
      </w:r>
    </w:p>
    <w:p w14:paraId="7ED1CC93" w14:textId="0F47F428" w:rsidR="00253F37" w:rsidRDefault="00253F37" w:rsidP="00E86F54">
      <w:pPr>
        <w:pStyle w:val="Heading3"/>
        <w:spacing w:before="0" w:line="240" w:lineRule="auto"/>
      </w:pPr>
      <w:r>
        <w:t>Sample 30 Business Day Forecasts:</w:t>
      </w:r>
    </w:p>
    <w:p w14:paraId="2E433748" w14:textId="54E853A0" w:rsidR="00253F37" w:rsidRDefault="00AE0C39" w:rsidP="00E86F54">
      <w:pPr>
        <w:spacing w:line="240" w:lineRule="auto"/>
        <w:rPr>
          <w:noProof/>
        </w:rPr>
      </w:pPr>
      <w:r>
        <w:rPr>
          <w:noProof/>
        </w:rPr>
        <w:drawing>
          <wp:inline distT="0" distB="0" distL="0" distR="0" wp14:anchorId="211718E6" wp14:editId="5FBAABBE">
            <wp:extent cx="2753146" cy="21261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656" cy="2137327"/>
                    </a:xfrm>
                    <a:prstGeom prst="rect">
                      <a:avLst/>
                    </a:prstGeom>
                  </pic:spPr>
                </pic:pic>
              </a:graphicData>
            </a:graphic>
          </wp:inline>
        </w:drawing>
      </w:r>
      <w:r w:rsidR="00A63005">
        <w:rPr>
          <w:noProof/>
        </w:rPr>
        <w:t xml:space="preserve"> </w:t>
      </w:r>
      <w:r>
        <w:rPr>
          <w:noProof/>
        </w:rPr>
        <w:drawing>
          <wp:inline distT="0" distB="0" distL="0" distR="0" wp14:anchorId="39F8D71F" wp14:editId="53BFB1C1">
            <wp:extent cx="2754419" cy="21271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521" cy="2136450"/>
                    </a:xfrm>
                    <a:prstGeom prst="rect">
                      <a:avLst/>
                    </a:prstGeom>
                  </pic:spPr>
                </pic:pic>
              </a:graphicData>
            </a:graphic>
          </wp:inline>
        </w:drawing>
      </w:r>
    </w:p>
    <w:p w14:paraId="0C919C06" w14:textId="77777777" w:rsidR="00432DD4" w:rsidRDefault="00432DD4" w:rsidP="00E86F54">
      <w:pPr>
        <w:pStyle w:val="Heading3"/>
        <w:spacing w:before="0" w:line="240" w:lineRule="auto"/>
      </w:pPr>
      <w:r>
        <w:t>Forecasting Predictions (Moving Training Set):</w:t>
      </w:r>
    </w:p>
    <w:p w14:paraId="491B5A56" w14:textId="0CDD8F9C" w:rsidR="00432DD4" w:rsidRDefault="00432DD4" w:rsidP="00E86F54">
      <w:pPr>
        <w:spacing w:line="240" w:lineRule="auto"/>
      </w:pPr>
      <w:r>
        <w:t>A 120-day simulation with a stationary and non-stationary training set was conducted – the results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766"/>
      </w:tblGrid>
      <w:tr w:rsidR="00432DD4" w14:paraId="5597B4A3" w14:textId="77777777" w:rsidTr="005B4D6C">
        <w:tc>
          <w:tcPr>
            <w:tcW w:w="4810" w:type="dxa"/>
          </w:tcPr>
          <w:p w14:paraId="60EB8B92" w14:textId="5673FA79" w:rsidR="00432DD4" w:rsidRDefault="00432DD4" w:rsidP="00E86F54">
            <w:pPr>
              <w:keepNext/>
              <w:jc w:val="center"/>
            </w:pPr>
            <w:r>
              <w:lastRenderedPageBreak/>
              <w:t>Stationary</w:t>
            </w:r>
          </w:p>
        </w:tc>
        <w:tc>
          <w:tcPr>
            <w:tcW w:w="4766" w:type="dxa"/>
          </w:tcPr>
          <w:p w14:paraId="47565214" w14:textId="7837FF25" w:rsidR="00432DD4" w:rsidRDefault="00432DD4" w:rsidP="00E86F54">
            <w:pPr>
              <w:keepNext/>
              <w:jc w:val="center"/>
            </w:pPr>
            <w:r>
              <w:t>Moving</w:t>
            </w:r>
          </w:p>
        </w:tc>
      </w:tr>
      <w:tr w:rsidR="00432DD4" w14:paraId="3092D293" w14:textId="77777777" w:rsidTr="005B4D6C">
        <w:tc>
          <w:tcPr>
            <w:tcW w:w="4810" w:type="dxa"/>
          </w:tcPr>
          <w:p w14:paraId="37F9B638" w14:textId="0BA53117" w:rsidR="00432DD4" w:rsidRDefault="00432DD4" w:rsidP="00E86F54">
            <w:pPr>
              <w:keepNext/>
              <w:jc w:val="center"/>
            </w:pPr>
            <w:r w:rsidRPr="00432DD4">
              <w:rPr>
                <w:noProof/>
              </w:rPr>
              <w:drawing>
                <wp:inline distT="0" distB="0" distL="0" distR="0" wp14:anchorId="5B59081C" wp14:editId="01990254">
                  <wp:extent cx="2950763" cy="1547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026" cy="1595515"/>
                          </a:xfrm>
                          <a:prstGeom prst="rect">
                            <a:avLst/>
                          </a:prstGeom>
                        </pic:spPr>
                      </pic:pic>
                    </a:graphicData>
                  </a:graphic>
                </wp:inline>
              </w:drawing>
            </w:r>
          </w:p>
        </w:tc>
        <w:tc>
          <w:tcPr>
            <w:tcW w:w="4766" w:type="dxa"/>
          </w:tcPr>
          <w:p w14:paraId="01D0567E" w14:textId="0EFC86B7" w:rsidR="00432DD4" w:rsidRDefault="00364D7F" w:rsidP="00E86F54">
            <w:pPr>
              <w:keepNext/>
              <w:jc w:val="center"/>
            </w:pPr>
            <w:r w:rsidRPr="00364D7F">
              <w:rPr>
                <w:noProof/>
              </w:rPr>
              <w:drawing>
                <wp:inline distT="0" distB="0" distL="0" distR="0" wp14:anchorId="08C8C737" wp14:editId="1C7B12F7">
                  <wp:extent cx="2922596" cy="1550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017" cy="1575928"/>
                          </a:xfrm>
                          <a:prstGeom prst="rect">
                            <a:avLst/>
                          </a:prstGeom>
                        </pic:spPr>
                      </pic:pic>
                    </a:graphicData>
                  </a:graphic>
                </wp:inline>
              </w:drawing>
            </w:r>
          </w:p>
        </w:tc>
      </w:tr>
    </w:tbl>
    <w:p w14:paraId="71AC2702" w14:textId="09FA57B0" w:rsidR="005B4D6C" w:rsidRDefault="005B4D6C" w:rsidP="005B4D6C">
      <w:pPr>
        <w:spacing w:line="240" w:lineRule="auto"/>
        <w:jc w:val="center"/>
      </w:pPr>
      <w:r>
        <w:br/>
        <w:t>Stationary</w:t>
      </w:r>
      <w:r>
        <w:br/>
      </w:r>
      <w:r w:rsidRPr="00364D7F">
        <w:rPr>
          <w:noProof/>
        </w:rPr>
        <w:drawing>
          <wp:inline distT="0" distB="0" distL="0" distR="0" wp14:anchorId="5948A262" wp14:editId="528A7054">
            <wp:extent cx="4364437" cy="14734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3592" cy="1483307"/>
                    </a:xfrm>
                    <a:prstGeom prst="rect">
                      <a:avLst/>
                    </a:prstGeom>
                  </pic:spPr>
                </pic:pic>
              </a:graphicData>
            </a:graphic>
          </wp:inline>
        </w:drawing>
      </w:r>
    </w:p>
    <w:p w14:paraId="449B6EC5" w14:textId="77777777" w:rsidR="008D6443" w:rsidRDefault="005B4D6C" w:rsidP="00DF6E5E">
      <w:pPr>
        <w:spacing w:after="0" w:line="240" w:lineRule="auto"/>
        <w:jc w:val="center"/>
      </w:pPr>
      <w:r>
        <w:t>Moving</w:t>
      </w:r>
      <w:r>
        <w:br/>
      </w:r>
      <w:r w:rsidRPr="00364D7F">
        <w:rPr>
          <w:noProof/>
        </w:rPr>
        <w:drawing>
          <wp:inline distT="0" distB="0" distL="0" distR="0" wp14:anchorId="2404217B" wp14:editId="4D8532CA">
            <wp:extent cx="4386876" cy="166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8834" cy="1666952"/>
                    </a:xfrm>
                    <a:prstGeom prst="rect">
                      <a:avLst/>
                    </a:prstGeom>
                  </pic:spPr>
                </pic:pic>
              </a:graphicData>
            </a:graphic>
          </wp:inline>
        </w:drawing>
      </w:r>
      <w:r>
        <w:br/>
      </w:r>
    </w:p>
    <w:p w14:paraId="3B334B3F" w14:textId="1C780D1A" w:rsidR="008969B3" w:rsidRDefault="00D64340" w:rsidP="000D5AD2">
      <w:pPr>
        <w:spacing w:line="240" w:lineRule="auto"/>
      </w:pPr>
      <w:r>
        <w:t>As expected, the accuracy of the stationary training set decreases as the projection length increases. The lowest RMSE is produced by a training set of size 30, but it also results in the worse accuracy for predicting directional change.</w:t>
      </w:r>
      <w:r w:rsidR="00E61CDD">
        <w:t xml:space="preserve"> The two-tail t-tests reveal that there is no statistically significant difference between the 30- and 50-day training set, so sticking with the 50-day set actually results in better accuracy for predicting directional change; unfortunately, it’s still far below the short-term results.</w:t>
      </w:r>
    </w:p>
    <w:p w14:paraId="47C4F863" w14:textId="203AB598" w:rsidR="006C4A78" w:rsidRDefault="006C4A78" w:rsidP="00E86F54">
      <w:pPr>
        <w:spacing w:line="240" w:lineRule="auto"/>
      </w:pPr>
      <w:r>
        <w:t>On the other hand, the moving training set results in slightly higher RMSE – with a 100-day training set resulting in the lowest RMSE of 2.37, but the directional accuracy is already significantly better at 55%.</w:t>
      </w:r>
      <w:r w:rsidR="00B93E31">
        <w:t xml:space="preserve"> The t-test reveals that there’s no significant difference between the 100-day set and any set between 50 and 90 days. </w:t>
      </w:r>
      <w:r w:rsidR="00926C3B">
        <w:t>Thus, a 60-day set would result in a slightly better directional accuracy of 56.2%</w:t>
      </w:r>
      <w:r w:rsidR="009F1369">
        <w:t xml:space="preserve">, which is </w:t>
      </w:r>
      <w:r w:rsidR="007F739A">
        <w:t>actually</w:t>
      </w:r>
      <w:r w:rsidR="009F1369">
        <w:t xml:space="preserve"> 5% higher than the short-term accuracy.</w:t>
      </w:r>
    </w:p>
    <w:p w14:paraId="25160390" w14:textId="578B173C" w:rsidR="00803C7E" w:rsidRDefault="00803C7E" w:rsidP="00E86F54">
      <w:pPr>
        <w:pStyle w:val="Heading2"/>
        <w:spacing w:before="0" w:line="240" w:lineRule="auto"/>
      </w:pPr>
      <w:r>
        <w:lastRenderedPageBreak/>
        <w:t>S&amp;P500 ETF (SPY):</w:t>
      </w:r>
      <w:r w:rsidR="00803351">
        <w:t xml:space="preserve"> </w:t>
      </w:r>
    </w:p>
    <w:p w14:paraId="589376C4" w14:textId="07C769D6" w:rsidR="00803C7E" w:rsidRDefault="00803C7E" w:rsidP="00E86F54">
      <w:pPr>
        <w:pStyle w:val="Heading3"/>
        <w:spacing w:before="0" w:line="240" w:lineRule="auto"/>
      </w:pPr>
      <w:r>
        <w:t>Analysis of Returns:</w:t>
      </w:r>
    </w:p>
    <w:p w14:paraId="0833DC23" w14:textId="36EAF3B8" w:rsidR="00927063" w:rsidRPr="00927063" w:rsidRDefault="00927063" w:rsidP="00E86F54">
      <w:pPr>
        <w:spacing w:line="240" w:lineRule="auto"/>
      </w:pPr>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E86F54">
      <w:pPr>
        <w:spacing w:line="240" w:lineRule="auto"/>
      </w:pPr>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9"/>
                    <a:stretch>
                      <a:fillRect/>
                    </a:stretch>
                  </pic:blipFill>
                  <pic:spPr>
                    <a:xfrm>
                      <a:off x="0" y="0"/>
                      <a:ext cx="3012515" cy="2093699"/>
                    </a:xfrm>
                    <a:prstGeom prst="rect">
                      <a:avLst/>
                    </a:prstGeom>
                  </pic:spPr>
                </pic:pic>
              </a:graphicData>
            </a:graphic>
          </wp:inline>
        </w:drawing>
      </w:r>
    </w:p>
    <w:p w14:paraId="3A7DCEE6" w14:textId="77777777" w:rsidR="00155E8F" w:rsidRDefault="00155E8F" w:rsidP="00E86F54">
      <w:pPr>
        <w:pStyle w:val="Heading3"/>
        <w:spacing w:before="0" w:line="240" w:lineRule="auto"/>
      </w:pPr>
      <w:r>
        <w:t>Forecasting Predictions:</w:t>
      </w:r>
    </w:p>
    <w:p w14:paraId="19656BF3" w14:textId="7D106AFE" w:rsidR="009F57DE" w:rsidRPr="00CB1185" w:rsidRDefault="00B42B89" w:rsidP="00E86F54">
      <w:pPr>
        <w:spacing w:line="240" w:lineRule="auto"/>
        <w:rPr>
          <w:b/>
          <w:bCs/>
          <w:color w:val="FF0000"/>
        </w:rPr>
      </w:pPr>
      <w:r>
        <w:rPr>
          <w:noProof/>
        </w:rPr>
        <w:t xml:space="preserve">For the S&amp;P500 ETF, the training size that resulted in the lowest RMSE and MAPE is the </w:t>
      </w:r>
      <w:r w:rsidR="006F0046">
        <w:rPr>
          <w:noProof/>
        </w:rPr>
        <w:t>50</w:t>
      </w:r>
      <w:r>
        <w:rPr>
          <w:noProof/>
        </w:rPr>
        <w:t>-day training set.</w:t>
      </w:r>
      <w:r w:rsidR="00C92CBB">
        <w:rPr>
          <w:noProof/>
        </w:rPr>
        <w:t xml:space="preserve"> </w:t>
      </w:r>
      <w:r w:rsidR="009F57DE">
        <w:t xml:space="preserve">When attempting to determine the best training size to measure direction accuracy, the size that produced the most accurate direction predictions is </w:t>
      </w:r>
      <w:r w:rsidR="00C92CBB">
        <w:t>the</w:t>
      </w:r>
      <w:r w:rsidR="009F57DE">
        <w:t xml:space="preserve"> </w:t>
      </w:r>
      <w:r w:rsidR="00D9246E">
        <w:t>90</w:t>
      </w:r>
      <w:r w:rsidR="009F57DE">
        <w:t>-day set</w:t>
      </w:r>
      <w:r w:rsidR="005A270B">
        <w:t>. These results are</w:t>
      </w:r>
      <w:r w:rsidR="00284E77">
        <w:t xml:space="preserve"> similar to </w:t>
      </w:r>
      <w:r w:rsidR="00835F80">
        <w:t>the AMD results.</w:t>
      </w:r>
    </w:p>
    <w:p w14:paraId="7204EDAF" w14:textId="0D059499" w:rsidR="00341AB3" w:rsidRDefault="00262B09" w:rsidP="00E86F54">
      <w:pPr>
        <w:spacing w:line="240" w:lineRule="auto"/>
        <w:jc w:val="center"/>
      </w:pPr>
      <w:r w:rsidRPr="00262B09">
        <w:rPr>
          <w:noProof/>
        </w:rPr>
        <w:drawing>
          <wp:inline distT="0" distB="0" distL="0" distR="0" wp14:anchorId="2A2262F6" wp14:editId="674C5645">
            <wp:extent cx="3467595" cy="1815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398" cy="1819622"/>
                    </a:xfrm>
                    <a:prstGeom prst="rect">
                      <a:avLst/>
                    </a:prstGeom>
                  </pic:spPr>
                </pic:pic>
              </a:graphicData>
            </a:graphic>
          </wp:inline>
        </w:drawing>
      </w:r>
    </w:p>
    <w:p w14:paraId="70121ECF" w14:textId="3672D7FA" w:rsidR="00932002" w:rsidRDefault="00932002" w:rsidP="00E86F54">
      <w:pPr>
        <w:spacing w:line="240" w:lineRule="auto"/>
        <w:rPr>
          <w:noProof/>
        </w:rPr>
      </w:pPr>
      <w:r>
        <w:rPr>
          <w:noProof/>
        </w:rPr>
        <w:t>Running the t-test on th</w:t>
      </w:r>
      <w:r w:rsidR="00D9246E">
        <w:rPr>
          <w:noProof/>
        </w:rPr>
        <w:t>ese</w:t>
      </w:r>
      <w:r>
        <w:rPr>
          <w:noProof/>
        </w:rPr>
        <w:t xml:space="preserve"> set</w:t>
      </w:r>
      <w:r w:rsidR="00D9246E">
        <w:rPr>
          <w:noProof/>
        </w:rPr>
        <w:t>s</w:t>
      </w:r>
      <w:r>
        <w:rPr>
          <w:noProof/>
        </w:rPr>
        <w:t xml:space="preserve"> of training data,</w:t>
      </w:r>
      <w:r w:rsidR="00D9246E">
        <w:rPr>
          <w:noProof/>
        </w:rPr>
        <w:t xml:space="preserve"> the 50-day training set’s difference is statistically significant from all other training sizes. Once again, there is going to be a compromise between RMSE and P(Correct Direction), but the 50-day set has the third highest probability, so the impact will be </w:t>
      </w:r>
      <w:r w:rsidR="007B09AA">
        <w:rPr>
          <w:noProof/>
        </w:rPr>
        <w:t>minimized</w:t>
      </w:r>
      <w:r w:rsidR="007618E4">
        <w:rPr>
          <w:noProof/>
        </w:rPr>
        <w:t>:</w:t>
      </w:r>
    </w:p>
    <w:p w14:paraId="570DBE0E" w14:textId="330C5BB8" w:rsidR="007618E4" w:rsidRDefault="00D9246E" w:rsidP="00E86F54">
      <w:pPr>
        <w:spacing w:line="240" w:lineRule="auto"/>
        <w:jc w:val="center"/>
        <w:rPr>
          <w:noProof/>
        </w:rPr>
      </w:pPr>
      <w:r w:rsidRPr="00D9246E">
        <w:rPr>
          <w:noProof/>
        </w:rPr>
        <w:drawing>
          <wp:inline distT="0" distB="0" distL="0" distR="0" wp14:anchorId="7C277ED4" wp14:editId="463ADAE5">
            <wp:extent cx="4270870" cy="1422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271"/>
                    <a:stretch/>
                  </pic:blipFill>
                  <pic:spPr bwMode="auto">
                    <a:xfrm>
                      <a:off x="0" y="0"/>
                      <a:ext cx="4295347" cy="1431106"/>
                    </a:xfrm>
                    <a:prstGeom prst="rect">
                      <a:avLst/>
                    </a:prstGeom>
                    <a:ln>
                      <a:noFill/>
                    </a:ln>
                    <a:extLst>
                      <a:ext uri="{53640926-AAD7-44D8-BBD7-CCE9431645EC}">
                        <a14:shadowObscured xmlns:a14="http://schemas.microsoft.com/office/drawing/2010/main"/>
                      </a:ext>
                    </a:extLst>
                  </pic:spPr>
                </pic:pic>
              </a:graphicData>
            </a:graphic>
          </wp:inline>
        </w:drawing>
      </w:r>
    </w:p>
    <w:p w14:paraId="216226C1" w14:textId="49AB1898" w:rsidR="001D6898" w:rsidRDefault="001D6898" w:rsidP="00E86F54">
      <w:pPr>
        <w:spacing w:line="240" w:lineRule="auto"/>
        <w:rPr>
          <w:noProof/>
        </w:rPr>
      </w:pPr>
      <w:r>
        <w:rPr>
          <w:noProof/>
        </w:rPr>
        <w:lastRenderedPageBreak/>
        <w:t xml:space="preserve">However, when looking at the normalized RMSE (nRSME), it’s approximately </w:t>
      </w:r>
      <w:r w:rsidR="008D22A4">
        <w:rPr>
          <w:noProof/>
        </w:rPr>
        <w:t>2</w:t>
      </w:r>
      <w:r w:rsidR="00037609">
        <w:rPr>
          <w:noProof/>
        </w:rPr>
        <w:t xml:space="preserve"> to </w:t>
      </w:r>
      <w:r w:rsidR="008D22A4">
        <w:rPr>
          <w:noProof/>
        </w:rPr>
        <w:t>2.5</w:t>
      </w:r>
      <w:r>
        <w:rPr>
          <w:noProof/>
        </w:rPr>
        <w:t xml:space="preserve"> times smaller than AMD’s nRMSE. This seems to be expected given that ETFs by definition would have less variance than a single stock option since the variance is based on multiple stock options</w:t>
      </w:r>
      <w:r w:rsidR="006A01ED">
        <w:rPr>
          <w:noProof/>
        </w:rPr>
        <w:t xml:space="preserve">. The smaller variance would result in more predictable and consistent behavior to </w:t>
      </w:r>
      <w:r w:rsidR="008F1B77">
        <w:rPr>
          <w:noProof/>
        </w:rPr>
        <w:t>forecast</w:t>
      </w:r>
      <w:r w:rsidR="00CE1EF5">
        <w:rPr>
          <w:noProof/>
        </w:rPr>
        <w:t xml:space="preserve"> due to the tighter bounds</w:t>
      </w:r>
      <w:r w:rsidR="000C7B6B">
        <w:rPr>
          <w:noProof/>
        </w:rPr>
        <w:t>.</w:t>
      </w:r>
    </w:p>
    <w:p w14:paraId="2A98F5F1" w14:textId="41515931" w:rsidR="00891B8C" w:rsidRDefault="00891B8C" w:rsidP="00E86F54">
      <w:pPr>
        <w:pStyle w:val="Heading3"/>
        <w:spacing w:before="0" w:line="240" w:lineRule="auto"/>
      </w:pPr>
      <w:r>
        <w:t>Sample 30 Business Day Forecasts:</w:t>
      </w:r>
    </w:p>
    <w:p w14:paraId="5508770E" w14:textId="754AE252" w:rsidR="00C34A05" w:rsidRDefault="00FF07BB" w:rsidP="00E86F54">
      <w:pPr>
        <w:spacing w:line="240" w:lineRule="auto"/>
        <w:rPr>
          <w:noProof/>
        </w:rPr>
      </w:pPr>
      <w:r>
        <w:rPr>
          <w:noProof/>
        </w:rPr>
        <w:drawing>
          <wp:inline distT="0" distB="0" distL="0" distR="0" wp14:anchorId="38A89DE2" wp14:editId="06489B4B">
            <wp:extent cx="2771249" cy="2101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7532" cy="2113938"/>
                    </a:xfrm>
                    <a:prstGeom prst="rect">
                      <a:avLst/>
                    </a:prstGeom>
                  </pic:spPr>
                </pic:pic>
              </a:graphicData>
            </a:graphic>
          </wp:inline>
        </w:drawing>
      </w:r>
      <w:r w:rsidR="005A270B" w:rsidRPr="005A270B">
        <w:rPr>
          <w:noProof/>
        </w:rPr>
        <w:t xml:space="preserve"> </w:t>
      </w:r>
      <w:r w:rsidR="006B6B49">
        <w:rPr>
          <w:noProof/>
        </w:rPr>
        <w:drawing>
          <wp:inline distT="0" distB="0" distL="0" distR="0" wp14:anchorId="12C04A09" wp14:editId="06F1A0BB">
            <wp:extent cx="2737485" cy="2075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6118" cy="2097699"/>
                    </a:xfrm>
                    <a:prstGeom prst="rect">
                      <a:avLst/>
                    </a:prstGeom>
                  </pic:spPr>
                </pic:pic>
              </a:graphicData>
            </a:graphic>
          </wp:inline>
        </w:drawing>
      </w:r>
      <w:r w:rsidR="006022D1" w:rsidRPr="006022D1">
        <w:rPr>
          <w:noProof/>
        </w:rPr>
        <w:t xml:space="preserve"> </w:t>
      </w:r>
    </w:p>
    <w:p w14:paraId="33E64D20" w14:textId="3CCE3047" w:rsidR="00BA517A" w:rsidRDefault="00BA517A" w:rsidP="00E86F54">
      <w:pPr>
        <w:pStyle w:val="Heading3"/>
        <w:spacing w:before="0" w:line="240" w:lineRule="auto"/>
      </w:pPr>
      <w:r>
        <w:t>Forecasting Predictions (Moving Training Set):</w:t>
      </w:r>
    </w:p>
    <w:p w14:paraId="4D1EF26D" w14:textId="48545874" w:rsidR="0040416D" w:rsidRPr="0040416D" w:rsidRDefault="0040416D" w:rsidP="00E86F54">
      <w:pPr>
        <w:spacing w:line="240" w:lineRule="auto"/>
      </w:pPr>
      <w:r>
        <w:t>Conducting another prolonged forecasting test</w:t>
      </w:r>
      <w:r w:rsidR="00FC607B">
        <w:t xml:space="preserve"> with stationary and moving training sets</w:t>
      </w:r>
      <w:r>
        <w:t xml:space="preserve"> results in the follow</w:t>
      </w:r>
      <w:r w:rsidR="00FC607B">
        <w:t>ing</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808"/>
      </w:tblGrid>
      <w:tr w:rsidR="008E7600" w14:paraId="592EB2F3" w14:textId="77777777" w:rsidTr="000E6C04">
        <w:tc>
          <w:tcPr>
            <w:tcW w:w="4768" w:type="dxa"/>
          </w:tcPr>
          <w:p w14:paraId="13DB2D45" w14:textId="77777777" w:rsidR="008E7600" w:rsidRDefault="008E7600" w:rsidP="00E86F54">
            <w:pPr>
              <w:keepNext/>
              <w:jc w:val="center"/>
            </w:pPr>
            <w:r>
              <w:t>Stationary</w:t>
            </w:r>
          </w:p>
        </w:tc>
        <w:tc>
          <w:tcPr>
            <w:tcW w:w="4808" w:type="dxa"/>
          </w:tcPr>
          <w:p w14:paraId="5A646976" w14:textId="77777777" w:rsidR="008E7600" w:rsidRDefault="008E7600" w:rsidP="00E86F54">
            <w:pPr>
              <w:keepNext/>
              <w:jc w:val="center"/>
            </w:pPr>
            <w:r>
              <w:t>Moving</w:t>
            </w:r>
          </w:p>
        </w:tc>
      </w:tr>
      <w:tr w:rsidR="008E7600" w14:paraId="1AD8F668" w14:textId="77777777" w:rsidTr="000E6C04">
        <w:tc>
          <w:tcPr>
            <w:tcW w:w="4768" w:type="dxa"/>
          </w:tcPr>
          <w:p w14:paraId="6F94015F" w14:textId="33253CC9" w:rsidR="008E7600" w:rsidRDefault="008E7600" w:rsidP="00E86F54">
            <w:pPr>
              <w:keepNext/>
              <w:jc w:val="center"/>
            </w:pPr>
            <w:r w:rsidRPr="008E7600">
              <w:rPr>
                <w:noProof/>
              </w:rPr>
              <w:drawing>
                <wp:inline distT="0" distB="0" distL="0" distR="0" wp14:anchorId="3699BE31" wp14:editId="67586F30">
                  <wp:extent cx="2947870" cy="15426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7399" cy="1552919"/>
                          </a:xfrm>
                          <a:prstGeom prst="rect">
                            <a:avLst/>
                          </a:prstGeom>
                        </pic:spPr>
                      </pic:pic>
                    </a:graphicData>
                  </a:graphic>
                </wp:inline>
              </w:drawing>
            </w:r>
          </w:p>
        </w:tc>
        <w:tc>
          <w:tcPr>
            <w:tcW w:w="4808" w:type="dxa"/>
          </w:tcPr>
          <w:p w14:paraId="1C058556" w14:textId="1A78EAAC" w:rsidR="008E7600" w:rsidRDefault="008E7600" w:rsidP="00E86F54">
            <w:pPr>
              <w:keepNext/>
              <w:jc w:val="center"/>
            </w:pPr>
            <w:r w:rsidRPr="008E7600">
              <w:rPr>
                <w:noProof/>
              </w:rPr>
              <w:drawing>
                <wp:inline distT="0" distB="0" distL="0" distR="0" wp14:anchorId="2BCF8D58" wp14:editId="2884ECED">
                  <wp:extent cx="2973085" cy="1541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2406" cy="1551166"/>
                          </a:xfrm>
                          <a:prstGeom prst="rect">
                            <a:avLst/>
                          </a:prstGeom>
                        </pic:spPr>
                      </pic:pic>
                    </a:graphicData>
                  </a:graphic>
                </wp:inline>
              </w:drawing>
            </w:r>
          </w:p>
        </w:tc>
      </w:tr>
    </w:tbl>
    <w:p w14:paraId="10E4094E" w14:textId="5B749DE8" w:rsidR="006D1DB6" w:rsidRDefault="009C5984" w:rsidP="006D1DB6">
      <w:pPr>
        <w:spacing w:line="240" w:lineRule="auto"/>
        <w:jc w:val="center"/>
      </w:pPr>
      <w:r>
        <w:br/>
      </w:r>
      <w:r w:rsidR="006D1DB6">
        <w:t>Stationary</w:t>
      </w:r>
      <w:r w:rsidR="006D1DB6">
        <w:br/>
      </w:r>
      <w:r w:rsidR="00A0544F" w:rsidRPr="00A0544F">
        <w:rPr>
          <w:noProof/>
        </w:rPr>
        <w:drawing>
          <wp:inline distT="0" distB="0" distL="0" distR="0" wp14:anchorId="5C83788A" wp14:editId="70022BB5">
            <wp:extent cx="4356952" cy="13764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1194" cy="1393579"/>
                    </a:xfrm>
                    <a:prstGeom prst="rect">
                      <a:avLst/>
                    </a:prstGeom>
                  </pic:spPr>
                </pic:pic>
              </a:graphicData>
            </a:graphic>
          </wp:inline>
        </w:drawing>
      </w:r>
    </w:p>
    <w:p w14:paraId="2C051927" w14:textId="15B9F24E" w:rsidR="006D1DB6" w:rsidRDefault="006D1DB6" w:rsidP="00E20161">
      <w:pPr>
        <w:spacing w:line="240" w:lineRule="auto"/>
        <w:jc w:val="center"/>
      </w:pPr>
      <w:r>
        <w:lastRenderedPageBreak/>
        <w:t>Moving</w:t>
      </w:r>
      <w:r>
        <w:br/>
      </w:r>
      <w:r w:rsidR="00A0544F" w:rsidRPr="00A0544F">
        <w:rPr>
          <w:noProof/>
        </w:rPr>
        <w:drawing>
          <wp:inline distT="0" distB="0" distL="0" distR="0" wp14:anchorId="19914905" wp14:editId="722907E7">
            <wp:extent cx="4344802" cy="1623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910" cy="1634234"/>
                    </a:xfrm>
                    <a:prstGeom prst="rect">
                      <a:avLst/>
                    </a:prstGeom>
                  </pic:spPr>
                </pic:pic>
              </a:graphicData>
            </a:graphic>
          </wp:inline>
        </w:drawing>
      </w:r>
    </w:p>
    <w:p w14:paraId="4B3B8A53" w14:textId="77777777" w:rsidR="00234901" w:rsidRDefault="00E86F54" w:rsidP="006D1DB6">
      <w:pPr>
        <w:spacing w:line="240" w:lineRule="auto"/>
      </w:pPr>
      <w:r>
        <w:br/>
        <w:t>As expected</w:t>
      </w:r>
      <w:r w:rsidR="006C02BF">
        <w:t xml:space="preserve">, the stationary training set </w:t>
      </w:r>
      <w:r w:rsidR="000E6C04">
        <w:t>experienced significantly</w:t>
      </w:r>
      <w:r w:rsidR="006C02BF">
        <w:t xml:space="preserve"> </w:t>
      </w:r>
      <w:r w:rsidR="00043714">
        <w:t>reduced</w:t>
      </w:r>
      <w:r w:rsidR="006C02BF">
        <w:t xml:space="preserve"> </w:t>
      </w:r>
      <w:r w:rsidR="000E6C04">
        <w:t xml:space="preserve">directional shift </w:t>
      </w:r>
      <w:r w:rsidR="006C02BF">
        <w:t>accuracy.</w:t>
      </w:r>
      <w:r w:rsidR="007B09AA">
        <w:t xml:space="preserve"> However, a 30-day training set actually results in a better expected RMSE than the short-term results. Unfortunately, this is improvement also results in</w:t>
      </w:r>
      <w:r w:rsidR="003B6F28">
        <w:t xml:space="preserve"> the worst directional accuracy</w:t>
      </w:r>
      <w:r w:rsidR="00E22AC0">
        <w:t xml:space="preserve"> at barely 40%.</w:t>
      </w:r>
      <w:r w:rsidR="007B09AA">
        <w:t xml:space="preserve"> </w:t>
      </w:r>
      <w:r w:rsidR="00C018A0">
        <w:t xml:space="preserve">The rest of the results are already worse since the short-term results has significantly lower RSME and higher directional accuracies. </w:t>
      </w:r>
    </w:p>
    <w:p w14:paraId="1024E7B1" w14:textId="11087DEC" w:rsidR="00956127" w:rsidRPr="008E7600" w:rsidRDefault="000E6C04" w:rsidP="006D1DB6">
      <w:pPr>
        <w:spacing w:line="240" w:lineRule="auto"/>
      </w:pPr>
      <w:r>
        <w:t xml:space="preserve">As for the moving training set, the expect RMSE </w:t>
      </w:r>
      <w:r w:rsidR="006D1DB6">
        <w:t>actually comparable to the short-term results</w:t>
      </w:r>
      <w:r w:rsidR="00234901">
        <w:t>, with the lowest RSME of 3.58 being produced by a 30-day training set. The t-test reveals that training set sizes of 40 to 60 days are not significantly different. This would allow us to conclude that the 40-day training set would be the best option since it results in the highest directional accuracy of 65%, which is 8% higher than the short-term accuracy.</w:t>
      </w:r>
    </w:p>
    <w:p w14:paraId="54D96AE2" w14:textId="43A2699C" w:rsidR="00BA517A" w:rsidRDefault="00BA517A" w:rsidP="00E86F54">
      <w:pPr>
        <w:spacing w:line="240" w:lineRule="auto"/>
      </w:pPr>
    </w:p>
    <w:p w14:paraId="77059421" w14:textId="08629213" w:rsidR="00900ED6" w:rsidRDefault="00900ED6" w:rsidP="00E86F54">
      <w:pPr>
        <w:pStyle w:val="Heading2"/>
        <w:spacing w:before="0" w:line="240" w:lineRule="auto"/>
      </w:pPr>
      <w:r>
        <w:t>Bitcoin (BTC):</w:t>
      </w:r>
    </w:p>
    <w:p w14:paraId="2C10A602" w14:textId="4A19C9FE" w:rsidR="00900ED6" w:rsidRDefault="00900ED6" w:rsidP="00E86F54">
      <w:pPr>
        <w:pStyle w:val="Heading3"/>
        <w:spacing w:before="0" w:line="240" w:lineRule="auto"/>
      </w:pPr>
      <w:r>
        <w:t>Analysis of Returns:</w:t>
      </w:r>
    </w:p>
    <w:p w14:paraId="5A66DFAD" w14:textId="6E94B0AF" w:rsidR="00E473EB" w:rsidRPr="00E473EB" w:rsidRDefault="00E473EB" w:rsidP="00E86F54">
      <w:pPr>
        <w:spacing w:line="240" w:lineRule="auto"/>
      </w:pPr>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E86F54">
      <w:pPr>
        <w:spacing w:line="240" w:lineRule="auto"/>
      </w:pPr>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9"/>
                    <a:stretch>
                      <a:fillRect/>
                    </a:stretch>
                  </pic:blipFill>
                  <pic:spPr>
                    <a:xfrm>
                      <a:off x="0" y="0"/>
                      <a:ext cx="3047763" cy="2118197"/>
                    </a:xfrm>
                    <a:prstGeom prst="rect">
                      <a:avLst/>
                    </a:prstGeom>
                  </pic:spPr>
                </pic:pic>
              </a:graphicData>
            </a:graphic>
          </wp:inline>
        </w:drawing>
      </w:r>
    </w:p>
    <w:p w14:paraId="07771843" w14:textId="77777777" w:rsidR="00155E8F" w:rsidRDefault="00155E8F" w:rsidP="00E86F54">
      <w:pPr>
        <w:pStyle w:val="Heading3"/>
        <w:spacing w:before="0" w:line="240" w:lineRule="auto"/>
      </w:pPr>
      <w:r>
        <w:t>Forecasting Predictions:</w:t>
      </w:r>
    </w:p>
    <w:p w14:paraId="4AC60D12" w14:textId="5590D049" w:rsidR="00C27198" w:rsidRDefault="00C27198" w:rsidP="00E86F54">
      <w:pPr>
        <w:spacing w:line="240" w:lineRule="auto"/>
      </w:pPr>
      <w:r>
        <w:t xml:space="preserve">Training size of </w:t>
      </w:r>
      <w:r w:rsidR="007D2624">
        <w:t>80</w:t>
      </w:r>
      <w:r w:rsidR="00660114">
        <w:t>-days</w:t>
      </w:r>
      <w:r>
        <w:t xml:space="preserve"> results in the best expected </w:t>
      </w:r>
      <w:r w:rsidR="00DE0EA6">
        <w:t>R</w:t>
      </w:r>
      <w:r>
        <w:t>MSE and</w:t>
      </w:r>
      <w:r w:rsidR="00DE0EA6">
        <w:t xml:space="preserve"> MAPE</w:t>
      </w:r>
      <w:r w:rsidR="005F6960">
        <w:t>.</w:t>
      </w:r>
      <w:r w:rsidR="00914418">
        <w:t xml:space="preserve"> </w:t>
      </w:r>
      <w:r w:rsidR="000C5CEB">
        <w:t>An interesting note when looking at the</w:t>
      </w:r>
      <w:r w:rsidR="00914418">
        <w:t xml:space="preserve"> accuracy of </w:t>
      </w:r>
      <w:r w:rsidR="000C5CEB">
        <w:t>directional change</w:t>
      </w:r>
      <w:r w:rsidR="00914418">
        <w:t xml:space="preserve"> </w:t>
      </w:r>
      <w:r w:rsidR="000C5CEB">
        <w:t>is that this produces the most accurate results amongst the three asset classes</w:t>
      </w:r>
      <w:r w:rsidR="000309CF">
        <w:t xml:space="preserve">, with the most accurate resulting from a </w:t>
      </w:r>
      <w:r w:rsidR="000C5CEB">
        <w:t>50</w:t>
      </w:r>
      <w:r w:rsidR="000309CF">
        <w:t>-day training set with a</w:t>
      </w:r>
      <w:r w:rsidR="0013365F">
        <w:t>n</w:t>
      </w:r>
      <w:r w:rsidR="000309CF">
        <w:t xml:space="preserve"> experimental </w:t>
      </w:r>
      <w:r w:rsidR="000309CF">
        <w:lastRenderedPageBreak/>
        <w:t xml:space="preserve">probability of </w:t>
      </w:r>
      <w:r w:rsidR="00DC7348">
        <w:t>63.6</w:t>
      </w:r>
      <w:r w:rsidR="000309CF">
        <w:t>%</w:t>
      </w:r>
      <w:r w:rsidR="00914418">
        <w:t>. This is</w:t>
      </w:r>
      <w:r w:rsidR="007670EC">
        <w:t xml:space="preserve"> a</w:t>
      </w:r>
      <w:r w:rsidR="003D60D9">
        <w:t xml:space="preserve">n </w:t>
      </w:r>
      <w:r w:rsidR="007670EC">
        <w:t xml:space="preserve">unexpected </w:t>
      </w:r>
      <w:r w:rsidR="003D60D9">
        <w:t xml:space="preserve">result </w:t>
      </w:r>
      <w:r w:rsidR="007670EC">
        <w:t xml:space="preserve">given that </w:t>
      </w:r>
      <w:r w:rsidR="0013365F">
        <w:t>cryptocurrencies are more volatile than traditional financial assets, and the assumption of normality by the geometric Brownian motion seem</w:t>
      </w:r>
      <w:r w:rsidR="004D7D55">
        <w:t>ed</w:t>
      </w:r>
      <w:r w:rsidR="0013365F">
        <w:t xml:space="preserve"> to be incorrect based on the returns distribution.</w:t>
      </w:r>
    </w:p>
    <w:p w14:paraId="69C4C496" w14:textId="238A9298" w:rsidR="00C27198" w:rsidRDefault="00C27198" w:rsidP="00E86F54">
      <w:pPr>
        <w:spacing w:line="240" w:lineRule="auto"/>
        <w:jc w:val="center"/>
      </w:pPr>
      <w:r>
        <w:t xml:space="preserve"> </w:t>
      </w:r>
      <w:r w:rsidR="00DC57B7" w:rsidRPr="00DC57B7">
        <w:rPr>
          <w:noProof/>
        </w:rPr>
        <w:drawing>
          <wp:inline distT="0" distB="0" distL="0" distR="0" wp14:anchorId="16269F12" wp14:editId="652015A7">
            <wp:extent cx="3119058" cy="1635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944" cy="1648966"/>
                    </a:xfrm>
                    <a:prstGeom prst="rect">
                      <a:avLst/>
                    </a:prstGeom>
                  </pic:spPr>
                </pic:pic>
              </a:graphicData>
            </a:graphic>
          </wp:inline>
        </w:drawing>
      </w:r>
    </w:p>
    <w:p w14:paraId="23F39C17" w14:textId="332EDD2C" w:rsidR="00764887" w:rsidRDefault="00BB03E4" w:rsidP="00E86F54">
      <w:pPr>
        <w:spacing w:line="240" w:lineRule="auto"/>
      </w:pPr>
      <w:r>
        <w:t>W</w:t>
      </w:r>
      <w:r w:rsidR="00342C72">
        <w:t>hen running the t-test against the expected RMSE of each permutation</w:t>
      </w:r>
      <w:r>
        <w:t>, the training sizes of 60 to 100 are not statistically significant</w:t>
      </w:r>
      <w:r w:rsidR="00871C16">
        <w:t xml:space="preserve"> different</w:t>
      </w:r>
      <w:r>
        <w:t xml:space="preserve"> against the 80-day set. Given that the 60-day set produces the second most accurate P(Correct Direction), that should be the best choice of a training set size with minimal compromises in predicting the directional change. </w:t>
      </w:r>
    </w:p>
    <w:p w14:paraId="11DC255D" w14:textId="0B948883" w:rsidR="00764887" w:rsidRDefault="000A17C4" w:rsidP="00E86F54">
      <w:pPr>
        <w:spacing w:line="240" w:lineRule="auto"/>
        <w:jc w:val="center"/>
      </w:pPr>
      <w:r w:rsidRPr="000A17C4">
        <w:rPr>
          <w:noProof/>
        </w:rPr>
        <w:drawing>
          <wp:inline distT="0" distB="0" distL="0" distR="0" wp14:anchorId="31D44DA5" wp14:editId="35C47DCA">
            <wp:extent cx="4047482" cy="1473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1727" cy="1478886"/>
                    </a:xfrm>
                    <a:prstGeom prst="rect">
                      <a:avLst/>
                    </a:prstGeom>
                  </pic:spPr>
                </pic:pic>
              </a:graphicData>
            </a:graphic>
          </wp:inline>
        </w:drawing>
      </w:r>
    </w:p>
    <w:p w14:paraId="348698C4" w14:textId="5783E14F" w:rsidR="003405E2" w:rsidRDefault="003405E2" w:rsidP="00E86F54">
      <w:pPr>
        <w:spacing w:line="240" w:lineRule="auto"/>
      </w:pPr>
      <w:r>
        <w:t xml:space="preserve">Looking at the </w:t>
      </w:r>
      <w:r w:rsidR="00A3113F">
        <w:t xml:space="preserve">expected </w:t>
      </w:r>
      <w:r>
        <w:t>nRMSE</w:t>
      </w:r>
      <w:r w:rsidR="006B4AA8">
        <w:t xml:space="preserve"> values</w:t>
      </w:r>
      <w:r>
        <w:t xml:space="preserve"> </w:t>
      </w:r>
      <w:r w:rsidR="00F56212">
        <w:t>show expected results given the</w:t>
      </w:r>
      <w:r w:rsidR="00DB1FA9">
        <w:t xml:space="preserve"> volatile</w:t>
      </w:r>
      <w:r w:rsidR="00F56212">
        <w:t xml:space="preserve"> nature of cryptocurrenc</w:t>
      </w:r>
      <w:r w:rsidR="008802AC">
        <w:t>ies</w:t>
      </w:r>
      <w:r w:rsidR="00F56212">
        <w:t xml:space="preserve">. </w:t>
      </w:r>
      <w:r w:rsidR="00A3113F">
        <w:t xml:space="preserve">The expected </w:t>
      </w:r>
      <w:r w:rsidR="002F78ED">
        <w:t xml:space="preserve">nRMSE are higher than that of AMD’s, and </w:t>
      </w:r>
      <w:r w:rsidR="00637B05">
        <w:t>three</w:t>
      </w:r>
      <w:r w:rsidR="002F78ED">
        <w:t xml:space="preserve"> times higher than that of the S&amp;P500’s nRMSE.</w:t>
      </w:r>
      <w:r w:rsidR="00DB1FA9">
        <w:t xml:space="preserve"> </w:t>
      </w:r>
      <w:r w:rsidR="00FC5016">
        <w:t xml:space="preserve">This means that the </w:t>
      </w:r>
      <w:r w:rsidR="00F667D3">
        <w:t>forecasting capabilities of standard geometric Brownian motion isn’t as accurate in comparison to its applications to traditional assets</w:t>
      </w:r>
      <w:r w:rsidR="006B7437">
        <w:t xml:space="preserve"> where a normal distribution </w:t>
      </w:r>
      <w:r w:rsidR="004A1D24">
        <w:t xml:space="preserve">assumption </w:t>
      </w:r>
      <w:r w:rsidR="006B7437">
        <w:t>is more acceptable.</w:t>
      </w:r>
    </w:p>
    <w:p w14:paraId="2A5C4F53" w14:textId="25433B62" w:rsidR="00AE2CC5" w:rsidRPr="004B3ECD" w:rsidRDefault="006125A2" w:rsidP="009948AE">
      <w:pPr>
        <w:spacing w:line="240" w:lineRule="auto"/>
        <w:rPr>
          <w:color w:val="FF0000"/>
        </w:rPr>
      </w:pPr>
      <w:r>
        <w:t xml:space="preserve">When attempting the same procedure but with KDE to model the change in price, the results are </w:t>
      </w:r>
      <w:r w:rsidR="00A25070">
        <w:t>surprisingly</w:t>
      </w:r>
      <w:r>
        <w:t xml:space="preserve"> very similar</w:t>
      </w:r>
      <w:r w:rsidR="00432DBF">
        <w:t>.</w:t>
      </w:r>
      <w:r w:rsidR="00BA342E">
        <w:t xml:space="preserve"> Interestingly enough, </w:t>
      </w:r>
      <w:r w:rsidR="00E62706" w:rsidRPr="00E62706">
        <w:t>the previously mentioned research paper</w:t>
      </w:r>
      <w:r w:rsidR="00BA342E">
        <w:rPr>
          <w:color w:val="FF0000"/>
        </w:rPr>
        <w:t xml:space="preserve"> </w:t>
      </w:r>
      <w:r w:rsidR="00BA342E">
        <w:rPr>
          <w:color w:val="000000" w:themeColor="text1"/>
        </w:rPr>
        <w:t>had a similar result even when it was noted that the Cauchy distribution fit better than a normal distribution.</w:t>
      </w:r>
    </w:p>
    <w:p w14:paraId="0EC658FC" w14:textId="7029596B" w:rsidR="00C27198" w:rsidRPr="00C27198" w:rsidRDefault="009245CD" w:rsidP="00E86F54">
      <w:pPr>
        <w:spacing w:line="240" w:lineRule="auto"/>
        <w:jc w:val="center"/>
      </w:pPr>
      <w:r w:rsidRPr="009245CD">
        <w:rPr>
          <w:noProof/>
        </w:rPr>
        <w:drawing>
          <wp:inline distT="0" distB="0" distL="0" distR="0" wp14:anchorId="7D58468B" wp14:editId="70D3C10C">
            <wp:extent cx="3225644" cy="1678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8022" cy="1694965"/>
                    </a:xfrm>
                    <a:prstGeom prst="rect">
                      <a:avLst/>
                    </a:prstGeom>
                  </pic:spPr>
                </pic:pic>
              </a:graphicData>
            </a:graphic>
          </wp:inline>
        </w:drawing>
      </w:r>
    </w:p>
    <w:p w14:paraId="47B02862" w14:textId="30B6451D" w:rsidR="00900ED6" w:rsidRDefault="00B04518" w:rsidP="00E86F54">
      <w:pPr>
        <w:pStyle w:val="Heading3"/>
        <w:spacing w:before="0" w:line="240" w:lineRule="auto"/>
      </w:pPr>
      <w:r>
        <w:lastRenderedPageBreak/>
        <w:t>Sample 30 Business Day Forecasts:</w:t>
      </w:r>
    </w:p>
    <w:p w14:paraId="43D681FD" w14:textId="21D92047" w:rsidR="00446E46" w:rsidRDefault="00450C76" w:rsidP="00E86F54">
      <w:pPr>
        <w:spacing w:line="240" w:lineRule="auto"/>
        <w:jc w:val="center"/>
        <w:rPr>
          <w:noProof/>
        </w:rPr>
      </w:pPr>
      <w:r>
        <w:rPr>
          <w:noProof/>
        </w:rPr>
        <w:drawing>
          <wp:inline distT="0" distB="0" distL="0" distR="0" wp14:anchorId="65257D14" wp14:editId="060658D8">
            <wp:extent cx="2810518" cy="21882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0488" cy="2203838"/>
                    </a:xfrm>
                    <a:prstGeom prst="rect">
                      <a:avLst/>
                    </a:prstGeom>
                  </pic:spPr>
                </pic:pic>
              </a:graphicData>
            </a:graphic>
          </wp:inline>
        </w:drawing>
      </w:r>
      <w:r w:rsidR="009951D4" w:rsidRPr="009951D4">
        <w:rPr>
          <w:noProof/>
        </w:rPr>
        <w:t xml:space="preserve"> </w:t>
      </w:r>
      <w:r>
        <w:rPr>
          <w:noProof/>
        </w:rPr>
        <w:drawing>
          <wp:inline distT="0" distB="0" distL="0" distR="0" wp14:anchorId="33A7E840" wp14:editId="5DCA8975">
            <wp:extent cx="2810518" cy="21882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7732" cy="2193906"/>
                    </a:xfrm>
                    <a:prstGeom prst="rect">
                      <a:avLst/>
                    </a:prstGeom>
                  </pic:spPr>
                </pic:pic>
              </a:graphicData>
            </a:graphic>
          </wp:inline>
        </w:drawing>
      </w:r>
    </w:p>
    <w:p w14:paraId="2B4AD015" w14:textId="77777777" w:rsidR="00CA189E" w:rsidRDefault="00CA189E" w:rsidP="00CA189E">
      <w:pPr>
        <w:pStyle w:val="Heading3"/>
        <w:spacing w:before="0" w:line="240" w:lineRule="auto"/>
      </w:pPr>
      <w:r>
        <w:t>Forecasting Predictions (Moving Training Set):</w:t>
      </w:r>
    </w:p>
    <w:p w14:paraId="701D826E" w14:textId="77777777" w:rsidR="00CA189E" w:rsidRPr="0040416D" w:rsidRDefault="00CA189E" w:rsidP="00CA189E">
      <w:pPr>
        <w:spacing w:line="240" w:lineRule="auto"/>
      </w:pPr>
      <w:r>
        <w:t>Conducting another prolonged forecasting test with stationary and moving training sets results in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C7A37" w14:paraId="40E045AA" w14:textId="77777777" w:rsidTr="007730D0">
        <w:tc>
          <w:tcPr>
            <w:tcW w:w="4788" w:type="dxa"/>
          </w:tcPr>
          <w:p w14:paraId="372196C5" w14:textId="77777777" w:rsidR="00CA189E" w:rsidRDefault="00CA189E" w:rsidP="007B3904">
            <w:pPr>
              <w:keepNext/>
              <w:jc w:val="center"/>
            </w:pPr>
            <w:r>
              <w:t>Stationary</w:t>
            </w:r>
          </w:p>
        </w:tc>
        <w:tc>
          <w:tcPr>
            <w:tcW w:w="4788" w:type="dxa"/>
          </w:tcPr>
          <w:p w14:paraId="1EA1D11F" w14:textId="77777777" w:rsidR="00CA189E" w:rsidRDefault="00CA189E" w:rsidP="007B3904">
            <w:pPr>
              <w:keepNext/>
              <w:jc w:val="center"/>
            </w:pPr>
            <w:r>
              <w:t>Moving</w:t>
            </w:r>
          </w:p>
        </w:tc>
      </w:tr>
      <w:tr w:rsidR="00FC7A37" w14:paraId="2484F017" w14:textId="77777777" w:rsidTr="007730D0">
        <w:tc>
          <w:tcPr>
            <w:tcW w:w="4788" w:type="dxa"/>
          </w:tcPr>
          <w:p w14:paraId="76DD5575" w14:textId="542B4FAD" w:rsidR="00CA189E" w:rsidRDefault="00A570EF" w:rsidP="007B3904">
            <w:pPr>
              <w:keepNext/>
              <w:jc w:val="center"/>
            </w:pPr>
            <w:r w:rsidRPr="00A570EF">
              <w:rPr>
                <w:noProof/>
              </w:rPr>
              <w:drawing>
                <wp:inline distT="0" distB="0" distL="0" distR="0" wp14:anchorId="1C9C72B9" wp14:editId="6FFC1FF0">
                  <wp:extent cx="2956373" cy="15414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5326" cy="1551290"/>
                          </a:xfrm>
                          <a:prstGeom prst="rect">
                            <a:avLst/>
                          </a:prstGeom>
                        </pic:spPr>
                      </pic:pic>
                    </a:graphicData>
                  </a:graphic>
                </wp:inline>
              </w:drawing>
            </w:r>
          </w:p>
        </w:tc>
        <w:tc>
          <w:tcPr>
            <w:tcW w:w="4788" w:type="dxa"/>
          </w:tcPr>
          <w:p w14:paraId="24246D61" w14:textId="00C8F3DE" w:rsidR="00CA189E" w:rsidRDefault="00FC7A37" w:rsidP="007B3904">
            <w:pPr>
              <w:keepNext/>
              <w:jc w:val="center"/>
            </w:pPr>
            <w:r w:rsidRPr="00FC7A37">
              <w:rPr>
                <w:noProof/>
              </w:rPr>
              <w:drawing>
                <wp:inline distT="0" distB="0" distL="0" distR="0" wp14:anchorId="3840366F" wp14:editId="79E88B7C">
                  <wp:extent cx="2956373" cy="154115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7180" cy="1567637"/>
                          </a:xfrm>
                          <a:prstGeom prst="rect">
                            <a:avLst/>
                          </a:prstGeom>
                        </pic:spPr>
                      </pic:pic>
                    </a:graphicData>
                  </a:graphic>
                </wp:inline>
              </w:drawing>
            </w:r>
          </w:p>
        </w:tc>
      </w:tr>
    </w:tbl>
    <w:p w14:paraId="1AFB71A2" w14:textId="19595198" w:rsidR="00CA189E" w:rsidRDefault="00CA189E" w:rsidP="00CA189E">
      <w:pPr>
        <w:spacing w:line="240" w:lineRule="auto"/>
        <w:jc w:val="center"/>
      </w:pPr>
      <w:r>
        <w:br/>
        <w:t>Stationary</w:t>
      </w:r>
      <w:r>
        <w:br/>
      </w:r>
      <w:r w:rsidR="00CC7969" w:rsidRPr="00CC7969">
        <w:rPr>
          <w:noProof/>
        </w:rPr>
        <w:drawing>
          <wp:inline distT="0" distB="0" distL="0" distR="0" wp14:anchorId="6485059A" wp14:editId="15409F92">
            <wp:extent cx="4316753" cy="1507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5947" cy="1514339"/>
                    </a:xfrm>
                    <a:prstGeom prst="rect">
                      <a:avLst/>
                    </a:prstGeom>
                  </pic:spPr>
                </pic:pic>
              </a:graphicData>
            </a:graphic>
          </wp:inline>
        </w:drawing>
      </w:r>
    </w:p>
    <w:p w14:paraId="3B430E12" w14:textId="3CE9B597" w:rsidR="00CA189E" w:rsidRDefault="00CA189E" w:rsidP="00CA189E">
      <w:pPr>
        <w:spacing w:line="240" w:lineRule="auto"/>
        <w:jc w:val="center"/>
      </w:pPr>
      <w:r>
        <w:lastRenderedPageBreak/>
        <w:t>Moving</w:t>
      </w:r>
      <w:r>
        <w:br/>
      </w:r>
      <w:r w:rsidR="00684673" w:rsidRPr="00684673">
        <w:rPr>
          <w:noProof/>
        </w:rPr>
        <w:drawing>
          <wp:inline distT="0" distB="0" distL="0" distR="0" wp14:anchorId="6CE841FC" wp14:editId="0E06A317">
            <wp:extent cx="4341998" cy="14695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9704" cy="1475592"/>
                    </a:xfrm>
                    <a:prstGeom prst="rect">
                      <a:avLst/>
                    </a:prstGeom>
                  </pic:spPr>
                </pic:pic>
              </a:graphicData>
            </a:graphic>
          </wp:inline>
        </w:drawing>
      </w:r>
    </w:p>
    <w:p w14:paraId="5353D0CA" w14:textId="77777777" w:rsidR="00C6448B" w:rsidRDefault="007730D0" w:rsidP="007730D0">
      <w:pPr>
        <w:spacing w:line="240" w:lineRule="auto"/>
        <w:rPr>
          <w:noProof/>
        </w:rPr>
      </w:pPr>
      <w:r>
        <w:rPr>
          <w:noProof/>
        </w:rPr>
        <w:t>Oddly enough, the prolonged forecasting timeframe seemed to have resulted in better RMSE than the short-term predictions. Despite that improvement, the directional accuracy pales in comparison.</w:t>
      </w:r>
      <w:r w:rsidR="00C6448B">
        <w:rPr>
          <w:noProof/>
        </w:rPr>
        <w:t xml:space="preserve"> While the 50-day training set isn’t statistically different from the 30 or 40-day results, directional accuracy barely reaches 40%. </w:t>
      </w:r>
    </w:p>
    <w:p w14:paraId="50907E05" w14:textId="77777777" w:rsidR="005A2701" w:rsidRDefault="00C6448B" w:rsidP="007730D0">
      <w:pPr>
        <w:spacing w:line="240" w:lineRule="auto"/>
        <w:rPr>
          <w:noProof/>
        </w:rPr>
      </w:pPr>
      <w:r>
        <w:rPr>
          <w:noProof/>
        </w:rPr>
        <w:t xml:space="preserve">In comparison to the moving training set, we actually end up with better RMSE, and comparable directional accuracy. A 30-day training set results in </w:t>
      </w:r>
      <w:r w:rsidR="00713120">
        <w:rPr>
          <w:noProof/>
        </w:rPr>
        <w:t>an RMSE that is half of the short-term results, as well as a directional accuracy that is practically equivalent.</w:t>
      </w:r>
      <w:r w:rsidR="005A2701">
        <w:rPr>
          <w:noProof/>
        </w:rPr>
        <w:t xml:space="preserve"> </w:t>
      </w:r>
    </w:p>
    <w:p w14:paraId="1771BC8F" w14:textId="18A7664A" w:rsidR="000561DA" w:rsidRDefault="005A2701" w:rsidP="0084279B">
      <w:pPr>
        <w:spacing w:line="240" w:lineRule="auto"/>
        <w:rPr>
          <w:noProof/>
        </w:rPr>
      </w:pPr>
      <w:r>
        <w:rPr>
          <w:noProof/>
        </w:rPr>
        <w:t>This behavior could be explained by the volatility of cryptocurrencies</w:t>
      </w:r>
      <w:r w:rsidR="009E235D">
        <w:rPr>
          <w:noProof/>
        </w:rPr>
        <w:t xml:space="preserve"> – high volatility would cause the training set to be less representative</w:t>
      </w:r>
      <w:r w:rsidR="0079786B">
        <w:rPr>
          <w:noProof/>
        </w:rPr>
        <w:t xml:space="preserve"> of the current or future state</w:t>
      </w:r>
      <w:r w:rsidR="009E235D">
        <w:rPr>
          <w:noProof/>
        </w:rPr>
        <w:t xml:space="preserve"> in a shorter timeframe.</w:t>
      </w:r>
      <w:r w:rsidR="00CF4E3D">
        <w:rPr>
          <w:noProof/>
        </w:rPr>
        <w:t xml:space="preserve"> Thus, a moving training set that updates frequently would be better suited to combat this behavior</w:t>
      </w:r>
      <w:r w:rsidR="0083634A">
        <w:rPr>
          <w:noProof/>
        </w:rPr>
        <w:t xml:space="preserve"> than a stationary one</w:t>
      </w:r>
      <w:r w:rsidR="00CF4E3D">
        <w:rPr>
          <w:noProof/>
        </w:rPr>
        <w:t>.</w:t>
      </w:r>
    </w:p>
    <w:p w14:paraId="44A193DE" w14:textId="613A08DC" w:rsidR="0084279B" w:rsidRDefault="00446E46" w:rsidP="00E86F54">
      <w:pPr>
        <w:pStyle w:val="Heading1"/>
        <w:spacing w:before="0" w:line="240" w:lineRule="auto"/>
        <w:rPr>
          <w:noProof/>
        </w:rPr>
      </w:pPr>
      <w:r>
        <w:rPr>
          <w:noProof/>
        </w:rPr>
        <w:t>Conclusion:</w:t>
      </w:r>
    </w:p>
    <w:p w14:paraId="0A72BFD5" w14:textId="743EC7D6" w:rsidR="00A1365A" w:rsidRDefault="00D371B7" w:rsidP="00A1365A">
      <w:r>
        <w:t>From an implementation stand point against the traditional assets, the performance matched that in the cited papers. The MAPEs for the simulated AMD stock fell within one standard deviation of the MAPE calculated against the Australian stocks.</w:t>
      </w:r>
      <w:r w:rsidR="006A079A">
        <w:t xml:space="preserve"> The results didn’t conclude the same effective sample size when looking for the best performing in comparison to the paper from Uppsala University, but different stocks were chosen to measure this performance</w:t>
      </w:r>
      <w:r w:rsidR="004F2B6E">
        <w:t>, as well as performance metrics (MSE vs RMSE)</w:t>
      </w:r>
      <w:r w:rsidR="006A079A">
        <w:t>.</w:t>
      </w:r>
      <w:r w:rsidR="004F2B6E">
        <w:t xml:space="preserve"> Thus, the comparison against that paper isn’t one-to-one.</w:t>
      </w:r>
      <w:r w:rsidR="0051751C">
        <w:t xml:space="preserve"> </w:t>
      </w:r>
    </w:p>
    <w:p w14:paraId="27854472" w14:textId="125136AA" w:rsidR="0051751C" w:rsidRDefault="0051751C" w:rsidP="00A1365A">
      <w:r>
        <w:t xml:space="preserve">In regards to directional accuracy, </w:t>
      </w:r>
      <w:r w:rsidR="008C0719">
        <w:t>both papers concluded accuracies in the lower 50% range. The implementation conducted on AMD prices also resulted in the majority of training sizes to fall into in the same range. The only abnormality to note is that the model performed on Australian stocks had a max accuracy of 85%. This was significantly higher than results obtained by the Uppsala University, as well as the results from all financial assets in this paper too.</w:t>
      </w:r>
    </w:p>
    <w:p w14:paraId="363066B2" w14:textId="5BE4E2FE" w:rsidR="00EC09EE" w:rsidRPr="00A1365A" w:rsidRDefault="0051751C" w:rsidP="00A1365A">
      <w:r>
        <w:t xml:space="preserve">When moving to measure forecasting performance </w:t>
      </w:r>
      <w:r w:rsidR="00E60CC4">
        <w:t>on Bitcoin, the expected normalized RMSE performed slightly worse than AMD’s normalized RMSE, which is expected behavior due to the volatile nature of cryptocurrency.</w:t>
      </w:r>
      <w:r w:rsidR="00CF5556">
        <w:t xml:space="preserve"> However, the directional accuracy was surprisingly accurate</w:t>
      </w:r>
      <w:r w:rsidR="00D94975">
        <w:t>, with correct prediction in the upper 50% and lower 60%.</w:t>
      </w:r>
      <w:r w:rsidR="00DB72F8">
        <w:t xml:space="preserve"> This could potentially be explained by the left-skewed distribution of prices representing a bull market, which was observed when looking at the actual prices.</w:t>
      </w:r>
      <w:r w:rsidR="00D62063">
        <w:t xml:space="preserve"> I’d expect this accuracy to fall significantly considering current events.</w:t>
      </w:r>
    </w:p>
    <w:p w14:paraId="6F0DE6A3" w14:textId="6F361509" w:rsidR="00900ED6" w:rsidRDefault="0084279B" w:rsidP="00E86F54">
      <w:pPr>
        <w:pStyle w:val="Heading1"/>
        <w:spacing w:before="0" w:line="240" w:lineRule="auto"/>
        <w:rPr>
          <w:noProof/>
        </w:rPr>
      </w:pPr>
      <w:r>
        <w:rPr>
          <w:noProof/>
        </w:rPr>
        <w:lastRenderedPageBreak/>
        <w:t>Bibliography:</w:t>
      </w:r>
      <w:r w:rsidR="00BB226D" w:rsidRPr="00BB226D">
        <w:rPr>
          <w:noProof/>
        </w:rPr>
        <w:t xml:space="preserve"> </w:t>
      </w:r>
    </w:p>
    <w:p w14:paraId="4F3607F3" w14:textId="43815C14" w:rsidR="000C6E6A" w:rsidRPr="00EC1F3E" w:rsidRDefault="000C6E6A" w:rsidP="000C6E6A">
      <w:pPr>
        <w:pStyle w:val="NormalWeb"/>
        <w:numPr>
          <w:ilvl w:val="0"/>
          <w:numId w:val="2"/>
        </w:numPr>
        <w:rPr>
          <w:rFonts w:asciiTheme="minorHAnsi" w:eastAsiaTheme="minorHAnsi" w:hAnsiTheme="minorHAnsi" w:cstheme="minorBidi"/>
          <w:sz w:val="22"/>
          <w:szCs w:val="22"/>
        </w:rPr>
      </w:pPr>
      <w:r w:rsidRPr="00EC1F3E">
        <w:rPr>
          <w:rFonts w:asciiTheme="minorHAnsi" w:eastAsiaTheme="minorHAnsi" w:hAnsiTheme="minorHAnsi" w:cstheme="minorBidi"/>
          <w:sz w:val="22"/>
          <w:szCs w:val="22"/>
        </w:rPr>
        <w:t xml:space="preserve">Lidén, J. (2018, May 28). (thesis). Stock Price Predictions using a Geometric Brownian Motion. Uppsala University. Retrieved from https://uu.diva-portal.org/smash/get/diva2:1218088/FULLTEXT01.pdf </w:t>
      </w:r>
    </w:p>
    <w:p w14:paraId="0D97DFF6" w14:textId="39CC517F" w:rsidR="000C6E6A" w:rsidRPr="00A1365A" w:rsidRDefault="00D535E6" w:rsidP="00D535E6">
      <w:pPr>
        <w:pStyle w:val="ListParagraph"/>
        <w:numPr>
          <w:ilvl w:val="0"/>
          <w:numId w:val="2"/>
        </w:numPr>
      </w:pPr>
      <w:r>
        <w:t>Reddy, Krishna and Clinton, Vaughan, Simulating Stock Prices Using Geometric Brownian Motion: Evidence from Australian Companies, Australasian Accounting, Business and Finance Journal, 10(3), 2016, 23-47. doi:10.14453/aabfj.v10i3.3</w:t>
      </w:r>
    </w:p>
    <w:sectPr w:rsidR="000C6E6A" w:rsidRPr="00A1365A">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F69F" w14:textId="77777777" w:rsidR="00983A9F" w:rsidRDefault="00983A9F" w:rsidP="00B12669">
      <w:pPr>
        <w:spacing w:after="0" w:line="240" w:lineRule="auto"/>
      </w:pPr>
      <w:r>
        <w:separator/>
      </w:r>
    </w:p>
  </w:endnote>
  <w:endnote w:type="continuationSeparator" w:id="0">
    <w:p w14:paraId="24E84100" w14:textId="77777777" w:rsidR="00983A9F" w:rsidRDefault="00983A9F" w:rsidP="00B1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28291"/>
      <w:docPartObj>
        <w:docPartGallery w:val="Page Numbers (Bottom of Page)"/>
        <w:docPartUnique/>
      </w:docPartObj>
    </w:sdtPr>
    <w:sdtEndPr>
      <w:rPr>
        <w:noProof/>
      </w:rPr>
    </w:sdtEndPr>
    <w:sdtContent>
      <w:p w14:paraId="049F8FC0" w14:textId="3E8F6EE9" w:rsidR="00B12669" w:rsidRDefault="00B12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96DDD4" w14:textId="77777777" w:rsidR="00B12669" w:rsidRDefault="00B1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DCB1F" w14:textId="77777777" w:rsidR="00983A9F" w:rsidRDefault="00983A9F" w:rsidP="00B12669">
      <w:pPr>
        <w:spacing w:after="0" w:line="240" w:lineRule="auto"/>
      </w:pPr>
      <w:r>
        <w:separator/>
      </w:r>
    </w:p>
  </w:footnote>
  <w:footnote w:type="continuationSeparator" w:id="0">
    <w:p w14:paraId="4F72ABE0" w14:textId="77777777" w:rsidR="00983A9F" w:rsidRDefault="00983A9F" w:rsidP="00B12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546E"/>
    <w:multiLevelType w:val="hybridMultilevel"/>
    <w:tmpl w:val="8CE6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E729D"/>
    <w:multiLevelType w:val="hybridMultilevel"/>
    <w:tmpl w:val="05C6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3EF"/>
    <w:rsid w:val="00007E85"/>
    <w:rsid w:val="00010394"/>
    <w:rsid w:val="00010B03"/>
    <w:rsid w:val="000309CF"/>
    <w:rsid w:val="00037609"/>
    <w:rsid w:val="00043714"/>
    <w:rsid w:val="00045182"/>
    <w:rsid w:val="00055832"/>
    <w:rsid w:val="000561DA"/>
    <w:rsid w:val="0006261B"/>
    <w:rsid w:val="00073B77"/>
    <w:rsid w:val="000757AE"/>
    <w:rsid w:val="00084078"/>
    <w:rsid w:val="000867C3"/>
    <w:rsid w:val="00087429"/>
    <w:rsid w:val="00090CBE"/>
    <w:rsid w:val="000969C7"/>
    <w:rsid w:val="000A17C4"/>
    <w:rsid w:val="000A4414"/>
    <w:rsid w:val="000B03C9"/>
    <w:rsid w:val="000B7359"/>
    <w:rsid w:val="000C1EA8"/>
    <w:rsid w:val="000C5169"/>
    <w:rsid w:val="000C5CEB"/>
    <w:rsid w:val="000C6E6A"/>
    <w:rsid w:val="000C7B6B"/>
    <w:rsid w:val="000D5AD2"/>
    <w:rsid w:val="000E6C04"/>
    <w:rsid w:val="00100DF3"/>
    <w:rsid w:val="00106B5D"/>
    <w:rsid w:val="00114EBE"/>
    <w:rsid w:val="001179ED"/>
    <w:rsid w:val="001275FE"/>
    <w:rsid w:val="00130208"/>
    <w:rsid w:val="00131112"/>
    <w:rsid w:val="0013365F"/>
    <w:rsid w:val="00140922"/>
    <w:rsid w:val="00141C02"/>
    <w:rsid w:val="0014421F"/>
    <w:rsid w:val="00155E8F"/>
    <w:rsid w:val="00157E7C"/>
    <w:rsid w:val="00164666"/>
    <w:rsid w:val="0017497B"/>
    <w:rsid w:val="001757A5"/>
    <w:rsid w:val="001864B7"/>
    <w:rsid w:val="001870CA"/>
    <w:rsid w:val="00194AF8"/>
    <w:rsid w:val="001A1722"/>
    <w:rsid w:val="001A5373"/>
    <w:rsid w:val="001B5559"/>
    <w:rsid w:val="001C732D"/>
    <w:rsid w:val="001D6898"/>
    <w:rsid w:val="001D68EF"/>
    <w:rsid w:val="001F6F5C"/>
    <w:rsid w:val="00201388"/>
    <w:rsid w:val="002017D2"/>
    <w:rsid w:val="00204690"/>
    <w:rsid w:val="00206CE5"/>
    <w:rsid w:val="0021120A"/>
    <w:rsid w:val="002118E8"/>
    <w:rsid w:val="0021266B"/>
    <w:rsid w:val="00234901"/>
    <w:rsid w:val="00235BA3"/>
    <w:rsid w:val="0023609A"/>
    <w:rsid w:val="00244A21"/>
    <w:rsid w:val="00247C15"/>
    <w:rsid w:val="0025059E"/>
    <w:rsid w:val="00253F37"/>
    <w:rsid w:val="00262B09"/>
    <w:rsid w:val="00265259"/>
    <w:rsid w:val="0026654B"/>
    <w:rsid w:val="00283449"/>
    <w:rsid w:val="00284E77"/>
    <w:rsid w:val="002B2BDC"/>
    <w:rsid w:val="002B5871"/>
    <w:rsid w:val="002D25F7"/>
    <w:rsid w:val="002D5110"/>
    <w:rsid w:val="002D6335"/>
    <w:rsid w:val="002E7C23"/>
    <w:rsid w:val="002F78ED"/>
    <w:rsid w:val="00303818"/>
    <w:rsid w:val="003043EF"/>
    <w:rsid w:val="00312BBC"/>
    <w:rsid w:val="00314882"/>
    <w:rsid w:val="0032290B"/>
    <w:rsid w:val="00323B3A"/>
    <w:rsid w:val="003268D9"/>
    <w:rsid w:val="00332495"/>
    <w:rsid w:val="003405E2"/>
    <w:rsid w:val="00341AB3"/>
    <w:rsid w:val="003421C4"/>
    <w:rsid w:val="00342C72"/>
    <w:rsid w:val="0035261B"/>
    <w:rsid w:val="00353E5F"/>
    <w:rsid w:val="00364D7F"/>
    <w:rsid w:val="00373C4C"/>
    <w:rsid w:val="00377C3C"/>
    <w:rsid w:val="003830CA"/>
    <w:rsid w:val="00396469"/>
    <w:rsid w:val="003A4DE0"/>
    <w:rsid w:val="003B6F28"/>
    <w:rsid w:val="003B703D"/>
    <w:rsid w:val="003B72F2"/>
    <w:rsid w:val="003C35BD"/>
    <w:rsid w:val="003C6C66"/>
    <w:rsid w:val="003D4D53"/>
    <w:rsid w:val="003D60D9"/>
    <w:rsid w:val="003E504C"/>
    <w:rsid w:val="003E5C8E"/>
    <w:rsid w:val="003F7310"/>
    <w:rsid w:val="0040416D"/>
    <w:rsid w:val="0041110C"/>
    <w:rsid w:val="004116CF"/>
    <w:rsid w:val="004153A8"/>
    <w:rsid w:val="004266D8"/>
    <w:rsid w:val="00432DBF"/>
    <w:rsid w:val="00432DD4"/>
    <w:rsid w:val="00437C69"/>
    <w:rsid w:val="00441232"/>
    <w:rsid w:val="00442CDF"/>
    <w:rsid w:val="00443EAA"/>
    <w:rsid w:val="00446E46"/>
    <w:rsid w:val="00450C76"/>
    <w:rsid w:val="00455985"/>
    <w:rsid w:val="00460F89"/>
    <w:rsid w:val="00465FDF"/>
    <w:rsid w:val="004814A7"/>
    <w:rsid w:val="00484FF6"/>
    <w:rsid w:val="00485817"/>
    <w:rsid w:val="00492AAE"/>
    <w:rsid w:val="004943F0"/>
    <w:rsid w:val="004954DE"/>
    <w:rsid w:val="0049570F"/>
    <w:rsid w:val="00497061"/>
    <w:rsid w:val="004A1D24"/>
    <w:rsid w:val="004A3065"/>
    <w:rsid w:val="004A397A"/>
    <w:rsid w:val="004A67E2"/>
    <w:rsid w:val="004B059C"/>
    <w:rsid w:val="004B3ECD"/>
    <w:rsid w:val="004B453C"/>
    <w:rsid w:val="004C0FC2"/>
    <w:rsid w:val="004C1841"/>
    <w:rsid w:val="004C4CB4"/>
    <w:rsid w:val="004D2A8D"/>
    <w:rsid w:val="004D3844"/>
    <w:rsid w:val="004D7D55"/>
    <w:rsid w:val="004F05AD"/>
    <w:rsid w:val="004F2B6E"/>
    <w:rsid w:val="00503735"/>
    <w:rsid w:val="00504BD1"/>
    <w:rsid w:val="00507673"/>
    <w:rsid w:val="00513D61"/>
    <w:rsid w:val="0051751C"/>
    <w:rsid w:val="00527AEF"/>
    <w:rsid w:val="00535AEE"/>
    <w:rsid w:val="00535CCC"/>
    <w:rsid w:val="00546172"/>
    <w:rsid w:val="00547C92"/>
    <w:rsid w:val="005503C0"/>
    <w:rsid w:val="005648BA"/>
    <w:rsid w:val="00585528"/>
    <w:rsid w:val="00585832"/>
    <w:rsid w:val="00590342"/>
    <w:rsid w:val="005920E2"/>
    <w:rsid w:val="005A2701"/>
    <w:rsid w:val="005A270B"/>
    <w:rsid w:val="005A2FBC"/>
    <w:rsid w:val="005B4D6C"/>
    <w:rsid w:val="005B60DC"/>
    <w:rsid w:val="005B7048"/>
    <w:rsid w:val="005C2E17"/>
    <w:rsid w:val="005C73F7"/>
    <w:rsid w:val="005D2BC8"/>
    <w:rsid w:val="005D750B"/>
    <w:rsid w:val="005D7C5C"/>
    <w:rsid w:val="005E08F7"/>
    <w:rsid w:val="005E6240"/>
    <w:rsid w:val="005F3B30"/>
    <w:rsid w:val="005F3C2A"/>
    <w:rsid w:val="005F5776"/>
    <w:rsid w:val="005F6960"/>
    <w:rsid w:val="006022D1"/>
    <w:rsid w:val="006066A1"/>
    <w:rsid w:val="006113BF"/>
    <w:rsid w:val="006125A2"/>
    <w:rsid w:val="0061541B"/>
    <w:rsid w:val="00616249"/>
    <w:rsid w:val="006163BE"/>
    <w:rsid w:val="00632B0E"/>
    <w:rsid w:val="00636E7A"/>
    <w:rsid w:val="00637B05"/>
    <w:rsid w:val="006451E6"/>
    <w:rsid w:val="00651B94"/>
    <w:rsid w:val="00655542"/>
    <w:rsid w:val="00657987"/>
    <w:rsid w:val="00660114"/>
    <w:rsid w:val="006655C4"/>
    <w:rsid w:val="00674E3F"/>
    <w:rsid w:val="00684673"/>
    <w:rsid w:val="00693D81"/>
    <w:rsid w:val="00694CCF"/>
    <w:rsid w:val="006A01ED"/>
    <w:rsid w:val="006A079A"/>
    <w:rsid w:val="006A22C6"/>
    <w:rsid w:val="006B3808"/>
    <w:rsid w:val="006B3FB6"/>
    <w:rsid w:val="006B4AA8"/>
    <w:rsid w:val="006B6B49"/>
    <w:rsid w:val="006B7437"/>
    <w:rsid w:val="006C02BF"/>
    <w:rsid w:val="006C2440"/>
    <w:rsid w:val="006C4A78"/>
    <w:rsid w:val="006D1DB6"/>
    <w:rsid w:val="006D79E4"/>
    <w:rsid w:val="006E2564"/>
    <w:rsid w:val="006E5BAF"/>
    <w:rsid w:val="006F0046"/>
    <w:rsid w:val="006F58D9"/>
    <w:rsid w:val="006F5C69"/>
    <w:rsid w:val="006F5E58"/>
    <w:rsid w:val="0070483E"/>
    <w:rsid w:val="007053D9"/>
    <w:rsid w:val="00713120"/>
    <w:rsid w:val="00733EB5"/>
    <w:rsid w:val="00736090"/>
    <w:rsid w:val="007618E4"/>
    <w:rsid w:val="00764887"/>
    <w:rsid w:val="007670EC"/>
    <w:rsid w:val="007730D0"/>
    <w:rsid w:val="0079786B"/>
    <w:rsid w:val="007B09AA"/>
    <w:rsid w:val="007D1C78"/>
    <w:rsid w:val="007D2624"/>
    <w:rsid w:val="007D2EDF"/>
    <w:rsid w:val="007D47BA"/>
    <w:rsid w:val="007E6C7B"/>
    <w:rsid w:val="007F5D4D"/>
    <w:rsid w:val="007F6B81"/>
    <w:rsid w:val="007F6EAC"/>
    <w:rsid w:val="007F739A"/>
    <w:rsid w:val="00800B28"/>
    <w:rsid w:val="00803351"/>
    <w:rsid w:val="00803C7E"/>
    <w:rsid w:val="00810136"/>
    <w:rsid w:val="00811C74"/>
    <w:rsid w:val="0082408B"/>
    <w:rsid w:val="008247B6"/>
    <w:rsid w:val="0083582E"/>
    <w:rsid w:val="00835F80"/>
    <w:rsid w:val="0083634A"/>
    <w:rsid w:val="00840DB0"/>
    <w:rsid w:val="0084279B"/>
    <w:rsid w:val="0084457C"/>
    <w:rsid w:val="0084458A"/>
    <w:rsid w:val="00844DAC"/>
    <w:rsid w:val="00860498"/>
    <w:rsid w:val="00860BE1"/>
    <w:rsid w:val="00863210"/>
    <w:rsid w:val="00867579"/>
    <w:rsid w:val="00871BAC"/>
    <w:rsid w:val="00871C16"/>
    <w:rsid w:val="00877D63"/>
    <w:rsid w:val="008802AC"/>
    <w:rsid w:val="00885A21"/>
    <w:rsid w:val="00887181"/>
    <w:rsid w:val="00891B8C"/>
    <w:rsid w:val="008969B3"/>
    <w:rsid w:val="008A4FD6"/>
    <w:rsid w:val="008B3BB1"/>
    <w:rsid w:val="008B6923"/>
    <w:rsid w:val="008C0719"/>
    <w:rsid w:val="008C12EB"/>
    <w:rsid w:val="008C4F47"/>
    <w:rsid w:val="008C7EA8"/>
    <w:rsid w:val="008D22A4"/>
    <w:rsid w:val="008D6443"/>
    <w:rsid w:val="008D6BB1"/>
    <w:rsid w:val="008D7D8D"/>
    <w:rsid w:val="008E675B"/>
    <w:rsid w:val="008E7600"/>
    <w:rsid w:val="008F1B77"/>
    <w:rsid w:val="00900ED6"/>
    <w:rsid w:val="00914418"/>
    <w:rsid w:val="00914B13"/>
    <w:rsid w:val="00917415"/>
    <w:rsid w:val="00922804"/>
    <w:rsid w:val="009245CD"/>
    <w:rsid w:val="00924CF6"/>
    <w:rsid w:val="009263EF"/>
    <w:rsid w:val="00926C3B"/>
    <w:rsid w:val="00927063"/>
    <w:rsid w:val="00930BF5"/>
    <w:rsid w:val="00932002"/>
    <w:rsid w:val="00937073"/>
    <w:rsid w:val="00956127"/>
    <w:rsid w:val="009610CC"/>
    <w:rsid w:val="00966A83"/>
    <w:rsid w:val="0098134B"/>
    <w:rsid w:val="00983A9F"/>
    <w:rsid w:val="00984ACD"/>
    <w:rsid w:val="009924CE"/>
    <w:rsid w:val="009948AE"/>
    <w:rsid w:val="009950EE"/>
    <w:rsid w:val="009951D4"/>
    <w:rsid w:val="00996F23"/>
    <w:rsid w:val="009A51C6"/>
    <w:rsid w:val="009B65D1"/>
    <w:rsid w:val="009C41F9"/>
    <w:rsid w:val="009C5984"/>
    <w:rsid w:val="009D2C7E"/>
    <w:rsid w:val="009D7110"/>
    <w:rsid w:val="009E235D"/>
    <w:rsid w:val="009E5E31"/>
    <w:rsid w:val="009E6C24"/>
    <w:rsid w:val="009E7E8C"/>
    <w:rsid w:val="009F1369"/>
    <w:rsid w:val="009F1706"/>
    <w:rsid w:val="009F3ECB"/>
    <w:rsid w:val="009F50C9"/>
    <w:rsid w:val="009F57DE"/>
    <w:rsid w:val="00A0256D"/>
    <w:rsid w:val="00A0544F"/>
    <w:rsid w:val="00A06304"/>
    <w:rsid w:val="00A06FEB"/>
    <w:rsid w:val="00A1365A"/>
    <w:rsid w:val="00A24A7E"/>
    <w:rsid w:val="00A25070"/>
    <w:rsid w:val="00A3113F"/>
    <w:rsid w:val="00A40D14"/>
    <w:rsid w:val="00A570EF"/>
    <w:rsid w:val="00A63005"/>
    <w:rsid w:val="00A66C42"/>
    <w:rsid w:val="00A670D3"/>
    <w:rsid w:val="00A71EDD"/>
    <w:rsid w:val="00A72413"/>
    <w:rsid w:val="00A93B98"/>
    <w:rsid w:val="00A94426"/>
    <w:rsid w:val="00AC5D09"/>
    <w:rsid w:val="00AD3924"/>
    <w:rsid w:val="00AD653B"/>
    <w:rsid w:val="00AE0C39"/>
    <w:rsid w:val="00AE2A43"/>
    <w:rsid w:val="00AE2CC5"/>
    <w:rsid w:val="00AF5E5F"/>
    <w:rsid w:val="00B02F98"/>
    <w:rsid w:val="00B04518"/>
    <w:rsid w:val="00B103D1"/>
    <w:rsid w:val="00B12669"/>
    <w:rsid w:val="00B15042"/>
    <w:rsid w:val="00B15978"/>
    <w:rsid w:val="00B1613E"/>
    <w:rsid w:val="00B2626E"/>
    <w:rsid w:val="00B26B4B"/>
    <w:rsid w:val="00B35513"/>
    <w:rsid w:val="00B42B89"/>
    <w:rsid w:val="00B42FDF"/>
    <w:rsid w:val="00B63F5B"/>
    <w:rsid w:val="00B86740"/>
    <w:rsid w:val="00B86DAB"/>
    <w:rsid w:val="00B93E31"/>
    <w:rsid w:val="00B95895"/>
    <w:rsid w:val="00BA0A53"/>
    <w:rsid w:val="00BA342E"/>
    <w:rsid w:val="00BA517A"/>
    <w:rsid w:val="00BB03E4"/>
    <w:rsid w:val="00BB1B6A"/>
    <w:rsid w:val="00BB226D"/>
    <w:rsid w:val="00BB61AD"/>
    <w:rsid w:val="00BC1769"/>
    <w:rsid w:val="00BC3EDD"/>
    <w:rsid w:val="00BC46EE"/>
    <w:rsid w:val="00BC6B5B"/>
    <w:rsid w:val="00BD0518"/>
    <w:rsid w:val="00BD54EE"/>
    <w:rsid w:val="00BD7207"/>
    <w:rsid w:val="00BE0784"/>
    <w:rsid w:val="00BE1DC0"/>
    <w:rsid w:val="00BE4FFF"/>
    <w:rsid w:val="00BF42B7"/>
    <w:rsid w:val="00C018A0"/>
    <w:rsid w:val="00C27198"/>
    <w:rsid w:val="00C34A05"/>
    <w:rsid w:val="00C417AD"/>
    <w:rsid w:val="00C520B8"/>
    <w:rsid w:val="00C521D6"/>
    <w:rsid w:val="00C55BD1"/>
    <w:rsid w:val="00C6011F"/>
    <w:rsid w:val="00C6211E"/>
    <w:rsid w:val="00C6448B"/>
    <w:rsid w:val="00C645BF"/>
    <w:rsid w:val="00C726FB"/>
    <w:rsid w:val="00C81402"/>
    <w:rsid w:val="00C86B66"/>
    <w:rsid w:val="00C92CBB"/>
    <w:rsid w:val="00C94E1C"/>
    <w:rsid w:val="00C96D1E"/>
    <w:rsid w:val="00CA189E"/>
    <w:rsid w:val="00CA3EFA"/>
    <w:rsid w:val="00CB1185"/>
    <w:rsid w:val="00CB5D08"/>
    <w:rsid w:val="00CB5FD9"/>
    <w:rsid w:val="00CB6877"/>
    <w:rsid w:val="00CC0641"/>
    <w:rsid w:val="00CC0A73"/>
    <w:rsid w:val="00CC4D67"/>
    <w:rsid w:val="00CC7969"/>
    <w:rsid w:val="00CD4563"/>
    <w:rsid w:val="00CE01F3"/>
    <w:rsid w:val="00CE1EF5"/>
    <w:rsid w:val="00CE2F69"/>
    <w:rsid w:val="00CF4E3D"/>
    <w:rsid w:val="00CF5556"/>
    <w:rsid w:val="00D005CF"/>
    <w:rsid w:val="00D00FD3"/>
    <w:rsid w:val="00D02EC5"/>
    <w:rsid w:val="00D033F0"/>
    <w:rsid w:val="00D1198B"/>
    <w:rsid w:val="00D13CA3"/>
    <w:rsid w:val="00D2460F"/>
    <w:rsid w:val="00D31036"/>
    <w:rsid w:val="00D352EF"/>
    <w:rsid w:val="00D371B7"/>
    <w:rsid w:val="00D42411"/>
    <w:rsid w:val="00D428D2"/>
    <w:rsid w:val="00D45376"/>
    <w:rsid w:val="00D47E39"/>
    <w:rsid w:val="00D535E6"/>
    <w:rsid w:val="00D54387"/>
    <w:rsid w:val="00D578A7"/>
    <w:rsid w:val="00D62063"/>
    <w:rsid w:val="00D63122"/>
    <w:rsid w:val="00D64340"/>
    <w:rsid w:val="00D661D6"/>
    <w:rsid w:val="00D71646"/>
    <w:rsid w:val="00D72039"/>
    <w:rsid w:val="00D7356F"/>
    <w:rsid w:val="00D74000"/>
    <w:rsid w:val="00D86BC9"/>
    <w:rsid w:val="00D9246E"/>
    <w:rsid w:val="00D94975"/>
    <w:rsid w:val="00DB1FA9"/>
    <w:rsid w:val="00DB72F8"/>
    <w:rsid w:val="00DC57B7"/>
    <w:rsid w:val="00DC5C4E"/>
    <w:rsid w:val="00DC63CD"/>
    <w:rsid w:val="00DC7348"/>
    <w:rsid w:val="00DD3D80"/>
    <w:rsid w:val="00DD7802"/>
    <w:rsid w:val="00DE0EA6"/>
    <w:rsid w:val="00DE2B0D"/>
    <w:rsid w:val="00DE2B4E"/>
    <w:rsid w:val="00DE2BC3"/>
    <w:rsid w:val="00DF24D1"/>
    <w:rsid w:val="00DF5CDE"/>
    <w:rsid w:val="00DF6E5E"/>
    <w:rsid w:val="00E01243"/>
    <w:rsid w:val="00E0544C"/>
    <w:rsid w:val="00E127F9"/>
    <w:rsid w:val="00E200B7"/>
    <w:rsid w:val="00E20161"/>
    <w:rsid w:val="00E22AC0"/>
    <w:rsid w:val="00E31010"/>
    <w:rsid w:val="00E37A61"/>
    <w:rsid w:val="00E473EB"/>
    <w:rsid w:val="00E60A39"/>
    <w:rsid w:val="00E60CC4"/>
    <w:rsid w:val="00E61CDD"/>
    <w:rsid w:val="00E62706"/>
    <w:rsid w:val="00E835CF"/>
    <w:rsid w:val="00E86F54"/>
    <w:rsid w:val="00E90439"/>
    <w:rsid w:val="00E939C8"/>
    <w:rsid w:val="00E974AA"/>
    <w:rsid w:val="00EA7CEF"/>
    <w:rsid w:val="00EB3A87"/>
    <w:rsid w:val="00EC09EE"/>
    <w:rsid w:val="00EC1F3E"/>
    <w:rsid w:val="00EC25F1"/>
    <w:rsid w:val="00EC473D"/>
    <w:rsid w:val="00EE1BBD"/>
    <w:rsid w:val="00EE25AE"/>
    <w:rsid w:val="00EE6103"/>
    <w:rsid w:val="00EF0281"/>
    <w:rsid w:val="00EF2DBC"/>
    <w:rsid w:val="00F01427"/>
    <w:rsid w:val="00F01841"/>
    <w:rsid w:val="00F02ED5"/>
    <w:rsid w:val="00F11B9C"/>
    <w:rsid w:val="00F16162"/>
    <w:rsid w:val="00F178BF"/>
    <w:rsid w:val="00F2358A"/>
    <w:rsid w:val="00F33638"/>
    <w:rsid w:val="00F42F6D"/>
    <w:rsid w:val="00F56212"/>
    <w:rsid w:val="00F64C6C"/>
    <w:rsid w:val="00F667D3"/>
    <w:rsid w:val="00F72135"/>
    <w:rsid w:val="00F744FA"/>
    <w:rsid w:val="00F77353"/>
    <w:rsid w:val="00F82660"/>
    <w:rsid w:val="00F96276"/>
    <w:rsid w:val="00FA5A37"/>
    <w:rsid w:val="00FB7F1D"/>
    <w:rsid w:val="00FC5016"/>
    <w:rsid w:val="00FC5FA8"/>
    <w:rsid w:val="00FC607B"/>
    <w:rsid w:val="00FC7A37"/>
    <w:rsid w:val="00FD4CBE"/>
    <w:rsid w:val="00FF07BB"/>
    <w:rsid w:val="00FF182D"/>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docId w15:val="{39C91ED3-C3C2-4DB6-BAE3-C7588F46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3D80"/>
    <w:pPr>
      <w:ind w:left="720"/>
      <w:contextualSpacing/>
    </w:pPr>
  </w:style>
  <w:style w:type="character" w:customStyle="1" w:styleId="Heading3Char">
    <w:name w:val="Heading 3 Char"/>
    <w:basedOn w:val="DefaultParagraphFont"/>
    <w:link w:val="Heading3"/>
    <w:uiPriority w:val="9"/>
    <w:rsid w:val="001F6F5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32DD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69"/>
  </w:style>
  <w:style w:type="paragraph" w:styleId="Footer">
    <w:name w:val="footer"/>
    <w:basedOn w:val="Normal"/>
    <w:link w:val="FooterChar"/>
    <w:uiPriority w:val="99"/>
    <w:unhideWhenUsed/>
    <w:rsid w:val="00B1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69"/>
  </w:style>
  <w:style w:type="paragraph" w:styleId="NormalWeb">
    <w:name w:val="Normal (Web)"/>
    <w:basedOn w:val="Normal"/>
    <w:uiPriority w:val="99"/>
    <w:semiHidden/>
    <w:unhideWhenUsed/>
    <w:rsid w:val="000C6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2746">
      <w:bodyDiv w:val="1"/>
      <w:marLeft w:val="0"/>
      <w:marRight w:val="0"/>
      <w:marTop w:val="0"/>
      <w:marBottom w:val="0"/>
      <w:divBdr>
        <w:top w:val="none" w:sz="0" w:space="0" w:color="auto"/>
        <w:left w:val="none" w:sz="0" w:space="0" w:color="auto"/>
        <w:bottom w:val="none" w:sz="0" w:space="0" w:color="auto"/>
        <w:right w:val="none" w:sz="0" w:space="0" w:color="auto"/>
      </w:divBdr>
    </w:div>
    <w:div w:id="1029649512">
      <w:bodyDiv w:val="1"/>
      <w:marLeft w:val="0"/>
      <w:marRight w:val="0"/>
      <w:marTop w:val="0"/>
      <w:marBottom w:val="0"/>
      <w:divBdr>
        <w:top w:val="none" w:sz="0" w:space="0" w:color="auto"/>
        <w:left w:val="none" w:sz="0" w:space="0" w:color="auto"/>
        <w:bottom w:val="none" w:sz="0" w:space="0" w:color="auto"/>
        <w:right w:val="none" w:sz="0" w:space="0" w:color="auto"/>
      </w:divBdr>
    </w:div>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12</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305</cp:revision>
  <dcterms:created xsi:type="dcterms:W3CDTF">2021-08-09T02:31:00Z</dcterms:created>
  <dcterms:modified xsi:type="dcterms:W3CDTF">2021-08-22T20:18:00Z</dcterms:modified>
</cp:coreProperties>
</file>