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bookmarkStart w:id="0" w:name="_Hlk79970049"/>
      <w:bookmarkEnd w:id="0"/>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39DA6007"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w:t>
      </w:r>
      <w:r w:rsidR="002E7C23">
        <w:t xml:space="preserve"> geometric Brownian motion</w:t>
      </w:r>
      <w:r w:rsidR="00F42F6D">
        <w:t xml:space="preserve"> simulations</w:t>
      </w:r>
      <w:r w:rsidR="002E7C23">
        <w:t xml:space="preserve"> were generated</w:t>
      </w:r>
      <w:r w:rsidR="00F42F6D">
        <w:t xml:space="preserve">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23FB0FC7" w:rsidR="00265259" w:rsidRDefault="00EF2DBC" w:rsidP="00265259">
      <w:pPr>
        <w:jc w:val="center"/>
      </w:pPr>
      <w:r w:rsidRPr="00EF2DBC">
        <w:lastRenderedPageBreak/>
        <w:drawing>
          <wp:inline distT="0" distB="0" distL="0" distR="0" wp14:anchorId="7198FD69" wp14:editId="40F70442">
            <wp:extent cx="3342903" cy="176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3923" cy="1771942"/>
                    </a:xfrm>
                    <a:prstGeom prst="rect">
                      <a:avLst/>
                    </a:prstGeom>
                  </pic:spPr>
                </pic:pic>
              </a:graphicData>
            </a:graphic>
          </wp:inline>
        </w:drawing>
      </w:r>
    </w:p>
    <w:p w14:paraId="5D52A04B" w14:textId="6BE2AEF7" w:rsidR="00651B94" w:rsidRPr="00651B94" w:rsidRDefault="00BF42B7" w:rsidP="00651B94">
      <w:pPr>
        <w:rPr>
          <w:b/>
          <w:bCs/>
          <w:color w:val="FF0000"/>
        </w:rPr>
      </w:pPr>
      <w:r>
        <w:rPr>
          <w:b/>
          <w:bCs/>
          <w:color w:val="FF0000"/>
        </w:rPr>
        <w:t>Replaced</w:t>
      </w:r>
      <w:r w:rsidR="00651B94">
        <w:rPr>
          <w:b/>
          <w:bCs/>
          <w:color w:val="FF0000"/>
        </w:rPr>
        <w:t xml:space="preserve"> MSE </w:t>
      </w:r>
      <w:r>
        <w:rPr>
          <w:b/>
          <w:bCs/>
          <w:color w:val="FF0000"/>
        </w:rPr>
        <w:t>with</w:t>
      </w:r>
      <w:r w:rsidR="00651B94">
        <w:rPr>
          <w:b/>
          <w:bCs/>
          <w:color w:val="FF0000"/>
        </w:rPr>
        <w:t xml:space="preserve"> Normalized RMSE</w:t>
      </w:r>
      <w:r w:rsidR="006B3FB6">
        <w:rPr>
          <w:b/>
          <w:bCs/>
          <w:color w:val="FF0000"/>
        </w:rPr>
        <w:t xml:space="preserve"> since we want to compare estimation capabilities across assets with very different values.</w:t>
      </w:r>
    </w:p>
    <w:p w14:paraId="1D5CB92E" w14:textId="51125C1E" w:rsidR="00F82660" w:rsidRDefault="00055832" w:rsidP="00F82660">
      <w:r>
        <w:t xml:space="preserve">The expected </w:t>
      </w:r>
      <w:r w:rsidR="006F5E58">
        <w:t>R</w:t>
      </w:r>
      <w:r>
        <w:t>MSE</w:t>
      </w:r>
      <w:r w:rsidR="001C732D">
        <w:t xml:space="preserve"> and expected MAPE</w:t>
      </w:r>
      <w:r>
        <w:t xml:space="preserve"> </w:t>
      </w:r>
      <w:r w:rsidR="00010B03">
        <w:t>for the</w:t>
      </w:r>
      <w:r>
        <w:t xml:space="preserve"> </w:t>
      </w:r>
      <w:r w:rsidR="005648BA">
        <w:t>100</w:t>
      </w:r>
      <w:r w:rsidR="00010B03">
        <w:t>-day set</w:t>
      </w:r>
      <w:r>
        <w:t xml:space="preserve"> is the lowest amongst the training sets</w:t>
      </w:r>
      <w:r w:rsidR="003F7310">
        <w:t>.</w:t>
      </w:r>
      <w:r w:rsidR="0021120A">
        <w:t xml:space="preserve"> </w:t>
      </w:r>
      <w:r w:rsidR="003F7310">
        <w:t xml:space="preserve">This differs from the </w:t>
      </w:r>
      <w:r w:rsidR="00B15978">
        <w:t xml:space="preserve">findings in </w:t>
      </w:r>
      <w:r w:rsidR="00B15978" w:rsidRPr="00265259">
        <w:rPr>
          <w:b/>
          <w:bCs/>
          <w:color w:val="FF0000"/>
        </w:rPr>
        <w:t>[INSERT RESEARCH CITATION</w:t>
      </w:r>
      <w:r w:rsidR="00B15978" w:rsidRPr="003F7310">
        <w:t>]</w:t>
      </w:r>
      <w:r w:rsidR="003F7310" w:rsidRPr="003F7310">
        <w:t>, which concluded a 60-day training set to be the most accurate.</w:t>
      </w:r>
    </w:p>
    <w:p w14:paraId="7889D1C8" w14:textId="3FAE9FD3" w:rsidR="00924CF6" w:rsidRDefault="00924CF6" w:rsidP="00F82660">
      <w:r>
        <w:t>The expected RMSE of each training size are</w:t>
      </w:r>
      <w:r w:rsidR="00D47E39">
        <w:t xml:space="preserve"> all</w:t>
      </w:r>
      <w:r>
        <w:t xml:space="preserve"> very similar, so in order to determine if there even is a statistically significant difference between each training size</w:t>
      </w:r>
      <w:r w:rsidR="00D13CA3">
        <w:t>’s expected RMSE</w:t>
      </w:r>
      <w:r>
        <w:t>, a</w:t>
      </w:r>
      <w:r>
        <w:t xml:space="preserve"> two-tailed t-test</w:t>
      </w:r>
      <w:r>
        <w:t xml:space="preserve"> will be performed against each permutation:</w:t>
      </w:r>
    </w:p>
    <w:p w14:paraId="60812DAC" w14:textId="4243F1E4" w:rsidR="00924CF6" w:rsidRDefault="00924CF6" w:rsidP="00924CF6">
      <w:pPr>
        <w:jc w:val="center"/>
      </w:pPr>
      <w:r w:rsidRPr="00924CF6">
        <w:drawing>
          <wp:inline distT="0" distB="0" distL="0" distR="0" wp14:anchorId="43A39C16" wp14:editId="7DDA08BC">
            <wp:extent cx="4435434" cy="142066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971" cy="1423721"/>
                    </a:xfrm>
                    <a:prstGeom prst="rect">
                      <a:avLst/>
                    </a:prstGeom>
                  </pic:spPr>
                </pic:pic>
              </a:graphicData>
            </a:graphic>
          </wp:inline>
        </w:drawing>
      </w:r>
    </w:p>
    <w:p w14:paraId="4864D093" w14:textId="0AB80F9C" w:rsidR="00924CF6" w:rsidRPr="003F7310" w:rsidRDefault="00924CF6" w:rsidP="00F82660">
      <w:r>
        <w:t>The table above displays the calculate p-values of each tested permutation of training sizes.</w:t>
      </w:r>
      <w:r w:rsidR="004A67E2">
        <w:t xml:space="preserve"> With a critical value of 5%,</w:t>
      </w:r>
      <w:r>
        <w:t xml:space="preserve"> </w:t>
      </w:r>
      <w:r w:rsidR="004A67E2">
        <w:t>t</w:t>
      </w:r>
      <w:r>
        <w:t>his test</w:t>
      </w:r>
      <w:r>
        <w:t xml:space="preserve"> reveals that there’s actually no significant difference between the expected RMSE of the training sizes.</w:t>
      </w:r>
    </w:p>
    <w:p w14:paraId="3EF1F5C7" w14:textId="2C7E9E15"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ED1CC93" w14:textId="0F47F428" w:rsidR="00253F37" w:rsidRDefault="00253F37" w:rsidP="00253F37">
      <w:pPr>
        <w:pStyle w:val="Heading2"/>
      </w:pPr>
      <w:r>
        <w:lastRenderedPageBreak/>
        <w:t>Sample 30 Business Day Forecasts:</w:t>
      </w:r>
    </w:p>
    <w:p w14:paraId="2E433748" w14:textId="1125175D" w:rsidR="00253F37" w:rsidRDefault="00442CDF" w:rsidP="009F3ECB">
      <w:r>
        <w:rPr>
          <w:noProof/>
        </w:rPr>
        <w:drawing>
          <wp:inline distT="0" distB="0" distL="0" distR="0" wp14:anchorId="56FE0335" wp14:editId="229C1D4B">
            <wp:extent cx="2532927" cy="210193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204" cy="2116269"/>
                    </a:xfrm>
                    <a:prstGeom prst="rect">
                      <a:avLst/>
                    </a:prstGeom>
                  </pic:spPr>
                </pic:pic>
              </a:graphicData>
            </a:graphic>
          </wp:inline>
        </w:drawing>
      </w:r>
      <w:r w:rsidR="00A63005">
        <w:rPr>
          <w:noProof/>
        </w:rPr>
        <w:t xml:space="preserve"> </w:t>
      </w:r>
      <w:r w:rsidR="00A63005">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147" cy="2149547"/>
                    </a:xfrm>
                    <a:prstGeom prst="rect">
                      <a:avLst/>
                    </a:prstGeom>
                  </pic:spPr>
                </pic:pic>
              </a:graphicData>
            </a:graphic>
          </wp:inline>
        </w:drawing>
      </w:r>
    </w:p>
    <w:p w14:paraId="25160390" w14:textId="578B173C" w:rsidR="00803C7E" w:rsidRDefault="00803C7E" w:rsidP="00803C7E">
      <w:pPr>
        <w:pStyle w:val="Heading1"/>
      </w:pPr>
      <w:r>
        <w:t>S&amp;P500 ETF (SPY):</w:t>
      </w:r>
      <w:r w:rsidR="00803351">
        <w:t xml:space="preserve"> </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2"/>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177311F" w:rsidR="00341AB3" w:rsidRDefault="00437C69" w:rsidP="00535CCC">
      <w:pPr>
        <w:jc w:val="center"/>
      </w:pPr>
      <w:r w:rsidRPr="00437C69">
        <w:lastRenderedPageBreak/>
        <w:drawing>
          <wp:inline distT="0" distB="0" distL="0" distR="0" wp14:anchorId="54A41C72" wp14:editId="6EA180D1">
            <wp:extent cx="3319153" cy="17205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899" cy="1725593"/>
                    </a:xfrm>
                    <a:prstGeom prst="rect">
                      <a:avLst/>
                    </a:prstGeom>
                  </pic:spPr>
                </pic:pic>
              </a:graphicData>
            </a:graphic>
          </wp:inline>
        </w:drawing>
      </w:r>
    </w:p>
    <w:p w14:paraId="6772134C" w14:textId="1E48F600" w:rsidR="007F6B81" w:rsidRDefault="007F6B81" w:rsidP="00D02EC5">
      <w:pPr>
        <w:rPr>
          <w:noProof/>
        </w:rPr>
      </w:pPr>
      <w:r>
        <w:rPr>
          <w:noProof/>
        </w:rPr>
        <w:t>For the S&amp;P500 ETF, the training size that resulted in the lowest RMSE and MAPE is the 30-day training set. While the 60-day training set resulted in the best probability of correct price movement.</w:t>
      </w:r>
    </w:p>
    <w:p w14:paraId="70121ECF" w14:textId="02E2EF94" w:rsidR="00932002" w:rsidRDefault="00932002" w:rsidP="00D02EC5">
      <w:pPr>
        <w:rPr>
          <w:noProof/>
        </w:rPr>
      </w:pPr>
      <w:r>
        <w:rPr>
          <w:noProof/>
        </w:rPr>
        <w:t>Running the t-test on this set of training data, there is once again no significant difference between the RSME’s of the different training sizes</w:t>
      </w:r>
      <w:r w:rsidR="007618E4">
        <w:rPr>
          <w:noProof/>
        </w:rPr>
        <w:t>:</w:t>
      </w:r>
    </w:p>
    <w:p w14:paraId="570DBE0E" w14:textId="07F92518" w:rsidR="007618E4" w:rsidRDefault="007618E4" w:rsidP="007618E4">
      <w:pPr>
        <w:jc w:val="center"/>
        <w:rPr>
          <w:noProof/>
        </w:rPr>
      </w:pPr>
      <w:r w:rsidRPr="007618E4">
        <w:rPr>
          <w:noProof/>
        </w:rPr>
        <w:drawing>
          <wp:inline distT="0" distB="0" distL="0" distR="0" wp14:anchorId="7C10AE6E" wp14:editId="683FE749">
            <wp:extent cx="4138551" cy="129108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506" cy="1295127"/>
                    </a:xfrm>
                    <a:prstGeom prst="rect">
                      <a:avLst/>
                    </a:prstGeom>
                  </pic:spPr>
                </pic:pic>
              </a:graphicData>
            </a:graphic>
          </wp:inline>
        </w:drawing>
      </w:r>
    </w:p>
    <w:p w14:paraId="216226C1" w14:textId="4A90373F" w:rsidR="001D6898" w:rsidRDefault="001D6898" w:rsidP="00D02EC5">
      <w:pPr>
        <w:rPr>
          <w:noProof/>
        </w:rPr>
      </w:pPr>
      <w:r>
        <w:rPr>
          <w:noProof/>
        </w:rPr>
        <w:t>However, when looking at the normalized RMSE (nRSME), it’s approximately three times smaller than AMD’s nRMSE. This seems to be expected given that the ETFs by definition would have less variance than a single stock option since the variance is based on multiple stock options</w:t>
      </w:r>
      <w:r w:rsidR="006A01ED">
        <w:rPr>
          <w:noProof/>
        </w:rPr>
        <w:t>. The smaller variance would result in more predictable and consistent behavior to predict</w:t>
      </w:r>
      <w:r w:rsidR="00B2626E">
        <w:rPr>
          <w:noProof/>
        </w:rPr>
        <w:t xml:space="preserve">, especially since standard geometric brownian motion assumes a normal distribution. </w:t>
      </w:r>
    </w:p>
    <w:p w14:paraId="43E2E1B8" w14:textId="161D5932" w:rsidR="00840DB0" w:rsidRDefault="00840DB0" w:rsidP="00840DB0">
      <w:r>
        <w:t>W</w:t>
      </w:r>
      <w:r>
        <w:t xml:space="preserve">hen it comes to predicting the correct direction of the price change, </w:t>
      </w:r>
      <w:r>
        <w:t>the ETF</w:t>
      </w:r>
      <w:r>
        <w:t xml:space="preserve"> results in a training size of </w:t>
      </w:r>
      <w:r w:rsidR="000867C3">
        <w:t>6</w:t>
      </w:r>
      <w:r>
        <w:t>0 being the most accurate.</w:t>
      </w:r>
    </w:p>
    <w:p w14:paraId="6A826377" w14:textId="71FA4EA5" w:rsidR="00BD54EE" w:rsidRPr="00114EBE" w:rsidRDefault="00D02EC5" w:rsidP="00D02EC5">
      <w:pPr>
        <w:rPr>
          <w:strike/>
        </w:rPr>
      </w:pPr>
      <w:r>
        <w:rPr>
          <w:noProof/>
        </w:rPr>
        <w:t xml:space="preserve">When examining the initial returns distribution, it was noted that the </w:t>
      </w:r>
      <w:r w:rsidR="00DD7802">
        <w:rPr>
          <w:noProof/>
        </w:rPr>
        <w:t>distribution was bit skewed.</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1E023436" w:rsidR="00C34A05" w:rsidRDefault="005E6240" w:rsidP="00C34A05">
      <w:r>
        <w:rPr>
          <w:noProof/>
        </w:rPr>
        <w:drawing>
          <wp:inline distT="0" distB="0" distL="0" distR="0" wp14:anchorId="5599C87E" wp14:editId="07AD718E">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0334" cy="2105516"/>
                    </a:xfrm>
                    <a:prstGeom prst="rect">
                      <a:avLst/>
                    </a:prstGeom>
                  </pic:spPr>
                </pic:pic>
              </a:graphicData>
            </a:graphic>
          </wp:inline>
        </w:drawing>
      </w:r>
      <w:r w:rsidR="006022D1">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142" cy="2114525"/>
                    </a:xfrm>
                    <a:prstGeom prst="rect">
                      <a:avLst/>
                    </a:prstGeom>
                  </pic:spPr>
                </pic:pic>
              </a:graphicData>
            </a:graphic>
          </wp:inline>
        </w:drawing>
      </w:r>
      <w:r w:rsidR="006022D1" w:rsidRPr="006022D1">
        <w:rPr>
          <w:noProof/>
        </w:rPr>
        <w:t xml:space="preserve"> </w:t>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lastRenderedPageBreak/>
        <w:t>Multiple One Step Predictions:</w:t>
      </w:r>
    </w:p>
    <w:p w14:paraId="4AC60D12" w14:textId="620FBF61" w:rsidR="00C27198" w:rsidRDefault="00C27198" w:rsidP="00C27198">
      <w:r>
        <w:t xml:space="preserve">Training size of </w:t>
      </w:r>
      <w:r w:rsidR="00764887">
        <w:t>100</w:t>
      </w:r>
      <w:r w:rsidR="00660114">
        <w:t>-days</w:t>
      </w:r>
      <w:r>
        <w:t xml:space="preserve"> results in the best expected </w:t>
      </w:r>
      <w:r w:rsidR="00DE0EA6">
        <w:t>R</w:t>
      </w:r>
      <w:r>
        <w:t>MSE and</w:t>
      </w:r>
      <w:r w:rsidR="00DE0EA6">
        <w:t xml:space="preserve"> MAPE</w:t>
      </w:r>
      <w:r w:rsidR="005F6960">
        <w:t>.</w:t>
      </w:r>
      <w:r w:rsidR="00914418">
        <w:t xml:space="preserve"> However, the accuracy of P(Correct Direction) seems low across the board</w:t>
      </w:r>
      <w:r w:rsidR="000309CF">
        <w:t>, with the most accurate resulting from a 60-day training set with a</w:t>
      </w:r>
      <w:r w:rsidR="0013365F">
        <w:t>n</w:t>
      </w:r>
      <w:r w:rsidR="000309CF">
        <w:t xml:space="preserve"> experimental probability of 39%</w:t>
      </w:r>
      <w:r w:rsidR="00914418">
        <w:t>. This is possibly due</w:t>
      </w:r>
      <w:r w:rsidR="0013365F">
        <w:t xml:space="preserve"> a couple of issues:</w:t>
      </w:r>
      <w:r w:rsidR="00914418">
        <w:t xml:space="preserve"> </w:t>
      </w:r>
      <w:r w:rsidR="0013365F">
        <w:t>cryptocurrencies are more volatile than traditional financial assets, and the assumption of normality by the geometric Brownian motion seems to be incorrect based on the returns distribution.</w:t>
      </w:r>
    </w:p>
    <w:p w14:paraId="69C4C496" w14:textId="366A3803" w:rsidR="00C27198" w:rsidRDefault="00C27198" w:rsidP="00C27198">
      <w:pPr>
        <w:jc w:val="center"/>
      </w:pPr>
      <w:r>
        <w:t xml:space="preserve"> </w:t>
      </w:r>
      <w:r w:rsidR="003B72F2" w:rsidRPr="003B72F2">
        <w:drawing>
          <wp:inline distT="0" distB="0" distL="0" distR="0" wp14:anchorId="46F9C091" wp14:editId="6A696B9C">
            <wp:extent cx="3384468" cy="1789330"/>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6572" cy="1806303"/>
                    </a:xfrm>
                    <a:prstGeom prst="rect">
                      <a:avLst/>
                    </a:prstGeom>
                  </pic:spPr>
                </pic:pic>
              </a:graphicData>
            </a:graphic>
          </wp:inline>
        </w:drawing>
      </w:r>
    </w:p>
    <w:p w14:paraId="23F39C17" w14:textId="21244134" w:rsidR="00764887" w:rsidRDefault="00342C72" w:rsidP="00764887">
      <w:r>
        <w:t>As expected</w:t>
      </w:r>
      <w:r w:rsidR="003405E2">
        <w:t>,</w:t>
      </w:r>
      <w:r>
        <w:t xml:space="preserve"> when running the t-test against the expected RMSE of each permutation of training set size, there is no statistical significance between any of them.</w:t>
      </w:r>
    </w:p>
    <w:p w14:paraId="11DC255D" w14:textId="64588F84" w:rsidR="00764887" w:rsidRDefault="00764887" w:rsidP="00C27198">
      <w:pPr>
        <w:jc w:val="center"/>
      </w:pPr>
      <w:r w:rsidRPr="00764887">
        <w:drawing>
          <wp:inline distT="0" distB="0" distL="0" distR="0" wp14:anchorId="0E34EA04" wp14:editId="73AFB2C5">
            <wp:extent cx="4512623" cy="14511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3561" cy="1454692"/>
                    </a:xfrm>
                    <a:prstGeom prst="rect">
                      <a:avLst/>
                    </a:prstGeom>
                  </pic:spPr>
                </pic:pic>
              </a:graphicData>
            </a:graphic>
          </wp:inline>
        </w:drawing>
      </w:r>
    </w:p>
    <w:p w14:paraId="348698C4" w14:textId="19FE804C" w:rsidR="003405E2" w:rsidRDefault="003405E2" w:rsidP="003405E2">
      <w:r>
        <w:t xml:space="preserve">Looking at the </w:t>
      </w:r>
      <w:r w:rsidR="00A3113F">
        <w:t xml:space="preserve">expected </w:t>
      </w:r>
      <w:proofErr w:type="spellStart"/>
      <w:r>
        <w:t>nRMSE</w:t>
      </w:r>
      <w:proofErr w:type="spellEnd"/>
      <w:r>
        <w:t xml:space="preserve"> </w:t>
      </w:r>
      <w:r w:rsidR="00F56212">
        <w:t>also show</w:t>
      </w:r>
      <w:r w:rsidR="00157E7C">
        <w:t>s</w:t>
      </w:r>
      <w:r w:rsidR="00F56212">
        <w:t xml:space="preserve"> expected results given the</w:t>
      </w:r>
      <w:r w:rsidR="00DB1FA9">
        <w:t xml:space="preserve"> volatile</w:t>
      </w:r>
      <w:r w:rsidR="00F56212">
        <w:t xml:space="preserve"> nature of cryptocurrenc</w:t>
      </w:r>
      <w:r w:rsidR="008802AC">
        <w:t>ies</w:t>
      </w:r>
      <w:r w:rsidR="00F56212">
        <w:t xml:space="preserve">. </w:t>
      </w:r>
      <w:r w:rsidR="00A3113F">
        <w:t xml:space="preserve">The expected </w:t>
      </w:r>
      <w:proofErr w:type="spellStart"/>
      <w:r w:rsidR="002F78ED">
        <w:t>nRMSE</w:t>
      </w:r>
      <w:proofErr w:type="spellEnd"/>
      <w:r w:rsidR="002F78ED">
        <w:t xml:space="preserve"> are higher than that of AMD’s, and six times higher than that of the S&amp;P500’s </w:t>
      </w:r>
      <w:proofErr w:type="spellStart"/>
      <w:r w:rsidR="002F78ED">
        <w:t>nRMSE</w:t>
      </w:r>
      <w:proofErr w:type="spellEnd"/>
      <w:r w:rsidR="002F78ED">
        <w:t>.</w:t>
      </w:r>
      <w:r w:rsidR="00DB1FA9">
        <w:t xml:space="preserve"> </w:t>
      </w:r>
      <w:r w:rsidR="00FC5016">
        <w:t xml:space="preserve">This means that the </w:t>
      </w:r>
      <w:r w:rsidR="00F667D3">
        <w:t>forecasting capabilities of standard geometric Brownian motion isn’t as accurate in comparison to its applications to traditional assets</w:t>
      </w:r>
      <w:r w:rsidR="006B7437">
        <w:t xml:space="preserve"> where a normal distribution </w:t>
      </w:r>
      <w:r w:rsidR="004A1D24">
        <w:t xml:space="preserve">assumption </w:t>
      </w:r>
      <w:r w:rsidR="006B7437">
        <w:t>is more acceptable.</w:t>
      </w:r>
    </w:p>
    <w:p w14:paraId="19F431DD" w14:textId="209935C9" w:rsidR="0084458A" w:rsidRDefault="0084458A" w:rsidP="0084458A">
      <w:pPr>
        <w:rPr>
          <w:strike/>
        </w:rPr>
      </w:pPr>
      <w:r w:rsidRPr="00247C15">
        <w:rPr>
          <w:strike/>
        </w:rPr>
        <w:t>KDE results in better expected MAPE, and noticeably better P(Correct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lastRenderedPageBreak/>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4AE89564" w:rsidR="00900ED6" w:rsidRDefault="008B3BB1" w:rsidP="00900ED6">
      <w:pPr>
        <w:jc w:val="center"/>
      </w:pPr>
      <w:r>
        <w:rPr>
          <w:noProof/>
        </w:rPr>
        <w:drawing>
          <wp:inline distT="0" distB="0" distL="0" distR="0" wp14:anchorId="71A0EE4B" wp14:editId="2D82B9C6">
            <wp:extent cx="2905508" cy="226224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0602" cy="2289574"/>
                    </a:xfrm>
                    <a:prstGeom prst="rect">
                      <a:avLst/>
                    </a:prstGeom>
                  </pic:spPr>
                </pic:pic>
              </a:graphicData>
            </a:graphic>
          </wp:inline>
        </w:drawing>
      </w:r>
      <w:r w:rsidR="00BB226D" w:rsidRPr="00BB226D">
        <w:rPr>
          <w:noProof/>
        </w:rPr>
        <w:t xml:space="preserve"> </w:t>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309CF"/>
    <w:rsid w:val="00045182"/>
    <w:rsid w:val="00055832"/>
    <w:rsid w:val="00073B77"/>
    <w:rsid w:val="000867C3"/>
    <w:rsid w:val="000B7359"/>
    <w:rsid w:val="00100DF3"/>
    <w:rsid w:val="00114EBE"/>
    <w:rsid w:val="001179ED"/>
    <w:rsid w:val="0013365F"/>
    <w:rsid w:val="00157E7C"/>
    <w:rsid w:val="001A1722"/>
    <w:rsid w:val="001C732D"/>
    <w:rsid w:val="001D6898"/>
    <w:rsid w:val="0021120A"/>
    <w:rsid w:val="0021266B"/>
    <w:rsid w:val="00244A21"/>
    <w:rsid w:val="00247C15"/>
    <w:rsid w:val="00253F37"/>
    <w:rsid w:val="00265259"/>
    <w:rsid w:val="002D25F7"/>
    <w:rsid w:val="002E7C23"/>
    <w:rsid w:val="002F78ED"/>
    <w:rsid w:val="00303818"/>
    <w:rsid w:val="003268D9"/>
    <w:rsid w:val="003405E2"/>
    <w:rsid w:val="00341AB3"/>
    <w:rsid w:val="00342C72"/>
    <w:rsid w:val="00353E5F"/>
    <w:rsid w:val="00377C3C"/>
    <w:rsid w:val="003B703D"/>
    <w:rsid w:val="003B72F2"/>
    <w:rsid w:val="003C6C66"/>
    <w:rsid w:val="003E504C"/>
    <w:rsid w:val="003F7310"/>
    <w:rsid w:val="004116CF"/>
    <w:rsid w:val="004153A8"/>
    <w:rsid w:val="00437C69"/>
    <w:rsid w:val="00442CDF"/>
    <w:rsid w:val="00460F89"/>
    <w:rsid w:val="00465FDF"/>
    <w:rsid w:val="00485817"/>
    <w:rsid w:val="004943F0"/>
    <w:rsid w:val="0049570F"/>
    <w:rsid w:val="004A1D24"/>
    <w:rsid w:val="004A67E2"/>
    <w:rsid w:val="004C1841"/>
    <w:rsid w:val="004C4CB4"/>
    <w:rsid w:val="00504BD1"/>
    <w:rsid w:val="00507673"/>
    <w:rsid w:val="00527AEF"/>
    <w:rsid w:val="00535CCC"/>
    <w:rsid w:val="00546172"/>
    <w:rsid w:val="005648BA"/>
    <w:rsid w:val="00585528"/>
    <w:rsid w:val="00590342"/>
    <w:rsid w:val="005C2E17"/>
    <w:rsid w:val="005E08F7"/>
    <w:rsid w:val="005E6240"/>
    <w:rsid w:val="005F3C2A"/>
    <w:rsid w:val="005F6960"/>
    <w:rsid w:val="006022D1"/>
    <w:rsid w:val="0061541B"/>
    <w:rsid w:val="00636E7A"/>
    <w:rsid w:val="00651B94"/>
    <w:rsid w:val="00655542"/>
    <w:rsid w:val="00660114"/>
    <w:rsid w:val="006655C4"/>
    <w:rsid w:val="00674E3F"/>
    <w:rsid w:val="006A01ED"/>
    <w:rsid w:val="006B3808"/>
    <w:rsid w:val="006B3FB6"/>
    <w:rsid w:val="006B7437"/>
    <w:rsid w:val="006D79E4"/>
    <w:rsid w:val="006F58D9"/>
    <w:rsid w:val="006F5E58"/>
    <w:rsid w:val="007053D9"/>
    <w:rsid w:val="00733EB5"/>
    <w:rsid w:val="007618E4"/>
    <w:rsid w:val="00764887"/>
    <w:rsid w:val="007D47BA"/>
    <w:rsid w:val="007F5D4D"/>
    <w:rsid w:val="007F6B81"/>
    <w:rsid w:val="00803351"/>
    <w:rsid w:val="00803C7E"/>
    <w:rsid w:val="00810136"/>
    <w:rsid w:val="00811C74"/>
    <w:rsid w:val="0082408B"/>
    <w:rsid w:val="00840DB0"/>
    <w:rsid w:val="0084458A"/>
    <w:rsid w:val="00844DAC"/>
    <w:rsid w:val="00863210"/>
    <w:rsid w:val="008802AC"/>
    <w:rsid w:val="00891B8C"/>
    <w:rsid w:val="008B3BB1"/>
    <w:rsid w:val="008B6923"/>
    <w:rsid w:val="008D7D8D"/>
    <w:rsid w:val="008E675B"/>
    <w:rsid w:val="00900ED6"/>
    <w:rsid w:val="00914418"/>
    <w:rsid w:val="00914B13"/>
    <w:rsid w:val="00922804"/>
    <w:rsid w:val="00924CF6"/>
    <w:rsid w:val="009263EF"/>
    <w:rsid w:val="00927063"/>
    <w:rsid w:val="00932002"/>
    <w:rsid w:val="009610CC"/>
    <w:rsid w:val="009C41F9"/>
    <w:rsid w:val="009D7110"/>
    <w:rsid w:val="009E5E31"/>
    <w:rsid w:val="009E6C24"/>
    <w:rsid w:val="009F3ECB"/>
    <w:rsid w:val="009F57DE"/>
    <w:rsid w:val="00A06304"/>
    <w:rsid w:val="00A06FEB"/>
    <w:rsid w:val="00A3113F"/>
    <w:rsid w:val="00A40D14"/>
    <w:rsid w:val="00A63005"/>
    <w:rsid w:val="00A66C42"/>
    <w:rsid w:val="00A94426"/>
    <w:rsid w:val="00AC5D09"/>
    <w:rsid w:val="00B02F98"/>
    <w:rsid w:val="00B04518"/>
    <w:rsid w:val="00B103D1"/>
    <w:rsid w:val="00B15978"/>
    <w:rsid w:val="00B2626E"/>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05CF"/>
    <w:rsid w:val="00D02EC5"/>
    <w:rsid w:val="00D13CA3"/>
    <w:rsid w:val="00D352EF"/>
    <w:rsid w:val="00D42411"/>
    <w:rsid w:val="00D47E39"/>
    <w:rsid w:val="00D661D6"/>
    <w:rsid w:val="00D7356F"/>
    <w:rsid w:val="00D86BC9"/>
    <w:rsid w:val="00DB1FA9"/>
    <w:rsid w:val="00DD7802"/>
    <w:rsid w:val="00DE0EA6"/>
    <w:rsid w:val="00E127F9"/>
    <w:rsid w:val="00E473EB"/>
    <w:rsid w:val="00E60A39"/>
    <w:rsid w:val="00E835CF"/>
    <w:rsid w:val="00EA7CEF"/>
    <w:rsid w:val="00EC25F1"/>
    <w:rsid w:val="00EF2DBC"/>
    <w:rsid w:val="00F01427"/>
    <w:rsid w:val="00F01841"/>
    <w:rsid w:val="00F42F6D"/>
    <w:rsid w:val="00F56212"/>
    <w:rsid w:val="00F667D3"/>
    <w:rsid w:val="00F77353"/>
    <w:rsid w:val="00F82660"/>
    <w:rsid w:val="00F96276"/>
    <w:rsid w:val="00FA5A37"/>
    <w:rsid w:val="00FB7F1D"/>
    <w:rsid w:val="00FC5016"/>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7</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264</cp:revision>
  <dcterms:created xsi:type="dcterms:W3CDTF">2021-08-09T02:31:00Z</dcterms:created>
  <dcterms:modified xsi:type="dcterms:W3CDTF">2021-08-16T05:48:00Z</dcterms:modified>
</cp:coreProperties>
</file>