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 Site A</w:t>
      </w:r>
    </w:p>
    <w:p>
      <w:r>
        <w:t>The cost of the new system was the first thing people raised. Several staff said the budget had been agreed before anyone asked what the work actually involved, and the price kept moving.</w:t>
      </w:r>
    </w:p>
    <w:p>
      <w:r>
        <w:t>Training was thin. Two afternoons, and then you were expected to know it. The people who had used something similar before coped; everyone else learned from colleagues.</w:t>
      </w:r>
    </w:p>
    <w:p>
      <w:r>
        <w:t>On balance the team felt the change was worth it, but they were clear that the timeline had been unrealistic and the workload during the transition was not acknowledged.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