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— Site B</w:t>
      </w:r>
    </w:p>
    <w:p>
      <w:r>
        <w:t>Staff here were more positive about training. There was a proper programme, with follow-up sessions, and people said that made the difference to how confident they felt.</w:t>
      </w:r>
    </w:p>
    <w:p>
      <w:r>
        <w:t>Cost came up again, though framed differently: not the price itself but the lack of transparency about what the budget covered.</w:t>
      </w:r>
    </w:p>
    <w:p>
      <w:r>
        <w:t>Workload during the transition was the dominant complaint. Several people described working evenings for a month with no recognition.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