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Interview — Site C</w:t>
      </w:r>
    </w:p>
    <w:p>
      <w:r>
        <w:t>This site had the smoothest experience. Training was run by someone from their own team, which staff repeatedly said mattered more than the content of the training itself.</w:t>
      </w:r>
    </w:p>
    <w:p>
      <w:r>
        <w:t>There was little discussion of cost. When asked directly, most people said they had no visibility of the budget and did not consider it their concern.</w:t>
      </w:r>
    </w:p>
    <w:p>
      <w:r>
        <w:t>Workload was manageable because the timeline was extended twice. Staff contrasted this with what they had heard from other sites.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