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Operations Review</w:t>
      </w:r>
    </w:p>
    <w:p>
      <w:r>
        <w:t>This document is a sample. It uses Word's built-in heading styles and nothing else, which is exactly the kind of plain document the Format Report tool is built to brand.</w:t>
      </w:r>
    </w:p>
    <w:p>
      <w:pPr>
        <w:pStyle w:val="Heading1"/>
      </w:pPr>
      <w:r>
        <w:t>Summary</w:t>
      </w:r>
    </w:p>
    <w:p>
      <w:r>
        <w:t>Delivery held steady through the quarter. Volumes rose in the North and East regions while the South was flat, and no service level was missed.</w:t>
      </w:r>
    </w:p>
    <w:p>
      <w:pPr>
        <w:pStyle w:val="Heading1"/>
      </w:pPr>
      <w:r>
        <w:t>Performance</w:t>
      </w:r>
    </w:p>
    <w:p>
      <w:pPr>
        <w:pStyle w:val="Heading2"/>
      </w:pPr>
      <w:r>
        <w:t>Volumes</w:t>
      </w:r>
    </w:p>
    <w:p>
      <w:r>
        <w:t>Total processed volume was 12,480 units against a forecast of 11,900. The variance sat almost entirely in the North region.</w:t>
      </w:r>
    </w:p>
    <w:p>
      <w:pPr>
        <w:pStyle w:val="Heading2"/>
      </w:pPr>
      <w:r>
        <w:t>Turnaround</w:t>
      </w:r>
    </w:p>
    <w:p>
      <w:r>
        <w:t>Median turnaround was 2.4 days, unchanged on the previous quarter. The slowest decile improved from 9 days to 7.</w:t>
      </w:r>
    </w:p>
    <w:p>
      <w:pPr>
        <w:pStyle w:val="Heading1"/>
      </w:pPr>
      <w:r>
        <w:t>Risks</w:t>
      </w:r>
    </w:p>
    <w:p>
      <w:pPr>
        <w:pStyle w:val="ListBullet"/>
      </w:pPr>
      <w:r>
        <w:t>Supplier concentration in the East remains above the agreed threshold.</w:t>
      </w:r>
    </w:p>
    <w:p>
      <w:pPr>
        <w:pStyle w:val="ListBullet"/>
      </w:pPr>
      <w:r>
        <w:t>Two of the four regional leads are on fixed-term contracts expiring in March.</w:t>
      </w:r>
    </w:p>
    <w:p>
      <w:pPr>
        <w:pStyle w:val="ListBullet"/>
      </w:pPr>
      <w:r>
        <w:t>The manual reconciliation step is a single point of failure.</w:t>
      </w:r>
    </w:p>
    <w:p>
      <w:pPr>
        <w:pStyle w:val="Heading1"/>
      </w:pPr>
      <w:r>
        <w:t>Next quarter</w:t>
      </w:r>
    </w:p>
    <w:p>
      <w:r>
        <w:t>Priorities are to onboard a second supplier in the East, convert the two fixed-term leads to permanent contracts, and automate the reconciliation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