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jc w:val="both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i1z7qzrbsr5i" w:id="0"/>
      <w:bookmarkEnd w:id="0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OTP Generator Test Cases for EBL SKY BANKING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Valid OTP Entry: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Test if the system correctly accepts a valid OTP received on the mobile device.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OTP Expiry Verification: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Verify whether the system rejects an OTP that has expired.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Handling Invalid OTPs: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Test the system's response when an invalid OTP is entered on the mobile device.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Resending OTP: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Check the functionality for requesting a new OTP on the mobile device.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Maximum OTP Retries: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Test system behavior after multiple incorrect OTP entries on the mobile device.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OTP Length Validation: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Verify if the system correctly handles OTPs of varying lengths received on the mobile device.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Duplicate OTP Rejection: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Ensure that the system rejects previously used OTPs received on the mobile device.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Delay in OTP Delivery: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Check the system's response time for delivering OTPs to the mobile device.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Network Interruption Handling during OTP Entry: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Test system behavior when the network connection is interrupted during OTP entry on the mobile device.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 OTP Generation Speed: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="36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Evaluate the time taken for the OTP to be generated and received on the mobile device.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  11.</w:t>
      </w:r>
      <w:r w:rsidDel="00000000" w:rsidR="00000000" w:rsidRPr="00000000">
        <w:rPr>
          <w:b w:val="1"/>
          <w:color w:val="434343"/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Special Characters in OTPs: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Verify how EBL Sky Banking handles OTPs with special characters.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12.  Simultaneous OTP Requests Handling: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T</w:t>
      </w:r>
      <w:r w:rsidDel="00000000" w:rsidR="00000000" w:rsidRPr="00000000">
        <w:rPr>
          <w:color w:val="434343"/>
          <w:rtl w:val="0"/>
        </w:rPr>
        <w:t xml:space="preserve">est how EBL Sky Banking manages multiple OTP requests sent simultaneously.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</w:t>
      </w:r>
      <w:r w:rsidDel="00000000" w:rsidR="00000000" w:rsidRPr="00000000">
        <w:rPr>
          <w:b w:val="1"/>
          <w:color w:val="434343"/>
          <w:rtl w:val="0"/>
        </w:rPr>
        <w:t xml:space="preserve">13.  Handling Empty/Null OTP Entry: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Check the system's response when an empty OTP is received from EBL Sky Banking.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</w:t>
      </w:r>
      <w:r w:rsidDel="00000000" w:rsidR="00000000" w:rsidRPr="00000000">
        <w:rPr>
          <w:b w:val="1"/>
          <w:color w:val="434343"/>
          <w:rtl w:val="0"/>
        </w:rPr>
        <w:t xml:space="preserve">  14.  Rate Limiting on OTP Delivery: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Verify if EBL Sky Banking implements rate limiting for OTP delivery.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  15.  Security of OTP Display: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1440" w:hanging="36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Ensure that the OTP sent by EBL Sky Banking is not displayed in plain text and is securely transmitted.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