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mallCaps w:val="0"/>
          <w:sz w:val="28"/>
          <w:szCs w:val="28"/>
          <w:rtl w:val="0"/>
        </w:rPr>
        <w:t xml:space="preserve">Relatório do Experimento 2</w:t>
      </w:r>
    </w:p>
    <w:p w:rsidR="00000000" w:rsidDel="00000000" w:rsidP="00000000" w:rsidRDefault="00000000" w:rsidRPr="00000000">
      <w:pPr>
        <w:contextualSpacing w:val="0"/>
        <w:jc w:val="center"/>
      </w:pPr>
      <w:r w:rsidDel="00000000" w:rsidR="00000000" w:rsidRPr="00000000">
        <w:rPr>
          <w:b w:val="1"/>
          <w:smallCaps w:val="0"/>
          <w:sz w:val="24"/>
          <w:szCs w:val="24"/>
          <w:rtl w:val="0"/>
        </w:rPr>
        <w:t xml:space="preserve">28/08/2015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mallCaps w:val="0"/>
          <w:rtl w:val="0"/>
        </w:rPr>
        <w:t xml:space="preserve">Turma F - Grupo 8</w:t>
      </w:r>
    </w:p>
    <w:p w:rsidR="00000000" w:rsidDel="00000000" w:rsidP="00000000" w:rsidRDefault="00000000" w:rsidRPr="00000000">
      <w:pPr>
        <w:contextualSpacing w:val="0"/>
        <w:jc w:val="center"/>
      </w:pPr>
      <w:r w:rsidDel="00000000" w:rsidR="00000000" w:rsidRPr="00000000">
        <w:rPr>
          <w:rtl w:val="0"/>
        </w:rPr>
        <w:t xml:space="preserve">Akane Makendê Santos - 12/0024993</w:t>
      </w:r>
    </w:p>
    <w:p w:rsidR="00000000" w:rsidDel="00000000" w:rsidP="00000000" w:rsidRDefault="00000000" w:rsidRPr="00000000">
      <w:pPr>
        <w:contextualSpacing w:val="0"/>
        <w:jc w:val="center"/>
      </w:pPr>
      <w:r w:rsidDel="00000000" w:rsidR="00000000" w:rsidRPr="00000000">
        <w:rPr>
          <w:smallCaps w:val="0"/>
          <w:rtl w:val="0"/>
        </w:rPr>
        <w:t xml:space="preserve">Cristiano Alves da Silva Júnior - 13/0070629</w:t>
      </w:r>
    </w:p>
    <w:p w:rsidR="00000000" w:rsidDel="00000000" w:rsidP="00000000" w:rsidRDefault="00000000" w:rsidRPr="00000000">
      <w:pPr>
        <w:contextualSpacing w:val="0"/>
        <w:jc w:val="center"/>
      </w:pPr>
      <w:r w:rsidDel="00000000" w:rsidR="00000000" w:rsidRPr="00000000">
        <w:rPr>
          <w:rtl w:val="0"/>
        </w:rPr>
        <w:t xml:space="preserve">Otávio Almeida Gomes Pereira - 13/0015983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4"/>
          <w:szCs w:val="24"/>
          <w:rtl w:val="0"/>
        </w:rPr>
        <w:t xml:space="preserve">Introdução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Neste experimento, estudamos o conceito de resistência elétrica; como ele se aplica a diversos materiais; e a lei que o rege seu comportamento para um tipo específico de material, a chamada de lei de Ohm.</w:t>
      </w:r>
    </w:p>
    <w:p w:rsidR="00000000" w:rsidDel="00000000" w:rsidP="00000000" w:rsidRDefault="00000000" w:rsidRPr="00000000">
      <w:pPr>
        <w:contextualSpacing w:val="0"/>
        <w:jc w:val="both"/>
      </w:pPr>
      <w:r w:rsidDel="00000000" w:rsidR="00000000" w:rsidRPr="00000000">
        <w:rPr>
          <w:smallCaps w:val="0"/>
          <w:rtl w:val="0"/>
        </w:rPr>
        <w:tab/>
        <w:t xml:space="preserve">Na física e na engenharia, podemos modelar a maior parte dos materiais de tal forma que eles possuam o comportamento de resistir ao fluxo de carga elétrica. À esta propriedade física denominamos o nome resistência elétrica, e ela é comumente usada com a lei de Ohm:</w:t>
      </w:r>
    </w:p>
    <w:p w:rsidR="00000000" w:rsidDel="00000000" w:rsidP="00000000" w:rsidRDefault="00000000" w:rsidRPr="00000000">
      <w:pPr>
        <w:contextualSpacing w:val="0"/>
        <w:jc w:val="center"/>
      </w:pPr>
      <w:r w:rsidDel="00000000" w:rsidR="00000000" w:rsidRPr="00000000">
        <w:drawing>
          <wp:inline distB="0" distT="0" distL="0" distR="0">
            <wp:extent cx="466560" cy="31428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66560" cy="3142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onde</w:t>
      </w:r>
      <w:r w:rsidDel="00000000" w:rsidR="00000000" w:rsidRPr="00000000">
        <w:rPr>
          <w:i w:val="1"/>
          <w:smallCaps w:val="0"/>
          <w:rtl w:val="0"/>
        </w:rPr>
        <w:t xml:space="preserve"> R</w:t>
      </w:r>
      <w:r w:rsidDel="00000000" w:rsidR="00000000" w:rsidRPr="00000000">
        <w:rPr>
          <w:smallCaps w:val="0"/>
          <w:rtl w:val="0"/>
        </w:rPr>
        <w:t xml:space="preserve"> é a resistência;</w:t>
      </w:r>
      <w:r w:rsidDel="00000000" w:rsidR="00000000" w:rsidRPr="00000000">
        <w:rPr>
          <w:i w:val="1"/>
          <w:smallCaps w:val="0"/>
          <w:rtl w:val="0"/>
        </w:rPr>
        <w:t xml:space="preserve"> U</w:t>
      </w:r>
      <w:r w:rsidDel="00000000" w:rsidR="00000000" w:rsidRPr="00000000">
        <w:rPr>
          <w:smallCaps w:val="0"/>
          <w:rtl w:val="0"/>
        </w:rPr>
        <w:t xml:space="preserve">, a tensão; e</w:t>
      </w:r>
      <w:r w:rsidDel="00000000" w:rsidR="00000000" w:rsidRPr="00000000">
        <w:rPr>
          <w:i w:val="1"/>
          <w:smallCaps w:val="0"/>
          <w:rtl w:val="0"/>
        </w:rPr>
        <w:t xml:space="preserve"> I</w:t>
      </w:r>
      <w:r w:rsidDel="00000000" w:rsidR="00000000" w:rsidRPr="00000000">
        <w:rPr>
          <w:smallCaps w:val="0"/>
          <w:rtl w:val="0"/>
        </w:rPr>
        <w:t xml:space="preserve">, a corrente. Estamos assumindo então que o material possui uma resistência linear, indicando que a tensão é diretamente proporcional à corrente. Estudaremos a quais materiais este lei vale e de que forma ela pode ser usada.</w:t>
      </w:r>
    </w:p>
    <w:p w:rsidR="00000000" w:rsidDel="00000000" w:rsidP="00000000" w:rsidRDefault="00000000" w:rsidRPr="00000000">
      <w:pPr>
        <w:contextualSpacing w:val="0"/>
        <w:jc w:val="both"/>
      </w:pPr>
      <w:r w:rsidDel="00000000" w:rsidR="00000000" w:rsidRPr="00000000">
        <w:rPr>
          <w:smallCaps w:val="0"/>
          <w:rtl w:val="0"/>
        </w:rPr>
        <w:tab/>
        <w:t xml:space="preserve">Embora esta lei seja muito usada na prática, ela não vale em todas as situações. Como exemplo, podemos citar os casos em que a resistência varia com a temperatura, ou então materiais super-condutores, que não obedecem à lei de Ohm em sua forma linear.</w:t>
      </w:r>
    </w:p>
    <w:p w:rsidR="00000000" w:rsidDel="00000000" w:rsidP="00000000" w:rsidRDefault="00000000" w:rsidRPr="00000000">
      <w:pPr>
        <w:contextualSpacing w:val="0"/>
        <w:jc w:val="both"/>
      </w:pPr>
      <w:r w:rsidDel="00000000" w:rsidR="00000000" w:rsidRPr="00000000">
        <w:rPr>
          <w:smallCaps w:val="0"/>
          <w:rtl w:val="0"/>
        </w:rPr>
        <w:tab/>
        <w:t xml:space="preserve">Outro conceito que será aplicado neste relatório é o de potência elétrica, e é dado pela equação:</w:t>
      </w:r>
    </w:p>
    <w:p w:rsidR="00000000" w:rsidDel="00000000" w:rsidP="00000000" w:rsidRDefault="00000000" w:rsidRPr="00000000">
      <w:pPr>
        <w:contextualSpacing w:val="0"/>
        <w:jc w:val="center"/>
      </w:pPr>
      <m:oMath>
        <m:r>
          <w:rPr/>
          <m:t xml:space="preserve">P=U</m:t>
        </m:r>
        <m:r>
          <w:rPr/>
          <m:t>⋅</m:t>
        </m:r>
        <m:r>
          <w:rPr/>
          <m:t xml:space="preserve">I</m:t>
        </m:r>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onde </w:t>
      </w:r>
      <w:r w:rsidDel="00000000" w:rsidR="00000000" w:rsidRPr="00000000">
        <w:rPr>
          <w:i w:val="1"/>
          <w:smallCaps w:val="0"/>
          <w:rtl w:val="0"/>
        </w:rPr>
        <w:t xml:space="preserve">P</w:t>
      </w:r>
      <w:r w:rsidDel="00000000" w:rsidR="00000000" w:rsidRPr="00000000">
        <w:rPr>
          <w:smallCaps w:val="0"/>
          <w:rtl w:val="0"/>
        </w:rPr>
        <w:t xml:space="preserve"> é a pot</w:t>
      </w:r>
      <w:r w:rsidDel="00000000" w:rsidR="00000000" w:rsidRPr="00000000">
        <w:rPr>
          <w:rtl w:val="0"/>
        </w:rPr>
        <w:t xml:space="preserve">ência dissipada ou fornecida pelo elemento. </w:t>
      </w:r>
      <w:r w:rsidDel="00000000" w:rsidR="00000000" w:rsidRPr="00000000">
        <w:rPr>
          <w:smallCaps w:val="0"/>
          <w:rtl w:val="0"/>
        </w:rPr>
        <w:t xml:space="preserve">Ela pode ser usada para todos os elementos de um circuito, basta saber qual a tensão entre os seus terminais e a corrente que passa por ele.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4"/>
          <w:szCs w:val="24"/>
          <w:rtl w:val="0"/>
        </w:rPr>
        <w:t xml:space="preserve">Procedimentos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Materiais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Neste experimento, usaremos os seguintes itens: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1 fonte controlada de tensão e de corrente</w:t>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2 multímetros</w:t>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1 lâmpada incandescente</w:t>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1 resistor de 1KΩ</w:t>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1 diodo retificador</w:t>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1 resistor de proteção</w:t>
      </w:r>
    </w:p>
    <w:p w:rsidR="00000000" w:rsidDel="00000000" w:rsidP="00000000" w:rsidRDefault="00000000" w:rsidRPr="00000000">
      <w:pPr>
        <w:numPr>
          <w:ilvl w:val="0"/>
          <w:numId w:val="1"/>
        </w:numPr>
        <w:ind w:left="720" w:hanging="360"/>
        <w:contextualSpacing w:val="1"/>
        <w:jc w:val="both"/>
      </w:pPr>
      <w:r w:rsidDel="00000000" w:rsidR="00000000" w:rsidRPr="00000000">
        <w:rPr>
          <w:smallCaps w:val="0"/>
          <w:rtl w:val="0"/>
        </w:rPr>
        <w:t xml:space="preserve">2 potenciômetros que variam de 0 a 100Ω</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Dentre dos recursos computacionais, usamos os softwares Qtiplot para gerar os gráficos, e o OpenOffice Writer para a confecção deste relatório.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Procedimentos experimentais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Este experimento consistiu de 4 partes: na primeira, montamos um circuito simples contendo um resistor de proteção e o resistor de 1KΩ e verificamos que a voltagem em um circuito é diretamente proporcional à corrente.</w:t>
      </w:r>
    </w:p>
    <w:p w:rsidR="00000000" w:rsidDel="00000000" w:rsidP="00000000" w:rsidRDefault="00000000" w:rsidRPr="00000000">
      <w:pPr>
        <w:ind w:firstLine="720"/>
        <w:contextualSpacing w:val="0"/>
        <w:jc w:val="both"/>
      </w:pPr>
      <w:r w:rsidDel="00000000" w:rsidR="00000000" w:rsidRPr="00000000">
        <w:rPr>
          <w:smallCaps w:val="0"/>
          <w:rtl w:val="0"/>
        </w:rPr>
        <w:t xml:space="preserve">O segundo procedimento consistiu em estudar os resistores de proteção, cuja função é proteger os outros elementos do circuito mantendo a corrente baixa o suficiente para que não haja dissipação excessiva de potência.</w:t>
      </w:r>
    </w:p>
    <w:p w:rsidR="00000000" w:rsidDel="00000000" w:rsidP="00000000" w:rsidRDefault="00000000" w:rsidRPr="00000000">
      <w:pPr>
        <w:ind w:firstLine="720"/>
        <w:contextualSpacing w:val="0"/>
        <w:jc w:val="both"/>
      </w:pPr>
      <w:r w:rsidDel="00000000" w:rsidR="00000000" w:rsidRPr="00000000">
        <w:rPr>
          <w:smallCaps w:val="0"/>
          <w:rtl w:val="0"/>
        </w:rPr>
        <w:t xml:space="preserve">Na terceira parte, estudamos os efeitos da variação de tensão sobre um resistor, mais especificamente, sobre uma lâmpada incandescente. Montamos um gráfico para decidir se tal lâmpada pode ser considerada um resistor linear.</w:t>
      </w:r>
    </w:p>
    <w:p w:rsidR="00000000" w:rsidDel="00000000" w:rsidP="00000000" w:rsidRDefault="00000000" w:rsidRPr="00000000">
      <w:pPr>
        <w:ind w:firstLine="720"/>
        <w:contextualSpacing w:val="0"/>
        <w:jc w:val="both"/>
      </w:pPr>
      <w:r w:rsidDel="00000000" w:rsidR="00000000" w:rsidRPr="00000000">
        <w:rPr>
          <w:smallCaps w:val="0"/>
          <w:rtl w:val="0"/>
        </w:rPr>
        <w:t xml:space="preserve">Na quarta e última parte, estudamos o diodo, um dispositivo elétrico cuja função é permitir que a corrente elétrica flua somente em uma direção. Esta propriedade pode ser trabalhada de tal forma que a corrente seja de fato inibida ou então de forma que ela seja somente diminu</w:t>
      </w:r>
      <w:r w:rsidDel="00000000" w:rsidR="00000000" w:rsidRPr="00000000">
        <w:rPr>
          <w:rtl w:val="0"/>
        </w:rPr>
        <w:t xml:space="preserve">í</w:t>
      </w:r>
      <w:r w:rsidDel="00000000" w:rsidR="00000000" w:rsidRPr="00000000">
        <w:rPr>
          <w:smallCaps w:val="0"/>
          <w:rtl w:val="0"/>
        </w:rPr>
        <w:t xml:space="preserve">da, mas de maneira que ainda há corrente. Vamos estudar como isso é possível.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sz w:val="24"/>
          <w:szCs w:val="24"/>
          <w:rtl w:val="0"/>
        </w:rPr>
        <w:t xml:space="preserve">Resultados e análise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Parte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O circuito elétrico da primeira parte consistiu em pôr uma fonte de tensão de 10V em série com um resistor principal de 1KΩ e um resistor de proteção, cujo valor teve de ser calculado. Também colocamos um amperímetro para poder medir a corrente e um volt</w:t>
      </w:r>
      <w:r w:rsidDel="00000000" w:rsidR="00000000" w:rsidRPr="00000000">
        <w:rPr>
          <w:rtl w:val="0"/>
        </w:rPr>
        <w:t xml:space="preserve">í</w:t>
      </w:r>
      <w:r w:rsidDel="00000000" w:rsidR="00000000" w:rsidRPr="00000000">
        <w:rPr>
          <w:smallCaps w:val="0"/>
          <w:rtl w:val="0"/>
        </w:rPr>
        <w:t xml:space="preserve">metro no resistor de 1KΩ. Desta forma, variamos a tensão da fonte dentro do intervalo de 0V a 20V em passos de 4V; medimos a corrente elétrica e a tensão no resistor principal; e montamos o gráfico 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rtl w:val="0"/>
        </w:rPr>
        <w:t xml:space="preserve">/* GRÁFICO 1: corrente em função da tensão */</w:t>
      </w:r>
    </w:p>
    <w:p w:rsidR="00000000" w:rsidDel="00000000" w:rsidP="00000000" w:rsidRDefault="00000000" w:rsidRPr="00000000">
      <w:pPr>
        <w:contextualSpacing w:val="0"/>
        <w:jc w:val="center"/>
      </w:pPr>
      <w:r w:rsidDel="00000000" w:rsidR="00000000" w:rsidRPr="00000000">
        <w:rPr>
          <w:smallCaps w:val="0"/>
          <w:rtl w:val="0"/>
        </w:rPr>
        <w:t xml:space="preserve">Gráfico 1: corrente em função da tensão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Com este gráfico, e usando a lei de Ohm, descobrimos que a resistência experimental do resistor de  1KΩ é de /**/, que é a inclinação da reta encontrada na regressão linear.</w:t>
      </w:r>
    </w:p>
    <w:p w:rsidR="00000000" w:rsidDel="00000000" w:rsidP="00000000" w:rsidRDefault="00000000" w:rsidRPr="00000000">
      <w:pPr>
        <w:contextualSpacing w:val="0"/>
        <w:jc w:val="both"/>
      </w:pPr>
      <w:r w:rsidDel="00000000" w:rsidR="00000000" w:rsidRPr="00000000">
        <w:rPr>
          <w:smallCaps w:val="0"/>
          <w:rtl w:val="0"/>
        </w:rPr>
        <w:tab/>
        <w:t xml:space="preserve">A resistência de proteção foi calculada usando a equação</w:t>
      </w:r>
    </w:p>
    <w:p w:rsidR="00000000" w:rsidDel="00000000" w:rsidP="00000000" w:rsidRDefault="00000000" w:rsidRPr="00000000">
      <w:pPr>
        <w:contextualSpacing w:val="0"/>
        <w:jc w:val="center"/>
      </w:pPr>
      <m:oMath>
        <m:r>
          <w:rPr/>
          <m:t xml:space="preserve">R=4</m:t>
        </m:r>
        <m:r>
          <w:rPr/>
          <m:t>⋅</m:t>
        </m:r>
        <m:f>
          <m:fPr>
            <m:ctrlPr>
              <w:rPr/>
            </m:ctrlPr>
          </m:fPr>
          <m:num>
            <m:r>
              <w:rPr/>
              <m:t xml:space="preserve">U</m:t>
            </m:r>
          </m:num>
          <m:den>
            <m:r>
              <w:rPr/>
              <m:t xml:space="preserve">I</m:t>
            </m:r>
          </m:den>
        </m:f>
      </m:oMath>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Desta forma, a resistência de proteção foi definida como sendo 80Ω, já que a tensão máxima é de 20V e a corrente máxima é de </w:t>
      </w:r>
      <m:oMath>
        <m:r>
          <w:rPr/>
          <m:t xml:space="preserve">I=</m:t>
        </m:r>
        <m:f>
          <m:fPr>
            <m:ctrlPr>
              <w:rPr/>
            </m:ctrlPr>
          </m:fPr>
          <m:num>
            <m:r>
              <w:rPr/>
              <m:t xml:space="preserve">R</m:t>
            </m:r>
          </m:num>
          <m:den>
            <m:r>
              <w:rPr/>
              <m:t xml:space="preserve">4U</m:t>
            </m:r>
          </m:den>
        </m:f>
        <m:r>
          <w:rPr/>
          <m:t xml:space="preserve">=1A</m:t>
        </m:r>
      </m:oMath>
      <w:r w:rsidDel="00000000" w:rsidR="00000000" w:rsidRPr="00000000">
        <w:rPr>
          <w:smallCaps w:val="0"/>
          <w:rtl w:val="0"/>
        </w:rPr>
        <w:t xml:space="preserve">. Medimos a resistência do resistor de proteção usando um ohmímetro.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Parte 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Na segunda parte, nós usamos o mesmo circuito da primeira parte, mas agora com um voltímetro associado ao resistor de proteção. Este voltímetro foi usado para medir a tensão entre os dois resistores, um de cada vez.</w:t>
      </w:r>
    </w:p>
    <w:p w:rsidR="00000000" w:rsidDel="00000000" w:rsidP="00000000" w:rsidRDefault="00000000" w:rsidRPr="00000000">
      <w:pPr>
        <w:contextualSpacing w:val="0"/>
        <w:jc w:val="both"/>
      </w:pPr>
      <w:r w:rsidDel="00000000" w:rsidR="00000000" w:rsidRPr="00000000">
        <w:rPr>
          <w:smallCaps w:val="0"/>
          <w:rtl w:val="0"/>
        </w:rPr>
        <w:tab/>
        <w:t xml:space="preserve">Com a fonte em 10V, medimos a corrente no circuito; a tensão  no resistor de proteção; e a tensão no resistor principal. Os valores encontrados se encontram na tabela 1.</w:t>
      </w:r>
    </w:p>
    <w:p w:rsidR="00000000" w:rsidDel="00000000" w:rsidP="00000000" w:rsidRDefault="00000000" w:rsidRPr="00000000">
      <w:pPr>
        <w:contextualSpacing w:val="0"/>
        <w:jc w:val="both"/>
      </w:pPr>
      <w:r w:rsidDel="00000000" w:rsidR="00000000" w:rsidRPr="00000000">
        <w:rPr>
          <w:smallCaps w:val="0"/>
          <w:rtl w:val="0"/>
        </w:rPr>
        <w:tab/>
        <w:t xml:space="preserve">Calculando as potências em cada um dos elmentos, temos que o resistor de proteção dissipou /**/, enquanto o principal dissipou /**/. Calculando a potência fornecida pela fonte, obtemos /**/, e nota-se que este valor é igual à soma das potências dissipadas pelos resistores do circuito. Esta propriedade é chamada de teorema de Tellegen, descoberta pelo engenheiro eletricista holandês Bernard Tellegen e publicado em 1952.</w:t>
      </w:r>
    </w:p>
    <w:p w:rsidR="00000000" w:rsidDel="00000000" w:rsidP="00000000" w:rsidRDefault="00000000" w:rsidRPr="00000000">
      <w:pPr>
        <w:contextualSpacing w:val="0"/>
        <w:jc w:val="both"/>
      </w:pPr>
      <w:r w:rsidDel="00000000" w:rsidR="00000000" w:rsidRPr="00000000">
        <w:rPr>
          <w:smallCaps w:val="0"/>
          <w:rtl w:val="0"/>
        </w:rPr>
        <w:tab/>
        <w:t xml:space="preserve">Repitimos este procedimento trocando os terminais da fonte, fazendo com que a tensão de saída seja agora de -10V.</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rtl w:val="0"/>
        </w:rPr>
        <w:t xml:space="preserve">Tabela 1: Tensão, corrente e potência nos elementos do circuito</w:t>
      </w:r>
    </w:p>
    <w:tbl>
      <w:tblPr>
        <w:tblStyle w:val="Table5"/>
        <w:bidi w:val="0"/>
        <w:tblW w:w="902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
        <w:gridCol w:w="2257"/>
        <w:gridCol w:w="2256.999999999999"/>
        <w:gridCol w:w="2257.0000000000005"/>
        <w:tblGridChange w:id="0">
          <w:tblGrid>
            <w:gridCol w:w="2257"/>
            <w:gridCol w:w="2257"/>
            <w:gridCol w:w="2256.999999999999"/>
            <w:gridCol w:w="2257.0000000000005"/>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Tensão nominal da fonte (V)</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Tensão (V)</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Corrente (A)</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Potência (W)</w:t>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10V</w:t>
            </w:r>
          </w:p>
        </w:tc>
        <w:tc>
          <w:tcPr>
            <w:tcMar>
              <w:top w:w="55.0" w:type="dxa"/>
              <w:left w:w="55.0" w:type="dxa"/>
              <w:bottom w:w="55.0" w:type="dxa"/>
              <w:right w:w="5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21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
              <w:gridCol w:w="1074"/>
              <w:tblGridChange w:id="0">
                <w:tblGrid>
                  <w:gridCol w:w="1074"/>
                  <w:gridCol w:w="1074"/>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Fonte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Resistor de proteção</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Resistor principal</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2"/>
              <w:bidi w:val="0"/>
              <w:tblW w:w="21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
              <w:gridCol w:w="1074"/>
              <w:tblGridChange w:id="0">
                <w:tblGrid>
                  <w:gridCol w:w="1074"/>
                  <w:gridCol w:w="1074"/>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Fonte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Resistor de proteção</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Resistor principal</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-10V</w:t>
            </w:r>
          </w:p>
        </w:tc>
        <w:tc>
          <w:tcPr>
            <w:tcMar>
              <w:top w:w="55.0" w:type="dxa"/>
              <w:left w:w="55.0" w:type="dxa"/>
              <w:bottom w:w="55.0" w:type="dxa"/>
              <w:right w:w="5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 w:val="0"/>
              <w:tblW w:w="21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
              <w:gridCol w:w="1074"/>
              <w:tblGridChange w:id="0">
                <w:tblGrid>
                  <w:gridCol w:w="1074"/>
                  <w:gridCol w:w="1074"/>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Fonte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Resistor de proteção</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Resistor principal</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c>
          <w:tcPr>
            <w:tcMar>
              <w:top w:w="55.0" w:type="dxa"/>
              <w:left w:w="55.0" w:type="dxa"/>
              <w:bottom w:w="55.0" w:type="dxa"/>
              <w:right w:w="55.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4"/>
              <w:bidi w:val="0"/>
              <w:tblW w:w="214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4"/>
              <w:gridCol w:w="1074"/>
              <w:tblGridChange w:id="0">
                <w:tblGrid>
                  <w:gridCol w:w="1074"/>
                  <w:gridCol w:w="1074"/>
                </w:tblGrid>
              </w:tblGridChange>
            </w:tblGrid>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Fonte</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Resistor de proteção</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r>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Resistor principal</w:t>
                  </w:r>
                </w:p>
              </w:tc>
              <w:tc>
                <w:tcPr>
                  <w:tcMar>
                    <w:top w:w="55.0" w:type="dxa"/>
                    <w:left w:w="55.0" w:type="dxa"/>
                    <w:bottom w:w="55.0" w:type="dxa"/>
                    <w:right w:w="55.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Parte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Nesta parte, nós trocamos o resistor principal por uma lâmpada. Pelas especificações do fabricante, ela possui uma resistência de /**/ e aceita uma potência máxima de /**/. Assumindo que ela obedece a lei de Ohm, então a maior tensão aceita por ela é de /**/, implicando que a resistência de proteção do circuito deverá ser de /**/.</w:t>
      </w:r>
    </w:p>
    <w:p w:rsidR="00000000" w:rsidDel="00000000" w:rsidP="00000000" w:rsidRDefault="00000000" w:rsidRPr="00000000">
      <w:pPr>
        <w:contextualSpacing w:val="0"/>
        <w:jc w:val="both"/>
      </w:pPr>
      <w:r w:rsidDel="00000000" w:rsidR="00000000" w:rsidRPr="00000000">
        <w:rPr>
          <w:smallCaps w:val="0"/>
          <w:rtl w:val="0"/>
        </w:rPr>
        <w:tab/>
        <w:t xml:space="preserve">Ajustando os valores da tensão nominal da fonte de -10V a 10V em passos de /**/, nós montamos o gráfico 2, e realizamos as mesmas operações da parte 1, tratando a lâmpada como um resistor.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0"/>
          <w:rtl w:val="0"/>
        </w:rPr>
        <w:t xml:space="preserve">/* GRÁFICO 2: corrente em função da tensão na lâmpada */</w:t>
      </w:r>
    </w:p>
    <w:p w:rsidR="00000000" w:rsidDel="00000000" w:rsidP="00000000" w:rsidRDefault="00000000" w:rsidRPr="00000000">
      <w:pPr>
        <w:contextualSpacing w:val="0"/>
        <w:jc w:val="center"/>
      </w:pPr>
      <w:r w:rsidDel="00000000" w:rsidR="00000000" w:rsidRPr="00000000">
        <w:rPr>
          <w:smallCaps w:val="0"/>
          <w:rtl w:val="0"/>
        </w:rPr>
        <w:t xml:space="preserve">Gráfico 2: corrente em função da tensão na lâmpada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 xml:space="preserve">Vemos que a lâmpada não obedece a lei de Ohm, pois a resistência varia conforme mudamos a voltagem. Isso provavelmente acontece pois a tensão faz com que o resistor interno da lâmpada esquente, causando uma variação em sua resistência. Este é o chamado efeito Joule, e, neste caso, ele causa uma</w:t>
      </w:r>
      <w:r w:rsidDel="00000000" w:rsidR="00000000" w:rsidRPr="00000000">
        <w:rPr>
          <w:i w:val="1"/>
          <w:smallCaps w:val="0"/>
          <w:rtl w:val="0"/>
        </w:rPr>
        <w:t xml:space="preserve"> queda</w:t>
      </w:r>
      <w:r w:rsidDel="00000000" w:rsidR="00000000" w:rsidRPr="00000000">
        <w:rPr>
          <w:smallCaps w:val="0"/>
          <w:rtl w:val="0"/>
        </w:rPr>
        <w:t xml:space="preserve"> na resistência.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mallCaps w:val="0"/>
          <w:rtl w:val="0"/>
        </w:rPr>
        <w:t xml:space="preserve">Parte 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mallCaps w:val="0"/>
          <w:rtl w:val="0"/>
        </w:rPr>
        <w:tab/>
        <w:t xml:space="preserve">Na quarta parte, nós estudamos o diodo em um circuito análogo ao das outras partes, trocando o resistor principal pelo novo elemento. Pelas especificações do diodo, temos que por uma resistência de proteção de /**/, já que ele aceita /**/.</w:t>
      </w:r>
    </w:p>
    <w:p w:rsidR="00000000" w:rsidDel="00000000" w:rsidP="00000000" w:rsidRDefault="00000000" w:rsidRPr="00000000">
      <w:pPr>
        <w:contextualSpacing w:val="0"/>
        <w:jc w:val="both"/>
      </w:pPr>
      <w:r w:rsidDel="00000000" w:rsidR="00000000" w:rsidRPr="00000000">
        <w:rPr>
          <w:smallCaps w:val="0"/>
          <w:rtl w:val="0"/>
        </w:rPr>
        <w:tab/>
        <w:t xml:space="preserve">Analogamente à parte 1, realizamos o mesmo estudo sobre o diodo, mas agora estamos querendo descobrir sua tensão de ativação.</w:t>
      </w:r>
      <w:r w:rsidDel="00000000" w:rsidR="00000000" w:rsidRPr="00000000">
        <w:rPr>
          <w:rtl w:val="0"/>
        </w:rPr>
        <w:t xml:space="preserve"> Medindo a tensão e a corrente sobre o diodo, montamos o gráfico 3. Neste caso, a inclinação da curva obtida não é igual à resistência, mas sim à condutância, que é definida como o inverso da resistência, e é medida em mhos (</w:t>
      </w:r>
      <w:r w:rsidDel="00000000" w:rsidR="00000000" w:rsidRPr="00000000">
        <w:rPr>
          <w:shd w:fill="ffffe6" w:val="clear"/>
          <w:rtl w:val="0"/>
        </w:rPr>
        <w:t xml:space="preserve">ʊ</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t>
      </w:r>
    </w:p>
    <w:p w:rsidR="00000000" w:rsidDel="00000000" w:rsidP="00000000" w:rsidRDefault="00000000" w:rsidRPr="00000000">
      <w:pPr>
        <w:contextualSpacing w:val="0"/>
        <w:jc w:val="center"/>
      </w:pPr>
      <w:r w:rsidDel="00000000" w:rsidR="00000000" w:rsidRPr="00000000">
        <w:rPr>
          <w:rtl w:val="0"/>
        </w:rPr>
        <w:t xml:space="preserve">Gráfico 3: tensão em função da corrente no diodo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Do gráfico 3, concluímos que a tensão de ativação é /**/. Usamos as tensões descritas no gráficos após tentar descobrir por tentativa e erro qual a melhor faixa de tensão para o diodo fornecido trabalhar.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0"/>
          <w:rtl w:val="0"/>
        </w:rPr>
        <w:t xml:space="preserve">Referência Bibliográfica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pPr>
      <w:r w:rsidDel="00000000" w:rsidR="00000000" w:rsidRPr="00000000">
        <w:rPr>
          <w:smallCaps w:val="0"/>
          <w:rtl w:val="0"/>
        </w:rPr>
        <w:t xml:space="preserve">ALEXANDER, Charles; SADIKU, Matthew: Fundamentals of Electric Circuits. 3rd Edition, McGraw-Hill.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NELMS, R. M.; IRWIN, J. D.: Basic Engineering Circuit Analysis. 10th edition, Willey.</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bullet"/>
      <w:lvlText w:val="○"/>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bullet"/>
      <w:lvlText w:val="■"/>
      <w:lvlJc w:val="lef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bullet"/>
      <w:lvlText w:val="●"/>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bullet"/>
      <w:lvlText w:val="○"/>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bullet"/>
      <w:lvlText w:val="■"/>
      <w:lvlJc w:val="lef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bullet"/>
      <w:lvlText w:val="●"/>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bullet"/>
      <w:lvlText w:val="○"/>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bullet"/>
      <w:lvlText w:val="■"/>
      <w:lvlJc w:val="lef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abstractNum w:abstractNumId="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vertAlign w:val="baseline"/>
      </w:rPr>
    </w:lvl>
    <w:lvl w:ilvl="1">
      <w:start w:val="1"/>
      <w:numFmt w:val="lowerLetter"/>
      <w:lvlText w:val="%2."/>
      <w:lvlJc w:val="left"/>
      <w:pPr>
        <w:ind w:left="1440" w:firstLine="0"/>
      </w:pPr>
      <w:rPr>
        <w:rFonts w:ascii="Times New Roman" w:cs="Times New Roman" w:eastAsia="Times New Roman" w:hAnsi="Times New Roman"/>
        <w:b w:val="0"/>
        <w:i w:val="0"/>
        <w:smallCaps w:val="0"/>
        <w:strike w:val="0"/>
        <w:color w:val="000000"/>
        <w:sz w:val="20"/>
        <w:szCs w:val="20"/>
        <w:u w:val="none"/>
        <w:vertAlign w:val="baseline"/>
      </w:rPr>
    </w:lvl>
    <w:lvl w:ilvl="2">
      <w:start w:val="1"/>
      <w:numFmt w:val="lowerRoman"/>
      <w:lvlText w:val="%3."/>
      <w:lvlJc w:val="right"/>
      <w:pPr>
        <w:ind w:left="2160" w:firstLine="0"/>
      </w:pPr>
      <w:rPr>
        <w:rFonts w:ascii="Times New Roman" w:cs="Times New Roman" w:eastAsia="Times New Roman" w:hAnsi="Times New Roman"/>
        <w:b w:val="0"/>
        <w:i w:val="0"/>
        <w:smallCaps w:val="0"/>
        <w:strike w:val="0"/>
        <w:color w:val="000000"/>
        <w:sz w:val="20"/>
        <w:szCs w:val="20"/>
        <w:u w:val="none"/>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vertAlign w:val="baseline"/>
      </w:rPr>
    </w:lvl>
    <w:lvl w:ilvl="4">
      <w:start w:val="1"/>
      <w:numFmt w:val="lowerLetter"/>
      <w:lvlText w:val="%5."/>
      <w:lvlJc w:val="left"/>
      <w:pPr>
        <w:ind w:left="3600" w:firstLine="0"/>
      </w:pPr>
      <w:rPr>
        <w:rFonts w:ascii="Times New Roman" w:cs="Times New Roman" w:eastAsia="Times New Roman" w:hAnsi="Times New Roman"/>
        <w:b w:val="0"/>
        <w:i w:val="0"/>
        <w:smallCaps w:val="0"/>
        <w:strike w:val="0"/>
        <w:color w:val="000000"/>
        <w:sz w:val="20"/>
        <w:szCs w:val="20"/>
        <w:u w:val="none"/>
        <w:vertAlign w:val="baseline"/>
      </w:rPr>
    </w:lvl>
    <w:lvl w:ilvl="5">
      <w:start w:val="1"/>
      <w:numFmt w:val="lowerRoman"/>
      <w:lvlText w:val="%6."/>
      <w:lvlJc w:val="right"/>
      <w:pPr>
        <w:ind w:left="4320" w:firstLine="0"/>
      </w:pPr>
      <w:rPr>
        <w:rFonts w:ascii="Times New Roman" w:cs="Times New Roman" w:eastAsia="Times New Roman" w:hAnsi="Times New Roman"/>
        <w:b w:val="0"/>
        <w:i w:val="0"/>
        <w:smallCaps w:val="0"/>
        <w:strike w:val="0"/>
        <w:color w:val="000000"/>
        <w:sz w:val="20"/>
        <w:szCs w:val="20"/>
        <w:u w:val="none"/>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vertAlign w:val="baseline"/>
      </w:rPr>
    </w:lvl>
    <w:lvl w:ilvl="7">
      <w:start w:val="1"/>
      <w:numFmt w:val="lowerLetter"/>
      <w:lvlText w:val="%8."/>
      <w:lvlJc w:val="left"/>
      <w:pPr>
        <w:ind w:left="5760" w:firstLine="0"/>
      </w:pPr>
      <w:rPr>
        <w:rFonts w:ascii="Times New Roman" w:cs="Times New Roman" w:eastAsia="Times New Roman" w:hAnsi="Times New Roman"/>
        <w:b w:val="0"/>
        <w:i w:val="0"/>
        <w:smallCaps w:val="0"/>
        <w:strike w:val="0"/>
        <w:color w:val="000000"/>
        <w:sz w:val="20"/>
        <w:szCs w:val="20"/>
        <w:u w:val="none"/>
        <w:vertAlign w:val="baseline"/>
      </w:rPr>
    </w:lvl>
    <w:lvl w:ilvl="8">
      <w:start w:val="1"/>
      <w:numFmt w:val="lowerRoman"/>
      <w:lvlText w:val="%9."/>
      <w:lvlJc w:val="right"/>
      <w:pPr>
        <w:ind w:left="6480" w:firstLine="0"/>
      </w:pPr>
      <w:rPr>
        <w:rFonts w:ascii="Times New Roman" w:cs="Times New Roman" w:eastAsia="Times New Roman" w:hAnsi="Times New Roman"/>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Trebuchet MS" w:cs="Trebuchet MS" w:eastAsia="Trebuchet MS" w:hAnsi="Trebuchet MS"/>
      <w:smallCaps w:val="0"/>
      <w:sz w:val="32"/>
      <w:szCs w:val="32"/>
    </w:rPr>
  </w:style>
  <w:style w:type="paragraph" w:styleId="Heading2">
    <w:name w:val="heading 2"/>
    <w:basedOn w:val="Normal"/>
    <w:next w:val="Normal"/>
    <w:pPr>
      <w:keepNext w:val="1"/>
      <w:keepLines w:val="1"/>
      <w:spacing w:before="200" w:lineRule="auto"/>
      <w:contextualSpacing w:val="1"/>
    </w:pPr>
    <w:rPr>
      <w:rFonts w:ascii="Trebuchet MS" w:cs="Trebuchet MS" w:eastAsia="Trebuchet MS" w:hAnsi="Trebuchet MS"/>
      <w:b w:val="1"/>
      <w:smallCaps w:val="0"/>
      <w:sz w:val="26"/>
      <w:szCs w:val="26"/>
    </w:rPr>
  </w:style>
  <w:style w:type="paragraph" w:styleId="Heading3">
    <w:name w:val="heading 3"/>
    <w:basedOn w:val="Normal"/>
    <w:next w:val="Normal"/>
    <w:pPr>
      <w:keepNext w:val="1"/>
      <w:keepLines w:val="1"/>
      <w:spacing w:before="160" w:lineRule="auto"/>
      <w:contextualSpacing w:val="1"/>
    </w:pPr>
    <w:rPr>
      <w:rFonts w:ascii="Trebuchet MS" w:cs="Trebuchet MS" w:eastAsia="Trebuchet MS" w:hAnsi="Trebuchet MS"/>
      <w:b w:val="1"/>
      <w:smallCaps w:val="0"/>
      <w:color w:val="666666"/>
      <w:sz w:val="24"/>
      <w:szCs w:val="24"/>
    </w:rPr>
  </w:style>
  <w:style w:type="paragraph" w:styleId="Heading4">
    <w:name w:val="heading 4"/>
    <w:basedOn w:val="Normal"/>
    <w:next w:val="Normal"/>
    <w:pPr>
      <w:keepNext w:val="1"/>
      <w:keepLines w:val="1"/>
      <w:spacing w:before="160" w:lineRule="auto"/>
      <w:contextualSpacing w:val="1"/>
    </w:pPr>
    <w:rPr>
      <w:rFonts w:ascii="Trebuchet MS" w:cs="Trebuchet MS" w:eastAsia="Trebuchet MS" w:hAnsi="Trebuchet MS"/>
      <w:smallCaps w:val="0"/>
      <w:color w:val="666666"/>
      <w:u w:val="single"/>
    </w:rPr>
  </w:style>
  <w:style w:type="paragraph" w:styleId="Heading5">
    <w:name w:val="heading 5"/>
    <w:basedOn w:val="Normal"/>
    <w:next w:val="Normal"/>
    <w:pPr>
      <w:keepNext w:val="1"/>
      <w:keepLines w:val="1"/>
      <w:spacing w:before="160" w:lineRule="auto"/>
      <w:contextualSpacing w:val="1"/>
    </w:pPr>
    <w:rPr>
      <w:rFonts w:ascii="Trebuchet MS" w:cs="Trebuchet MS" w:eastAsia="Trebuchet MS" w:hAnsi="Trebuchet MS"/>
      <w:smallCaps w:val="0"/>
      <w:color w:val="666666"/>
    </w:rPr>
  </w:style>
  <w:style w:type="paragraph" w:styleId="Heading6">
    <w:name w:val="heading 6"/>
    <w:basedOn w:val="Normal"/>
    <w:next w:val="Normal"/>
    <w:pPr>
      <w:keepNext w:val="1"/>
      <w:keepLines w:val="1"/>
      <w:spacing w:before="160" w:lineRule="auto"/>
      <w:contextualSpacing w:val="1"/>
    </w:pPr>
    <w:rPr>
      <w:rFonts w:ascii="Trebuchet MS" w:cs="Trebuchet MS" w:eastAsia="Trebuchet MS" w:hAnsi="Trebuchet MS"/>
      <w:i w:val="1"/>
      <w:smallCaps w:val="0"/>
      <w:color w:val="666666"/>
    </w:rPr>
  </w:style>
  <w:style w:type="paragraph" w:styleId="Title">
    <w:name w:val="Title"/>
    <w:basedOn w:val="Normal"/>
    <w:next w:val="Normal"/>
    <w:pPr>
      <w:keepNext w:val="1"/>
      <w:keepLines w:val="1"/>
      <w:contextualSpacing w:val="1"/>
    </w:pPr>
    <w:rPr>
      <w:rFonts w:ascii="Trebuchet MS" w:cs="Trebuchet MS" w:eastAsia="Trebuchet MS" w:hAnsi="Trebuchet MS"/>
      <w:smallCaps w:val="0"/>
      <w:sz w:val="42"/>
      <w:szCs w:val="42"/>
    </w:rPr>
  </w:style>
  <w:style w:type="paragraph" w:styleId="Subtitle">
    <w:name w:val="Subtitle"/>
    <w:basedOn w:val="Normal"/>
    <w:next w:val="Normal"/>
    <w:pPr>
      <w:keepNext w:val="1"/>
      <w:keepLines w:val="1"/>
      <w:spacing w:after="200" w:lineRule="auto"/>
      <w:contextualSpacing w:val="1"/>
    </w:pPr>
    <w:rPr>
      <w:rFonts w:ascii="Trebuchet MS" w:cs="Trebuchet MS" w:eastAsia="Trebuchet MS" w:hAnsi="Trebuchet MS"/>
      <w:i w:val="1"/>
      <w:smallCaps w:val="0"/>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