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1A8802E" w14:textId="77777777" w:rsidR="00CE65EF" w:rsidRPr="00F62FCC" w:rsidRDefault="00000000">
      <w:pPr>
        <w:pStyle w:val="papertitle"/>
        <w:spacing w:before="5pt" w:beforeAutospacing="1" w:after="5pt" w:afterAutospacing="1"/>
        <w:rPr>
          <w:b/>
          <w:bCs/>
          <w:kern w:val="48"/>
        </w:rPr>
      </w:pPr>
      <w:r w:rsidRPr="00F62FCC">
        <w:rPr>
          <w:b/>
          <w:bCs/>
          <w:kern w:val="48"/>
        </w:rPr>
        <w:t>QuantCopilot AI: An Integrated Financial Analytics Platform with Graph Neural Network Risk Analysis and Counterfactual Explainability</w:t>
      </w:r>
    </w:p>
    <w:p w14:paraId="784A34F5" w14:textId="77777777" w:rsidR="00CE65EF" w:rsidRDefault="00CE65EF">
      <w:pPr>
        <w:pStyle w:val="Author"/>
        <w:spacing w:before="5pt" w:beforeAutospacing="1" w:after="5pt" w:afterAutospacing="1" w:line="6pt" w:lineRule="auto"/>
        <w:rPr>
          <w:sz w:val="16"/>
          <w:szCs w:val="16"/>
        </w:rPr>
        <w:sectPr w:rsidR="00CE65EF">
          <w:footerReference w:type="first" r:id="rId8"/>
          <w:pgSz w:w="595.30pt" w:h="841.90pt" w:code="9"/>
          <w:pgMar w:top="27pt" w:right="44.65pt" w:bottom="72pt" w:left="44.65pt" w:header="36pt" w:footer="36pt" w:gutter="0pt"/>
          <w:cols w:space="36pt"/>
          <w:titlePg/>
          <w:docGrid w:linePitch="360"/>
        </w:sectPr>
      </w:pPr>
    </w:p>
    <w:p w14:paraId="4FAF451B" w14:textId="77777777" w:rsidR="00310CEC" w:rsidRDefault="00000000" w:rsidP="00310CEC">
      <w:pPr>
        <w:pStyle w:val="Author"/>
        <w:spacing w:before="0pt"/>
        <w:rPr>
          <w:sz w:val="18"/>
          <w:szCs w:val="18"/>
        </w:rPr>
      </w:pPr>
      <w:r>
        <w:br w:type="column"/>
      </w:r>
      <w:r w:rsidR="00310CEC">
        <w:rPr>
          <w:sz w:val="18"/>
          <w:szCs w:val="18"/>
        </w:rPr>
        <w:t>Soumitra Rajguru</w:t>
      </w:r>
      <w:r w:rsidR="00310CEC">
        <w:rPr>
          <w:i/>
          <w:sz w:val="18"/>
          <w:szCs w:val="18"/>
        </w:rPr>
        <w:br/>
        <w:t>Department of Computer Engineering</w:t>
      </w:r>
      <w:r w:rsidR="00310CEC">
        <w:rPr>
          <w:i/>
          <w:sz w:val="18"/>
          <w:szCs w:val="18"/>
        </w:rPr>
        <w:br/>
        <w:t>Vidyalankar Institute of Technology</w:t>
      </w:r>
      <w:r w:rsidR="00310CEC">
        <w:rPr>
          <w:sz w:val="18"/>
          <w:szCs w:val="18"/>
        </w:rPr>
        <w:br/>
        <w:t>Mumbai, Maharashtra, India</w:t>
      </w:r>
    </w:p>
    <w:p w14:paraId="614BD0B9" w14:textId="11FAF4B4" w:rsidR="00CE65EF" w:rsidRDefault="00CE65EF">
      <w:pPr>
        <w:pStyle w:val="Author"/>
        <w:spacing w:before="0pt"/>
        <w:rPr>
          <w:sz w:val="18"/>
          <w:szCs w:val="18"/>
        </w:rPr>
      </w:pPr>
    </w:p>
    <w:p w14:paraId="34934224" w14:textId="17852D92" w:rsidR="00CE65EF" w:rsidRDefault="00000000">
      <w:pPr>
        <w:pStyle w:val="Author"/>
        <w:spacing w:before="0pt"/>
        <w:rPr>
          <w:sz w:val="18"/>
          <w:szCs w:val="18"/>
        </w:rPr>
      </w:pPr>
      <w:r>
        <w:br w:type="column"/>
      </w:r>
      <w:r w:rsidR="00310CEC" w:rsidRPr="00104920">
        <w:rPr>
          <w:sz w:val="18"/>
          <w:szCs w:val="18"/>
        </w:rPr>
        <w:t>Ishika Bhute</w:t>
      </w:r>
      <w:r w:rsidR="00310CEC">
        <w:rPr>
          <w:sz w:val="18"/>
          <w:szCs w:val="18"/>
        </w:rPr>
        <w:t xml:space="preserve"> </w:t>
      </w:r>
      <w:r w:rsidR="00310CEC">
        <w:rPr>
          <w:i/>
          <w:sz w:val="18"/>
          <w:szCs w:val="18"/>
        </w:rPr>
        <w:br/>
        <w:t>Department of Computer Engineering</w:t>
      </w:r>
      <w:r w:rsidR="00310CEC">
        <w:rPr>
          <w:i/>
          <w:sz w:val="18"/>
          <w:szCs w:val="18"/>
        </w:rPr>
        <w:br/>
        <w:t>Vidyalankar Institute of Technology</w:t>
      </w:r>
      <w:r w:rsidR="00310CEC">
        <w:rPr>
          <w:sz w:val="18"/>
          <w:szCs w:val="18"/>
        </w:rPr>
        <w:br/>
        <w:t>Mumbai, Maharashtra, India</w:t>
      </w:r>
    </w:p>
    <w:p w14:paraId="105D3F5D" w14:textId="565F18F6" w:rsidR="00CE65EF" w:rsidRDefault="00000000">
      <w:pPr>
        <w:pStyle w:val="Author"/>
        <w:spacing w:before="0pt"/>
        <w:rPr>
          <w:sz w:val="18"/>
          <w:szCs w:val="18"/>
        </w:rPr>
      </w:pPr>
      <w:r>
        <w:br w:type="column"/>
      </w:r>
    </w:p>
    <w:p w14:paraId="645495EB" w14:textId="77777777" w:rsidR="00CE65EF" w:rsidRDefault="00CE65EF">
      <w:pPr>
        <w:sectPr w:rsidR="00CE65EF">
          <w:type w:val="continuous"/>
          <w:pgSz w:w="595.30pt" w:h="841.90pt" w:code="9"/>
          <w:pgMar w:top="22.50pt" w:right="44.65pt" w:bottom="72pt" w:left="44.65pt" w:header="36pt" w:footer="36pt" w:gutter="0pt"/>
          <w:cols w:num="4" w:space="12pt"/>
          <w:docGrid w:linePitch="360"/>
        </w:sectPr>
      </w:pPr>
    </w:p>
    <w:p w14:paraId="1C084EFC" w14:textId="77777777" w:rsidR="00CE65EF" w:rsidRDefault="00000000">
      <w:pPr>
        <w:pStyle w:val="Abstract"/>
        <w:rPr>
          <w:i/>
          <w:iCs/>
        </w:rPr>
      </w:pPr>
      <w:r>
        <w:rPr>
          <w:i/>
          <w:iCs/>
        </w:rPr>
        <w:t>Abstract</w:t>
      </w:r>
      <w:r>
        <w:t>—Financial markets are interconnected systems in which disturbances in one asset or institution can propagate through related entities. QuantCopilot AI is an integrated browser-based financial analytics and trading workstation that combines real-time market monitoring with a Graph Neural Network (GNN)-based Causal Risk Engine, referred to as CausalGraphX. The system represents financial entities as a directed, weighted graph and applies an eight-head, three-layer Graph Attention Network (GAT) using a 38-dimensional feature representation for each node. Adversarial regularization is incorporated during training to reduce unwanted regional, sectoral, and market-related bias. An optimization-based counterfactual module generates sparse “what-if” interventions intended to alter adverse risk predictions. These outputs are translated into plain-English explanations and presented through contagion visualization and portfolio-risk interfaces. The platform further integrates technical analysis, derivatives analytics, order execution, portfolio monitoring, automated alerts, and an AI Investment Copilot. A complementary Stock Insights application provides historical Indian-equity analysis using PostgreSQL, pandas, and Streamlit. The proposed architecture provides a foundation for evaluating systemic-risk prediction, counterfactual validity, robustness, and real-time financial analytics in future controlled experiments.</w:t>
      </w:r>
    </w:p>
    <w:p w14:paraId="05CAE1A2" w14:textId="77777777" w:rsidR="00CE65EF" w:rsidRDefault="00000000">
      <w:pPr>
        <w:pStyle w:val="Keywords"/>
      </w:pPr>
      <w:r>
        <w:t>Keywords—Graph Neural Network, Graph Attention Network, Financial Risk, Explainable AI, Counterfactual Reasoning, Financial Contagion.</w:t>
      </w:r>
    </w:p>
    <w:p w14:paraId="533EAD49" w14:textId="77777777" w:rsidR="00CE65EF" w:rsidRPr="00F62FCC" w:rsidRDefault="00000000">
      <w:pPr>
        <w:pStyle w:val="Heading1"/>
        <w:rPr>
          <w:b/>
          <w:bCs/>
        </w:rPr>
      </w:pPr>
      <w:r w:rsidRPr="00F62FCC">
        <w:rPr>
          <w:b/>
          <w:bCs/>
        </w:rPr>
        <w:t>Introduction</w:t>
      </w:r>
    </w:p>
    <w:p w14:paraId="268AB485" w14:textId="77777777" w:rsidR="00CE65EF" w:rsidRDefault="00000000">
      <w:pPr>
        <w:pStyle w:val="BodyText"/>
      </w:pPr>
      <w:r>
        <w:t xml:space="preserve">Financial markets consist of interconnected entities rather than isolated securities. Equities, sector indices, ETFs, financial institutions, and macroeconomic variables interact through financial exposure and market relationships. Consequently, distress in one entity may propagate through connected entities and produce broader systemic effects. Traditional financial analysis often concentrates on individual instruments or time-series patterns and may not explicitly represent these relationships. QuantCopilot AI addresses this requirement through an integrated financial analytics workstation centered on a GNN-based Causal Risk Engine. The system is designed for retail investors, quantitative analysts, and traders and combines market monitoring, technical analysis, derivatives analytics, portfolio risk management, order execution, automated alerts, and AI-assisted decision support. </w:t>
      </w:r>
    </w:p>
    <w:p w14:paraId="323C147B" w14:textId="77777777" w:rsidR="00CE65EF" w:rsidRDefault="00000000">
      <w:pPr>
        <w:pStyle w:val="BodyText"/>
      </w:pPr>
      <w:r>
        <w:t xml:space="preserve">The SRS defines the platform as a decision-support system rather than a replacement for a licensed broker or a provider of regulated personalized investment advice. The principal research component represents the financial ecosystem as a </w:t>
      </w:r>
      <w:r>
        <w:t xml:space="preserve">directed weighted graph and uses a multi-head GAT to model risk propagation. The objective is therefore to combine </w:t>
      </w:r>
      <w:r>
        <w:rPr>
          <w:b/>
          <w:bCs/>
        </w:rPr>
        <w:t>risk prediction, relational analysis, counterfactual explanation, and financial decision support</w:t>
      </w:r>
      <w:r>
        <w:t xml:space="preserve"> within one platform.</w:t>
      </w:r>
    </w:p>
    <w:p w14:paraId="45EA7512" w14:textId="77777777" w:rsidR="00CE65EF" w:rsidRPr="00F62FCC" w:rsidRDefault="00000000">
      <w:pPr>
        <w:pStyle w:val="Heading1"/>
        <w:rPr>
          <w:b/>
          <w:bCs/>
        </w:rPr>
      </w:pPr>
      <w:r w:rsidRPr="00F62FCC">
        <w:rPr>
          <w:b/>
          <w:bCs/>
        </w:rPr>
        <w:t>Literature Review / Related Work</w:t>
      </w:r>
    </w:p>
    <w:p w14:paraId="4E9A0AD4" w14:textId="77777777" w:rsidR="00CE65EF" w:rsidRDefault="00000000">
      <w:pPr>
        <w:pStyle w:val="BodyText"/>
      </w:pPr>
      <w:r>
        <w:t xml:space="preserve">Early systemic-risk research established the importance of financial interdependence. Eisenberg and Noe introduced a network-based framework for financial clearing, while Battiston </w:t>
      </w:r>
      <w:r>
        <w:rPr>
          <w:i/>
          <w:iCs/>
        </w:rPr>
        <w:t>et al.</w:t>
      </w:r>
      <w:r>
        <w:t xml:space="preserve"> proposed DebtRank for studying systemic importance and distress propagation [1], [2]. Machine-learning approaches subsequently expanded financial prediction using statistical, ensemble, and deep-learning methods. Nabipour </w:t>
      </w:r>
      <w:r>
        <w:rPr>
          <w:i/>
          <w:iCs/>
        </w:rPr>
        <w:t>et al.</w:t>
      </w:r>
      <w:r>
        <w:t xml:space="preserve"> evaluated approaches including ANN, RNN, LSTM, AdaBoost, Gradient Boosting, and XGBoost for stock-market prediction [3]. These approaches provide useful time-series baselines but do not inherently represent the topology of financial relationships. GNNs provide a natural representation for relational financial systems. </w:t>
      </w:r>
    </w:p>
    <w:p w14:paraId="069E5850" w14:textId="77777777" w:rsidR="00CE65EF" w:rsidRDefault="00000000">
      <w:pPr>
        <w:pStyle w:val="BodyText"/>
      </w:pPr>
      <w:r>
        <w:t>Research on deep graph learning has demonstrated the applicability of graph-based models to systemic-risk prediction [4]. Graph Attention Networks introduced attention-based neighborhood aggregation, enabling models to assign different learned importance to neighboring nodes [5]. Explainable AI has further introduced counterfactual approaches that investigate how changes to input variables can modify model predictions [6]. CausalGraphX extends this direction by combining graph attention, adversarial regularization, and optimization-based counterfactual reasoning for financial systemic-risk analysis [7]. Instead of treating systemic-risk prediction as an isolated model, the proposed platform connects GNN risk analysis and counterfactual reasoning with market monitoring, portfolio analysis, technical analytics, alerts, and an AI Investment Copilot.</w:t>
      </w:r>
    </w:p>
    <w:p w14:paraId="03AE9AC1" w14:textId="77777777" w:rsidR="00CE65EF" w:rsidRPr="00F62FCC" w:rsidRDefault="00000000">
      <w:pPr>
        <w:pStyle w:val="Heading1"/>
        <w:rPr>
          <w:b/>
          <w:bCs/>
        </w:rPr>
      </w:pPr>
      <w:r w:rsidRPr="00F62FCC">
        <w:rPr>
          <w:b/>
          <w:bCs/>
        </w:rPr>
        <w:t>Proposed Methodology / Architecture</w:t>
      </w:r>
    </w:p>
    <w:p w14:paraId="5C739F99" w14:textId="77777777" w:rsidR="00CE65EF" w:rsidRDefault="00000000">
      <w:pPr>
        <w:pStyle w:val="Heading2"/>
      </w:pPr>
      <w:r>
        <w:t>Research Design</w:t>
      </w:r>
    </w:p>
    <w:p w14:paraId="5ABEA758" w14:textId="77777777" w:rsidR="00CE65EF" w:rsidRDefault="00000000">
      <w:pPr>
        <w:pStyle w:val="BodyText"/>
      </w:pPr>
      <w:r>
        <w:t>The proposed system follows an end-to-end financial analytics pipeline:</w:t>
      </w:r>
    </w:p>
    <w:p w14:paraId="5F26B0FC" w14:textId="77777777" w:rsidR="00CE65EF" w:rsidRDefault="00000000">
      <w:pPr>
        <w:pStyle w:val="BodyText"/>
        <w:ind w:firstLine="0pt"/>
        <w:jc w:val="center"/>
      </w:pPr>
      <w:r>
        <w:rPr>
          <w:b/>
          <w:bCs/>
        </w:rPr>
        <w:t>Market Data → Feature Engineering → Financial Graph → GNN Risk Prediction → Contagion Analysis → Counterfactual Optimization → Explanation → Portfolio/Trading Decision Support</w:t>
      </w:r>
    </w:p>
    <w:p w14:paraId="6A60A177" w14:textId="77777777" w:rsidR="00CE65EF" w:rsidRDefault="00000000">
      <w:pPr>
        <w:pStyle w:val="BodyText"/>
      </w:pPr>
      <w:r>
        <w:t xml:space="preserve">The architecture consists of a Next.js/React frontend, FastAPI backend, PyTorch/PyTorch Geometric machine-learning service, and PostgreSQL/Redis data layer </w:t>
      </w:r>
      <w:r>
        <w:lastRenderedPageBreak/>
        <w:t>communicating through HTTPS and WebSockets. The financial graph is represented as:</w:t>
      </w:r>
    </w:p>
    <w:p w14:paraId="181F3DFB" w14:textId="77777777" w:rsidR="00CE65EF" w:rsidRDefault="00000000">
      <w:pPr>
        <w:pStyle w:val="equation"/>
        <w:rPr>
          <w:rFonts w:hint="eastAsia"/>
        </w:rPr>
      </w:pPr>
      <w:r>
        <w:tab/>
      </w:r>
      <w:r>
        <w:rPr>
          <w:rFonts w:ascii="Times New Roman" w:hAnsi="Times New Roman" w:cs="Times New Roman"/>
          <w:i/>
        </w:rPr>
        <w:t>G</w:t>
      </w:r>
      <w:r>
        <w:rPr>
          <w:rFonts w:ascii="Times New Roman" w:hAnsi="Times New Roman" w:cs="Times New Roman"/>
        </w:rPr>
        <w:t xml:space="preserve"> = (</w:t>
      </w:r>
      <w:r>
        <w:rPr>
          <w:rFonts w:ascii="Times New Roman" w:hAnsi="Times New Roman" w:cs="Times New Roman"/>
          <w:i/>
        </w:rPr>
        <w:t>V</w:t>
      </w:r>
      <w:r>
        <w:rPr>
          <w:rFonts w:ascii="Times New Roman" w:hAnsi="Times New Roman" w:cs="Times New Roman"/>
        </w:rPr>
        <w:t xml:space="preserve">, </w:t>
      </w:r>
      <w:r>
        <w:rPr>
          <w:rFonts w:ascii="Times New Roman" w:hAnsi="Times New Roman" w:cs="Times New Roman"/>
          <w:i/>
        </w:rPr>
        <w:t>E</w:t>
      </w:r>
      <w:r>
        <w:rPr>
          <w:rFonts w:ascii="Times New Roman" w:hAnsi="Times New Roman" w:cs="Times New Roman"/>
        </w:rPr>
        <w:t xml:space="preserve">, </w:t>
      </w:r>
      <w:r>
        <w:rPr>
          <w:rFonts w:ascii="Times New Roman" w:hAnsi="Times New Roman" w:cs="Times New Roman"/>
          <w:i/>
        </w:rPr>
        <w:t>X</w:t>
      </w:r>
      <w:r>
        <w:rPr>
          <w:rFonts w:ascii="Times New Roman" w:hAnsi="Times New Roman" w:cs="Times New Roman"/>
        </w:rPr>
        <w:t xml:space="preserve">, </w:t>
      </w:r>
      <w:r>
        <w:rPr>
          <w:rFonts w:ascii="Times New Roman" w:hAnsi="Times New Roman" w:cs="Times New Roman"/>
          <w:i/>
        </w:rPr>
        <w:t>W</w:t>
      </w:r>
      <w:r>
        <w:rPr>
          <w:rFonts w:ascii="Times New Roman" w:hAnsi="Times New Roman" w:cs="Times New Roman"/>
        </w:rPr>
        <w:t>)</w:t>
      </w:r>
      <w:r>
        <w:tab/>
      </w:r>
      <w:r>
        <w:rPr>
          <w:rFonts w:ascii="Times New Roman" w:hAnsi="Times New Roman" w:cs="Times New Roman"/>
        </w:rPr>
        <w:t>(1)</w:t>
      </w:r>
    </w:p>
    <w:p w14:paraId="0199814E" w14:textId="77777777" w:rsidR="00CE65EF" w:rsidRDefault="00000000">
      <w:pPr>
        <w:pStyle w:val="BodyText"/>
        <w:ind w:firstLine="0pt"/>
      </w:pPr>
      <w:r>
        <w:t xml:space="preserve">where </w:t>
      </w:r>
      <w:r>
        <w:rPr>
          <w:i/>
          <w:iCs/>
        </w:rPr>
        <w:t>V</w:t>
      </w:r>
      <w:r>
        <w:t xml:space="preserve"> represents financial entities, </w:t>
      </w:r>
      <w:r>
        <w:rPr>
          <w:i/>
          <w:iCs/>
        </w:rPr>
        <w:t>E</w:t>
      </w:r>
      <w:r>
        <w:t xml:space="preserve"> represents relationships, </w:t>
      </w:r>
      <w:r>
        <w:rPr>
          <w:i/>
          <w:iCs/>
        </w:rPr>
        <w:t>X</w:t>
      </w:r>
      <w:r>
        <w:t xml:space="preserve"> contains node features, and </w:t>
      </w:r>
      <w:r>
        <w:rPr>
          <w:i/>
          <w:iCs/>
        </w:rPr>
        <w:t>W</w:t>
      </w:r>
      <w:r>
        <w:t xml:space="preserve"> represents weighted exposure.</w:t>
      </w:r>
    </w:p>
    <w:p w14:paraId="79024CDF" w14:textId="77777777" w:rsidR="00CE65EF" w:rsidRDefault="00000000">
      <w:pPr>
        <w:pStyle w:val="Heading2"/>
      </w:pPr>
      <w:r>
        <w:t>Data / Participants</w:t>
      </w:r>
    </w:p>
    <w:p w14:paraId="684C0869" w14:textId="77777777" w:rsidR="00CE65EF" w:rsidRDefault="00000000">
      <w:pPr>
        <w:pStyle w:val="BodyText"/>
      </w:pPr>
      <w:r>
        <w:t xml:space="preserve">The system works with financial entities including equities, sector indices, ETFs, macroeconomic indicators, and banking institutions. Each graph node uses a </w:t>
      </w:r>
      <w:r>
        <w:rPr>
          <w:b/>
          <w:bCs/>
        </w:rPr>
        <w:t>38-dimensional engineered feature vector</w:t>
      </w:r>
      <w:r>
        <w:t>. The Stock Insights application uses historical OHLCV data obtained through Yahoo Finance and stores it in PostgreSQL. It provides price trends, volatility analysis, correlation analysis, and heuristic forecasting. No human participants were required for the software-development stage. Evaluation is based on financial datasets, system outputs, and software-performance measurements.</w:t>
      </w:r>
    </w:p>
    <w:p w14:paraId="47EBA432" w14:textId="77777777" w:rsidR="00CE65EF" w:rsidRDefault="00000000">
      <w:pPr>
        <w:pStyle w:val="Heading2"/>
      </w:pPr>
      <w:r>
        <w:t>Materials and Tools</w:t>
      </w:r>
    </w:p>
    <w:p w14:paraId="3606FC43" w14:textId="77777777" w:rsidR="00CE65EF" w:rsidRDefault="00000000">
      <w:pPr>
        <w:pStyle w:val="BodyText"/>
      </w:pPr>
      <w:r>
        <w:t>The primary technologies are:</w:t>
      </w:r>
    </w:p>
    <w:p w14:paraId="450877F9" w14:textId="77777777" w:rsidR="00CE65EF" w:rsidRDefault="00000000">
      <w:pPr>
        <w:pStyle w:val="bulletlist"/>
      </w:pPr>
      <w:r>
        <w:rPr>
          <w:b/>
          <w:bCs/>
        </w:rPr>
        <w:t>Frontend:</w:t>
      </w:r>
      <w:r>
        <w:t xml:space="preserve"> Next.js, React, TypeScript, Tailwind CSS and Lightweight Charts.</w:t>
      </w:r>
    </w:p>
    <w:p w14:paraId="70EF58EE" w14:textId="77777777" w:rsidR="00CE65EF" w:rsidRDefault="00000000">
      <w:pPr>
        <w:pStyle w:val="bulletlist"/>
      </w:pPr>
      <w:r>
        <w:rPr>
          <w:b/>
          <w:bCs/>
        </w:rPr>
        <w:t>Backend:</w:t>
      </w:r>
      <w:r>
        <w:t xml:space="preserve"> FastAPI, Uvicorn, Pydantic and asynchronous database interfaces.</w:t>
      </w:r>
    </w:p>
    <w:p w14:paraId="29339B9F" w14:textId="77777777" w:rsidR="00CE65EF" w:rsidRDefault="00000000">
      <w:pPr>
        <w:pStyle w:val="bulletlist"/>
      </w:pPr>
      <w:r>
        <w:rPr>
          <w:b/>
          <w:bCs/>
        </w:rPr>
        <w:t>Machine Learning:</w:t>
      </w:r>
      <w:r>
        <w:t xml:space="preserve"> PyTorch, PyTorch Geometric, GAT and deep-learning models.</w:t>
      </w:r>
    </w:p>
    <w:p w14:paraId="3BE5F1A9" w14:textId="77777777" w:rsidR="00CE65EF" w:rsidRDefault="00000000">
      <w:pPr>
        <w:pStyle w:val="bulletlist"/>
      </w:pPr>
      <w:r>
        <w:rPr>
          <w:b/>
          <w:bCs/>
        </w:rPr>
        <w:t>Storage:</w:t>
      </w:r>
      <w:r>
        <w:t xml:space="preserve"> PostgreSQL, Redis and SQLite.</w:t>
      </w:r>
    </w:p>
    <w:p w14:paraId="7F74C47F" w14:textId="77777777" w:rsidR="00CE65EF" w:rsidRDefault="00000000">
      <w:pPr>
        <w:pStyle w:val="bulletlist"/>
      </w:pPr>
      <w:r>
        <w:rPr>
          <w:b/>
          <w:bCs/>
        </w:rPr>
        <w:t>Analytics:</w:t>
      </w:r>
      <w:r>
        <w:t xml:space="preserve"> NumPy, pandas and technical-indicator calculations.</w:t>
      </w:r>
    </w:p>
    <w:p w14:paraId="3DA32FC0" w14:textId="77777777" w:rsidR="00CE65EF" w:rsidRDefault="00000000">
      <w:pPr>
        <w:pStyle w:val="bulletlist"/>
      </w:pPr>
      <w:r>
        <w:rPr>
          <w:b/>
          <w:bCs/>
        </w:rPr>
        <w:t>Visualization:</w:t>
      </w:r>
      <w:r>
        <w:t xml:space="preserve"> Interactive financial charts, contagion maps and portfolio dashboards.</w:t>
      </w:r>
    </w:p>
    <w:p w14:paraId="386BBD14" w14:textId="77777777" w:rsidR="00CE65EF" w:rsidRDefault="00000000">
      <w:pPr>
        <w:pStyle w:val="BodyText"/>
      </w:pPr>
      <w:r>
        <w:t>The architecture supports real-time data through WebSockets and separates the presentation, API, machine-learning, and data layers.</w:t>
      </w:r>
    </w:p>
    <w:p w14:paraId="18418A6D" w14:textId="77777777" w:rsidR="00CE65EF" w:rsidRDefault="00000000">
      <w:pPr>
        <w:pStyle w:val="Heading2"/>
      </w:pPr>
      <w:r>
        <w:t>Procedure</w:t>
      </w:r>
    </w:p>
    <w:p w14:paraId="25682921" w14:textId="77777777" w:rsidR="00CE65EF" w:rsidRDefault="00000000">
      <w:pPr>
        <w:pStyle w:val="BodyText"/>
      </w:pPr>
      <w:r>
        <w:t xml:space="preserve">First, market information is collected and transformed into engineered features. The financial entities are then represented as graph nodes with weighted relationships. The GAT uses multiple attention heads across three layers to aggregate information from neighboring entities. The attention mechanism enables different relationships to contribute different levels of influence to the resulting node representation. An adversarial discriminator with a Gradient Reversal Layer is incorporated during training to reduce unwanted biases in learned representations. </w:t>
      </w:r>
    </w:p>
    <w:p w14:paraId="27FE8CF0" w14:textId="77777777" w:rsidR="00CE65EF" w:rsidRDefault="00000000">
      <w:pPr>
        <w:pStyle w:val="BodyText"/>
      </w:pPr>
      <w:r>
        <w:t xml:space="preserve">The resulting model produces risk states such as </w:t>
      </w:r>
      <w:r>
        <w:rPr>
          <w:b/>
          <w:bCs/>
        </w:rPr>
        <w:t>Default, Distressed, At Risk, Recovered, and Stable</w:t>
      </w:r>
      <w:r>
        <w:t>.</w:t>
      </w:r>
    </w:p>
    <w:p w14:paraId="6B71A4A2" w14:textId="77777777" w:rsidR="00CE65EF" w:rsidRDefault="00000000">
      <w:pPr>
        <w:pStyle w:val="BodyText"/>
      </w:pPr>
      <w:r>
        <w:t xml:space="preserve">For adverse predictions, the counterfactual module performs optimization using validity, distance, and sparsity objectives. The intervention is restricted to a maximum of three changed parameters, producing a sparse “what-if” scenario. The result is then translated into plain-English guidance and displayed with supporting risk and contagion information. The SRS specifies counterfactual optimization for graphs up to 2,000 nodes. The operational layer combines these outputs with technical indicators, derivatives </w:t>
      </w:r>
      <w:r>
        <w:t>information, portfolio statistics, alerts, and AI-generated explanations.</w:t>
      </w:r>
    </w:p>
    <w:p w14:paraId="01C5C5B4" w14:textId="77777777" w:rsidR="00CE65EF" w:rsidRDefault="00000000">
      <w:pPr>
        <w:pStyle w:val="Heading2"/>
      </w:pPr>
      <w:r>
        <w:t>Data Analysis</w:t>
      </w:r>
    </w:p>
    <w:p w14:paraId="1B3E3EC5" w14:textId="77777777" w:rsidR="00CE65EF" w:rsidRDefault="00000000">
      <w:pPr>
        <w:pStyle w:val="BodyText"/>
      </w:pPr>
      <w:r>
        <w:t xml:space="preserve">Model evaluation should consider classification metrics such as </w:t>
      </w:r>
      <w:r>
        <w:rPr>
          <w:b/>
          <w:bCs/>
        </w:rPr>
        <w:t>accuracy, precision, recall, F1-score, and ROC-AUC</w:t>
      </w:r>
      <w:r>
        <w:t>. Counterfactual explanations should be assessed using validity, sparsity, perturbation distance, and execution time. Robustness can be evaluated by comparing model performance under controlled feature noise and feature dropout.</w:t>
      </w:r>
    </w:p>
    <w:p w14:paraId="3DFABDC5" w14:textId="77777777" w:rsidR="00CE65EF" w:rsidRDefault="00000000">
      <w:pPr>
        <w:pStyle w:val="BodyText"/>
      </w:pPr>
      <w:r>
        <w:t xml:space="preserve">System evaluation can additionally measure WebSocket latency, order-book rendering performance, and counterfactual runtime. The SRS defines these as target requirements rather than experimentally established results; therefore, they are not presented as measured findings in this paper. </w:t>
      </w:r>
    </w:p>
    <w:p w14:paraId="574F13DE" w14:textId="77777777" w:rsidR="00CE65EF" w:rsidRPr="00F62FCC" w:rsidRDefault="00000000">
      <w:pPr>
        <w:pStyle w:val="Heading1"/>
        <w:rPr>
          <w:b/>
          <w:bCs/>
        </w:rPr>
      </w:pPr>
      <w:r w:rsidRPr="00F62FCC">
        <w:rPr>
          <w:b/>
          <w:bCs/>
        </w:rPr>
        <w:t>Results</w:t>
      </w:r>
    </w:p>
    <w:p w14:paraId="0FBA1BAB" w14:textId="77777777" w:rsidR="00CE65EF" w:rsidRDefault="00000000">
      <w:pPr>
        <w:pStyle w:val="BodyText"/>
      </w:pPr>
      <w:r>
        <w:t xml:space="preserve">The implemented system provides an integrated workflow connecting financial-data processing, graph-based risk analysis, counterfactual reasoning, and financial decision support. The operational workstation integrates the risk engine with market watch, technical charting, derivatives analytics, portfolio monitoring, alerts, and AI-assisted analysis. </w:t>
      </w:r>
    </w:p>
    <w:p w14:paraId="71C437CC" w14:textId="77777777" w:rsidR="00CE65EF" w:rsidRDefault="00000000">
      <w:pPr>
        <w:pStyle w:val="BodyText"/>
      </w:pPr>
      <w:r>
        <w:t xml:space="preserve">The complementary Stock Insights application successfully implements historical data ingestion, PostgreSQL storage, technical indicators, volatility analysis, correlation analysis, and heuristic forecasting. The current implementation therefore demonstrates the </w:t>
      </w:r>
      <w:r>
        <w:rPr>
          <w:b/>
          <w:bCs/>
        </w:rPr>
        <w:t>functional integration of the proposed architecture</w:t>
      </w:r>
      <w:r>
        <w:t>. However, quantitative claims of predictive superiority, robustness, or latency require controlled experimental evaluation and are not inferred from the software implementation alone.</w:t>
      </w:r>
    </w:p>
    <w:p w14:paraId="0F9D94A8" w14:textId="77777777" w:rsidR="00CE65EF" w:rsidRPr="00F62FCC" w:rsidRDefault="00000000">
      <w:pPr>
        <w:pStyle w:val="Heading1"/>
        <w:rPr>
          <w:b/>
          <w:bCs/>
        </w:rPr>
      </w:pPr>
      <w:r w:rsidRPr="00F62FCC">
        <w:rPr>
          <w:b/>
          <w:bCs/>
        </w:rPr>
        <w:t>Discussion</w:t>
      </w:r>
    </w:p>
    <w:p w14:paraId="2B5CBB23" w14:textId="77777777" w:rsidR="00CE65EF" w:rsidRDefault="00000000">
      <w:pPr>
        <w:pStyle w:val="BodyText"/>
      </w:pPr>
      <w:r>
        <w:t>The principal contribution of QuantCopilot AI is the integration of graph-based systemic-risk analysis with an operational financial analytics environment. A standalone GNN can identify relational patterns, but users may still require explanations and practical context. QuantCopilot AI addresses this by connecting risk predictions with contagion visualization, counterfactual scenarios, portfolio information, and natural-language explanations.</w:t>
      </w:r>
    </w:p>
    <w:p w14:paraId="1F83F9D8" w14:textId="77777777" w:rsidR="00CE65EF" w:rsidRDefault="00000000">
      <w:pPr>
        <w:pStyle w:val="BodyText"/>
      </w:pPr>
      <w:r>
        <w:t>The Stock Insights component complements the main platform by providing a simpler historical-analysis workflow. It includes moving averages, RSI, MACD, volatility, correlations, and heuristic forecasting. However, its forecasting is based on linear trends and rule-based signals rather than the GNN risk engine. Its limitations therefore include the absence of fundamental, news, macroeconomic, and transaction-cost modeling.</w:t>
      </w:r>
    </w:p>
    <w:p w14:paraId="25149BED" w14:textId="77777777" w:rsidR="00CE65EF" w:rsidRDefault="00000000">
      <w:pPr>
        <w:pStyle w:val="BodyText"/>
      </w:pPr>
      <w:r>
        <w:t>A key limitation of the overall research is that the current SRS and implementation specification establish architecture and performance targets but do not constitute a complete empirical validation study. Future experiments are required to compare the GNN against appropriate baselines and evaluate robustness, counterfactual validity, sparsity, and scalability.</w:t>
      </w:r>
    </w:p>
    <w:p w14:paraId="22AE9F60" w14:textId="77777777" w:rsidR="00CE65EF" w:rsidRPr="00F62FCC" w:rsidRDefault="00000000">
      <w:pPr>
        <w:pStyle w:val="Heading1"/>
        <w:rPr>
          <w:b/>
          <w:bCs/>
        </w:rPr>
      </w:pPr>
      <w:r w:rsidRPr="00F62FCC">
        <w:rPr>
          <w:b/>
          <w:bCs/>
        </w:rPr>
        <w:t>Conclusion</w:t>
      </w:r>
    </w:p>
    <w:p w14:paraId="2024FC45" w14:textId="77777777" w:rsidR="00CE65EF" w:rsidRDefault="00000000">
      <w:pPr>
        <w:pStyle w:val="BodyText"/>
      </w:pPr>
      <w:r>
        <w:t xml:space="preserve">QuantCopilot AI presents an integrated financial analytics platform centered on a GNN-based risk engine and counterfactual explainability. The system represents financial </w:t>
      </w:r>
      <w:r>
        <w:lastRenderedPageBreak/>
        <w:t>entities and relationships as a directed weighted graph and applies an eight-head, three-layer GAT using 38-dimensional node features. Adversarial regularization and sparse counterfactual optimization extend the model toward more interpretable systemic-risk analysis.</w:t>
      </w:r>
    </w:p>
    <w:p w14:paraId="45EEA71A" w14:textId="77777777" w:rsidR="00CE65EF" w:rsidRDefault="00000000">
      <w:pPr>
        <w:pStyle w:val="BodyText"/>
      </w:pPr>
      <w:r>
        <w:t xml:space="preserve">The resulting risk intelligence is integrated with market monitoring, technical analysis, derivatives analytics, portfolio risk management, alerts, order-execution functionality, and an AI Investment Copilot. A complementary Stock Insights application provides historical Indian-equity analysis through PostgreSQL, pandas, and Streamlit. </w:t>
      </w:r>
    </w:p>
    <w:p w14:paraId="6F8D6796" w14:textId="77777777" w:rsidR="00CE65EF" w:rsidRDefault="00000000">
      <w:pPr>
        <w:pStyle w:val="BodyText"/>
      </w:pPr>
      <w:r>
        <w:t>The project therefore establishes an end-to-end framework connecting financial data, relational risk modeling, explainable analysis, and decision support. Further experimental validation is necessary to establish predictive performance, robustness, counterfactual effectiveness, and real-time scalability.</w:t>
      </w:r>
    </w:p>
    <w:p w14:paraId="1ECBC8D9" w14:textId="77777777" w:rsidR="00CE65EF" w:rsidRPr="00F62FCC" w:rsidRDefault="00000000">
      <w:pPr>
        <w:pStyle w:val="Heading1"/>
        <w:rPr>
          <w:b/>
          <w:bCs/>
        </w:rPr>
      </w:pPr>
      <w:r w:rsidRPr="00F62FCC">
        <w:rPr>
          <w:b/>
          <w:bCs/>
        </w:rPr>
        <w:t>Future Work / Recommendations</w:t>
      </w:r>
    </w:p>
    <w:p w14:paraId="0AE50148" w14:textId="77777777" w:rsidR="00CE65EF" w:rsidRDefault="00000000">
      <w:pPr>
        <w:pStyle w:val="BodyText"/>
      </w:pPr>
      <w:r>
        <w:t>Future development will focus on:</w:t>
      </w:r>
    </w:p>
    <w:p w14:paraId="0E6ECF79" w14:textId="77777777" w:rsidR="00CE65EF" w:rsidRDefault="00000000">
      <w:pPr>
        <w:pStyle w:val="bulletlist"/>
        <w:numPr>
          <w:ilvl w:val="0"/>
          <w:numId w:val="25"/>
        </w:numPr>
      </w:pPr>
      <w:r>
        <w:rPr>
          <w:b/>
          <w:bCs/>
        </w:rPr>
        <w:t>Empirical GNN evaluation</w:t>
      </w:r>
      <w:r>
        <w:t xml:space="preserve"> against statistical, conventional ML, and alternative GNN baselines.</w:t>
      </w:r>
    </w:p>
    <w:p w14:paraId="4C19FDCB" w14:textId="77777777" w:rsidR="00CE65EF" w:rsidRDefault="00000000">
      <w:pPr>
        <w:pStyle w:val="bulletlist"/>
        <w:numPr>
          <w:ilvl w:val="0"/>
          <w:numId w:val="25"/>
        </w:numPr>
      </w:pPr>
      <w:r>
        <w:rPr>
          <w:b/>
          <w:bCs/>
        </w:rPr>
        <w:t>Counterfactual validation</w:t>
      </w:r>
      <w:r>
        <w:t xml:space="preserve"> using validity, sparsity, distance, and runtime measurements.</w:t>
      </w:r>
    </w:p>
    <w:p w14:paraId="1C2A2E5D" w14:textId="77777777" w:rsidR="00CE65EF" w:rsidRDefault="00000000">
      <w:pPr>
        <w:pStyle w:val="bulletlist"/>
        <w:numPr>
          <w:ilvl w:val="0"/>
          <w:numId w:val="25"/>
        </w:numPr>
      </w:pPr>
      <w:r>
        <w:rPr>
          <w:b/>
          <w:bCs/>
        </w:rPr>
        <w:t>Robustness testing</w:t>
      </w:r>
      <w:r>
        <w:t xml:space="preserve"> under controlled noise and feature-dropout conditions.</w:t>
      </w:r>
    </w:p>
    <w:p w14:paraId="1941628E" w14:textId="77777777" w:rsidR="00CE65EF" w:rsidRDefault="00000000">
      <w:pPr>
        <w:pStyle w:val="bulletlist"/>
        <w:numPr>
          <w:ilvl w:val="0"/>
          <w:numId w:val="25"/>
        </w:numPr>
      </w:pPr>
      <w:r>
        <w:rPr>
          <w:b/>
          <w:bCs/>
        </w:rPr>
        <w:t>Larger dynamic graphs</w:t>
      </w:r>
      <w:r>
        <w:t xml:space="preserve"> and improved scalability for financial contagion analysis.</w:t>
      </w:r>
    </w:p>
    <w:p w14:paraId="7C6EA0F9" w14:textId="77777777" w:rsidR="00CE65EF" w:rsidRDefault="00000000">
      <w:pPr>
        <w:pStyle w:val="bulletlist"/>
        <w:numPr>
          <w:ilvl w:val="0"/>
          <w:numId w:val="25"/>
        </w:numPr>
      </w:pPr>
      <w:r>
        <w:rPr>
          <w:b/>
          <w:bCs/>
        </w:rPr>
        <w:t>Enhanced data sources</w:t>
      </w:r>
      <w:r>
        <w:t>, including fundamentals, macroeconomic indicators, corporate events, and financial news.</w:t>
      </w:r>
    </w:p>
    <w:p w14:paraId="3B2263EC" w14:textId="77777777" w:rsidR="00CE65EF" w:rsidRDefault="00000000">
      <w:pPr>
        <w:pStyle w:val="bulletlist"/>
        <w:numPr>
          <w:ilvl w:val="0"/>
          <w:numId w:val="25"/>
        </w:numPr>
      </w:pPr>
      <w:r>
        <w:rPr>
          <w:b/>
          <w:bCs/>
        </w:rPr>
        <w:t>Improved forecasting models</w:t>
      </w:r>
      <w:r>
        <w:t xml:space="preserve"> for the Stock Insights component.</w:t>
      </w:r>
    </w:p>
    <w:p w14:paraId="31602B21" w14:textId="77777777" w:rsidR="00CE65EF" w:rsidRDefault="00000000">
      <w:pPr>
        <w:pStyle w:val="bulletlist"/>
        <w:numPr>
          <w:ilvl w:val="0"/>
          <w:numId w:val="25"/>
        </w:numPr>
      </w:pPr>
      <w:r>
        <w:rPr>
          <w:b/>
          <w:bCs/>
        </w:rPr>
        <w:t>Extensive backtesting</w:t>
      </w:r>
      <w:r>
        <w:t xml:space="preserve"> incorporating realistic transaction costs, slippage, and market conditions.</w:t>
      </w:r>
    </w:p>
    <w:p w14:paraId="51635506" w14:textId="77777777" w:rsidR="00CE65EF" w:rsidRDefault="00000000">
      <w:pPr>
        <w:pStyle w:val="bulletlist"/>
        <w:numPr>
          <w:ilvl w:val="0"/>
          <w:numId w:val="25"/>
        </w:numPr>
      </w:pPr>
      <w:r>
        <w:rPr>
          <w:b/>
          <w:bCs/>
        </w:rPr>
        <w:t>Further explainability and responsible-AI controls</w:t>
      </w:r>
      <w:r>
        <w:t xml:space="preserve"> for financial decision-support outputs.</w:t>
      </w:r>
    </w:p>
    <w:p w14:paraId="6AC19E52" w14:textId="77777777" w:rsidR="00CE65EF" w:rsidRPr="00F62FCC" w:rsidRDefault="00000000">
      <w:pPr>
        <w:pStyle w:val="Heading5"/>
        <w:rPr>
          <w:b/>
          <w:bCs/>
        </w:rPr>
      </w:pPr>
      <w:r w:rsidRPr="00F62FCC">
        <w:rPr>
          <w:b/>
          <w:bCs/>
        </w:rPr>
        <w:t>References</w:t>
      </w:r>
    </w:p>
    <w:p w14:paraId="20E39325" w14:textId="77777777" w:rsidR="00CE65EF" w:rsidRDefault="00000000">
      <w:pPr>
        <w:pStyle w:val="references"/>
        <w:ind w:start="17.70pt" w:hanging="17.70pt"/>
      </w:pPr>
      <w:r>
        <w:t xml:space="preserve">L. Eisenberg and T. H. Noe, “Systemic risk in financial systems,” </w:t>
      </w:r>
      <w:r>
        <w:rPr>
          <w:i/>
          <w:iCs/>
        </w:rPr>
        <w:t>Management Science</w:t>
      </w:r>
      <w:r>
        <w:t>, vol. 47, no. 2, pp. 236–249, 2001.</w:t>
      </w:r>
    </w:p>
    <w:p w14:paraId="5590C6BC" w14:textId="77777777" w:rsidR="00CE65EF" w:rsidRDefault="00000000">
      <w:pPr>
        <w:pStyle w:val="references"/>
        <w:ind w:start="17.70pt" w:hanging="17.70pt"/>
      </w:pPr>
      <w:r>
        <w:t xml:space="preserve">S. Battiston </w:t>
      </w:r>
      <w:r>
        <w:rPr>
          <w:i/>
          <w:iCs/>
        </w:rPr>
        <w:t>et al.</w:t>
      </w:r>
      <w:r>
        <w:t xml:space="preserve">, “DebtRank: Too central to fail? Financial networks, the FED and systemic risk,” </w:t>
      </w:r>
      <w:r>
        <w:rPr>
          <w:i/>
          <w:iCs/>
        </w:rPr>
        <w:t>Scientific Reports</w:t>
      </w:r>
      <w:r>
        <w:t>, vol. 2, no. 541, 2012.</w:t>
      </w:r>
    </w:p>
    <w:p w14:paraId="2E250166" w14:textId="77777777" w:rsidR="00CE65EF" w:rsidRDefault="00000000">
      <w:pPr>
        <w:pStyle w:val="references"/>
        <w:ind w:start="17.70pt" w:hanging="17.70pt"/>
      </w:pPr>
      <w:r>
        <w:t xml:space="preserve">M. Nabipour </w:t>
      </w:r>
      <w:r>
        <w:rPr>
          <w:i/>
          <w:iCs/>
        </w:rPr>
        <w:t>et al.</w:t>
      </w:r>
      <w:r>
        <w:t xml:space="preserve">, “Deep learning for stock market prediction,” </w:t>
      </w:r>
      <w:r>
        <w:rPr>
          <w:i/>
          <w:iCs/>
        </w:rPr>
        <w:t>Entropy</w:t>
      </w:r>
      <w:r>
        <w:t>, vol. 22, no. 8, p. 840, 2020.</w:t>
      </w:r>
    </w:p>
    <w:p w14:paraId="5CB37D7F" w14:textId="77777777" w:rsidR="00CE65EF" w:rsidRDefault="00000000">
      <w:pPr>
        <w:pStyle w:val="references"/>
        <w:ind w:start="17.70pt" w:hanging="17.70pt"/>
      </w:pPr>
      <w:r>
        <w:t xml:space="preserve">J. Balmaseda, A. Coronado, and A. de Cadenas-Santiago, “Predicting systemic risk in financial systems using deep graph learning,” </w:t>
      </w:r>
      <w:r>
        <w:rPr>
          <w:i/>
          <w:iCs/>
        </w:rPr>
        <w:t>Intelligent Systems with Applications</w:t>
      </w:r>
      <w:r>
        <w:t>, vol. 19, p. 200240, 2023.</w:t>
      </w:r>
    </w:p>
    <w:p w14:paraId="6CE24A00" w14:textId="77777777" w:rsidR="00CE65EF" w:rsidRDefault="00000000">
      <w:pPr>
        <w:pStyle w:val="references"/>
        <w:ind w:start="17.70pt" w:hanging="17.70pt"/>
      </w:pPr>
      <w:r>
        <w:t xml:space="preserve">P. Veličković </w:t>
      </w:r>
      <w:r>
        <w:rPr>
          <w:i/>
          <w:iCs/>
        </w:rPr>
        <w:t>et al.</w:t>
      </w:r>
      <w:r>
        <w:t xml:space="preserve">, “Graph attention networks,” in </w:t>
      </w:r>
      <w:r>
        <w:rPr>
          <w:i/>
          <w:iCs/>
        </w:rPr>
        <w:t>Proc. ICLR</w:t>
      </w:r>
      <w:r>
        <w:t>, 2018.</w:t>
      </w:r>
    </w:p>
    <w:p w14:paraId="403DCC2C" w14:textId="77777777" w:rsidR="00CE65EF" w:rsidRDefault="00000000">
      <w:pPr>
        <w:pStyle w:val="references"/>
        <w:ind w:start="17.70pt" w:hanging="17.70pt"/>
      </w:pPr>
      <w:r>
        <w:t xml:space="preserve">S. Wachter, B. Mittelstadt, and C. Russell, “Counterfactual explanations without opening the black box,” </w:t>
      </w:r>
      <w:r>
        <w:rPr>
          <w:i/>
          <w:iCs/>
        </w:rPr>
        <w:t>Harvard Journal of Law &amp; Technology</w:t>
      </w:r>
      <w:r>
        <w:t>, vol. 31, 2018.</w:t>
      </w:r>
    </w:p>
    <w:p w14:paraId="1DCE9CA9" w14:textId="77777777" w:rsidR="00CE65EF" w:rsidRDefault="00000000">
      <w:pPr>
        <w:pStyle w:val="references"/>
        <w:ind w:start="17.70pt" w:hanging="17.70pt"/>
      </w:pPr>
      <w:r>
        <w:t xml:space="preserve">C. Karanjai </w:t>
      </w:r>
      <w:r>
        <w:rPr>
          <w:i/>
          <w:iCs/>
        </w:rPr>
        <w:t>et al.</w:t>
      </w:r>
      <w:r>
        <w:t>, “CausalGraphX: Adversarial causal regularization and counterfactual reasoning for financial graph neural networks,” arXiv:2607.14416, 2026.</w:t>
      </w:r>
    </w:p>
    <w:p w14:paraId="1A5CCFB8" w14:textId="77777777" w:rsidR="00CE65EF" w:rsidRDefault="00000000">
      <w:pPr>
        <w:pStyle w:val="references"/>
        <w:ind w:start="17.70pt" w:hanging="17.70pt"/>
      </w:pPr>
      <w:r>
        <w:t xml:space="preserve">T. N. Kipf and M. Welling, “Semi-supervised classification with graph convolutional networks,” in </w:t>
      </w:r>
      <w:r>
        <w:rPr>
          <w:i/>
          <w:iCs/>
        </w:rPr>
        <w:t>Proc. ICLR</w:t>
      </w:r>
      <w:r>
        <w:t>, 2017.</w:t>
      </w:r>
    </w:p>
    <w:p w14:paraId="759994E4" w14:textId="77777777" w:rsidR="00CE65EF" w:rsidRDefault="00000000">
      <w:pPr>
        <w:pStyle w:val="references"/>
        <w:ind w:start="17.70pt" w:hanging="17.70pt"/>
      </w:pPr>
      <w:r>
        <w:t xml:space="preserve">A. Paszke </w:t>
      </w:r>
      <w:r>
        <w:rPr>
          <w:i/>
          <w:iCs/>
        </w:rPr>
        <w:t>et al.</w:t>
      </w:r>
      <w:r>
        <w:t xml:space="preserve">, “PyTorch: An imperative style, high-performance deep learning library,” in </w:t>
      </w:r>
      <w:r>
        <w:rPr>
          <w:i/>
          <w:iCs/>
        </w:rPr>
        <w:t>Advances in Neural Information Processing Systems</w:t>
      </w:r>
      <w:r>
        <w:t>, vol. 32, 2019.</w:t>
      </w:r>
    </w:p>
    <w:p w14:paraId="1FF1E0DF" w14:textId="77777777" w:rsidR="00CE65EF" w:rsidRDefault="00000000">
      <w:pPr>
        <w:pStyle w:val="references"/>
        <w:ind w:start="17.70pt" w:hanging="17.70pt"/>
      </w:pPr>
      <w:r>
        <w:t xml:space="preserve">M. Fey and J. E. Lenssen, “Fast graph representation learning with PyTorch Geometric,” in </w:t>
      </w:r>
      <w:r>
        <w:rPr>
          <w:i/>
          <w:iCs/>
        </w:rPr>
        <w:t>Proc. ICLR Workshop on Representation Learning on Graphs and Manifolds</w:t>
      </w:r>
      <w:r>
        <w:t>, 2019.</w:t>
      </w:r>
    </w:p>
    <w:sectPr w:rsidR="00CE65EF">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2825268" w14:textId="77777777" w:rsidR="00C47C01" w:rsidRDefault="00C47C01" w:rsidP="001A3B3D">
      <w:r>
        <w:separator/>
      </w:r>
    </w:p>
  </w:endnote>
  <w:endnote w:type="continuationSeparator" w:id="0">
    <w:p w14:paraId="5D3C12FD" w14:textId="77777777" w:rsidR="00C47C01" w:rsidRDefault="00C47C0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51CFE9" w14:textId="6D190234"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4E83669" w14:textId="77777777" w:rsidR="00C47C01" w:rsidRDefault="00C47C01" w:rsidP="001A3B3D">
      <w:r>
        <w:separator/>
      </w:r>
    </w:p>
  </w:footnote>
  <w:footnote w:type="continuationSeparator" w:id="0">
    <w:p w14:paraId="3AEDEDBD" w14:textId="77777777" w:rsidR="00C47C01" w:rsidRDefault="00C47C0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4A1B2C3D"/>
    <w:multiLevelType w:val="singleLevel"/>
    <w:tmpl w:val="5B2C3D4E"/>
    <w:lvl w:ilvl="0">
      <w:start w:val="1"/>
      <w:numFmt w:val="decimal"/>
      <w:lvlText w:val="%1."/>
      <w:lvlJc w:val="start"/>
      <w:pPr>
        <w:tabs>
          <w:tab w:val="num" w:pos="32.40pt"/>
        </w:tabs>
        <w:ind w:start="32.40pt" w:hanging="18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293020317">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04920"/>
    <w:rsid w:val="001A0109"/>
    <w:rsid w:val="001A2EFD"/>
    <w:rsid w:val="001A3B3D"/>
    <w:rsid w:val="001B67DC"/>
    <w:rsid w:val="002254A9"/>
    <w:rsid w:val="00233D97"/>
    <w:rsid w:val="002347A2"/>
    <w:rsid w:val="00251F44"/>
    <w:rsid w:val="002850E3"/>
    <w:rsid w:val="00310CEC"/>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059F4"/>
    <w:rsid w:val="009303D9"/>
    <w:rsid w:val="00933C64"/>
    <w:rsid w:val="00972203"/>
    <w:rsid w:val="00974EE0"/>
    <w:rsid w:val="009F1D79"/>
    <w:rsid w:val="00A059B3"/>
    <w:rsid w:val="00AE3409"/>
    <w:rsid w:val="00B11A60"/>
    <w:rsid w:val="00B22613"/>
    <w:rsid w:val="00B44A76"/>
    <w:rsid w:val="00B768D1"/>
    <w:rsid w:val="00B8522B"/>
    <w:rsid w:val="00BA1025"/>
    <w:rsid w:val="00BC3420"/>
    <w:rsid w:val="00BD670B"/>
    <w:rsid w:val="00BE7D3C"/>
    <w:rsid w:val="00BF5FF6"/>
    <w:rsid w:val="00C0207F"/>
    <w:rsid w:val="00C16117"/>
    <w:rsid w:val="00C3075A"/>
    <w:rsid w:val="00C47C01"/>
    <w:rsid w:val="00C919A4"/>
    <w:rsid w:val="00CA4392"/>
    <w:rsid w:val="00CC393F"/>
    <w:rsid w:val="00CE65EF"/>
    <w:rsid w:val="00D143A4"/>
    <w:rsid w:val="00D2176E"/>
    <w:rsid w:val="00D632BE"/>
    <w:rsid w:val="00D72D06"/>
    <w:rsid w:val="00D7522C"/>
    <w:rsid w:val="00D7536F"/>
    <w:rsid w:val="00D76668"/>
    <w:rsid w:val="00E07383"/>
    <w:rsid w:val="00E165BC"/>
    <w:rsid w:val="00E61E12"/>
    <w:rsid w:val="00E7596C"/>
    <w:rsid w:val="00E846FA"/>
    <w:rsid w:val="00E878F2"/>
    <w:rsid w:val="00ED0149"/>
    <w:rsid w:val="00EF7DE3"/>
    <w:rsid w:val="00F03103"/>
    <w:rsid w:val="00F271DE"/>
    <w:rsid w:val="00F627DA"/>
    <w:rsid w:val="00F62FCC"/>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D2C1921"/>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ustomXml" Target="../customXml/item4.xml"/><Relationship Id="rId3" Type="http://purl.oclc.org/ooxml/officeDocument/relationships/styles" Target="styles.xml"/><Relationship Id="rId7" Type="http://purl.oclc.org/ooxml/officeDocument/relationships/endnotes" Target="endnotes.xml"/><Relationship Id="rId12" Type="http://purl.oclc.org/ooxml/officeDocument/relationships/customXml" Target="../customXml/item3.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customXml" Target="../customXml/item2.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5F055C11-4926-452E-AB2B-FC9D6B190020}"/>
</file>

<file path=customXml/itemProps3.xml><?xml version="1.0" encoding="utf-8"?>
<ds:datastoreItem xmlns:ds="http://schemas.openxmlformats.org/officeDocument/2006/customXml" ds:itemID="{45F99637-926F-454A-B4E3-7185EF828461}"/>
</file>

<file path=customXml/itemProps4.xml><?xml version="1.0" encoding="utf-8"?>
<ds:datastoreItem xmlns:ds="http://schemas.openxmlformats.org/officeDocument/2006/customXml" ds:itemID="{7F43E8D1-435F-4DFA-883F-4911C0C90212}"/>
</file>

<file path=docProps/app.xml><?xml version="1.0" encoding="utf-8"?>
<Properties xmlns="http://purl.oclc.org/ooxml/officeDocument/extendedProperties" xmlns:vt="http://purl.oclc.org/ooxml/officeDocument/docPropsVTypes">
  <Template>Normal.dotm</Template>
  <TotalTime>1</TotalTime>
  <Pages>3</Pages>
  <Words>2107</Words>
  <Characters>12015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QuantCopilot AI: An Integrated Financial Analytics Platform with Graph Neural Network Risk Analysis and Counterfactual Explainability</dc:title>
  <dc:subject/>
  <dc:creator>Jay Keluskar, Sahitya Sahani, Rishi Shah, Varad Tardekar</dc:creator>
  <cp:keywords/>
  <cp:lastModifiedBy>Ishika Bhute</cp:lastModifiedBy>
  <cp:revision>2</cp:revision>
  <dcterms:created xsi:type="dcterms:W3CDTF">2026-10-06T17:56:00Z</dcterms:created>
  <dcterms:modified xsi:type="dcterms:W3CDTF">2026-10-06T17:56:00Z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0x0101003705BFBD7D7D0F459F2EB6DF2A577303</vt:lpwstr>
  </property>
</Properties>
</file>