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7A8B" w:rsidRPr="00D97A8B" w:rsidRDefault="00D97A8B" w:rsidP="00D97A8B">
      <w:pPr>
        <w:spacing w:before="100" w:beforeAutospacing="1" w:after="100" w:afterAutospacing="1" w:line="240" w:lineRule="auto"/>
        <w:outlineLvl w:val="0"/>
        <w:rPr>
          <w:rFonts w:ascii="Arial Unicode MS" w:eastAsia="Arial Unicode MS" w:hAnsi="Arial Unicode MS" w:cs="Arial Unicode MS"/>
          <w:b/>
          <w:bCs/>
          <w:kern w:val="36"/>
          <w:sz w:val="48"/>
          <w:szCs w:val="48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36"/>
          <w:sz w:val="48"/>
          <w:szCs w:val="48"/>
          <w:lang w:eastAsia="en-IN"/>
          <w14:ligatures w14:val="none"/>
        </w:rPr>
        <w:t>Research Design / Design Formulation</w:t>
      </w:r>
    </w:p>
    <w:p w:rsidR="00D97A8B" w:rsidRPr="00D97A8B" w:rsidRDefault="00D97A8B" w:rsidP="00D97A8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8"/>
          <w:szCs w:val="28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8"/>
          <w:szCs w:val="28"/>
          <w:lang w:eastAsia="en-IN"/>
          <w14:ligatures w14:val="none"/>
        </w:rPr>
        <w:t xml:space="preserve">The present study adopts an </w:t>
      </w:r>
      <w:r w:rsidRPr="00F7353C">
        <w:rPr>
          <w:rFonts w:ascii="Arial Unicode MS" w:eastAsia="Arial Unicode MS" w:hAnsi="Arial Unicode MS" w:cs="Arial Unicode MS"/>
          <w:b/>
          <w:bCs/>
          <w:kern w:val="0"/>
          <w:sz w:val="28"/>
          <w:szCs w:val="28"/>
          <w:lang w:eastAsia="en-IN"/>
          <w14:ligatures w14:val="none"/>
        </w:rPr>
        <w:t>application-based analytical research design</w:t>
      </w:r>
      <w:r w:rsidRPr="00D97A8B">
        <w:rPr>
          <w:rFonts w:ascii="Arial Unicode MS" w:eastAsia="Arial Unicode MS" w:hAnsi="Arial Unicode MS" w:cs="Arial Unicode MS"/>
          <w:kern w:val="0"/>
          <w:sz w:val="28"/>
          <w:szCs w:val="28"/>
          <w:lang w:eastAsia="en-IN"/>
          <w14:ligatures w14:val="none"/>
        </w:rPr>
        <w:t xml:space="preserve"> aimed at quantifying the relationship between ESG (Environmental, Social and Governance) performance and financial outcomes of mid-sized financial service firms. The research design integrates </w:t>
      </w:r>
      <w:r w:rsidRPr="00F7353C">
        <w:rPr>
          <w:rFonts w:ascii="Arial Unicode MS" w:eastAsia="Arial Unicode MS" w:hAnsi="Arial Unicode MS" w:cs="Arial Unicode MS"/>
          <w:b/>
          <w:bCs/>
          <w:kern w:val="0"/>
          <w:sz w:val="28"/>
          <w:szCs w:val="28"/>
          <w:lang w:eastAsia="en-IN"/>
          <w14:ligatures w14:val="none"/>
        </w:rPr>
        <w:t>secondary data</w:t>
      </w:r>
      <w:r w:rsidRPr="00D97A8B">
        <w:rPr>
          <w:rFonts w:ascii="Arial Unicode MS" w:eastAsia="Arial Unicode MS" w:hAnsi="Arial Unicode MS" w:cs="Arial Unicode MS"/>
          <w:kern w:val="0"/>
          <w:sz w:val="28"/>
          <w:szCs w:val="28"/>
          <w:lang w:eastAsia="en-IN"/>
          <w14:ligatures w14:val="none"/>
        </w:rPr>
        <w:t xml:space="preserve">, </w:t>
      </w:r>
      <w:r w:rsidRPr="00F7353C">
        <w:rPr>
          <w:rFonts w:ascii="Arial Unicode MS" w:eastAsia="Arial Unicode MS" w:hAnsi="Arial Unicode MS" w:cs="Arial Unicode MS"/>
          <w:b/>
          <w:bCs/>
          <w:kern w:val="0"/>
          <w:sz w:val="28"/>
          <w:szCs w:val="28"/>
          <w:lang w:eastAsia="en-IN"/>
          <w14:ligatures w14:val="none"/>
        </w:rPr>
        <w:t>derived financial metrics</w:t>
      </w:r>
      <w:r w:rsidRPr="00D97A8B">
        <w:rPr>
          <w:rFonts w:ascii="Arial Unicode MS" w:eastAsia="Arial Unicode MS" w:hAnsi="Arial Unicode MS" w:cs="Arial Unicode MS"/>
          <w:kern w:val="0"/>
          <w:sz w:val="28"/>
          <w:szCs w:val="28"/>
          <w:lang w:eastAsia="en-IN"/>
          <w14:ligatures w14:val="none"/>
        </w:rPr>
        <w:t xml:space="preserve">, </w:t>
      </w:r>
      <w:r w:rsidRPr="00F7353C">
        <w:rPr>
          <w:rFonts w:ascii="Arial Unicode MS" w:eastAsia="Arial Unicode MS" w:hAnsi="Arial Unicode MS" w:cs="Arial Unicode MS"/>
          <w:b/>
          <w:bCs/>
          <w:kern w:val="0"/>
          <w:sz w:val="28"/>
          <w:szCs w:val="28"/>
          <w:lang w:eastAsia="en-IN"/>
          <w14:ligatures w14:val="none"/>
        </w:rPr>
        <w:t>engineered ESG indicators</w:t>
      </w:r>
      <w:r w:rsidRPr="00D97A8B">
        <w:rPr>
          <w:rFonts w:ascii="Arial Unicode MS" w:eastAsia="Arial Unicode MS" w:hAnsi="Arial Unicode MS" w:cs="Arial Unicode MS"/>
          <w:kern w:val="0"/>
          <w:sz w:val="28"/>
          <w:szCs w:val="28"/>
          <w:lang w:eastAsia="en-IN"/>
          <w14:ligatures w14:val="none"/>
        </w:rPr>
        <w:t xml:space="preserve">, and </w:t>
      </w:r>
      <w:r w:rsidRPr="00F7353C">
        <w:rPr>
          <w:rFonts w:ascii="Arial Unicode MS" w:eastAsia="Arial Unicode MS" w:hAnsi="Arial Unicode MS" w:cs="Arial Unicode MS"/>
          <w:b/>
          <w:bCs/>
          <w:kern w:val="0"/>
          <w:sz w:val="28"/>
          <w:szCs w:val="28"/>
          <w:lang w:eastAsia="en-IN"/>
          <w14:ligatures w14:val="none"/>
        </w:rPr>
        <w:t>visual analytical tools</w:t>
      </w:r>
      <w:r w:rsidRPr="00D97A8B">
        <w:rPr>
          <w:rFonts w:ascii="Arial Unicode MS" w:eastAsia="Arial Unicode MS" w:hAnsi="Arial Unicode MS" w:cs="Arial Unicode MS"/>
          <w:kern w:val="0"/>
          <w:sz w:val="28"/>
          <w:szCs w:val="28"/>
          <w:lang w:eastAsia="en-IN"/>
          <w14:ligatures w14:val="none"/>
        </w:rPr>
        <w:t xml:space="preserve"> to develop a comprehensive ESG–Financial Performance assessment framework. The following subsections outline the structural components of the research design.</w:t>
      </w:r>
    </w:p>
    <w:p w:rsidR="00F7353C" w:rsidRDefault="00D97A8B" w:rsidP="00F7353C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7353C" w:rsidRDefault="00F7353C" w:rsidP="00F7353C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</w:p>
    <w:p w:rsidR="00D97A8B" w:rsidRPr="00D97A8B" w:rsidRDefault="00D97A8B" w:rsidP="00F7353C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1</w:t>
      </w:r>
      <w:r w:rsidR="00F7353C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)</w:t>
      </w: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 xml:space="preserve"> Research Design Type</w:t>
      </w:r>
    </w:p>
    <w:p w:rsidR="00D97A8B" w:rsidRPr="00D97A8B" w:rsidRDefault="00D97A8B" w:rsidP="00D97A8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This study follows a </w:t>
      </w: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quantitative, correlational, and diagnostic research design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, supported by:</w:t>
      </w:r>
    </w:p>
    <w:p w:rsidR="00D97A8B" w:rsidRPr="00D97A8B" w:rsidRDefault="00D97A8B" w:rsidP="00D97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Descriptive statistics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– to summarize ESG and financial performance patterns</w:t>
      </w:r>
    </w:p>
    <w:p w:rsidR="00D97A8B" w:rsidRPr="00D97A8B" w:rsidRDefault="00D97A8B" w:rsidP="00D97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Inferential statistics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– to examine relationships (correlation, regression)</w:t>
      </w:r>
    </w:p>
    <w:p w:rsidR="00D97A8B" w:rsidRPr="00D97A8B" w:rsidRDefault="00D97A8B" w:rsidP="00D97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Comparative benchmarking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– across sectors and ESG quartiles</w:t>
      </w:r>
    </w:p>
    <w:p w:rsidR="00D97A8B" w:rsidRPr="00D97A8B" w:rsidRDefault="00D97A8B" w:rsidP="00D97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Visualization-led exploration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– using Tableau dashboards</w:t>
      </w:r>
    </w:p>
    <w:p w:rsidR="00D97A8B" w:rsidRPr="00D97A8B" w:rsidRDefault="00D97A8B" w:rsidP="00D97A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Index-based analysis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– via engineered metrics such as Growth-Adjusted ESG, Profitability Gap, and Leverage-to-ESG Ratio</w:t>
      </w:r>
    </w:p>
    <w:p w:rsidR="00D97A8B" w:rsidRPr="00D97A8B" w:rsidRDefault="00D97A8B" w:rsidP="00D97A8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This design allows both </w:t>
      </w: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measurement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(quantifying ESG-financial linkages) and </w:t>
      </w: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diagnosis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(identifying value-creating or value-destroying ESG behaviours).</w:t>
      </w:r>
    </w:p>
    <w:p w:rsidR="00D97A8B" w:rsidRPr="00D97A8B" w:rsidRDefault="00D97A8B" w:rsidP="00D97A8B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7353C" w:rsidRDefault="00F7353C" w:rsidP="00D97A8B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</w:pPr>
    </w:p>
    <w:p w:rsidR="00D97A8B" w:rsidRPr="00D97A8B" w:rsidRDefault="00D97A8B" w:rsidP="00D97A8B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lastRenderedPageBreak/>
        <w:t>2</w:t>
      </w:r>
      <w:r w:rsidR="00F7353C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)</w:t>
      </w: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 xml:space="preserve"> Data Source and Selection</w:t>
      </w:r>
    </w:p>
    <w:p w:rsidR="00D97A8B" w:rsidRPr="00D97A8B" w:rsidRDefault="00D97A8B" w:rsidP="00D97A8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The study uses </w:t>
      </w: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secondary data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sourced from publicly available corporate ESG datasets, sustainability disclosures, and annual financial statements.</w:t>
      </w:r>
    </w:p>
    <w:p w:rsidR="00D97A8B" w:rsidRPr="00D97A8B" w:rsidRDefault="00D97A8B" w:rsidP="00D97A8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Data includes:</w:t>
      </w:r>
    </w:p>
    <w:p w:rsidR="00D97A8B" w:rsidRPr="00D97A8B" w:rsidRDefault="00D97A8B" w:rsidP="00D97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ESG Performance Score</w:t>
      </w:r>
    </w:p>
    <w:p w:rsidR="00D97A8B" w:rsidRPr="00D97A8B" w:rsidRDefault="00D97A8B" w:rsidP="00D97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ESG Normalized Score</w:t>
      </w:r>
    </w:p>
    <w:p w:rsidR="00D97A8B" w:rsidRPr="00D97A8B" w:rsidRDefault="00D97A8B" w:rsidP="00D97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Corporate Sector Classification</w:t>
      </w:r>
    </w:p>
    <w:p w:rsidR="00D97A8B" w:rsidRPr="00D97A8B" w:rsidRDefault="00D97A8B" w:rsidP="00D97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Financial indicators: ROA, Tobin’s Q, Sustainable Growth Rate, Leverage Ratio</w:t>
      </w:r>
    </w:p>
    <w:p w:rsidR="00D97A8B" w:rsidRPr="00D97A8B" w:rsidRDefault="00D97A8B" w:rsidP="00D97A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Derived indicators: Profitability Gap, ESG Quartile, Growth-Adjusted ESG, Leverage-to-ESG Ratio</w:t>
      </w:r>
    </w:p>
    <w:p w:rsidR="00D97A8B" w:rsidRPr="00D97A8B" w:rsidRDefault="00D97A8B" w:rsidP="00D97A8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The dataset represents multiple industries, with emphasis on </w:t>
      </w: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financial services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, ensuring sector-level benchmarking.</w:t>
      </w:r>
    </w:p>
    <w:p w:rsidR="00D97A8B" w:rsidRPr="00D97A8B" w:rsidRDefault="00D97A8B" w:rsidP="00D97A8B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8"/>
          <w:szCs w:val="28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97A8B" w:rsidRPr="00D97A8B" w:rsidRDefault="00D97A8B" w:rsidP="00D97A8B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3</w:t>
      </w:r>
      <w:r w:rsidR="00F7353C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)</w:t>
      </w: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 xml:space="preserve"> Variables Used in the Study</w:t>
      </w:r>
    </w:p>
    <w:p w:rsidR="00D97A8B" w:rsidRPr="00D97A8B" w:rsidRDefault="00D97A8B" w:rsidP="00D97A8B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</w:pP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Independent Variable(s):</w:t>
      </w:r>
    </w:p>
    <w:p w:rsidR="00D97A8B" w:rsidRPr="00D97A8B" w:rsidRDefault="00D97A8B" w:rsidP="00D97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ESG Performance</w:t>
      </w:r>
    </w:p>
    <w:p w:rsidR="00D97A8B" w:rsidRPr="00D97A8B" w:rsidRDefault="00D97A8B" w:rsidP="00D97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proofErr w:type="spellStart"/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ESG_Normalized</w:t>
      </w:r>
      <w:proofErr w:type="spellEnd"/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Score</w:t>
      </w:r>
    </w:p>
    <w:p w:rsidR="00D97A8B" w:rsidRPr="00D97A8B" w:rsidRDefault="00D97A8B" w:rsidP="00D97A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proofErr w:type="spellStart"/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ESG_Quartile</w:t>
      </w:r>
      <w:proofErr w:type="spellEnd"/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Classification</w:t>
      </w:r>
    </w:p>
    <w:p w:rsidR="00D97A8B" w:rsidRPr="00D97A8B" w:rsidRDefault="00D97A8B" w:rsidP="00D97A8B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</w:pP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Dependent Variables (Financial Performance):</w:t>
      </w:r>
    </w:p>
    <w:p w:rsidR="00D97A8B" w:rsidRPr="00D97A8B" w:rsidRDefault="00D97A8B" w:rsidP="00D97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ROA (Return on Assets)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– profitability indicator</w:t>
      </w:r>
    </w:p>
    <w:p w:rsidR="00D97A8B" w:rsidRPr="00D97A8B" w:rsidRDefault="00D97A8B" w:rsidP="00D97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Tobin’s Q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– market valuation indicator</w:t>
      </w:r>
    </w:p>
    <w:p w:rsidR="00D97A8B" w:rsidRPr="00D97A8B" w:rsidRDefault="00D97A8B" w:rsidP="00D97A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Sustainable Growth Rate (SGR)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– long-term financial sustainability</w:t>
      </w:r>
    </w:p>
    <w:p w:rsidR="00F7353C" w:rsidRDefault="00F7353C" w:rsidP="00D97A8B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</w:pPr>
    </w:p>
    <w:p w:rsidR="00D97A8B" w:rsidRPr="00D97A8B" w:rsidRDefault="00D97A8B" w:rsidP="00D97A8B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</w:pPr>
      <w:r w:rsidRPr="00F7353C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lastRenderedPageBreak/>
        <w:t>Control/Diagnostic Variables:</w:t>
      </w:r>
    </w:p>
    <w:p w:rsidR="00D97A8B" w:rsidRPr="00D97A8B" w:rsidRDefault="00D97A8B" w:rsidP="00D97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Leverage Ratio</w:t>
      </w:r>
    </w:p>
    <w:p w:rsidR="00D97A8B" w:rsidRPr="00D97A8B" w:rsidRDefault="00D97A8B" w:rsidP="00D97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Sector Classification</w:t>
      </w:r>
    </w:p>
    <w:p w:rsidR="00D97A8B" w:rsidRPr="00D97A8B" w:rsidRDefault="00D97A8B" w:rsidP="00D97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Profitability Gap (relative to sector average)</w:t>
      </w:r>
    </w:p>
    <w:p w:rsidR="00D97A8B" w:rsidRPr="00D97A8B" w:rsidRDefault="00D97A8B" w:rsidP="00D97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Growth-Adjusted ESG</w:t>
      </w:r>
    </w:p>
    <w:p w:rsidR="00D97A8B" w:rsidRPr="00D97A8B" w:rsidRDefault="00D97A8B" w:rsidP="00D97A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Leverage-to-ESG Ratio</w:t>
      </w:r>
    </w:p>
    <w:p w:rsidR="00D97A8B" w:rsidRPr="00D97A8B" w:rsidRDefault="00D97A8B" w:rsidP="00D97A8B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97A8B" w:rsidRPr="00D97A8B" w:rsidRDefault="00D97A8B" w:rsidP="00D97A8B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4</w:t>
      </w:r>
      <w:r w:rsidR="00F7353C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)</w:t>
      </w: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 xml:space="preserve"> Analytical Framework</w:t>
      </w:r>
    </w:p>
    <w:p w:rsidR="00D97A8B" w:rsidRPr="00D97A8B" w:rsidRDefault="00D97A8B" w:rsidP="00D97A8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The study applies a multi-stage analytical framework:</w:t>
      </w:r>
    </w:p>
    <w:p w:rsidR="00D97A8B" w:rsidRPr="00D97A8B" w:rsidRDefault="00D97A8B" w:rsidP="00D97A8B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7"/>
          <w:szCs w:val="27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7"/>
          <w:szCs w:val="27"/>
          <w:lang w:eastAsia="en-IN"/>
          <w14:ligatures w14:val="none"/>
        </w:rPr>
        <w:t>Stage 1: Data Preparation &amp; Feature Engineering (Excel)</w:t>
      </w:r>
    </w:p>
    <w:p w:rsidR="00D97A8B" w:rsidRPr="00D97A8B" w:rsidRDefault="00D97A8B" w:rsidP="00D97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Data cleaning and formatting</w:t>
      </w:r>
    </w:p>
    <w:p w:rsidR="00D97A8B" w:rsidRPr="00D97A8B" w:rsidRDefault="00D97A8B" w:rsidP="00D97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ESG quartile creation</w:t>
      </w:r>
    </w:p>
    <w:p w:rsidR="00D97A8B" w:rsidRPr="00D97A8B" w:rsidRDefault="00D97A8B" w:rsidP="00D97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Industry averages and Profitability Gap</w:t>
      </w:r>
    </w:p>
    <w:p w:rsidR="00D97A8B" w:rsidRPr="00D97A8B" w:rsidRDefault="00D97A8B" w:rsidP="00D97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Normalization of ESG scores</w:t>
      </w:r>
    </w:p>
    <w:p w:rsidR="00D97A8B" w:rsidRPr="00D97A8B" w:rsidRDefault="00D97A8B" w:rsidP="00D97A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Creation of engineered indicators:</w:t>
      </w:r>
    </w:p>
    <w:p w:rsidR="00D97A8B" w:rsidRPr="00D97A8B" w:rsidRDefault="00D97A8B" w:rsidP="00D97A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Growth-Adjusted ESG</w:t>
      </w:r>
    </w:p>
    <w:p w:rsidR="00D97A8B" w:rsidRPr="00D97A8B" w:rsidRDefault="00D97A8B" w:rsidP="00D97A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Leverage-to-ESG Ratio</w:t>
      </w:r>
    </w:p>
    <w:p w:rsidR="00D97A8B" w:rsidRPr="00D97A8B" w:rsidRDefault="00D97A8B" w:rsidP="00D97A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Profitability Gap</w:t>
      </w:r>
    </w:p>
    <w:p w:rsidR="00D97A8B" w:rsidRPr="00D97A8B" w:rsidRDefault="00D97A8B" w:rsidP="00D97A8B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7"/>
          <w:szCs w:val="27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7"/>
          <w:szCs w:val="27"/>
          <w:lang w:eastAsia="en-IN"/>
          <w14:ligatures w14:val="none"/>
        </w:rPr>
        <w:t>Stage 2: Statistical Analysis (Excel)</w:t>
      </w:r>
    </w:p>
    <w:p w:rsidR="00D97A8B" w:rsidRPr="00D97A8B" w:rsidRDefault="00D97A8B" w:rsidP="00D97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Correlation Analysis</w:t>
      </w:r>
    </w:p>
    <w:p w:rsidR="00D97A8B" w:rsidRPr="00D97A8B" w:rsidRDefault="00D97A8B" w:rsidP="00D97A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Identifying associations between ESG and financial variables</w:t>
      </w:r>
    </w:p>
    <w:p w:rsidR="00D97A8B" w:rsidRPr="00D97A8B" w:rsidRDefault="00D97A8B" w:rsidP="00D97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Regression Analysis</w:t>
      </w:r>
    </w:p>
    <w:p w:rsidR="00D97A8B" w:rsidRPr="00D97A8B" w:rsidRDefault="00D97A8B" w:rsidP="00D97A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Simple regression: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br/>
        <w:t>ROA = β₀ + β₁(ESG Performance)</w:t>
      </w:r>
    </w:p>
    <w:p w:rsidR="00D97A8B" w:rsidRPr="00D97A8B" w:rsidRDefault="00D97A8B" w:rsidP="00D97A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Multiple regression: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br/>
        <w:t>ROA = β₀ + β₁(ESG Performance) + β₂(Leverage Ratio) + β₃(Sustainable Growth Rate)</w:t>
      </w:r>
    </w:p>
    <w:p w:rsidR="00D97A8B" w:rsidRPr="00D97A8B" w:rsidRDefault="00D97A8B" w:rsidP="00D97A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lastRenderedPageBreak/>
        <w:t>Sector &amp; Quartile Comparison</w:t>
      </w:r>
    </w:p>
    <w:p w:rsidR="00D97A8B" w:rsidRPr="00D97A8B" w:rsidRDefault="00D97A8B" w:rsidP="00D97A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Understanding variation across industry groups</w:t>
      </w:r>
    </w:p>
    <w:p w:rsidR="00D97A8B" w:rsidRPr="00D97A8B" w:rsidRDefault="00D97A8B" w:rsidP="00D97A8B">
      <w:pPr>
        <w:spacing w:before="100" w:beforeAutospacing="1" w:after="100" w:afterAutospacing="1" w:line="240" w:lineRule="auto"/>
        <w:outlineLvl w:val="2"/>
        <w:rPr>
          <w:rFonts w:ascii="Arial Unicode MS" w:eastAsia="Arial Unicode MS" w:hAnsi="Arial Unicode MS" w:cs="Arial Unicode MS"/>
          <w:b/>
          <w:bCs/>
          <w:kern w:val="0"/>
          <w:sz w:val="27"/>
          <w:szCs w:val="27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7"/>
          <w:szCs w:val="27"/>
          <w:lang w:eastAsia="en-IN"/>
          <w14:ligatures w14:val="none"/>
        </w:rPr>
        <w:t>Stage 3: Visualization-Based Diagnostics (Tableau)</w:t>
      </w:r>
    </w:p>
    <w:p w:rsidR="00D97A8B" w:rsidRPr="00D97A8B" w:rsidRDefault="00D97A8B" w:rsidP="00D97A8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Four interactive dashboards were created:</w:t>
      </w:r>
    </w:p>
    <w:p w:rsidR="00D97A8B" w:rsidRPr="00D97A8B" w:rsidRDefault="00D97A8B" w:rsidP="00D97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ESG Distribution Dashboard</w:t>
      </w:r>
    </w:p>
    <w:p w:rsidR="00D97A8B" w:rsidRPr="00D97A8B" w:rsidRDefault="00D97A8B" w:rsidP="00D97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ESG vs Financial Performance Dashboard</w:t>
      </w:r>
    </w:p>
    <w:p w:rsidR="00D97A8B" w:rsidRPr="00D97A8B" w:rsidRDefault="00D97A8B" w:rsidP="00D97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Sector Benchmarking Dashboard</w:t>
      </w:r>
    </w:p>
    <w:p w:rsidR="00D97A8B" w:rsidRPr="00D97A8B" w:rsidRDefault="00D97A8B" w:rsidP="00D97A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ESG Impact Index Dashboard (Signature Analysis)</w:t>
      </w:r>
    </w:p>
    <w:p w:rsidR="00D97A8B" w:rsidRPr="00D97A8B" w:rsidRDefault="00D97A8B" w:rsidP="00D97A8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These visual tools support exploratory analysis, pattern recognition, and executive-level insights.</w:t>
      </w:r>
    </w:p>
    <w:p w:rsidR="00D97A8B" w:rsidRPr="00D97A8B" w:rsidRDefault="00D97A8B" w:rsidP="00D97A8B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97A8B" w:rsidRPr="00D97A8B" w:rsidRDefault="00D97A8B" w:rsidP="00D97A8B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5</w:t>
      </w:r>
      <w:r w:rsidR="00F7353C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)</w:t>
      </w: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 xml:space="preserve"> Tools and Software Used</w:t>
      </w:r>
    </w:p>
    <w:p w:rsidR="00D97A8B" w:rsidRPr="00D97A8B" w:rsidRDefault="00D97A8B" w:rsidP="00D97A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Microsoft Excel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– data cleaning, formula-based calculations, correlation, regression</w:t>
      </w:r>
    </w:p>
    <w:p w:rsidR="00D97A8B" w:rsidRPr="00D97A8B" w:rsidRDefault="00D97A8B" w:rsidP="00D97A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Tableau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– interactive </w:t>
      </w:r>
      <w:proofErr w:type="spellStart"/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dashboarding</w:t>
      </w:r>
      <w:proofErr w:type="spellEnd"/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and visual analytics</w:t>
      </w:r>
    </w:p>
    <w:p w:rsidR="00D97A8B" w:rsidRPr="00D97A8B" w:rsidRDefault="00D97A8B" w:rsidP="00D97A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MS Word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 – reporting</w:t>
      </w:r>
    </w:p>
    <w:p w:rsidR="00D97A8B" w:rsidRPr="00D97A8B" w:rsidRDefault="00693522" w:rsidP="00D97A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 xml:space="preserve">MS PowerPoint </w:t>
      </w:r>
      <w:r w:rsidR="00D97A8B"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– presentation-style insights</w:t>
      </w:r>
    </w:p>
    <w:p w:rsidR="00D97A8B" w:rsidRPr="00D97A8B" w:rsidRDefault="00D97A8B" w:rsidP="00D97A8B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97A8B" w:rsidRPr="00D97A8B" w:rsidRDefault="00D97A8B" w:rsidP="00D97A8B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6</w:t>
      </w:r>
      <w:r w:rsidR="00F7353C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)</w:t>
      </w: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 xml:space="preserve"> Conceptual Model of the Study</w:t>
      </w:r>
    </w:p>
    <w:p w:rsidR="00D97A8B" w:rsidRPr="00D97A8B" w:rsidRDefault="00D97A8B" w:rsidP="00D97A8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ESG Performance → Financial Performance Indicators (ROA, Tobin’s Q, SGR</w:t>
      </w:r>
      <w:proofErr w:type="gramStart"/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)</w:t>
      </w:r>
      <w:proofErr w:type="gramEnd"/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br/>
        <w:t>↑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br/>
        <w:t>Moderated/Influenced by engineered diagnostics:</w:t>
      </w:r>
    </w:p>
    <w:p w:rsidR="00D97A8B" w:rsidRPr="00D97A8B" w:rsidRDefault="00D97A8B" w:rsidP="00D97A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Profitability Gap</w:t>
      </w:r>
    </w:p>
    <w:p w:rsidR="00D97A8B" w:rsidRPr="00D97A8B" w:rsidRDefault="00D97A8B" w:rsidP="00D97A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Growth-Adjusted ESG</w:t>
      </w:r>
      <w:bookmarkStart w:id="0" w:name="_GoBack"/>
      <w:bookmarkEnd w:id="0"/>
    </w:p>
    <w:p w:rsidR="00D97A8B" w:rsidRPr="00D97A8B" w:rsidRDefault="00D97A8B" w:rsidP="00D97A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lastRenderedPageBreak/>
        <w:t>Leverage-to-ESG Ratio</w:t>
      </w:r>
    </w:p>
    <w:p w:rsidR="00D97A8B" w:rsidRPr="00D97A8B" w:rsidRDefault="00D97A8B" w:rsidP="00D97A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Sector Classification</w:t>
      </w:r>
    </w:p>
    <w:p w:rsidR="00D97A8B" w:rsidRPr="00D97A8B" w:rsidRDefault="00D97A8B" w:rsidP="00D97A8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 xml:space="preserve">This framework reflects the hypothesis that </w:t>
      </w:r>
      <w:r w:rsidRPr="00D97A8B">
        <w:rPr>
          <w:rFonts w:ascii="Arial Unicode MS" w:eastAsia="Arial Unicode MS" w:hAnsi="Arial Unicode MS" w:cs="Arial Unicode MS"/>
          <w:b/>
          <w:bCs/>
          <w:kern w:val="0"/>
          <w:sz w:val="24"/>
          <w:szCs w:val="24"/>
          <w:lang w:eastAsia="en-IN"/>
          <w14:ligatures w14:val="none"/>
        </w:rPr>
        <w:t>ESG maturity contributes to better financial performance</w:t>
      </w: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, moderated by firm-level financial structure and industry context.</w:t>
      </w:r>
    </w:p>
    <w:p w:rsidR="00D97A8B" w:rsidRPr="00D97A8B" w:rsidRDefault="00D97A8B" w:rsidP="00D97A8B">
      <w:pPr>
        <w:spacing w:after="0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97A8B" w:rsidRPr="00D97A8B" w:rsidRDefault="00D97A8B" w:rsidP="00D97A8B">
      <w:pPr>
        <w:spacing w:before="100" w:beforeAutospacing="1" w:after="100" w:afterAutospacing="1" w:line="240" w:lineRule="auto"/>
        <w:outlineLvl w:val="1"/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7</w:t>
      </w:r>
      <w:r w:rsidR="00F7353C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>)</w:t>
      </w:r>
      <w:r w:rsidRPr="00D97A8B">
        <w:rPr>
          <w:rFonts w:ascii="Arial Unicode MS" w:eastAsia="Arial Unicode MS" w:hAnsi="Arial Unicode MS" w:cs="Arial Unicode MS"/>
          <w:b/>
          <w:bCs/>
          <w:kern w:val="0"/>
          <w:sz w:val="36"/>
          <w:szCs w:val="36"/>
          <w:lang w:eastAsia="en-IN"/>
          <w14:ligatures w14:val="none"/>
        </w:rPr>
        <w:t xml:space="preserve"> Expected Outcome of the Research Design</w:t>
      </w:r>
    </w:p>
    <w:p w:rsidR="00D97A8B" w:rsidRPr="00D97A8B" w:rsidRDefault="00D97A8B" w:rsidP="00D97A8B">
      <w:p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The research design aims to:</w:t>
      </w:r>
    </w:p>
    <w:p w:rsidR="00D97A8B" w:rsidRPr="00D97A8B" w:rsidRDefault="00D97A8B" w:rsidP="00D97A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Identify measurable ESG–financial linkages</w:t>
      </w:r>
    </w:p>
    <w:p w:rsidR="00D97A8B" w:rsidRPr="00D97A8B" w:rsidRDefault="00D97A8B" w:rsidP="00D97A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Evaluate ESG performance variability across industries</w:t>
      </w:r>
    </w:p>
    <w:p w:rsidR="00D97A8B" w:rsidRPr="00D97A8B" w:rsidRDefault="00D97A8B" w:rsidP="00D97A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Determine whether high ESG quartiles outperform low quartiles financially</w:t>
      </w:r>
    </w:p>
    <w:p w:rsidR="00D97A8B" w:rsidRPr="00D97A8B" w:rsidRDefault="00D97A8B" w:rsidP="00D97A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Diagnose companies that extract maximum (or minimal) financial value per ESG unit</w:t>
      </w:r>
    </w:p>
    <w:p w:rsidR="00D97A8B" w:rsidRPr="00D97A8B" w:rsidRDefault="00D97A8B" w:rsidP="00D97A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</w:pPr>
      <w:r w:rsidRPr="00D97A8B">
        <w:rPr>
          <w:rFonts w:ascii="Arial Unicode MS" w:eastAsia="Arial Unicode MS" w:hAnsi="Arial Unicode MS" w:cs="Arial Unicode MS"/>
          <w:kern w:val="0"/>
          <w:sz w:val="24"/>
          <w:szCs w:val="24"/>
          <w:lang w:eastAsia="en-IN"/>
          <w14:ligatures w14:val="none"/>
        </w:rPr>
        <w:t>Provide a consulting-style ESG Impact Index framework for managerial decision-making</w:t>
      </w:r>
    </w:p>
    <w:p w:rsidR="00B10418" w:rsidRPr="00D97A8B" w:rsidRDefault="00B10418">
      <w:pPr>
        <w:rPr>
          <w:rFonts w:ascii="Arial Unicode MS" w:eastAsia="Arial Unicode MS" w:hAnsi="Arial Unicode MS" w:cs="Arial Unicode MS"/>
        </w:rPr>
      </w:pPr>
    </w:p>
    <w:sectPr w:rsidR="00B10418" w:rsidRPr="00D97A8B" w:rsidSect="00D97A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7759E"/>
    <w:multiLevelType w:val="multilevel"/>
    <w:tmpl w:val="E5E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040A85"/>
    <w:multiLevelType w:val="multilevel"/>
    <w:tmpl w:val="A53C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2B3CE0"/>
    <w:multiLevelType w:val="multilevel"/>
    <w:tmpl w:val="5FF6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C245A1"/>
    <w:multiLevelType w:val="multilevel"/>
    <w:tmpl w:val="EFD6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8812F9"/>
    <w:multiLevelType w:val="multilevel"/>
    <w:tmpl w:val="4000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B12C52"/>
    <w:multiLevelType w:val="multilevel"/>
    <w:tmpl w:val="0EE02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F9114EF"/>
    <w:multiLevelType w:val="multilevel"/>
    <w:tmpl w:val="B088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4B4413"/>
    <w:multiLevelType w:val="multilevel"/>
    <w:tmpl w:val="AB7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70693A"/>
    <w:multiLevelType w:val="multilevel"/>
    <w:tmpl w:val="488C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5AC41FA"/>
    <w:multiLevelType w:val="multilevel"/>
    <w:tmpl w:val="AB5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5F3D4B"/>
    <w:multiLevelType w:val="multilevel"/>
    <w:tmpl w:val="3504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2"/>
  </w:num>
  <w:num w:numId="6">
    <w:abstractNumId w:val="8"/>
  </w:num>
  <w:num w:numId="7">
    <w:abstractNumId w:val="5"/>
  </w:num>
  <w:num w:numId="8">
    <w:abstractNumId w:val="10"/>
  </w:num>
  <w:num w:numId="9">
    <w:abstractNumId w:val="7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A8B"/>
    <w:rsid w:val="00693522"/>
    <w:rsid w:val="00B10418"/>
    <w:rsid w:val="00B16087"/>
    <w:rsid w:val="00D97A8B"/>
    <w:rsid w:val="00E1095F"/>
    <w:rsid w:val="00E77D8D"/>
    <w:rsid w:val="00F73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3CB6FD-660C-45D6-BDBE-52FA714B7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7A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97A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97A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97A8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97A8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97A8B"/>
    <w:rPr>
      <w:b/>
      <w:bCs/>
    </w:rPr>
  </w:style>
  <w:style w:type="character" w:styleId="Emphasis">
    <w:name w:val="Emphasis"/>
    <w:basedOn w:val="DefaultParagraphFont"/>
    <w:uiPriority w:val="20"/>
    <w:qFormat/>
    <w:rsid w:val="00D97A8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97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00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2025-11-16T07:12:00Z</dcterms:created>
  <dcterms:modified xsi:type="dcterms:W3CDTF">2025-11-16T07:54:00Z</dcterms:modified>
</cp:coreProperties>
</file>