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OSAI MVP Execution Plan</w:t>
        <w:br/>
      </w:r>
      <w:r>
        <w:rPr>
          <w:b w:val="0"/>
          <w:color w:val="595959"/>
          <w:sz w:val="26"/>
        </w:rPr>
        <w:t>Updated Stack, Connector Strategy, and Pilot Build Roadmap</w:t>
      </w:r>
    </w:p>
    <w:p>
      <w:pPr>
        <w:jc w:val="center"/>
      </w:pPr>
      <w:r>
        <w:t>Prepared for the OSAI founding team and build agent | Date: June 2, 2026</w:t>
      </w:r>
    </w:p>
    <w:tbl>
      <w:tblPr>
        <w:tblStyle w:val="TableGrid"/>
        <w:tblW w:type="auto" w:w="0"/>
        <w:tblLook w:firstColumn="1" w:firstRow="1" w:lastColumn="0" w:lastRow="0" w:noHBand="0" w:noVBand="1" w:val="04A0"/>
      </w:tblPr>
      <w:tblGrid>
        <w:gridCol w:w="9792"/>
      </w:tblGrid>
      <w:tr>
        <w:tc>
          <w:tcPr>
            <w:tcW w:type="dxa" w:w="9792"/>
            <w:shd w:fill="EAF2F8"/>
          </w:tcPr>
          <w:p>
            <w:r/>
            <w:r>
              <w:rPr>
                <w:b/>
                <w:color w:val="1F4E79"/>
              </w:rPr>
              <w:t>Build thesis</w:t>
            </w:r>
            <w:r>
              <w:br/>
              <w:t>Ship a connector-first OSAI MVP quickly by reusing proven open-source architecture patterns, using Composio for OAuth/tool execution where possible, and building only the opinionated OSAI layer: source ingestion, permission-aware memory, context retrieval, workflow execution, and the internal dashboard.</w:t>
            </w:r>
          </w:p>
        </w:tc>
      </w:tr>
    </w:tbl>
    <w:p/>
    <w:p>
      <w:pPr>
        <w:pStyle w:val="Heading1"/>
      </w:pPr>
      <w:r>
        <w:t>1. Executive Decision</w:t>
      </w:r>
    </w:p>
    <w:p>
      <w:r>
        <w:t>The original brief is directionally right, but Section 12 is too narrow for the actual pilot. It treats the MVP as a Zoom-to-Linear workflow. The updated MVP should be a connector-first operating layer with one polished workflow and a small set of high-value knowledge and business-system connectors.</w:t>
      </w:r>
    </w:p>
    <w:p>
      <w:pPr>
        <w:pStyle w:val="ListBullet"/>
      </w:pPr>
      <w:r>
        <w:t>Do not build a universal connector marketplace in the first pilot.</w:t>
      </w:r>
    </w:p>
    <w:p>
      <w:pPr>
        <w:pStyle w:val="ListBullet"/>
      </w:pPr>
      <w:r>
        <w:t>Do build a stable connector registry that lets us add sources without rewriting workflows.</w:t>
      </w:r>
    </w:p>
    <w:p>
      <w:pPr>
        <w:pStyle w:val="ListBullet"/>
      </w:pPr>
      <w:r>
        <w:t>Use open-source repos as reference or internal scaffolding, but avoid GPL contamination in distributed SaaS code.</w:t>
      </w:r>
    </w:p>
    <w:p>
      <w:pPr>
        <w:pStyle w:val="ListBullet"/>
      </w:pPr>
      <w:r>
        <w:t>Prioritize integrations that prove the pain: scattered communication, scattered knowledge, unclear ownership, and manual internal ops.</w:t>
      </w:r>
    </w:p>
    <w:p>
      <w:pPr>
        <w:pStyle w:val="ListBullet"/>
      </w:pPr>
      <w:r>
        <w:t>Pilot success equals trusted context retrieval plus visible execution: tasks created, support tickets summarized, HR/finance answers surfaced, and dashboard clarity.</w:t>
      </w:r>
    </w:p>
    <w:p>
      <w:pPr>
        <w:pStyle w:val="Heading1"/>
      </w:pPr>
      <w:r>
        <w:t>2. MVP Product Surface</w:t>
      </w:r>
    </w:p>
    <w:tbl>
      <w:tblPr>
        <w:tblStyle w:val="TableGrid"/>
        <w:tblW w:type="auto" w:w="0"/>
        <w:tblLook w:firstColumn="1" w:firstRow="1" w:lastColumn="0" w:lastRow="0" w:noHBand="0" w:noVBand="1" w:val="04A0"/>
      </w:tblPr>
      <w:tblGrid>
        <w:gridCol w:w="3264"/>
        <w:gridCol w:w="3264"/>
        <w:gridCol w:w="3264"/>
      </w:tblGrid>
      <w:tr>
        <w:tc>
          <w:tcPr>
            <w:tcW w:type="dxa" w:w="2160"/>
            <w:shd w:fill="1F4E79"/>
            <w:vAlign w:val="center"/>
          </w:tcPr>
          <w:p>
            <w:pPr>
              <w:spacing w:after="0"/>
            </w:pPr>
            <w:r/>
            <w:r>
              <w:rPr>
                <w:b/>
                <w:color w:val="FFFFFF"/>
              </w:rPr>
              <w:t>Surface</w:t>
            </w:r>
          </w:p>
        </w:tc>
        <w:tc>
          <w:tcPr>
            <w:tcW w:type="dxa" w:w="4608"/>
            <w:shd w:fill="1F4E79"/>
            <w:vAlign w:val="center"/>
          </w:tcPr>
          <w:p>
            <w:pPr>
              <w:spacing w:after="0"/>
            </w:pPr>
            <w:r/>
            <w:r>
              <w:rPr>
                <w:b/>
                <w:color w:val="FFFFFF"/>
              </w:rPr>
              <w:t>What ships in MVP</w:t>
            </w:r>
          </w:p>
        </w:tc>
        <w:tc>
          <w:tcPr>
            <w:tcW w:type="dxa" w:w="3456"/>
            <w:shd w:fill="1F4E79"/>
            <w:vAlign w:val="center"/>
          </w:tcPr>
          <w:p>
            <w:pPr>
              <w:spacing w:after="0"/>
            </w:pPr>
            <w:r/>
            <w:r>
              <w:rPr>
                <w:b/>
                <w:color w:val="FFFFFF"/>
              </w:rPr>
              <w:t>What waits</w:t>
            </w:r>
          </w:p>
        </w:tc>
      </w:tr>
      <w:tr>
        <w:tc>
          <w:tcPr>
            <w:tcW w:type="dxa" w:w="2160"/>
            <w:vAlign w:val="top"/>
          </w:tcPr>
          <w:p>
            <w:pPr>
              <w:spacing w:after="0"/>
            </w:pPr>
            <w:r/>
            <w:r>
              <w:rPr>
                <w:b w:val="0"/>
              </w:rPr>
              <w:t>Internal dashboard</w:t>
            </w:r>
          </w:p>
        </w:tc>
        <w:tc>
          <w:tcPr>
            <w:tcW w:type="dxa" w:w="4608"/>
            <w:vAlign w:val="top"/>
          </w:tcPr>
          <w:p>
            <w:pPr>
              <w:spacing w:after="0"/>
            </w:pPr>
            <w:r/>
            <w:r>
              <w:rPr>
                <w:b w:val="0"/>
              </w:rPr>
              <w:t>One admin dashboard showing connected tools, recent syncs, workflow runs, extracted action items, and source health.</w:t>
            </w:r>
          </w:p>
        </w:tc>
        <w:tc>
          <w:tcPr>
            <w:tcW w:type="dxa" w:w="3456"/>
            <w:vAlign w:val="top"/>
          </w:tcPr>
          <w:p>
            <w:pPr>
              <w:spacing w:after="0"/>
            </w:pPr>
            <w:r/>
            <w:r>
              <w:rPr>
                <w:b w:val="0"/>
              </w:rPr>
              <w:t>Custom dashboard builder, advanced analytics, and multi-role permissions.</w:t>
            </w:r>
          </w:p>
        </w:tc>
      </w:tr>
      <w:tr>
        <w:tc>
          <w:tcPr>
            <w:tcW w:type="dxa" w:w="2160"/>
            <w:vAlign w:val="top"/>
          </w:tcPr>
          <w:p>
            <w:pPr>
              <w:spacing w:after="0"/>
            </w:pPr>
            <w:r/>
            <w:r>
              <w:rPr>
                <w:b w:val="0"/>
              </w:rPr>
              <w:t>Org brain search</w:t>
            </w:r>
          </w:p>
        </w:tc>
        <w:tc>
          <w:tcPr>
            <w:tcW w:type="dxa" w:w="4608"/>
            <w:vAlign w:val="top"/>
          </w:tcPr>
          <w:p>
            <w:pPr>
              <w:spacing w:after="0"/>
            </w:pPr>
            <w:r/>
            <w:r>
              <w:rPr>
                <w:b w:val="0"/>
              </w:rPr>
              <w:t>Ask questions across Slack/email/docs/Notion/Freshdesk with citations and source links.</w:t>
            </w:r>
          </w:p>
        </w:tc>
        <w:tc>
          <w:tcPr>
            <w:tcW w:type="dxa" w:w="3456"/>
            <w:vAlign w:val="top"/>
          </w:tcPr>
          <w:p>
            <w:pPr>
              <w:spacing w:after="0"/>
            </w:pPr>
            <w:r/>
            <w:r>
              <w:rPr>
                <w:b w:val="0"/>
              </w:rPr>
              <w:t>Full enterprise graph and deep personal graph.</w:t>
            </w:r>
          </w:p>
        </w:tc>
      </w:tr>
      <w:tr>
        <w:tc>
          <w:tcPr>
            <w:tcW w:type="dxa" w:w="2160"/>
            <w:vAlign w:val="top"/>
          </w:tcPr>
          <w:p>
            <w:pPr>
              <w:spacing w:after="0"/>
            </w:pPr>
            <w:r/>
            <w:r>
              <w:rPr>
                <w:b w:val="0"/>
              </w:rPr>
              <w:t>Action workflow</w:t>
            </w:r>
          </w:p>
        </w:tc>
        <w:tc>
          <w:tcPr>
            <w:tcW w:type="dxa" w:w="4608"/>
            <w:vAlign w:val="top"/>
          </w:tcPr>
          <w:p>
            <w:pPr>
              <w:spacing w:after="0"/>
            </w:pPr>
            <w:r/>
            <w:r>
              <w:rPr>
                <w:b w:val="0"/>
              </w:rPr>
              <w:t>Meeting/action-item extraction that creates Notion tasks or Linear/GitHub tickets and posts a Slack/email summary.</w:t>
            </w:r>
          </w:p>
        </w:tc>
        <w:tc>
          <w:tcPr>
            <w:tcW w:type="dxa" w:w="3456"/>
            <w:vAlign w:val="top"/>
          </w:tcPr>
          <w:p>
            <w:pPr>
              <w:spacing w:after="0"/>
            </w:pPr>
            <w:r/>
            <w:r>
              <w:rPr>
                <w:b w:val="0"/>
              </w:rPr>
              <w:t>General workflow builder and complex approval routing.</w:t>
            </w:r>
          </w:p>
        </w:tc>
      </w:tr>
      <w:tr>
        <w:tc>
          <w:tcPr>
            <w:tcW w:type="dxa" w:w="2160"/>
            <w:vAlign w:val="top"/>
          </w:tcPr>
          <w:p>
            <w:pPr>
              <w:spacing w:after="0"/>
            </w:pPr>
            <w:r/>
            <w:r>
              <w:rPr>
                <w:b w:val="0"/>
              </w:rPr>
              <w:t>Tool setup</w:t>
            </w:r>
          </w:p>
        </w:tc>
        <w:tc>
          <w:tcPr>
            <w:tcW w:type="dxa" w:w="4608"/>
            <w:vAlign w:val="top"/>
          </w:tcPr>
          <w:p>
            <w:pPr>
              <w:spacing w:after="0"/>
            </w:pPr>
            <w:r/>
            <w:r>
              <w:rPr>
                <w:b w:val="0"/>
              </w:rPr>
              <w:t>Guided connect screens for P0 connectors, using Composio where possible and direct APIs where necessary.</w:t>
            </w:r>
          </w:p>
        </w:tc>
        <w:tc>
          <w:tcPr>
            <w:tcW w:type="dxa" w:w="3456"/>
            <w:vAlign w:val="top"/>
          </w:tcPr>
          <w:p>
            <w:pPr>
              <w:spacing w:after="0"/>
            </w:pPr>
            <w:r/>
            <w:r>
              <w:rPr>
                <w:b w:val="0"/>
              </w:rPr>
              <w:t>Marketplace, billing gates, public app directory.</w:t>
            </w:r>
          </w:p>
        </w:tc>
      </w:tr>
      <w:tr>
        <w:tc>
          <w:tcPr>
            <w:tcW w:type="dxa" w:w="2160"/>
            <w:vAlign w:val="top"/>
          </w:tcPr>
          <w:p>
            <w:pPr>
              <w:spacing w:after="0"/>
            </w:pPr>
            <w:r/>
            <w:r>
              <w:rPr>
                <w:b w:val="0"/>
              </w:rPr>
              <w:t>Governance</w:t>
            </w:r>
          </w:p>
        </w:tc>
        <w:tc>
          <w:tcPr>
            <w:tcW w:type="dxa" w:w="4608"/>
            <w:vAlign w:val="top"/>
          </w:tcPr>
          <w:p>
            <w:pPr>
              <w:spacing w:after="0"/>
            </w:pPr>
            <w:r/>
            <w:r>
              <w:rPr>
                <w:b w:val="0"/>
              </w:rPr>
              <w:t>Simple org-level data tier flags: Normal, Amber, Red. Red data routes to local model when configured.</w:t>
            </w:r>
          </w:p>
        </w:tc>
        <w:tc>
          <w:tcPr>
            <w:tcW w:type="dxa" w:w="3456"/>
            <w:vAlign w:val="top"/>
          </w:tcPr>
          <w:p>
            <w:pPr>
              <w:spacing w:after="0"/>
            </w:pPr>
            <w:r/>
            <w:r>
              <w:rPr>
                <w:b w:val="0"/>
              </w:rPr>
              <w:t>Full RBAC, SAML/SSO, audit exports.</w:t>
            </w:r>
          </w:p>
        </w:tc>
      </w:tr>
    </w:tbl>
    <w:p/>
    <w:p>
      <w:pPr>
        <w:pStyle w:val="Heading1"/>
      </w:pPr>
      <w:r>
        <w:t>3. Integration Priority</w:t>
      </w:r>
    </w:p>
    <w:tbl>
      <w:tblPr>
        <w:tblStyle w:val="TableGrid"/>
        <w:tblW w:type="auto" w:w="0"/>
        <w:tblLook w:firstColumn="1" w:firstRow="1" w:lastColumn="0" w:lastRow="0" w:noHBand="0" w:noVBand="1" w:val="04A0"/>
      </w:tblPr>
      <w:tblGrid>
        <w:gridCol w:w="2448"/>
        <w:gridCol w:w="2448"/>
        <w:gridCol w:w="2448"/>
        <w:gridCol w:w="2448"/>
      </w:tblGrid>
      <w:tr>
        <w:tc>
          <w:tcPr>
            <w:tcW w:type="dxa" w:w="1008"/>
            <w:shd w:fill="1F4E79"/>
            <w:vAlign w:val="center"/>
          </w:tcPr>
          <w:p>
            <w:pPr>
              <w:spacing w:after="0"/>
            </w:pPr>
            <w:r/>
            <w:r>
              <w:rPr>
                <w:b/>
                <w:color w:val="FFFFFF"/>
              </w:rPr>
              <w:t>Priority</w:t>
            </w:r>
          </w:p>
        </w:tc>
        <w:tc>
          <w:tcPr>
            <w:tcW w:type="dxa" w:w="2088"/>
            <w:shd w:fill="1F4E79"/>
            <w:vAlign w:val="center"/>
          </w:tcPr>
          <w:p>
            <w:pPr>
              <w:spacing w:after="0"/>
            </w:pPr>
            <w:r/>
            <w:r>
              <w:rPr>
                <w:b/>
                <w:color w:val="FFFFFF"/>
              </w:rPr>
              <w:t>Connector</w:t>
            </w:r>
          </w:p>
        </w:tc>
        <w:tc>
          <w:tcPr>
            <w:tcW w:type="dxa" w:w="3672"/>
            <w:shd w:fill="1F4E79"/>
            <w:vAlign w:val="center"/>
          </w:tcPr>
          <w:p>
            <w:pPr>
              <w:spacing w:after="0"/>
            </w:pPr>
            <w:r/>
            <w:r>
              <w:rPr>
                <w:b/>
                <w:color w:val="FFFFFF"/>
              </w:rPr>
              <w:t>Reason</w:t>
            </w:r>
          </w:p>
        </w:tc>
        <w:tc>
          <w:tcPr>
            <w:tcW w:type="dxa" w:w="3456"/>
            <w:shd w:fill="1F4E79"/>
            <w:vAlign w:val="center"/>
          </w:tcPr>
          <w:p>
            <w:pPr>
              <w:spacing w:after="0"/>
            </w:pPr>
            <w:r/>
            <w:r>
              <w:rPr>
                <w:b/>
                <w:color w:val="FFFFFF"/>
              </w:rPr>
              <w:t>Implementation path</w:t>
            </w:r>
          </w:p>
        </w:tc>
      </w:tr>
      <w:tr>
        <w:tc>
          <w:tcPr>
            <w:tcW w:type="dxa" w:w="1008"/>
            <w:vAlign w:val="top"/>
          </w:tcPr>
          <w:p>
            <w:pPr>
              <w:spacing w:after="0"/>
            </w:pPr>
            <w:r/>
            <w:r>
              <w:rPr>
                <w:b w:val="0"/>
              </w:rPr>
              <w:t>P0</w:t>
            </w:r>
          </w:p>
        </w:tc>
        <w:tc>
          <w:tcPr>
            <w:tcW w:type="dxa" w:w="2088"/>
            <w:vAlign w:val="top"/>
          </w:tcPr>
          <w:p>
            <w:pPr>
              <w:spacing w:after="0"/>
            </w:pPr>
            <w:r/>
            <w:r>
              <w:rPr>
                <w:b w:val="0"/>
              </w:rPr>
              <w:t>Slack</w:t>
            </w:r>
          </w:p>
        </w:tc>
        <w:tc>
          <w:tcPr>
            <w:tcW w:type="dxa" w:w="3672"/>
            <w:vAlign w:val="top"/>
          </w:tcPr>
          <w:p>
            <w:pPr>
              <w:spacing w:after="0"/>
            </w:pPr>
            <w:r/>
            <w:r>
              <w:rPr>
                <w:b w:val="0"/>
              </w:rPr>
              <w:t>Primary scattered-communication source and notification destination.</w:t>
            </w:r>
          </w:p>
        </w:tc>
        <w:tc>
          <w:tcPr>
            <w:tcW w:type="dxa" w:w="3456"/>
            <w:vAlign w:val="top"/>
          </w:tcPr>
          <w:p>
            <w:pPr>
              <w:spacing w:after="0"/>
            </w:pPr>
            <w:r/>
            <w:r>
              <w:rPr>
                <w:b w:val="0"/>
              </w:rPr>
              <w:t>Composio or Slack API Events/OAuth.</w:t>
            </w:r>
          </w:p>
        </w:tc>
      </w:tr>
      <w:tr>
        <w:tc>
          <w:tcPr>
            <w:tcW w:type="dxa" w:w="1008"/>
            <w:vAlign w:val="top"/>
          </w:tcPr>
          <w:p>
            <w:pPr>
              <w:spacing w:after="0"/>
            </w:pPr>
            <w:r/>
            <w:r>
              <w:rPr>
                <w:b w:val="0"/>
              </w:rPr>
              <w:t>P0</w:t>
            </w:r>
          </w:p>
        </w:tc>
        <w:tc>
          <w:tcPr>
            <w:tcW w:type="dxa" w:w="2088"/>
            <w:vAlign w:val="top"/>
          </w:tcPr>
          <w:p>
            <w:pPr>
              <w:spacing w:after="0"/>
            </w:pPr>
            <w:r/>
            <w:r>
              <w:rPr>
                <w:b w:val="0"/>
              </w:rPr>
              <w:t>Email: Gmail and Outlook</w:t>
            </w:r>
          </w:p>
        </w:tc>
        <w:tc>
          <w:tcPr>
            <w:tcW w:type="dxa" w:w="3672"/>
            <w:vAlign w:val="top"/>
          </w:tcPr>
          <w:p>
            <w:pPr>
              <w:spacing w:after="0"/>
            </w:pPr>
            <w:r/>
            <w:r>
              <w:rPr>
                <w:b w:val="0"/>
              </w:rPr>
              <w:t>Decisions and client context live in inboxes.</w:t>
            </w:r>
          </w:p>
        </w:tc>
        <w:tc>
          <w:tcPr>
            <w:tcW w:type="dxa" w:w="3456"/>
            <w:vAlign w:val="top"/>
          </w:tcPr>
          <w:p>
            <w:pPr>
              <w:spacing w:after="0"/>
            </w:pPr>
            <w:r/>
            <w:r>
              <w:rPr>
                <w:b w:val="0"/>
              </w:rPr>
              <w:t>Google APIs and Microsoft Graph; use Composio if pilot auth is faster.</w:t>
            </w:r>
          </w:p>
        </w:tc>
      </w:tr>
      <w:tr>
        <w:tc>
          <w:tcPr>
            <w:tcW w:type="dxa" w:w="1008"/>
            <w:vAlign w:val="top"/>
          </w:tcPr>
          <w:p>
            <w:pPr>
              <w:spacing w:after="0"/>
            </w:pPr>
            <w:r/>
            <w:r>
              <w:rPr>
                <w:b w:val="0"/>
              </w:rPr>
              <w:t>P0</w:t>
            </w:r>
          </w:p>
        </w:tc>
        <w:tc>
          <w:tcPr>
            <w:tcW w:type="dxa" w:w="2088"/>
            <w:vAlign w:val="top"/>
          </w:tcPr>
          <w:p>
            <w:pPr>
              <w:spacing w:after="0"/>
            </w:pPr>
            <w:r/>
            <w:r>
              <w:rPr>
                <w:b w:val="0"/>
              </w:rPr>
              <w:t>Google Drive</w:t>
            </w:r>
          </w:p>
        </w:tc>
        <w:tc>
          <w:tcPr>
            <w:tcW w:type="dxa" w:w="3672"/>
            <w:vAlign w:val="top"/>
          </w:tcPr>
          <w:p>
            <w:pPr>
              <w:spacing w:after="0"/>
            </w:pPr>
            <w:r/>
            <w:r>
              <w:rPr>
                <w:b w:val="0"/>
              </w:rPr>
              <w:t>Core knowledge base for docs, sheets, decks, PDFs.</w:t>
            </w:r>
          </w:p>
        </w:tc>
        <w:tc>
          <w:tcPr>
            <w:tcW w:type="dxa" w:w="3456"/>
            <w:vAlign w:val="top"/>
          </w:tcPr>
          <w:p>
            <w:pPr>
              <w:spacing w:after="0"/>
            </w:pPr>
            <w:r/>
            <w:r>
              <w:rPr>
                <w:b w:val="0"/>
              </w:rPr>
              <w:t>Google Drive API; sync metadata and extract file text.</w:t>
            </w:r>
          </w:p>
        </w:tc>
      </w:tr>
      <w:tr>
        <w:tc>
          <w:tcPr>
            <w:tcW w:type="dxa" w:w="1008"/>
            <w:vAlign w:val="top"/>
          </w:tcPr>
          <w:p>
            <w:pPr>
              <w:spacing w:after="0"/>
            </w:pPr>
            <w:r/>
            <w:r>
              <w:rPr>
                <w:b w:val="0"/>
              </w:rPr>
              <w:t>P0</w:t>
            </w:r>
          </w:p>
        </w:tc>
        <w:tc>
          <w:tcPr>
            <w:tcW w:type="dxa" w:w="2088"/>
            <w:vAlign w:val="top"/>
          </w:tcPr>
          <w:p>
            <w:pPr>
              <w:spacing w:after="0"/>
            </w:pPr>
            <w:r/>
            <w:r>
              <w:rPr>
                <w:b w:val="0"/>
              </w:rPr>
              <w:t>Microsoft OneDrive/SharePoint</w:t>
            </w:r>
          </w:p>
        </w:tc>
        <w:tc>
          <w:tcPr>
            <w:tcW w:type="dxa" w:w="3672"/>
            <w:vAlign w:val="top"/>
          </w:tcPr>
          <w:p>
            <w:pPr>
              <w:spacing w:after="0"/>
            </w:pPr>
            <w:r/>
            <w:r>
              <w:rPr>
                <w:b w:val="0"/>
              </w:rPr>
              <w:t>Office files and enterprise documents.</w:t>
            </w:r>
          </w:p>
        </w:tc>
        <w:tc>
          <w:tcPr>
            <w:tcW w:type="dxa" w:w="3456"/>
            <w:vAlign w:val="top"/>
          </w:tcPr>
          <w:p>
            <w:pPr>
              <w:spacing w:after="0"/>
            </w:pPr>
            <w:r/>
            <w:r>
              <w:rPr>
                <w:b w:val="0"/>
              </w:rPr>
              <w:t>Microsoft Graph files APIs.</w:t>
            </w:r>
          </w:p>
        </w:tc>
      </w:tr>
      <w:tr>
        <w:tc>
          <w:tcPr>
            <w:tcW w:type="dxa" w:w="1008"/>
            <w:vAlign w:val="top"/>
          </w:tcPr>
          <w:p>
            <w:pPr>
              <w:spacing w:after="0"/>
            </w:pPr>
            <w:r/>
            <w:r>
              <w:rPr>
                <w:b w:val="0"/>
              </w:rPr>
              <w:t>P0</w:t>
            </w:r>
          </w:p>
        </w:tc>
        <w:tc>
          <w:tcPr>
            <w:tcW w:type="dxa" w:w="2088"/>
            <w:vAlign w:val="top"/>
          </w:tcPr>
          <w:p>
            <w:pPr>
              <w:spacing w:after="0"/>
            </w:pPr>
            <w:r/>
            <w:r>
              <w:rPr>
                <w:b w:val="0"/>
              </w:rPr>
              <w:t>Notion</w:t>
            </w:r>
          </w:p>
        </w:tc>
        <w:tc>
          <w:tcPr>
            <w:tcW w:type="dxa" w:w="3672"/>
            <w:vAlign w:val="top"/>
          </w:tcPr>
          <w:p>
            <w:pPr>
              <w:spacing w:after="0"/>
            </w:pPr>
            <w:r/>
            <w:r>
              <w:rPr>
                <w:b w:val="0"/>
              </w:rPr>
              <w:t>Task management and internal docs.</w:t>
            </w:r>
          </w:p>
        </w:tc>
        <w:tc>
          <w:tcPr>
            <w:tcW w:type="dxa" w:w="3456"/>
            <w:vAlign w:val="top"/>
          </w:tcPr>
          <w:p>
            <w:pPr>
              <w:spacing w:after="0"/>
            </w:pPr>
            <w:r/>
            <w:r>
              <w:rPr>
                <w:b w:val="0"/>
              </w:rPr>
              <w:t>Official Notion API; create tasks/pages and ingest pages/databases.</w:t>
            </w:r>
          </w:p>
        </w:tc>
      </w:tr>
      <w:tr>
        <w:tc>
          <w:tcPr>
            <w:tcW w:type="dxa" w:w="1008"/>
            <w:vAlign w:val="top"/>
          </w:tcPr>
          <w:p>
            <w:pPr>
              <w:spacing w:after="0"/>
            </w:pPr>
            <w:r/>
            <w:r>
              <w:rPr>
                <w:b w:val="0"/>
              </w:rPr>
              <w:t>P0</w:t>
            </w:r>
          </w:p>
        </w:tc>
        <w:tc>
          <w:tcPr>
            <w:tcW w:type="dxa" w:w="2088"/>
            <w:vAlign w:val="top"/>
          </w:tcPr>
          <w:p>
            <w:pPr>
              <w:spacing w:after="0"/>
            </w:pPr>
            <w:r/>
            <w:r>
              <w:rPr>
                <w:b w:val="0"/>
              </w:rPr>
              <w:t>Freshdesk</w:t>
            </w:r>
          </w:p>
        </w:tc>
        <w:tc>
          <w:tcPr>
            <w:tcW w:type="dxa" w:w="3672"/>
            <w:vAlign w:val="top"/>
          </w:tcPr>
          <w:p>
            <w:pPr>
              <w:spacing w:after="0"/>
            </w:pPr>
            <w:r/>
            <w:r>
              <w:rPr>
                <w:b w:val="0"/>
              </w:rPr>
              <w:t>Customer support context and ticket trends.</w:t>
            </w:r>
          </w:p>
        </w:tc>
        <w:tc>
          <w:tcPr>
            <w:tcW w:type="dxa" w:w="3456"/>
            <w:vAlign w:val="top"/>
          </w:tcPr>
          <w:p>
            <w:pPr>
              <w:spacing w:after="0"/>
            </w:pPr>
            <w:r/>
            <w:r>
              <w:rPr>
                <w:b w:val="0"/>
              </w:rPr>
              <w:t>Freshdesk REST API v2.</w:t>
            </w:r>
          </w:p>
        </w:tc>
      </w:tr>
      <w:tr>
        <w:tc>
          <w:tcPr>
            <w:tcW w:type="dxa" w:w="1008"/>
            <w:vAlign w:val="top"/>
          </w:tcPr>
          <w:p>
            <w:pPr>
              <w:spacing w:after="0"/>
            </w:pPr>
            <w:r/>
            <w:r>
              <w:rPr>
                <w:b w:val="0"/>
              </w:rPr>
              <w:t>P1</w:t>
            </w:r>
          </w:p>
        </w:tc>
        <w:tc>
          <w:tcPr>
            <w:tcW w:type="dxa" w:w="2088"/>
            <w:vAlign w:val="top"/>
          </w:tcPr>
          <w:p>
            <w:pPr>
              <w:spacing w:after="0"/>
            </w:pPr>
            <w:r/>
            <w:r>
              <w:rPr>
                <w:b w:val="0"/>
              </w:rPr>
              <w:t>Keka</w:t>
            </w:r>
          </w:p>
        </w:tc>
        <w:tc>
          <w:tcPr>
            <w:tcW w:type="dxa" w:w="3672"/>
            <w:vAlign w:val="top"/>
          </w:tcPr>
          <w:p>
            <w:pPr>
              <w:spacing w:after="0"/>
            </w:pPr>
            <w:r/>
            <w:r>
              <w:rPr>
                <w:b w:val="0"/>
              </w:rPr>
              <w:t>HR answers: leave, attendance, employee profile, policies.</w:t>
            </w:r>
          </w:p>
        </w:tc>
        <w:tc>
          <w:tcPr>
            <w:tcW w:type="dxa" w:w="3456"/>
            <w:vAlign w:val="top"/>
          </w:tcPr>
          <w:p>
            <w:pPr>
              <w:spacing w:after="0"/>
            </w:pPr>
            <w:r/>
            <w:r>
              <w:rPr>
                <w:b w:val="0"/>
              </w:rPr>
              <w:t>Official Keka API; read-only first.</w:t>
            </w:r>
          </w:p>
        </w:tc>
      </w:tr>
      <w:tr>
        <w:tc>
          <w:tcPr>
            <w:tcW w:type="dxa" w:w="1008"/>
            <w:vAlign w:val="top"/>
          </w:tcPr>
          <w:p>
            <w:pPr>
              <w:spacing w:after="0"/>
            </w:pPr>
            <w:r/>
            <w:r>
              <w:rPr>
                <w:b w:val="0"/>
              </w:rPr>
              <w:t>P1</w:t>
            </w:r>
          </w:p>
        </w:tc>
        <w:tc>
          <w:tcPr>
            <w:tcW w:type="dxa" w:w="2088"/>
            <w:vAlign w:val="top"/>
          </w:tcPr>
          <w:p>
            <w:pPr>
              <w:spacing w:after="0"/>
            </w:pPr>
            <w:r/>
            <w:r>
              <w:rPr>
                <w:b w:val="0"/>
              </w:rPr>
              <w:t>TallyPrime</w:t>
            </w:r>
          </w:p>
        </w:tc>
        <w:tc>
          <w:tcPr>
            <w:tcW w:type="dxa" w:w="3672"/>
            <w:vAlign w:val="top"/>
          </w:tcPr>
          <w:p>
            <w:pPr>
              <w:spacing w:after="0"/>
            </w:pPr>
            <w:r/>
            <w:r>
              <w:rPr>
                <w:b w:val="0"/>
              </w:rPr>
              <w:t>Finance answers and lightweight reporting.</w:t>
            </w:r>
          </w:p>
        </w:tc>
        <w:tc>
          <w:tcPr>
            <w:tcW w:type="dxa" w:w="3456"/>
            <w:vAlign w:val="top"/>
          </w:tcPr>
          <w:p>
            <w:pPr>
              <w:spacing w:after="0"/>
            </w:pPr>
            <w:r/>
            <w:r>
              <w:rPr>
                <w:b w:val="0"/>
              </w:rPr>
              <w:t>TallyPrime XML/HTTP or JSON integration depending on installed version.</w:t>
            </w:r>
          </w:p>
        </w:tc>
      </w:tr>
      <w:tr>
        <w:tc>
          <w:tcPr>
            <w:tcW w:type="dxa" w:w="1008"/>
            <w:vAlign w:val="top"/>
          </w:tcPr>
          <w:p>
            <w:pPr>
              <w:spacing w:after="0"/>
            </w:pPr>
            <w:r/>
            <w:r>
              <w:rPr>
                <w:b w:val="0"/>
              </w:rPr>
              <w:t>P1</w:t>
            </w:r>
          </w:p>
        </w:tc>
        <w:tc>
          <w:tcPr>
            <w:tcW w:type="dxa" w:w="2088"/>
            <w:vAlign w:val="top"/>
          </w:tcPr>
          <w:p>
            <w:pPr>
              <w:spacing w:after="0"/>
            </w:pPr>
            <w:r/>
            <w:r>
              <w:rPr>
                <w:b w:val="0"/>
              </w:rPr>
              <w:t>WhatsApp Business</w:t>
            </w:r>
          </w:p>
        </w:tc>
        <w:tc>
          <w:tcPr>
            <w:tcW w:type="dxa" w:w="3672"/>
            <w:vAlign w:val="top"/>
          </w:tcPr>
          <w:p>
            <w:pPr>
              <w:spacing w:after="0"/>
            </w:pPr>
            <w:r/>
            <w:r>
              <w:rPr>
                <w:b w:val="0"/>
              </w:rPr>
              <w:t>High-signal informal customer/team communication.</w:t>
            </w:r>
          </w:p>
        </w:tc>
        <w:tc>
          <w:tcPr>
            <w:tcW w:type="dxa" w:w="3456"/>
            <w:vAlign w:val="top"/>
          </w:tcPr>
          <w:p>
            <w:pPr>
              <w:spacing w:after="0"/>
            </w:pPr>
            <w:r/>
            <w:r>
              <w:rPr>
                <w:b w:val="0"/>
              </w:rPr>
              <w:t>Meta WhatsApp Cloud API; likely read/summarize first, write later.</w:t>
            </w:r>
          </w:p>
        </w:tc>
      </w:tr>
      <w:tr>
        <w:tc>
          <w:tcPr>
            <w:tcW w:type="dxa" w:w="1008"/>
            <w:vAlign w:val="top"/>
          </w:tcPr>
          <w:p>
            <w:pPr>
              <w:spacing w:after="0"/>
            </w:pPr>
            <w:r/>
            <w:r>
              <w:rPr>
                <w:b w:val="0"/>
              </w:rPr>
              <w:t>P1</w:t>
            </w:r>
          </w:p>
        </w:tc>
        <w:tc>
          <w:tcPr>
            <w:tcW w:type="dxa" w:w="2088"/>
            <w:vAlign w:val="top"/>
          </w:tcPr>
          <w:p>
            <w:pPr>
              <w:spacing w:after="0"/>
            </w:pPr>
            <w:r/>
            <w:r>
              <w:rPr>
                <w:b w:val="0"/>
              </w:rPr>
              <w:t>Cursor / code context</w:t>
            </w:r>
          </w:p>
        </w:tc>
        <w:tc>
          <w:tcPr>
            <w:tcW w:type="dxa" w:w="3672"/>
            <w:vAlign w:val="top"/>
          </w:tcPr>
          <w:p>
            <w:pPr>
              <w:spacing w:after="0"/>
            </w:pPr>
            <w:r/>
            <w:r>
              <w:rPr>
                <w:b w:val="0"/>
              </w:rPr>
              <w:t>Tech team context and code-agent workflows.</w:t>
            </w:r>
          </w:p>
        </w:tc>
        <w:tc>
          <w:tcPr>
            <w:tcW w:type="dxa" w:w="3456"/>
            <w:vAlign w:val="top"/>
          </w:tcPr>
          <w:p>
            <w:pPr>
              <w:spacing w:after="0"/>
            </w:pPr>
            <w:r/>
            <w:r>
              <w:rPr>
                <w:b w:val="0"/>
              </w:rPr>
              <w:t>Expose OSAI memory as MCP; optionally ingest repo docs/issues.</w:t>
            </w:r>
          </w:p>
        </w:tc>
      </w:tr>
      <w:tr>
        <w:tc>
          <w:tcPr>
            <w:tcW w:type="dxa" w:w="1008"/>
            <w:vAlign w:val="top"/>
          </w:tcPr>
          <w:p>
            <w:pPr>
              <w:spacing w:after="0"/>
            </w:pPr>
            <w:r/>
            <w:r>
              <w:rPr>
                <w:b w:val="0"/>
              </w:rPr>
              <w:t>P2</w:t>
            </w:r>
          </w:p>
        </w:tc>
        <w:tc>
          <w:tcPr>
            <w:tcW w:type="dxa" w:w="2088"/>
            <w:vAlign w:val="top"/>
          </w:tcPr>
          <w:p>
            <w:pPr>
              <w:spacing w:after="0"/>
            </w:pPr>
            <w:r/>
            <w:r>
              <w:rPr>
                <w:b w:val="0"/>
              </w:rPr>
              <w:t>ChatGPT / Claude memory bridge</w:t>
            </w:r>
          </w:p>
        </w:tc>
        <w:tc>
          <w:tcPr>
            <w:tcW w:type="dxa" w:w="3672"/>
            <w:vAlign w:val="top"/>
          </w:tcPr>
          <w:p>
            <w:pPr>
              <w:spacing w:after="0"/>
            </w:pPr>
            <w:r/>
            <w:r>
              <w:rPr>
                <w:b w:val="0"/>
              </w:rPr>
              <w:t>Knowledge currently created inside AI tools.</w:t>
            </w:r>
          </w:p>
        </w:tc>
        <w:tc>
          <w:tcPr>
            <w:tcW w:type="dxa" w:w="3456"/>
            <w:vAlign w:val="top"/>
          </w:tcPr>
          <w:p>
            <w:pPr>
              <w:spacing w:after="0"/>
            </w:pPr>
            <w:r/>
            <w:r>
              <w:rPr>
                <w:b w:val="0"/>
              </w:rPr>
              <w:t>MCP bridge, exports, or user-shared artifacts; do not depend on unavailable private data APIs.</w:t>
            </w:r>
          </w:p>
        </w:tc>
      </w:tr>
    </w:tbl>
    <w:p/>
    <w:p>
      <w:pPr>
        <w:pStyle w:val="Heading1"/>
      </w:pPr>
      <w:r>
        <w:t>4. Updated Technical Stack</w:t>
      </w:r>
    </w:p>
    <w:tbl>
      <w:tblPr>
        <w:tblStyle w:val="TableGrid"/>
        <w:tblW w:type="auto" w:w="0"/>
        <w:tblLook w:firstColumn="1" w:firstRow="1" w:lastColumn="0" w:lastRow="0" w:noHBand="0" w:noVBand="1" w:val="04A0"/>
      </w:tblPr>
      <w:tblGrid>
        <w:gridCol w:w="3264"/>
        <w:gridCol w:w="3264"/>
        <w:gridCol w:w="3264"/>
      </w:tblGrid>
      <w:tr>
        <w:tc>
          <w:tcPr>
            <w:tcW w:type="dxa" w:w="1800"/>
            <w:shd w:fill="1F4E79"/>
            <w:vAlign w:val="center"/>
          </w:tcPr>
          <w:p>
            <w:pPr>
              <w:spacing w:after="0"/>
            </w:pPr>
            <w:r/>
            <w:r>
              <w:rPr>
                <w:b/>
                <w:color w:val="FFFFFF"/>
              </w:rPr>
              <w:t>Layer</w:t>
            </w:r>
          </w:p>
        </w:tc>
        <w:tc>
          <w:tcPr>
            <w:tcW w:type="dxa" w:w="3384"/>
            <w:shd w:fill="1F4E79"/>
            <w:vAlign w:val="center"/>
          </w:tcPr>
          <w:p>
            <w:pPr>
              <w:spacing w:after="0"/>
            </w:pPr>
            <w:r/>
            <w:r>
              <w:rPr>
                <w:b/>
                <w:color w:val="FFFFFF"/>
              </w:rPr>
              <w:t>Decision</w:t>
            </w:r>
          </w:p>
        </w:tc>
        <w:tc>
          <w:tcPr>
            <w:tcW w:type="dxa" w:w="4968"/>
            <w:shd w:fill="1F4E79"/>
            <w:vAlign w:val="center"/>
          </w:tcPr>
          <w:p>
            <w:pPr>
              <w:spacing w:after="0"/>
            </w:pPr>
            <w:r/>
            <w:r>
              <w:rPr>
                <w:b/>
                <w:color w:val="FFFFFF"/>
              </w:rPr>
              <w:t>Configuration</w:t>
            </w:r>
          </w:p>
        </w:tc>
      </w:tr>
      <w:tr>
        <w:tc>
          <w:tcPr>
            <w:tcW w:type="dxa" w:w="1800"/>
            <w:vAlign w:val="top"/>
          </w:tcPr>
          <w:p>
            <w:pPr>
              <w:spacing w:after="0"/>
            </w:pPr>
            <w:r/>
            <w:r>
              <w:rPr>
                <w:b w:val="0"/>
              </w:rPr>
              <w:t>Backend</w:t>
            </w:r>
          </w:p>
        </w:tc>
        <w:tc>
          <w:tcPr>
            <w:tcW w:type="dxa" w:w="3384"/>
            <w:vAlign w:val="top"/>
          </w:tcPr>
          <w:p>
            <w:pPr>
              <w:spacing w:after="0"/>
            </w:pPr>
            <w:r/>
            <w:r>
              <w:rPr>
                <w:b w:val="0"/>
              </w:rPr>
              <w:t>Python 3.12 or 3.13, FastAPI, Pydantic v2</w:t>
            </w:r>
          </w:p>
        </w:tc>
        <w:tc>
          <w:tcPr>
            <w:tcW w:type="dxa" w:w="4968"/>
            <w:vAlign w:val="top"/>
          </w:tcPr>
          <w:p>
            <w:pPr>
              <w:spacing w:after="0"/>
            </w:pPr>
            <w:r/>
            <w:r>
              <w:rPr>
                <w:b w:val="0"/>
              </w:rPr>
              <w:t>Use uv for dependency locking. Keep async FastAPI routes and sync Celery workers.</w:t>
            </w:r>
          </w:p>
        </w:tc>
      </w:tr>
      <w:tr>
        <w:tc>
          <w:tcPr>
            <w:tcW w:type="dxa" w:w="1800"/>
            <w:vAlign w:val="top"/>
          </w:tcPr>
          <w:p>
            <w:pPr>
              <w:spacing w:after="0"/>
            </w:pPr>
            <w:r/>
            <w:r>
              <w:rPr>
                <w:b w:val="0"/>
              </w:rPr>
              <w:t>Workers</w:t>
            </w:r>
          </w:p>
        </w:tc>
        <w:tc>
          <w:tcPr>
            <w:tcW w:type="dxa" w:w="3384"/>
            <w:vAlign w:val="top"/>
          </w:tcPr>
          <w:p>
            <w:pPr>
              <w:spacing w:after="0"/>
            </w:pPr>
            <w:r/>
            <w:r>
              <w:rPr>
                <w:b w:val="0"/>
              </w:rPr>
              <w:t>Celery + Redis</w:t>
            </w:r>
          </w:p>
        </w:tc>
        <w:tc>
          <w:tcPr>
            <w:tcW w:type="dxa" w:w="4968"/>
            <w:vAlign w:val="top"/>
          </w:tcPr>
          <w:p>
            <w:pPr>
              <w:spacing w:after="0"/>
            </w:pPr>
            <w:r/>
            <w:r>
              <w:rPr>
                <w:b w:val="0"/>
              </w:rPr>
              <w:t>Queues: ingest, transcribe, extract, execute, maintenance. Use retries, idempotency keys, and dead-letter handling.</w:t>
            </w:r>
          </w:p>
        </w:tc>
      </w:tr>
      <w:tr>
        <w:tc>
          <w:tcPr>
            <w:tcW w:type="dxa" w:w="1800"/>
            <w:vAlign w:val="top"/>
          </w:tcPr>
          <w:p>
            <w:pPr>
              <w:spacing w:after="0"/>
            </w:pPr>
            <w:r/>
            <w:r>
              <w:rPr>
                <w:b w:val="0"/>
              </w:rPr>
              <w:t>Frontend</w:t>
            </w:r>
          </w:p>
        </w:tc>
        <w:tc>
          <w:tcPr>
            <w:tcW w:type="dxa" w:w="3384"/>
            <w:vAlign w:val="top"/>
          </w:tcPr>
          <w:p>
            <w:pPr>
              <w:spacing w:after="0"/>
            </w:pPr>
            <w:r/>
            <w:r>
              <w:rPr>
                <w:b w:val="0"/>
              </w:rPr>
              <w:t>Next.js current stable on Node 24 LTS</w:t>
            </w:r>
          </w:p>
        </w:tc>
        <w:tc>
          <w:tcPr>
            <w:tcW w:type="dxa" w:w="4968"/>
            <w:vAlign w:val="top"/>
          </w:tcPr>
          <w:p>
            <w:pPr>
              <w:spacing w:after="0"/>
            </w:pPr>
            <w:r/>
            <w:r>
              <w:rPr>
                <w:b w:val="0"/>
              </w:rPr>
              <w:t>App Router, server actions where useful, Tailwind/shadcn only if already accepted by repo.</w:t>
            </w:r>
          </w:p>
        </w:tc>
      </w:tr>
      <w:tr>
        <w:tc>
          <w:tcPr>
            <w:tcW w:type="dxa" w:w="1800"/>
            <w:vAlign w:val="top"/>
          </w:tcPr>
          <w:p>
            <w:pPr>
              <w:spacing w:after="0"/>
            </w:pPr>
            <w:r/>
            <w:r>
              <w:rPr>
                <w:b w:val="0"/>
              </w:rPr>
              <w:t>Database</w:t>
            </w:r>
          </w:p>
        </w:tc>
        <w:tc>
          <w:tcPr>
            <w:tcW w:type="dxa" w:w="3384"/>
            <w:vAlign w:val="top"/>
          </w:tcPr>
          <w:p>
            <w:pPr>
              <w:spacing w:after="0"/>
            </w:pPr>
            <w:r/>
            <w:r>
              <w:rPr>
                <w:b w:val="0"/>
              </w:rPr>
              <w:t>PostgreSQL via Supabase for pilot</w:t>
            </w:r>
          </w:p>
        </w:tc>
        <w:tc>
          <w:tcPr>
            <w:tcW w:type="dxa" w:w="4968"/>
            <w:vAlign w:val="top"/>
          </w:tcPr>
          <w:p>
            <w:pPr>
              <w:spacing w:after="0"/>
            </w:pPr>
            <w:r/>
            <w:r>
              <w:rPr>
                <w:b w:val="0"/>
              </w:rPr>
              <w:t>Tables: orgs, users, connectors, sync_runs, documents, chunks, workflow_runs, action_items, audit_events.</w:t>
            </w:r>
          </w:p>
        </w:tc>
      </w:tr>
      <w:tr>
        <w:tc>
          <w:tcPr>
            <w:tcW w:type="dxa" w:w="1800"/>
            <w:vAlign w:val="top"/>
          </w:tcPr>
          <w:p>
            <w:pPr>
              <w:spacing w:after="0"/>
            </w:pPr>
            <w:r/>
            <w:r>
              <w:rPr>
                <w:b w:val="0"/>
              </w:rPr>
              <w:t>Vector store</w:t>
            </w:r>
          </w:p>
        </w:tc>
        <w:tc>
          <w:tcPr>
            <w:tcW w:type="dxa" w:w="3384"/>
            <w:vAlign w:val="top"/>
          </w:tcPr>
          <w:p>
            <w:pPr>
              <w:spacing w:after="0"/>
            </w:pPr>
            <w:r/>
            <w:r>
              <w:rPr>
                <w:b w:val="0"/>
              </w:rPr>
              <w:t>Qdrant</w:t>
            </w:r>
          </w:p>
        </w:tc>
        <w:tc>
          <w:tcPr>
            <w:tcW w:type="dxa" w:w="4968"/>
            <w:vAlign w:val="top"/>
          </w:tcPr>
          <w:p>
            <w:pPr>
              <w:spacing w:after="0"/>
            </w:pPr>
            <w:r/>
            <w:r>
              <w:rPr>
                <w:b w:val="0"/>
              </w:rPr>
              <w:t>One collection per org or tenant-prefixed collection names. Payload filters enforce org_id, source_id, data_tier, permissions.</w:t>
            </w:r>
          </w:p>
        </w:tc>
      </w:tr>
      <w:tr>
        <w:tc>
          <w:tcPr>
            <w:tcW w:type="dxa" w:w="1800"/>
            <w:vAlign w:val="top"/>
          </w:tcPr>
          <w:p>
            <w:pPr>
              <w:spacing w:after="0"/>
            </w:pPr>
            <w:r/>
            <w:r>
              <w:rPr>
                <w:b w:val="0"/>
              </w:rPr>
              <w:t>Object storage</w:t>
            </w:r>
          </w:p>
        </w:tc>
        <w:tc>
          <w:tcPr>
            <w:tcW w:type="dxa" w:w="3384"/>
            <w:vAlign w:val="top"/>
          </w:tcPr>
          <w:p>
            <w:pPr>
              <w:spacing w:after="0"/>
            </w:pPr>
            <w:r/>
            <w:r>
              <w:rPr>
                <w:b w:val="0"/>
              </w:rPr>
              <w:t>Supabase Storage or S3-compatible storage</w:t>
            </w:r>
          </w:p>
        </w:tc>
        <w:tc>
          <w:tcPr>
            <w:tcW w:type="dxa" w:w="4968"/>
            <w:vAlign w:val="top"/>
          </w:tcPr>
          <w:p>
            <w:pPr>
              <w:spacing w:after="0"/>
            </w:pPr>
            <w:r/>
            <w:r>
              <w:rPr>
                <w:b w:val="0"/>
              </w:rPr>
              <w:t>Store raw transcripts, extracted text artifacts, file snapshots, and replay payloads.</w:t>
            </w:r>
          </w:p>
        </w:tc>
      </w:tr>
      <w:tr>
        <w:tc>
          <w:tcPr>
            <w:tcW w:type="dxa" w:w="1800"/>
            <w:vAlign w:val="top"/>
          </w:tcPr>
          <w:p>
            <w:pPr>
              <w:spacing w:after="0"/>
            </w:pPr>
            <w:r/>
            <w:r>
              <w:rPr>
                <w:b w:val="0"/>
              </w:rPr>
              <w:t>Connector execution</w:t>
            </w:r>
          </w:p>
        </w:tc>
        <w:tc>
          <w:tcPr>
            <w:tcW w:type="dxa" w:w="3384"/>
            <w:vAlign w:val="top"/>
          </w:tcPr>
          <w:p>
            <w:pPr>
              <w:spacing w:after="0"/>
            </w:pPr>
            <w:r/>
            <w:r>
              <w:rPr>
                <w:b w:val="0"/>
              </w:rPr>
              <w:t>Composio first, direct API second</w:t>
            </w:r>
          </w:p>
        </w:tc>
        <w:tc>
          <w:tcPr>
            <w:tcW w:type="dxa" w:w="4968"/>
            <w:vAlign w:val="top"/>
          </w:tcPr>
          <w:p>
            <w:pPr>
              <w:spacing w:after="0"/>
            </w:pPr>
            <w:r/>
            <w:r>
              <w:rPr>
                <w:b w:val="0"/>
              </w:rPr>
              <w:t>Use Composio for OAuth/actions where supported. Direct APIs for Keka, TallyPrime, and any unsupported pilot connector.</w:t>
            </w:r>
          </w:p>
        </w:tc>
      </w:tr>
      <w:tr>
        <w:tc>
          <w:tcPr>
            <w:tcW w:type="dxa" w:w="1800"/>
            <w:vAlign w:val="top"/>
          </w:tcPr>
          <w:p>
            <w:pPr>
              <w:spacing w:after="0"/>
            </w:pPr>
            <w:r/>
            <w:r>
              <w:rPr>
                <w:b w:val="0"/>
              </w:rPr>
              <w:t>LLM gateway</w:t>
            </w:r>
          </w:p>
        </w:tc>
        <w:tc>
          <w:tcPr>
            <w:tcW w:type="dxa" w:w="3384"/>
            <w:vAlign w:val="top"/>
          </w:tcPr>
          <w:p>
            <w:pPr>
              <w:spacing w:after="0"/>
            </w:pPr>
            <w:r/>
            <w:r>
              <w:rPr>
                <w:b w:val="0"/>
              </w:rPr>
              <w:t>LiteLLM or provider adapter behind internal model router</w:t>
            </w:r>
          </w:p>
        </w:tc>
        <w:tc>
          <w:tcPr>
            <w:tcW w:type="dxa" w:w="4968"/>
            <w:vAlign w:val="top"/>
          </w:tcPr>
          <w:p>
            <w:pPr>
              <w:spacing w:after="0"/>
            </w:pPr>
            <w:r/>
            <w:r>
              <w:rPr>
                <w:b w:val="0"/>
              </w:rPr>
              <w:t>Default: GPT-5-class or Claude Sonnet-class extraction model. Fallback: cheaper mini/Haiku-class model. Red data: Ollama or approved local model.</w:t>
            </w:r>
          </w:p>
        </w:tc>
      </w:tr>
      <w:tr>
        <w:tc>
          <w:tcPr>
            <w:tcW w:type="dxa" w:w="1800"/>
            <w:vAlign w:val="top"/>
          </w:tcPr>
          <w:p>
            <w:pPr>
              <w:spacing w:after="0"/>
            </w:pPr>
            <w:r/>
            <w:r>
              <w:rPr>
                <w:b w:val="0"/>
              </w:rPr>
              <w:t>Transcription</w:t>
            </w:r>
          </w:p>
        </w:tc>
        <w:tc>
          <w:tcPr>
            <w:tcW w:type="dxa" w:w="3384"/>
            <w:vAlign w:val="top"/>
          </w:tcPr>
          <w:p>
            <w:pPr>
              <w:spacing w:after="0"/>
            </w:pPr>
            <w:r/>
            <w:r>
              <w:rPr>
                <w:b w:val="0"/>
              </w:rPr>
              <w:t>OpenAI audio transcription with whisper-1 initially</w:t>
            </w:r>
          </w:p>
        </w:tc>
        <w:tc>
          <w:tcPr>
            <w:tcW w:type="dxa" w:w="4968"/>
            <w:vAlign w:val="top"/>
          </w:tcPr>
          <w:p>
            <w:pPr>
              <w:spacing w:after="0"/>
            </w:pPr>
            <w:r/>
            <w:r>
              <w:rPr>
                <w:b w:val="0"/>
              </w:rPr>
              <w:t>Use verbose_json and word timestamps when needed. Self-host Whisper only when volume justifies ops cost.</w:t>
            </w:r>
          </w:p>
        </w:tc>
      </w:tr>
      <w:tr>
        <w:tc>
          <w:tcPr>
            <w:tcW w:type="dxa" w:w="1800"/>
            <w:vAlign w:val="top"/>
          </w:tcPr>
          <w:p>
            <w:pPr>
              <w:spacing w:after="0"/>
            </w:pPr>
            <w:r/>
            <w:r>
              <w:rPr>
                <w:b w:val="0"/>
              </w:rPr>
              <w:t>Observability</w:t>
            </w:r>
          </w:p>
        </w:tc>
        <w:tc>
          <w:tcPr>
            <w:tcW w:type="dxa" w:w="3384"/>
            <w:vAlign w:val="top"/>
          </w:tcPr>
          <w:p>
            <w:pPr>
              <w:spacing w:after="0"/>
            </w:pPr>
            <w:r/>
            <w:r>
              <w:rPr>
                <w:b w:val="0"/>
              </w:rPr>
              <w:t>Structured logs + Sentry/OpenTelemetry</w:t>
            </w:r>
          </w:p>
        </w:tc>
        <w:tc>
          <w:tcPr>
            <w:tcW w:type="dxa" w:w="4968"/>
            <w:vAlign w:val="top"/>
          </w:tcPr>
          <w:p>
            <w:pPr>
              <w:spacing w:after="0"/>
            </w:pPr>
            <w:r/>
            <w:r>
              <w:rPr>
                <w:b w:val="0"/>
              </w:rPr>
              <w:t>Every workflow_run has trace_id, connector_run_id, source refs, model, token usage, and execution outcome.</w:t>
            </w:r>
          </w:p>
        </w:tc>
      </w:tr>
      <w:tr>
        <w:tc>
          <w:tcPr>
            <w:tcW w:type="dxa" w:w="1800"/>
            <w:vAlign w:val="top"/>
          </w:tcPr>
          <w:p>
            <w:pPr>
              <w:spacing w:after="0"/>
            </w:pPr>
            <w:r/>
            <w:r>
              <w:rPr>
                <w:b w:val="0"/>
              </w:rPr>
              <w:t>Deployment</w:t>
            </w:r>
          </w:p>
        </w:tc>
        <w:tc>
          <w:tcPr>
            <w:tcW w:type="dxa" w:w="3384"/>
            <w:vAlign w:val="top"/>
          </w:tcPr>
          <w:p>
            <w:pPr>
              <w:spacing w:after="0"/>
            </w:pPr>
            <w:r/>
            <w:r>
              <w:rPr>
                <w:b w:val="0"/>
              </w:rPr>
              <w:t>Docker Compose for pilot; Railway/Fly/Render or single VM acceptable</w:t>
            </w:r>
          </w:p>
        </w:tc>
        <w:tc>
          <w:tcPr>
            <w:tcW w:type="dxa" w:w="4968"/>
            <w:vAlign w:val="top"/>
          </w:tcPr>
          <w:p>
            <w:pPr>
              <w:spacing w:after="0"/>
            </w:pPr>
            <w:r/>
            <w:r>
              <w:rPr>
                <w:b w:val="0"/>
              </w:rPr>
              <w:t>Do not overbuild Kubernetes for pilot. Keep compose parity with production env vars.</w:t>
            </w:r>
          </w:p>
        </w:tc>
      </w:tr>
    </w:tbl>
    <w:p/>
    <w:p>
      <w:pPr>
        <w:pStyle w:val="Heading1"/>
      </w:pPr>
      <w:r>
        <w:t>5. Open-Source Reuse Strategy</w:t>
      </w:r>
    </w:p>
    <w:tbl>
      <w:tblPr>
        <w:tblStyle w:val="TableGrid"/>
        <w:tblW w:type="auto" w:w="0"/>
        <w:tblLook w:firstColumn="1" w:firstRow="1" w:lastColumn="0" w:lastRow="0" w:noHBand="0" w:noVBand="1" w:val="04A0"/>
      </w:tblPr>
      <w:tblGrid>
        <w:gridCol w:w="2448"/>
        <w:gridCol w:w="2448"/>
        <w:gridCol w:w="2448"/>
        <w:gridCol w:w="2448"/>
      </w:tblGrid>
      <w:tr>
        <w:tc>
          <w:tcPr>
            <w:tcW w:type="dxa" w:w="2520"/>
            <w:shd w:fill="1F4E79"/>
            <w:vAlign w:val="center"/>
          </w:tcPr>
          <w:p>
            <w:pPr>
              <w:spacing w:after="0"/>
            </w:pPr>
            <w:r/>
            <w:r>
              <w:rPr>
                <w:b/>
                <w:color w:val="FFFFFF"/>
              </w:rPr>
              <w:t>Repo / project</w:t>
            </w:r>
          </w:p>
        </w:tc>
        <w:tc>
          <w:tcPr>
            <w:tcW w:type="dxa" w:w="2016"/>
            <w:shd w:fill="1F4E79"/>
            <w:vAlign w:val="center"/>
          </w:tcPr>
          <w:p>
            <w:pPr>
              <w:spacing w:after="0"/>
            </w:pPr>
            <w:r/>
            <w:r>
              <w:rPr>
                <w:b/>
                <w:color w:val="FFFFFF"/>
              </w:rPr>
              <w:t>Use level</w:t>
            </w:r>
          </w:p>
        </w:tc>
        <w:tc>
          <w:tcPr>
            <w:tcW w:type="dxa" w:w="3816"/>
            <w:shd w:fill="1F4E79"/>
            <w:vAlign w:val="center"/>
          </w:tcPr>
          <w:p>
            <w:pPr>
              <w:spacing w:after="0"/>
            </w:pPr>
            <w:r/>
            <w:r>
              <w:rPr>
                <w:b/>
                <w:color w:val="FFFFFF"/>
              </w:rPr>
              <w:t>Why</w:t>
            </w:r>
          </w:p>
        </w:tc>
        <w:tc>
          <w:tcPr>
            <w:tcW w:type="dxa" w:w="2880"/>
            <w:shd w:fill="1F4E79"/>
            <w:vAlign w:val="center"/>
          </w:tcPr>
          <w:p>
            <w:pPr>
              <w:spacing w:after="0"/>
            </w:pPr>
            <w:r/>
            <w:r>
              <w:rPr>
                <w:b/>
                <w:color w:val="FFFFFF"/>
              </w:rPr>
              <w:t>Guardrail</w:t>
            </w:r>
          </w:p>
        </w:tc>
      </w:tr>
      <w:tr>
        <w:tc>
          <w:tcPr>
            <w:tcW w:type="dxa" w:w="2520"/>
            <w:vAlign w:val="top"/>
          </w:tcPr>
          <w:p>
            <w:pPr>
              <w:spacing w:after="0"/>
            </w:pPr>
            <w:r/>
            <w:r>
              <w:rPr>
                <w:b w:val="0"/>
              </w:rPr>
              <w:t>onyx-dot-app/onyx</w:t>
            </w:r>
          </w:p>
        </w:tc>
        <w:tc>
          <w:tcPr>
            <w:tcW w:type="dxa" w:w="2016"/>
            <w:vAlign w:val="top"/>
          </w:tcPr>
          <w:p>
            <w:pPr>
              <w:spacing w:after="0"/>
            </w:pPr>
            <w:r/>
            <w:r>
              <w:rPr>
                <w:b w:val="0"/>
              </w:rPr>
              <w:t>Reference and selective pattern reuse</w:t>
            </w:r>
          </w:p>
        </w:tc>
        <w:tc>
          <w:tcPr>
            <w:tcW w:type="dxa" w:w="3816"/>
            <w:vAlign w:val="top"/>
          </w:tcPr>
          <w:p>
            <w:pPr>
              <w:spacing w:after="0"/>
            </w:pPr>
            <w:r/>
            <w:r>
              <w:rPr>
                <w:b w:val="0"/>
              </w:rPr>
              <w:t>Best reference for enterprise connectors, permission-aware RAG, and chunk metadata.</w:t>
            </w:r>
          </w:p>
        </w:tc>
        <w:tc>
          <w:tcPr>
            <w:tcW w:type="dxa" w:w="2880"/>
            <w:vAlign w:val="top"/>
          </w:tcPr>
          <w:p>
            <w:pPr>
              <w:spacing w:after="0"/>
            </w:pPr>
            <w:r/>
            <w:r>
              <w:rPr>
                <w:b w:val="0"/>
              </w:rPr>
              <w:t>Do not copy UI wholesale; use connector and permission ideas.</w:t>
            </w:r>
          </w:p>
        </w:tc>
      </w:tr>
      <w:tr>
        <w:tc>
          <w:tcPr>
            <w:tcW w:type="dxa" w:w="2520"/>
            <w:vAlign w:val="top"/>
          </w:tcPr>
          <w:p>
            <w:pPr>
              <w:spacing w:after="0"/>
            </w:pPr>
            <w:r/>
            <w:r>
              <w:rPr>
                <w:b w:val="0"/>
              </w:rPr>
              <w:t>ComposioHQ/composio</w:t>
            </w:r>
          </w:p>
        </w:tc>
        <w:tc>
          <w:tcPr>
            <w:tcW w:type="dxa" w:w="2016"/>
            <w:vAlign w:val="top"/>
          </w:tcPr>
          <w:p>
            <w:pPr>
              <w:spacing w:after="0"/>
            </w:pPr>
            <w:r/>
            <w:r>
              <w:rPr>
                <w:b w:val="0"/>
              </w:rPr>
              <w:t>Direct dependency</w:t>
            </w:r>
          </w:p>
        </w:tc>
        <w:tc>
          <w:tcPr>
            <w:tcW w:type="dxa" w:w="3816"/>
            <w:vAlign w:val="top"/>
          </w:tcPr>
          <w:p>
            <w:pPr>
              <w:spacing w:after="0"/>
            </w:pPr>
            <w:r/>
            <w:r>
              <w:rPr>
                <w:b w:val="0"/>
              </w:rPr>
              <w:t>Fastest path to OAuth and tool actions across many apps.</w:t>
            </w:r>
          </w:p>
        </w:tc>
        <w:tc>
          <w:tcPr>
            <w:tcW w:type="dxa" w:w="2880"/>
            <w:vAlign w:val="top"/>
          </w:tcPr>
          <w:p>
            <w:pPr>
              <w:spacing w:after="0"/>
            </w:pPr>
            <w:r/>
            <w:r>
              <w:rPr>
                <w:b w:val="0"/>
              </w:rPr>
              <w:t>Pin SDK versions and test auth flows per connector.</w:t>
            </w:r>
          </w:p>
        </w:tc>
      </w:tr>
      <w:tr>
        <w:tc>
          <w:tcPr>
            <w:tcW w:type="dxa" w:w="2520"/>
            <w:vAlign w:val="top"/>
          </w:tcPr>
          <w:p>
            <w:pPr>
              <w:spacing w:after="0"/>
            </w:pPr>
            <w:r/>
            <w:r>
              <w:rPr>
                <w:b w:val="0"/>
              </w:rPr>
              <w:t>qdrant/qdrant</w:t>
            </w:r>
          </w:p>
        </w:tc>
        <w:tc>
          <w:tcPr>
            <w:tcW w:type="dxa" w:w="2016"/>
            <w:vAlign w:val="top"/>
          </w:tcPr>
          <w:p>
            <w:pPr>
              <w:spacing w:after="0"/>
            </w:pPr>
            <w:r/>
            <w:r>
              <w:rPr>
                <w:b w:val="0"/>
              </w:rPr>
              <w:t>Direct dependency</w:t>
            </w:r>
          </w:p>
        </w:tc>
        <w:tc>
          <w:tcPr>
            <w:tcW w:type="dxa" w:w="3816"/>
            <w:vAlign w:val="top"/>
          </w:tcPr>
          <w:p>
            <w:pPr>
              <w:spacing w:after="0"/>
            </w:pPr>
            <w:r/>
            <w:r>
              <w:rPr>
                <w:b w:val="0"/>
              </w:rPr>
              <w:t>Production-ready vector DB with filters and hybrid search support.</w:t>
            </w:r>
          </w:p>
        </w:tc>
        <w:tc>
          <w:tcPr>
            <w:tcW w:type="dxa" w:w="2880"/>
            <w:vAlign w:val="top"/>
          </w:tcPr>
          <w:p>
            <w:pPr>
              <w:spacing w:after="0"/>
            </w:pPr>
            <w:r/>
            <w:r>
              <w:rPr>
                <w:b w:val="0"/>
              </w:rPr>
              <w:t>Keep schema simple until pilot usage proves graph needs.</w:t>
            </w:r>
          </w:p>
        </w:tc>
      </w:tr>
      <w:tr>
        <w:tc>
          <w:tcPr>
            <w:tcW w:type="dxa" w:w="2520"/>
            <w:vAlign w:val="top"/>
          </w:tcPr>
          <w:p>
            <w:pPr>
              <w:spacing w:after="0"/>
            </w:pPr>
            <w:r/>
            <w:r>
              <w:rPr>
                <w:b w:val="0"/>
              </w:rPr>
              <w:t>openai/whisper</w:t>
            </w:r>
          </w:p>
        </w:tc>
        <w:tc>
          <w:tcPr>
            <w:tcW w:type="dxa" w:w="2016"/>
            <w:vAlign w:val="top"/>
          </w:tcPr>
          <w:p>
            <w:pPr>
              <w:spacing w:after="0"/>
            </w:pPr>
            <w:r/>
            <w:r>
              <w:rPr>
                <w:b w:val="0"/>
              </w:rPr>
              <w:t>Fallback/self-host later</w:t>
            </w:r>
          </w:p>
        </w:tc>
        <w:tc>
          <w:tcPr>
            <w:tcW w:type="dxa" w:w="3816"/>
            <w:vAlign w:val="top"/>
          </w:tcPr>
          <w:p>
            <w:pPr>
              <w:spacing w:after="0"/>
            </w:pPr>
            <w:r/>
            <w:r>
              <w:rPr>
                <w:b w:val="0"/>
              </w:rPr>
              <w:t>Open-source transcription path if API costs rise.</w:t>
            </w:r>
          </w:p>
        </w:tc>
        <w:tc>
          <w:tcPr>
            <w:tcW w:type="dxa" w:w="2880"/>
            <w:vAlign w:val="top"/>
          </w:tcPr>
          <w:p>
            <w:pPr>
              <w:spacing w:after="0"/>
            </w:pPr>
            <w:r/>
            <w:r>
              <w:rPr>
                <w:b w:val="0"/>
              </w:rPr>
              <w:t>Use managed API first unless volume is high.</w:t>
            </w:r>
          </w:p>
        </w:tc>
      </w:tr>
      <w:tr>
        <w:tc>
          <w:tcPr>
            <w:tcW w:type="dxa" w:w="2520"/>
            <w:vAlign w:val="top"/>
          </w:tcPr>
          <w:p>
            <w:pPr>
              <w:spacing w:after="0"/>
            </w:pPr>
            <w:r/>
            <w:r>
              <w:rPr>
                <w:b w:val="0"/>
              </w:rPr>
              <w:t>BerriAI/litellm</w:t>
            </w:r>
          </w:p>
        </w:tc>
        <w:tc>
          <w:tcPr>
            <w:tcW w:type="dxa" w:w="2016"/>
            <w:vAlign w:val="top"/>
          </w:tcPr>
          <w:p>
            <w:pPr>
              <w:spacing w:after="0"/>
            </w:pPr>
            <w:r/>
            <w:r>
              <w:rPr>
                <w:b w:val="0"/>
              </w:rPr>
              <w:t>Direct or adapter reference</w:t>
            </w:r>
          </w:p>
        </w:tc>
        <w:tc>
          <w:tcPr>
            <w:tcW w:type="dxa" w:w="3816"/>
            <w:vAlign w:val="top"/>
          </w:tcPr>
          <w:p>
            <w:pPr>
              <w:spacing w:after="0"/>
            </w:pPr>
            <w:r/>
            <w:r>
              <w:rPr>
                <w:b w:val="0"/>
              </w:rPr>
              <w:t>Unified model routing and fallbacks.</w:t>
            </w:r>
          </w:p>
        </w:tc>
        <w:tc>
          <w:tcPr>
            <w:tcW w:type="dxa" w:w="2880"/>
            <w:vAlign w:val="top"/>
          </w:tcPr>
          <w:p>
            <w:pPr>
              <w:spacing w:after="0"/>
            </w:pPr>
            <w:r/>
            <w:r>
              <w:rPr>
                <w:b w:val="0"/>
              </w:rPr>
              <w:t>Pin known-good versions; monitor security advisories.</w:t>
            </w:r>
          </w:p>
        </w:tc>
      </w:tr>
      <w:tr>
        <w:tc>
          <w:tcPr>
            <w:tcW w:type="dxa" w:w="2520"/>
            <w:vAlign w:val="top"/>
          </w:tcPr>
          <w:p>
            <w:pPr>
              <w:spacing w:after="0"/>
            </w:pPr>
            <w:r/>
            <w:r>
              <w:rPr>
                <w:b w:val="0"/>
              </w:rPr>
              <w:t>tinyhumansai/openhuman</w:t>
            </w:r>
          </w:p>
        </w:tc>
        <w:tc>
          <w:tcPr>
            <w:tcW w:type="dxa" w:w="2016"/>
            <w:vAlign w:val="top"/>
          </w:tcPr>
          <w:p>
            <w:pPr>
              <w:spacing w:after="0"/>
            </w:pPr>
            <w:r/>
            <w:r>
              <w:rPr>
                <w:b w:val="0"/>
              </w:rPr>
              <w:t>Reference only</w:t>
            </w:r>
          </w:p>
        </w:tc>
        <w:tc>
          <w:tcPr>
            <w:tcW w:type="dxa" w:w="3816"/>
            <w:vAlign w:val="top"/>
          </w:tcPr>
          <w:p>
            <w:pPr>
              <w:spacing w:after="0"/>
            </w:pPr>
            <w:r/>
            <w:r>
              <w:rPr>
                <w:b w:val="0"/>
              </w:rPr>
              <w:t>Useful memory tree, chunking, and personal AI patterns.</w:t>
            </w:r>
          </w:p>
        </w:tc>
        <w:tc>
          <w:tcPr>
            <w:tcW w:type="dxa" w:w="2880"/>
            <w:vAlign w:val="top"/>
          </w:tcPr>
          <w:p>
            <w:pPr>
              <w:spacing w:after="0"/>
            </w:pPr>
            <w:r/>
            <w:r>
              <w:rPr>
                <w:b w:val="0"/>
              </w:rPr>
              <w:t>GPL-3.0: do not directly fork into closed/distributed SaaS code.</w:t>
            </w:r>
          </w:p>
        </w:tc>
      </w:tr>
      <w:tr>
        <w:tc>
          <w:tcPr>
            <w:tcW w:type="dxa" w:w="2520"/>
            <w:vAlign w:val="top"/>
          </w:tcPr>
          <w:p>
            <w:pPr>
              <w:spacing w:after="0"/>
            </w:pPr>
            <w:r/>
            <w:r>
              <w:rPr>
                <w:b w:val="0"/>
              </w:rPr>
              <w:t>agiresearch/AIOS</w:t>
            </w:r>
          </w:p>
        </w:tc>
        <w:tc>
          <w:tcPr>
            <w:tcW w:type="dxa" w:w="2016"/>
            <w:vAlign w:val="top"/>
          </w:tcPr>
          <w:p>
            <w:pPr>
              <w:spacing w:after="0"/>
            </w:pPr>
            <w:r/>
            <w:r>
              <w:rPr>
                <w:b w:val="0"/>
              </w:rPr>
              <w:t>Reference only</w:t>
            </w:r>
          </w:p>
        </w:tc>
        <w:tc>
          <w:tcPr>
            <w:tcW w:type="dxa" w:w="3816"/>
            <w:vAlign w:val="top"/>
          </w:tcPr>
          <w:p>
            <w:pPr>
              <w:spacing w:after="0"/>
            </w:pPr>
            <w:r/>
            <w:r>
              <w:rPr>
                <w:b w:val="0"/>
              </w:rPr>
              <w:t>Future agent scheduling and memory isolation ideas.</w:t>
            </w:r>
          </w:p>
        </w:tc>
        <w:tc>
          <w:tcPr>
            <w:tcW w:type="dxa" w:w="2880"/>
            <w:vAlign w:val="top"/>
          </w:tcPr>
          <w:p>
            <w:pPr>
              <w:spacing w:after="0"/>
            </w:pPr>
            <w:r/>
            <w:r>
              <w:rPr>
                <w:b w:val="0"/>
              </w:rPr>
              <w:t>Not MVP-critical.</w:t>
            </w:r>
          </w:p>
        </w:tc>
      </w:tr>
      <w:tr>
        <w:tc>
          <w:tcPr>
            <w:tcW w:type="dxa" w:w="2520"/>
            <w:vAlign w:val="top"/>
          </w:tcPr>
          <w:p>
            <w:pPr>
              <w:spacing w:after="0"/>
            </w:pPr>
            <w:r/>
            <w:r>
              <w:rPr>
                <w:b w:val="0"/>
              </w:rPr>
              <w:t>celery/celery</w:t>
            </w:r>
          </w:p>
        </w:tc>
        <w:tc>
          <w:tcPr>
            <w:tcW w:type="dxa" w:w="2016"/>
            <w:vAlign w:val="top"/>
          </w:tcPr>
          <w:p>
            <w:pPr>
              <w:spacing w:after="0"/>
            </w:pPr>
            <w:r/>
            <w:r>
              <w:rPr>
                <w:b w:val="0"/>
              </w:rPr>
              <w:t>Direct dependency</w:t>
            </w:r>
          </w:p>
        </w:tc>
        <w:tc>
          <w:tcPr>
            <w:tcW w:type="dxa" w:w="3816"/>
            <w:vAlign w:val="top"/>
          </w:tcPr>
          <w:p>
            <w:pPr>
              <w:spacing w:after="0"/>
            </w:pPr>
            <w:r/>
            <w:r>
              <w:rPr>
                <w:b w:val="0"/>
              </w:rPr>
              <w:t>Stable async job orchestration for sync/extract/execute chains.</w:t>
            </w:r>
          </w:p>
        </w:tc>
        <w:tc>
          <w:tcPr>
            <w:tcW w:type="dxa" w:w="2880"/>
            <w:vAlign w:val="top"/>
          </w:tcPr>
          <w:p>
            <w:pPr>
              <w:spacing w:after="0"/>
            </w:pPr>
            <w:r/>
            <w:r>
              <w:rPr>
                <w:b w:val="0"/>
              </w:rPr>
              <w:t>Prefer simple queues over complex canvas until needed.</w:t>
            </w:r>
          </w:p>
        </w:tc>
      </w:tr>
    </w:tbl>
    <w:p/>
    <w:p>
      <w:pPr>
        <w:pStyle w:val="Heading1"/>
      </w:pPr>
      <w:r>
        <w:t>6. Target Architecture</w:t>
      </w:r>
    </w:p>
    <w:p>
      <w:pPr>
        <w:pStyle w:val="ListNumber"/>
      </w:pPr>
      <w:r>
        <w:t>Connector registry stores metadata for each integration: capabilities, auth mode, scopes, sync cadence, supported actions, and data tier.</w:t>
      </w:r>
    </w:p>
    <w:p>
      <w:pPr>
        <w:pStyle w:val="ListNumber"/>
      </w:pPr>
      <w:r>
        <w:t>Ingestion workers pull or receive webhook events, normalize source records, and write raw source metadata plus extracted text.</w:t>
      </w:r>
    </w:p>
    <w:p>
      <w:pPr>
        <w:pStyle w:val="ListNumber"/>
      </w:pPr>
      <w:r>
        <w:t>Chunker creates 500-1200 token chunks with source_id, doc_id, source_type, org_id, user_id, data_tier, permissions, created_at, updated_at, and content_preview.</w:t>
      </w:r>
    </w:p>
    <w:p>
      <w:pPr>
        <w:pStyle w:val="ListNumber"/>
      </w:pPr>
      <w:r>
        <w:t>Embedding worker writes chunks to Qdrant and keeps Postgres as the source of truth for provenance and permissions.</w:t>
      </w:r>
    </w:p>
    <w:p>
      <w:pPr>
        <w:pStyle w:val="ListNumber"/>
      </w:pPr>
      <w:r>
        <w:t>Retriever performs hybrid search with org_id and permission filters before any model call.</w:t>
      </w:r>
    </w:p>
    <w:p>
      <w:pPr>
        <w:pStyle w:val="ListNumber"/>
      </w:pPr>
      <w:r>
        <w:t>Workflow engine takes a trigger, fetches context, calls the model router, validates JSON with Pydantic, and executes connector actions.</w:t>
      </w:r>
    </w:p>
    <w:p>
      <w:pPr>
        <w:pStyle w:val="ListNumber"/>
      </w:pPr>
      <w:r>
        <w:t>Dashboard reads workflow_runs, connector health, action_items, and source coverage; it never calls third-party APIs directly from the browser.</w:t>
      </w:r>
    </w:p>
    <w:p>
      <w:pPr>
        <w:pStyle w:val="Heading1"/>
      </w:pPr>
      <w:r>
        <w:t>7. Connector Interface Contract</w:t>
      </w:r>
    </w:p>
    <w:p>
      <w:r>
        <w:t>All connectors should implement a common interface so the pilot does not become a pile of one-off integrations.</w:t>
      </w:r>
    </w:p>
    <w:tbl>
      <w:tblPr>
        <w:tblStyle w:val="TableGrid"/>
        <w:tblW w:type="auto" w:w="0"/>
        <w:tblLook w:firstColumn="1" w:firstRow="1" w:lastColumn="0" w:lastRow="0" w:noHBand="0" w:noVBand="1" w:val="04A0"/>
      </w:tblPr>
      <w:tblGrid>
        <w:gridCol w:w="3264"/>
        <w:gridCol w:w="3264"/>
        <w:gridCol w:w="3264"/>
      </w:tblGrid>
      <w:tr>
        <w:tc>
          <w:tcPr>
            <w:tcW w:type="dxa" w:w="2448"/>
            <w:shd w:fill="1F4E79"/>
            <w:vAlign w:val="center"/>
          </w:tcPr>
          <w:p>
            <w:pPr>
              <w:spacing w:after="0"/>
            </w:pPr>
            <w:r/>
            <w:r>
              <w:rPr>
                <w:b/>
                <w:color w:val="FFFFFF"/>
              </w:rPr>
              <w:t>Method</w:t>
            </w:r>
          </w:p>
        </w:tc>
        <w:tc>
          <w:tcPr>
            <w:tcW w:type="dxa" w:w="5328"/>
            <w:shd w:fill="1F4E79"/>
            <w:vAlign w:val="center"/>
          </w:tcPr>
          <w:p>
            <w:pPr>
              <w:spacing w:after="0"/>
            </w:pPr>
            <w:r/>
            <w:r>
              <w:rPr>
                <w:b/>
                <w:color w:val="FFFFFF"/>
              </w:rPr>
              <w:t>Purpose</w:t>
            </w:r>
          </w:p>
        </w:tc>
        <w:tc>
          <w:tcPr>
            <w:tcW w:type="dxa" w:w="2160"/>
            <w:shd w:fill="1F4E79"/>
            <w:vAlign w:val="center"/>
          </w:tcPr>
          <w:p>
            <w:pPr>
              <w:spacing w:after="0"/>
            </w:pPr>
            <w:r/>
            <w:r>
              <w:rPr>
                <w:b/>
                <w:color w:val="FFFFFF"/>
              </w:rPr>
              <w:t>Required for MVP</w:t>
            </w:r>
          </w:p>
        </w:tc>
      </w:tr>
      <w:tr>
        <w:tc>
          <w:tcPr>
            <w:tcW w:type="dxa" w:w="2448"/>
            <w:vAlign w:val="top"/>
          </w:tcPr>
          <w:p>
            <w:pPr>
              <w:spacing w:after="0"/>
            </w:pPr>
            <w:r/>
            <w:r>
              <w:rPr>
                <w:b w:val="0"/>
              </w:rPr>
              <w:t>auth_status(org_id)</w:t>
            </w:r>
          </w:p>
        </w:tc>
        <w:tc>
          <w:tcPr>
            <w:tcW w:type="dxa" w:w="5328"/>
            <w:vAlign w:val="top"/>
          </w:tcPr>
          <w:p>
            <w:pPr>
              <w:spacing w:after="0"/>
            </w:pPr>
            <w:r/>
            <w:r>
              <w:rPr>
                <w:b w:val="0"/>
              </w:rPr>
              <w:t>Return connected/disconnected/error plus scopes.</w:t>
            </w:r>
          </w:p>
        </w:tc>
        <w:tc>
          <w:tcPr>
            <w:tcW w:type="dxa" w:w="2160"/>
            <w:vAlign w:val="top"/>
          </w:tcPr>
          <w:p>
            <w:pPr>
              <w:spacing w:after="0"/>
            </w:pPr>
            <w:r/>
            <w:r>
              <w:rPr>
                <w:b w:val="0"/>
              </w:rPr>
              <w:t>Yes</w:t>
            </w:r>
          </w:p>
        </w:tc>
      </w:tr>
      <w:tr>
        <w:tc>
          <w:tcPr>
            <w:tcW w:type="dxa" w:w="2448"/>
            <w:vAlign w:val="top"/>
          </w:tcPr>
          <w:p>
            <w:pPr>
              <w:spacing w:after="0"/>
            </w:pPr>
            <w:r/>
            <w:r>
              <w:rPr>
                <w:b w:val="0"/>
              </w:rPr>
              <w:t>sync(org_id, cursor)</w:t>
            </w:r>
          </w:p>
        </w:tc>
        <w:tc>
          <w:tcPr>
            <w:tcW w:type="dxa" w:w="5328"/>
            <w:vAlign w:val="top"/>
          </w:tcPr>
          <w:p>
            <w:pPr>
              <w:spacing w:after="0"/>
            </w:pPr>
            <w:r/>
            <w:r>
              <w:rPr>
                <w:b w:val="0"/>
              </w:rPr>
              <w:t>Fetch changed records and return normalized SourceDocument objects.</w:t>
            </w:r>
          </w:p>
        </w:tc>
        <w:tc>
          <w:tcPr>
            <w:tcW w:type="dxa" w:w="2160"/>
            <w:vAlign w:val="top"/>
          </w:tcPr>
          <w:p>
            <w:pPr>
              <w:spacing w:after="0"/>
            </w:pPr>
            <w:r/>
            <w:r>
              <w:rPr>
                <w:b w:val="0"/>
              </w:rPr>
              <w:t>Yes for read connectors</w:t>
            </w:r>
          </w:p>
        </w:tc>
      </w:tr>
      <w:tr>
        <w:tc>
          <w:tcPr>
            <w:tcW w:type="dxa" w:w="2448"/>
            <w:vAlign w:val="top"/>
          </w:tcPr>
          <w:p>
            <w:pPr>
              <w:spacing w:after="0"/>
            </w:pPr>
            <w:r/>
            <w:r>
              <w:rPr>
                <w:b w:val="0"/>
              </w:rPr>
              <w:t>get_permissions(document)</w:t>
            </w:r>
          </w:p>
        </w:tc>
        <w:tc>
          <w:tcPr>
            <w:tcW w:type="dxa" w:w="5328"/>
            <w:vAlign w:val="top"/>
          </w:tcPr>
          <w:p>
            <w:pPr>
              <w:spacing w:after="0"/>
            </w:pPr>
            <w:r/>
            <w:r>
              <w:rPr>
                <w:b w:val="0"/>
              </w:rPr>
              <w:t>Map source permissions into OSAI payload filters.</w:t>
            </w:r>
          </w:p>
        </w:tc>
        <w:tc>
          <w:tcPr>
            <w:tcW w:type="dxa" w:w="2160"/>
            <w:vAlign w:val="top"/>
          </w:tcPr>
          <w:p>
            <w:pPr>
              <w:spacing w:after="0"/>
            </w:pPr>
            <w:r/>
            <w:r>
              <w:rPr>
                <w:b w:val="0"/>
              </w:rPr>
              <w:t>Yes for docs/email/Notion</w:t>
            </w:r>
          </w:p>
        </w:tc>
      </w:tr>
      <w:tr>
        <w:tc>
          <w:tcPr>
            <w:tcW w:type="dxa" w:w="2448"/>
            <w:vAlign w:val="top"/>
          </w:tcPr>
          <w:p>
            <w:pPr>
              <w:spacing w:after="0"/>
            </w:pPr>
            <w:r/>
            <w:r>
              <w:rPr>
                <w:b w:val="0"/>
              </w:rPr>
              <w:t>search(query)</w:t>
            </w:r>
          </w:p>
        </w:tc>
        <w:tc>
          <w:tcPr>
            <w:tcW w:type="dxa" w:w="5328"/>
            <w:vAlign w:val="top"/>
          </w:tcPr>
          <w:p>
            <w:pPr>
              <w:spacing w:after="0"/>
            </w:pPr>
            <w:r/>
            <w:r>
              <w:rPr>
                <w:b w:val="0"/>
              </w:rPr>
              <w:t>Optional source-native lookup when vector context is insufficient.</w:t>
            </w:r>
          </w:p>
        </w:tc>
        <w:tc>
          <w:tcPr>
            <w:tcW w:type="dxa" w:w="2160"/>
            <w:vAlign w:val="top"/>
          </w:tcPr>
          <w:p>
            <w:pPr>
              <w:spacing w:after="0"/>
            </w:pPr>
            <w:r/>
            <w:r>
              <w:rPr>
                <w:b w:val="0"/>
              </w:rPr>
              <w:t>Optional</w:t>
            </w:r>
          </w:p>
        </w:tc>
      </w:tr>
      <w:tr>
        <w:tc>
          <w:tcPr>
            <w:tcW w:type="dxa" w:w="2448"/>
            <w:vAlign w:val="top"/>
          </w:tcPr>
          <w:p>
            <w:pPr>
              <w:spacing w:after="0"/>
            </w:pPr>
            <w:r/>
            <w:r>
              <w:rPr>
                <w:b w:val="0"/>
              </w:rPr>
              <w:t>execute_action(action)</w:t>
            </w:r>
          </w:p>
        </w:tc>
        <w:tc>
          <w:tcPr>
            <w:tcW w:type="dxa" w:w="5328"/>
            <w:vAlign w:val="top"/>
          </w:tcPr>
          <w:p>
            <w:pPr>
              <w:spacing w:after="0"/>
            </w:pPr>
            <w:r/>
            <w:r>
              <w:rPr>
                <w:b w:val="0"/>
              </w:rPr>
              <w:t>Create task, ticket, comment, message, or update.</w:t>
            </w:r>
          </w:p>
        </w:tc>
        <w:tc>
          <w:tcPr>
            <w:tcW w:type="dxa" w:w="2160"/>
            <w:vAlign w:val="top"/>
          </w:tcPr>
          <w:p>
            <w:pPr>
              <w:spacing w:after="0"/>
            </w:pPr>
            <w:r/>
            <w:r>
              <w:rPr>
                <w:b w:val="0"/>
              </w:rPr>
              <w:t>Yes for Notion/Freshdesk/Slack</w:t>
            </w:r>
          </w:p>
        </w:tc>
      </w:tr>
      <w:tr>
        <w:tc>
          <w:tcPr>
            <w:tcW w:type="dxa" w:w="2448"/>
            <w:vAlign w:val="top"/>
          </w:tcPr>
          <w:p>
            <w:pPr>
              <w:spacing w:after="0"/>
            </w:pPr>
            <w:r/>
            <w:r>
              <w:rPr>
                <w:b w:val="0"/>
              </w:rPr>
              <w:t>healthcheck()</w:t>
            </w:r>
          </w:p>
        </w:tc>
        <w:tc>
          <w:tcPr>
            <w:tcW w:type="dxa" w:w="5328"/>
            <w:vAlign w:val="top"/>
          </w:tcPr>
          <w:p>
            <w:pPr>
              <w:spacing w:after="0"/>
            </w:pPr>
            <w:r/>
            <w:r>
              <w:rPr>
                <w:b w:val="0"/>
              </w:rPr>
              <w:t>Validate credentials, rate limits, and API availability.</w:t>
            </w:r>
          </w:p>
        </w:tc>
        <w:tc>
          <w:tcPr>
            <w:tcW w:type="dxa" w:w="2160"/>
            <w:vAlign w:val="top"/>
          </w:tcPr>
          <w:p>
            <w:pPr>
              <w:spacing w:after="0"/>
            </w:pPr>
            <w:r/>
            <w:r>
              <w:rPr>
                <w:b w:val="0"/>
              </w:rPr>
              <w:t>Yes</w:t>
            </w:r>
          </w:p>
        </w:tc>
      </w:tr>
    </w:tbl>
    <w:p/>
    <w:p>
      <w:pPr>
        <w:pStyle w:val="Heading1"/>
      </w:pPr>
      <w:r>
        <w:t>8. MVP Build Phases</w:t>
      </w:r>
    </w:p>
    <w:tbl>
      <w:tblPr>
        <w:tblStyle w:val="TableGrid"/>
        <w:tblW w:type="auto" w:w="0"/>
        <w:tblLook w:firstColumn="1" w:firstRow="1" w:lastColumn="0" w:lastRow="0" w:noHBand="0" w:noVBand="1" w:val="04A0"/>
      </w:tblPr>
      <w:tblGrid>
        <w:gridCol w:w="2448"/>
        <w:gridCol w:w="2448"/>
        <w:gridCol w:w="2448"/>
        <w:gridCol w:w="2448"/>
      </w:tblGrid>
      <w:tr>
        <w:tc>
          <w:tcPr>
            <w:tcW w:type="dxa" w:w="1728"/>
            <w:shd w:fill="1F4E79"/>
            <w:vAlign w:val="center"/>
          </w:tcPr>
          <w:p>
            <w:pPr>
              <w:spacing w:after="0"/>
            </w:pPr>
            <w:r/>
            <w:r>
              <w:rPr>
                <w:b/>
                <w:color w:val="FFFFFF"/>
              </w:rPr>
              <w:t>Phase</w:t>
            </w:r>
          </w:p>
        </w:tc>
        <w:tc>
          <w:tcPr>
            <w:tcW w:type="dxa" w:w="1224"/>
            <w:shd w:fill="1F4E79"/>
            <w:vAlign w:val="center"/>
          </w:tcPr>
          <w:p>
            <w:pPr>
              <w:spacing w:after="0"/>
            </w:pPr>
            <w:r/>
            <w:r>
              <w:rPr>
                <w:b/>
                <w:color w:val="FFFFFF"/>
              </w:rPr>
              <w:t>Duration</w:t>
            </w:r>
          </w:p>
        </w:tc>
        <w:tc>
          <w:tcPr>
            <w:tcW w:type="dxa" w:w="4536"/>
            <w:shd w:fill="1F4E79"/>
            <w:vAlign w:val="center"/>
          </w:tcPr>
          <w:p>
            <w:pPr>
              <w:spacing w:after="0"/>
            </w:pPr>
            <w:r/>
            <w:r>
              <w:rPr>
                <w:b/>
                <w:color w:val="FFFFFF"/>
              </w:rPr>
              <w:t>Build output</w:t>
            </w:r>
          </w:p>
        </w:tc>
        <w:tc>
          <w:tcPr>
            <w:tcW w:type="dxa" w:w="3456"/>
            <w:shd w:fill="1F4E79"/>
            <w:vAlign w:val="center"/>
          </w:tcPr>
          <w:p>
            <w:pPr>
              <w:spacing w:after="0"/>
            </w:pPr>
            <w:r/>
            <w:r>
              <w:rPr>
                <w:b/>
                <w:color w:val="FFFFFF"/>
              </w:rPr>
              <w:t>Exit criteria</w:t>
            </w:r>
          </w:p>
        </w:tc>
      </w:tr>
      <w:tr>
        <w:tc>
          <w:tcPr>
            <w:tcW w:type="dxa" w:w="1728"/>
            <w:vAlign w:val="top"/>
          </w:tcPr>
          <w:p>
            <w:pPr>
              <w:spacing w:after="0"/>
            </w:pPr>
            <w:r/>
            <w:r>
              <w:rPr>
                <w:b w:val="0"/>
              </w:rPr>
              <w:t>0. Repo setup</w:t>
            </w:r>
          </w:p>
        </w:tc>
        <w:tc>
          <w:tcPr>
            <w:tcW w:type="dxa" w:w="1224"/>
            <w:vAlign w:val="top"/>
          </w:tcPr>
          <w:p>
            <w:pPr>
              <w:spacing w:after="0"/>
            </w:pPr>
            <w:r/>
            <w:r>
              <w:rPr>
                <w:b w:val="0"/>
              </w:rPr>
              <w:t>Day 1</w:t>
            </w:r>
          </w:p>
        </w:tc>
        <w:tc>
          <w:tcPr>
            <w:tcW w:type="dxa" w:w="4536"/>
            <w:vAlign w:val="top"/>
          </w:tcPr>
          <w:p>
            <w:pPr>
              <w:spacing w:after="0"/>
            </w:pPr>
            <w:r/>
            <w:r>
              <w:rPr>
                <w:b w:val="0"/>
              </w:rPr>
              <w:t>Monorepo or two repos, Docker Compose, env templates, CI lint/test.</w:t>
            </w:r>
          </w:p>
        </w:tc>
        <w:tc>
          <w:tcPr>
            <w:tcW w:type="dxa" w:w="3456"/>
            <w:vAlign w:val="top"/>
          </w:tcPr>
          <w:p>
            <w:pPr>
              <w:spacing w:after="0"/>
            </w:pPr>
            <w:r/>
            <w:r>
              <w:rPr>
                <w:b w:val="0"/>
              </w:rPr>
              <w:t>FastAPI, Next.js, Postgres, Redis, Qdrant all boot locally.</w:t>
            </w:r>
          </w:p>
        </w:tc>
      </w:tr>
      <w:tr>
        <w:tc>
          <w:tcPr>
            <w:tcW w:type="dxa" w:w="1728"/>
            <w:vAlign w:val="top"/>
          </w:tcPr>
          <w:p>
            <w:pPr>
              <w:spacing w:after="0"/>
            </w:pPr>
            <w:r/>
            <w:r>
              <w:rPr>
                <w:b w:val="0"/>
              </w:rPr>
              <w:t>1. Core data model</w:t>
            </w:r>
          </w:p>
        </w:tc>
        <w:tc>
          <w:tcPr>
            <w:tcW w:type="dxa" w:w="1224"/>
            <w:vAlign w:val="top"/>
          </w:tcPr>
          <w:p>
            <w:pPr>
              <w:spacing w:after="0"/>
            </w:pPr>
            <w:r/>
            <w:r>
              <w:rPr>
                <w:b w:val="0"/>
              </w:rPr>
              <w:t>Day 2</w:t>
            </w:r>
          </w:p>
        </w:tc>
        <w:tc>
          <w:tcPr>
            <w:tcW w:type="dxa" w:w="4536"/>
            <w:vAlign w:val="top"/>
          </w:tcPr>
          <w:p>
            <w:pPr>
              <w:spacing w:after="0"/>
            </w:pPr>
            <w:r/>
            <w:r>
              <w:rPr>
                <w:b w:val="0"/>
              </w:rPr>
              <w:t>Postgres schema, connector registry, workflow_run schema, audit events.</w:t>
            </w:r>
          </w:p>
        </w:tc>
        <w:tc>
          <w:tcPr>
            <w:tcW w:type="dxa" w:w="3456"/>
            <w:vAlign w:val="top"/>
          </w:tcPr>
          <w:p>
            <w:pPr>
              <w:spacing w:after="0"/>
            </w:pPr>
            <w:r/>
            <w:r>
              <w:rPr>
                <w:b w:val="0"/>
              </w:rPr>
              <w:t>Seed org and first admin can exist; migrations run cleanly.</w:t>
            </w:r>
          </w:p>
        </w:tc>
      </w:tr>
      <w:tr>
        <w:tc>
          <w:tcPr>
            <w:tcW w:type="dxa" w:w="1728"/>
            <w:vAlign w:val="top"/>
          </w:tcPr>
          <w:p>
            <w:pPr>
              <w:spacing w:after="0"/>
            </w:pPr>
            <w:r/>
            <w:r>
              <w:rPr>
                <w:b w:val="0"/>
              </w:rPr>
              <w:t>2. P0 connector auth</w:t>
            </w:r>
          </w:p>
        </w:tc>
        <w:tc>
          <w:tcPr>
            <w:tcW w:type="dxa" w:w="1224"/>
            <w:vAlign w:val="top"/>
          </w:tcPr>
          <w:p>
            <w:pPr>
              <w:spacing w:after="0"/>
            </w:pPr>
            <w:r/>
            <w:r>
              <w:rPr>
                <w:b w:val="0"/>
              </w:rPr>
              <w:t>Days 3-4</w:t>
            </w:r>
          </w:p>
        </w:tc>
        <w:tc>
          <w:tcPr>
            <w:tcW w:type="dxa" w:w="4536"/>
            <w:vAlign w:val="top"/>
          </w:tcPr>
          <w:p>
            <w:pPr>
              <w:spacing w:after="0"/>
            </w:pPr>
            <w:r/>
            <w:r>
              <w:rPr>
                <w:b w:val="0"/>
              </w:rPr>
              <w:t>Slack, Google, Microsoft, Notion, Freshdesk connection records.</w:t>
            </w:r>
          </w:p>
        </w:tc>
        <w:tc>
          <w:tcPr>
            <w:tcW w:type="dxa" w:w="3456"/>
            <w:vAlign w:val="top"/>
          </w:tcPr>
          <w:p>
            <w:pPr>
              <w:spacing w:after="0"/>
            </w:pPr>
            <w:r/>
            <w:r>
              <w:rPr>
                <w:b w:val="0"/>
              </w:rPr>
              <w:t>At least 3 P0 connectors show connected status in dashboard.</w:t>
            </w:r>
          </w:p>
        </w:tc>
      </w:tr>
      <w:tr>
        <w:tc>
          <w:tcPr>
            <w:tcW w:type="dxa" w:w="1728"/>
            <w:vAlign w:val="top"/>
          </w:tcPr>
          <w:p>
            <w:pPr>
              <w:spacing w:after="0"/>
            </w:pPr>
            <w:r/>
            <w:r>
              <w:rPr>
                <w:b w:val="0"/>
              </w:rPr>
              <w:t>3. Ingestion pipeline</w:t>
            </w:r>
          </w:p>
        </w:tc>
        <w:tc>
          <w:tcPr>
            <w:tcW w:type="dxa" w:w="1224"/>
            <w:vAlign w:val="top"/>
          </w:tcPr>
          <w:p>
            <w:pPr>
              <w:spacing w:after="0"/>
            </w:pPr>
            <w:r/>
            <w:r>
              <w:rPr>
                <w:b w:val="0"/>
              </w:rPr>
              <w:t>Days 5-7</w:t>
            </w:r>
          </w:p>
        </w:tc>
        <w:tc>
          <w:tcPr>
            <w:tcW w:type="dxa" w:w="4536"/>
            <w:vAlign w:val="top"/>
          </w:tcPr>
          <w:p>
            <w:pPr>
              <w:spacing w:after="0"/>
            </w:pPr>
            <w:r/>
            <w:r>
              <w:rPr>
                <w:b w:val="0"/>
              </w:rPr>
              <w:t>Sync workers, chunker, embeddings, Qdrant writes.</w:t>
            </w:r>
          </w:p>
        </w:tc>
        <w:tc>
          <w:tcPr>
            <w:tcW w:type="dxa" w:w="3456"/>
            <w:vAlign w:val="top"/>
          </w:tcPr>
          <w:p>
            <w:pPr>
              <w:spacing w:after="0"/>
            </w:pPr>
            <w:r/>
            <w:r>
              <w:rPr>
                <w:b w:val="0"/>
              </w:rPr>
              <w:t>Search returns cited results across at least Slack/docs/Notion or Freshdesk.</w:t>
            </w:r>
          </w:p>
        </w:tc>
      </w:tr>
      <w:tr>
        <w:tc>
          <w:tcPr>
            <w:tcW w:type="dxa" w:w="1728"/>
            <w:vAlign w:val="top"/>
          </w:tcPr>
          <w:p>
            <w:pPr>
              <w:spacing w:after="0"/>
            </w:pPr>
            <w:r/>
            <w:r>
              <w:rPr>
                <w:b w:val="0"/>
              </w:rPr>
              <w:t>4. Workflow engine</w:t>
            </w:r>
          </w:p>
        </w:tc>
        <w:tc>
          <w:tcPr>
            <w:tcW w:type="dxa" w:w="1224"/>
            <w:vAlign w:val="top"/>
          </w:tcPr>
          <w:p>
            <w:pPr>
              <w:spacing w:after="0"/>
            </w:pPr>
            <w:r/>
            <w:r>
              <w:rPr>
                <w:b w:val="0"/>
              </w:rPr>
              <w:t>Days 8-10</w:t>
            </w:r>
          </w:p>
        </w:tc>
        <w:tc>
          <w:tcPr>
            <w:tcW w:type="dxa" w:w="4536"/>
            <w:vAlign w:val="top"/>
          </w:tcPr>
          <w:p>
            <w:pPr>
              <w:spacing w:after="0"/>
            </w:pPr>
            <w:r/>
            <w:r>
              <w:rPr>
                <w:b w:val="0"/>
              </w:rPr>
              <w:t>Meeting/action-item extractor and task/ticket execution.</w:t>
            </w:r>
          </w:p>
        </w:tc>
        <w:tc>
          <w:tcPr>
            <w:tcW w:type="dxa" w:w="3456"/>
            <w:vAlign w:val="top"/>
          </w:tcPr>
          <w:p>
            <w:pPr>
              <w:spacing w:after="0"/>
            </w:pPr>
            <w:r/>
            <w:r>
              <w:rPr>
                <w:b w:val="0"/>
              </w:rPr>
              <w:t>A transcript produces validated action items and creates Notion tasks or tickets.</w:t>
            </w:r>
          </w:p>
        </w:tc>
      </w:tr>
      <w:tr>
        <w:tc>
          <w:tcPr>
            <w:tcW w:type="dxa" w:w="1728"/>
            <w:vAlign w:val="top"/>
          </w:tcPr>
          <w:p>
            <w:pPr>
              <w:spacing w:after="0"/>
            </w:pPr>
            <w:r/>
            <w:r>
              <w:rPr>
                <w:b w:val="0"/>
              </w:rPr>
              <w:t>5. Dashboard</w:t>
            </w:r>
          </w:p>
        </w:tc>
        <w:tc>
          <w:tcPr>
            <w:tcW w:type="dxa" w:w="1224"/>
            <w:vAlign w:val="top"/>
          </w:tcPr>
          <w:p>
            <w:pPr>
              <w:spacing w:after="0"/>
            </w:pPr>
            <w:r/>
            <w:r>
              <w:rPr>
                <w:b w:val="0"/>
              </w:rPr>
              <w:t>Days 11-12</w:t>
            </w:r>
          </w:p>
        </w:tc>
        <w:tc>
          <w:tcPr>
            <w:tcW w:type="dxa" w:w="4536"/>
            <w:vAlign w:val="top"/>
          </w:tcPr>
          <w:p>
            <w:pPr>
              <w:spacing w:after="0"/>
            </w:pPr>
            <w:r/>
            <w:r>
              <w:rPr>
                <w:b w:val="0"/>
              </w:rPr>
              <w:t>Connector health, sync log, search, workflow log, action detail pages.</w:t>
            </w:r>
          </w:p>
        </w:tc>
        <w:tc>
          <w:tcPr>
            <w:tcW w:type="dxa" w:w="3456"/>
            <w:vAlign w:val="top"/>
          </w:tcPr>
          <w:p>
            <w:pPr>
              <w:spacing w:after="0"/>
            </w:pPr>
            <w:r/>
            <w:r>
              <w:rPr>
                <w:b w:val="0"/>
              </w:rPr>
              <w:t>Pilot user can understand what happened without reading logs.</w:t>
            </w:r>
          </w:p>
        </w:tc>
      </w:tr>
      <w:tr>
        <w:tc>
          <w:tcPr>
            <w:tcW w:type="dxa" w:w="1728"/>
            <w:vAlign w:val="top"/>
          </w:tcPr>
          <w:p>
            <w:pPr>
              <w:spacing w:after="0"/>
            </w:pPr>
            <w:r/>
            <w:r>
              <w:rPr>
                <w:b w:val="0"/>
              </w:rPr>
              <w:t>6. Hardening</w:t>
            </w:r>
          </w:p>
        </w:tc>
        <w:tc>
          <w:tcPr>
            <w:tcW w:type="dxa" w:w="1224"/>
            <w:vAlign w:val="top"/>
          </w:tcPr>
          <w:p>
            <w:pPr>
              <w:spacing w:after="0"/>
            </w:pPr>
            <w:r/>
            <w:r>
              <w:rPr>
                <w:b w:val="0"/>
              </w:rPr>
              <w:t>Days 13-14</w:t>
            </w:r>
          </w:p>
        </w:tc>
        <w:tc>
          <w:tcPr>
            <w:tcW w:type="dxa" w:w="4536"/>
            <w:vAlign w:val="top"/>
          </w:tcPr>
          <w:p>
            <w:pPr>
              <w:spacing w:after="0"/>
            </w:pPr>
            <w:r/>
            <w:r>
              <w:rPr>
                <w:b w:val="0"/>
              </w:rPr>
              <w:t>Retries, DLQ, permission filters, model fallback, error UI, seed demo data.</w:t>
            </w:r>
          </w:p>
        </w:tc>
        <w:tc>
          <w:tcPr>
            <w:tcW w:type="dxa" w:w="3456"/>
            <w:vAlign w:val="top"/>
          </w:tcPr>
          <w:p>
            <w:pPr>
              <w:spacing w:after="0"/>
            </w:pPr>
            <w:r/>
            <w:r>
              <w:rPr>
                <w:b w:val="0"/>
              </w:rPr>
              <w:t>Pilot demo is repeatable end to end with real or staged data.</w:t>
            </w:r>
          </w:p>
        </w:tc>
      </w:tr>
    </w:tbl>
    <w:p/>
    <w:p>
      <w:pPr>
        <w:pStyle w:val="Heading1"/>
      </w:pPr>
      <w:r>
        <w:t>9. Immediate Sprint Backlog</w:t>
      </w:r>
    </w:p>
    <w:tbl>
      <w:tblPr>
        <w:tblStyle w:val="TableGrid"/>
        <w:tblW w:type="auto" w:w="0"/>
        <w:tblLook w:firstColumn="1" w:firstRow="1" w:lastColumn="0" w:lastRow="0" w:noHBand="0" w:noVBand="1" w:val="04A0"/>
      </w:tblPr>
      <w:tblGrid>
        <w:gridCol w:w="3264"/>
        <w:gridCol w:w="3264"/>
        <w:gridCol w:w="3264"/>
      </w:tblGrid>
      <w:tr>
        <w:tc>
          <w:tcPr>
            <w:tcW w:type="dxa" w:w="1800"/>
            <w:shd w:fill="1F4E79"/>
            <w:vAlign w:val="center"/>
          </w:tcPr>
          <w:p>
            <w:pPr>
              <w:spacing w:after="0"/>
            </w:pPr>
            <w:r/>
            <w:r>
              <w:rPr>
                <w:b/>
                <w:color w:val="FFFFFF"/>
              </w:rPr>
              <w:t>Owner</w:t>
            </w:r>
          </w:p>
        </w:tc>
        <w:tc>
          <w:tcPr>
            <w:tcW w:type="dxa" w:w="4752"/>
            <w:shd w:fill="1F4E79"/>
            <w:vAlign w:val="center"/>
          </w:tcPr>
          <w:p>
            <w:pPr>
              <w:spacing w:after="0"/>
            </w:pPr>
            <w:r/>
            <w:r>
              <w:rPr>
                <w:b/>
                <w:color w:val="FFFFFF"/>
              </w:rPr>
              <w:t>Task</w:t>
            </w:r>
          </w:p>
        </w:tc>
        <w:tc>
          <w:tcPr>
            <w:tcW w:type="dxa" w:w="3888"/>
            <w:shd w:fill="1F4E79"/>
            <w:vAlign w:val="center"/>
          </w:tcPr>
          <w:p>
            <w:pPr>
              <w:spacing w:after="0"/>
            </w:pPr>
            <w:r/>
            <w:r>
              <w:rPr>
                <w:b/>
                <w:color w:val="FFFFFF"/>
              </w:rPr>
              <w:t>Definition of done</w:t>
            </w:r>
          </w:p>
        </w:tc>
      </w:tr>
      <w:tr>
        <w:tc>
          <w:tcPr>
            <w:tcW w:type="dxa" w:w="1800"/>
            <w:vAlign w:val="top"/>
          </w:tcPr>
          <w:p>
            <w:pPr>
              <w:spacing w:after="0"/>
            </w:pPr>
            <w:r/>
            <w:r>
              <w:rPr>
                <w:b w:val="0"/>
              </w:rPr>
              <w:t>Build agent</w:t>
            </w:r>
          </w:p>
        </w:tc>
        <w:tc>
          <w:tcPr>
            <w:tcW w:type="dxa" w:w="4752"/>
            <w:vAlign w:val="top"/>
          </w:tcPr>
          <w:p>
            <w:pPr>
              <w:spacing w:after="0"/>
            </w:pPr>
            <w:r/>
            <w:r>
              <w:rPr>
                <w:b w:val="0"/>
              </w:rPr>
              <w:t>Create backend scaffold with FastAPI, uv, Pydantic v2, Alembic, Celery, Redis, Qdrant client.</w:t>
            </w:r>
          </w:p>
        </w:tc>
        <w:tc>
          <w:tcPr>
            <w:tcW w:type="dxa" w:w="3888"/>
            <w:vAlign w:val="top"/>
          </w:tcPr>
          <w:p>
            <w:pPr>
              <w:spacing w:after="0"/>
            </w:pPr>
            <w:r/>
            <w:r>
              <w:rPr>
                <w:b w:val="0"/>
              </w:rPr>
              <w:t>Tests pass; /health returns DB/Redis/Qdrant status.</w:t>
            </w:r>
          </w:p>
        </w:tc>
      </w:tr>
      <w:tr>
        <w:tc>
          <w:tcPr>
            <w:tcW w:type="dxa" w:w="1800"/>
            <w:vAlign w:val="top"/>
          </w:tcPr>
          <w:p>
            <w:pPr>
              <w:spacing w:after="0"/>
            </w:pPr>
            <w:r/>
            <w:r>
              <w:rPr>
                <w:b w:val="0"/>
              </w:rPr>
              <w:t>Build agent</w:t>
            </w:r>
          </w:p>
        </w:tc>
        <w:tc>
          <w:tcPr>
            <w:tcW w:type="dxa" w:w="4752"/>
            <w:vAlign w:val="top"/>
          </w:tcPr>
          <w:p>
            <w:pPr>
              <w:spacing w:after="0"/>
            </w:pPr>
            <w:r/>
            <w:r>
              <w:rPr>
                <w:b w:val="0"/>
              </w:rPr>
              <w:t>Create connector base classes and registry.</w:t>
            </w:r>
          </w:p>
        </w:tc>
        <w:tc>
          <w:tcPr>
            <w:tcW w:type="dxa" w:w="3888"/>
            <w:vAlign w:val="top"/>
          </w:tcPr>
          <w:p>
            <w:pPr>
              <w:spacing w:after="0"/>
            </w:pPr>
            <w:r/>
            <w:r>
              <w:rPr>
                <w:b w:val="0"/>
              </w:rPr>
              <w:t>Mock connector syncs and writes normalized documents.</w:t>
            </w:r>
          </w:p>
        </w:tc>
      </w:tr>
      <w:tr>
        <w:tc>
          <w:tcPr>
            <w:tcW w:type="dxa" w:w="1800"/>
            <w:vAlign w:val="top"/>
          </w:tcPr>
          <w:p>
            <w:pPr>
              <w:spacing w:after="0"/>
            </w:pPr>
            <w:r/>
            <w:r>
              <w:rPr>
                <w:b w:val="0"/>
              </w:rPr>
              <w:t>Build agent</w:t>
            </w:r>
          </w:p>
        </w:tc>
        <w:tc>
          <w:tcPr>
            <w:tcW w:type="dxa" w:w="4752"/>
            <w:vAlign w:val="top"/>
          </w:tcPr>
          <w:p>
            <w:pPr>
              <w:spacing w:after="0"/>
            </w:pPr>
            <w:r/>
            <w:r>
              <w:rPr>
                <w:b w:val="0"/>
              </w:rPr>
              <w:t>Implement Notion connector first.</w:t>
            </w:r>
          </w:p>
        </w:tc>
        <w:tc>
          <w:tcPr>
            <w:tcW w:type="dxa" w:w="3888"/>
            <w:vAlign w:val="top"/>
          </w:tcPr>
          <w:p>
            <w:pPr>
              <w:spacing w:after="0"/>
            </w:pPr>
            <w:r/>
            <w:r>
              <w:rPr>
                <w:b w:val="0"/>
              </w:rPr>
              <w:t>Can ingest selected database/pages and create task page/action item.</w:t>
            </w:r>
          </w:p>
        </w:tc>
      </w:tr>
      <w:tr>
        <w:tc>
          <w:tcPr>
            <w:tcW w:type="dxa" w:w="1800"/>
            <w:vAlign w:val="top"/>
          </w:tcPr>
          <w:p>
            <w:pPr>
              <w:spacing w:after="0"/>
            </w:pPr>
            <w:r/>
            <w:r>
              <w:rPr>
                <w:b w:val="0"/>
              </w:rPr>
              <w:t>Build agent</w:t>
            </w:r>
          </w:p>
        </w:tc>
        <w:tc>
          <w:tcPr>
            <w:tcW w:type="dxa" w:w="4752"/>
            <w:vAlign w:val="top"/>
          </w:tcPr>
          <w:p>
            <w:pPr>
              <w:spacing w:after="0"/>
            </w:pPr>
            <w:r/>
            <w:r>
              <w:rPr>
                <w:b w:val="0"/>
              </w:rPr>
              <w:t>Implement Slack connector second.</w:t>
            </w:r>
          </w:p>
        </w:tc>
        <w:tc>
          <w:tcPr>
            <w:tcW w:type="dxa" w:w="3888"/>
            <w:vAlign w:val="top"/>
          </w:tcPr>
          <w:p>
            <w:pPr>
              <w:spacing w:after="0"/>
            </w:pPr>
            <w:r/>
            <w:r>
              <w:rPr>
                <w:b w:val="0"/>
              </w:rPr>
              <w:t>Can ingest channel messages and post workflow summary.</w:t>
            </w:r>
          </w:p>
        </w:tc>
      </w:tr>
      <w:tr>
        <w:tc>
          <w:tcPr>
            <w:tcW w:type="dxa" w:w="1800"/>
            <w:vAlign w:val="top"/>
          </w:tcPr>
          <w:p>
            <w:pPr>
              <w:spacing w:after="0"/>
            </w:pPr>
            <w:r/>
            <w:r>
              <w:rPr>
                <w:b w:val="0"/>
              </w:rPr>
              <w:t>Build agent</w:t>
            </w:r>
          </w:p>
        </w:tc>
        <w:tc>
          <w:tcPr>
            <w:tcW w:type="dxa" w:w="4752"/>
            <w:vAlign w:val="top"/>
          </w:tcPr>
          <w:p>
            <w:pPr>
              <w:spacing w:after="0"/>
            </w:pPr>
            <w:r/>
            <w:r>
              <w:rPr>
                <w:b w:val="0"/>
              </w:rPr>
              <w:t>Implement Freshdesk connector third.</w:t>
            </w:r>
          </w:p>
        </w:tc>
        <w:tc>
          <w:tcPr>
            <w:tcW w:type="dxa" w:w="3888"/>
            <w:vAlign w:val="top"/>
          </w:tcPr>
          <w:p>
            <w:pPr>
              <w:spacing w:after="0"/>
            </w:pPr>
            <w:r/>
            <w:r>
              <w:rPr>
                <w:b w:val="0"/>
              </w:rPr>
              <w:t>Can ingest tickets and summarize customer-support context.</w:t>
            </w:r>
          </w:p>
        </w:tc>
      </w:tr>
      <w:tr>
        <w:tc>
          <w:tcPr>
            <w:tcW w:type="dxa" w:w="1800"/>
            <w:vAlign w:val="top"/>
          </w:tcPr>
          <w:p>
            <w:pPr>
              <w:spacing w:after="0"/>
            </w:pPr>
            <w:r/>
            <w:r>
              <w:rPr>
                <w:b w:val="0"/>
              </w:rPr>
              <w:t>Build agent</w:t>
            </w:r>
          </w:p>
        </w:tc>
        <w:tc>
          <w:tcPr>
            <w:tcW w:type="dxa" w:w="4752"/>
            <w:vAlign w:val="top"/>
          </w:tcPr>
          <w:p>
            <w:pPr>
              <w:spacing w:after="0"/>
            </w:pPr>
            <w:r/>
            <w:r>
              <w:rPr>
                <w:b w:val="0"/>
              </w:rPr>
              <w:t>Implement search API.</w:t>
            </w:r>
          </w:p>
        </w:tc>
        <w:tc>
          <w:tcPr>
            <w:tcW w:type="dxa" w:w="3888"/>
            <w:vAlign w:val="top"/>
          </w:tcPr>
          <w:p>
            <w:pPr>
              <w:spacing w:after="0"/>
            </w:pPr>
            <w:r/>
            <w:r>
              <w:rPr>
                <w:b w:val="0"/>
              </w:rPr>
              <w:t>Query endpoint returns answer, citations, source records, and confidence.</w:t>
            </w:r>
          </w:p>
        </w:tc>
      </w:tr>
      <w:tr>
        <w:tc>
          <w:tcPr>
            <w:tcW w:type="dxa" w:w="1800"/>
            <w:vAlign w:val="top"/>
          </w:tcPr>
          <w:p>
            <w:pPr>
              <w:spacing w:after="0"/>
            </w:pPr>
            <w:r/>
            <w:r>
              <w:rPr>
                <w:b w:val="0"/>
              </w:rPr>
              <w:t>Build agent</w:t>
            </w:r>
          </w:p>
        </w:tc>
        <w:tc>
          <w:tcPr>
            <w:tcW w:type="dxa" w:w="4752"/>
            <w:vAlign w:val="top"/>
          </w:tcPr>
          <w:p>
            <w:pPr>
              <w:spacing w:after="0"/>
            </w:pPr>
            <w:r/>
            <w:r>
              <w:rPr>
                <w:b w:val="0"/>
              </w:rPr>
              <w:t>Implement workflow runner.</w:t>
            </w:r>
          </w:p>
        </w:tc>
        <w:tc>
          <w:tcPr>
            <w:tcW w:type="dxa" w:w="3888"/>
            <w:vAlign w:val="top"/>
          </w:tcPr>
          <w:p>
            <w:pPr>
              <w:spacing w:after="0"/>
            </w:pPr>
            <w:r/>
            <w:r>
              <w:rPr>
                <w:b w:val="0"/>
              </w:rPr>
              <w:t>Transcript or pasted meeting notes creates validated action items and executes task creation.</w:t>
            </w:r>
          </w:p>
        </w:tc>
      </w:tr>
      <w:tr>
        <w:tc>
          <w:tcPr>
            <w:tcW w:type="dxa" w:w="1800"/>
            <w:vAlign w:val="top"/>
          </w:tcPr>
          <w:p>
            <w:pPr>
              <w:spacing w:after="0"/>
            </w:pPr>
            <w:r/>
            <w:r>
              <w:rPr>
                <w:b w:val="0"/>
              </w:rPr>
              <w:t>Frontend</w:t>
            </w:r>
          </w:p>
        </w:tc>
        <w:tc>
          <w:tcPr>
            <w:tcW w:type="dxa" w:w="4752"/>
            <w:vAlign w:val="top"/>
          </w:tcPr>
          <w:p>
            <w:pPr>
              <w:spacing w:after="0"/>
            </w:pPr>
            <w:r/>
            <w:r>
              <w:rPr>
                <w:b w:val="0"/>
              </w:rPr>
              <w:t>Build dashboard skeleton.</w:t>
            </w:r>
          </w:p>
        </w:tc>
        <w:tc>
          <w:tcPr>
            <w:tcW w:type="dxa" w:w="3888"/>
            <w:vAlign w:val="top"/>
          </w:tcPr>
          <w:p>
            <w:pPr>
              <w:spacing w:after="0"/>
            </w:pPr>
            <w:r/>
            <w:r>
              <w:rPr>
                <w:b w:val="0"/>
              </w:rPr>
              <w:t>Connectors, sync runs, search, workflow runs, and action item detail pages are usable.</w:t>
            </w:r>
          </w:p>
        </w:tc>
      </w:tr>
      <w:tr>
        <w:tc>
          <w:tcPr>
            <w:tcW w:type="dxa" w:w="1800"/>
            <w:vAlign w:val="top"/>
          </w:tcPr>
          <w:p>
            <w:pPr>
              <w:spacing w:after="0"/>
            </w:pPr>
            <w:r/>
            <w:r>
              <w:rPr>
                <w:b w:val="0"/>
              </w:rPr>
              <w:t>Founder/CTO</w:t>
            </w:r>
          </w:p>
        </w:tc>
        <w:tc>
          <w:tcPr>
            <w:tcW w:type="dxa" w:w="4752"/>
            <w:vAlign w:val="top"/>
          </w:tcPr>
          <w:p>
            <w:pPr>
              <w:spacing w:after="0"/>
            </w:pPr>
            <w:r/>
            <w:r>
              <w:rPr>
                <w:b w:val="0"/>
              </w:rPr>
              <w:t>Confirm pilot connectors and credentials.</w:t>
            </w:r>
          </w:p>
        </w:tc>
        <w:tc>
          <w:tcPr>
            <w:tcW w:type="dxa" w:w="3888"/>
            <w:vAlign w:val="top"/>
          </w:tcPr>
          <w:p>
            <w:pPr>
              <w:spacing w:after="0"/>
            </w:pPr>
            <w:r/>
            <w:r>
              <w:rPr>
                <w:b w:val="0"/>
              </w:rPr>
              <w:t>Access exists for at least 3 real data sources.</w:t>
            </w:r>
          </w:p>
        </w:tc>
      </w:tr>
    </w:tbl>
    <w:p/>
    <w:p>
      <w:pPr>
        <w:pStyle w:val="Heading1"/>
      </w:pPr>
      <w:r>
        <w:t>10. Model and Prompt Configuration</w:t>
      </w:r>
    </w:p>
    <w:p>
      <w:pPr>
        <w:pStyle w:val="ListBullet"/>
      </w:pPr>
      <w:r>
        <w:t>Do not hardcode a single model string inside business logic. Use an internal model_router config.</w:t>
      </w:r>
    </w:p>
    <w:p>
      <w:pPr>
        <w:pStyle w:val="ListBullet"/>
      </w:pPr>
      <w:r>
        <w:t>Use a strong reasoning/extraction model for action-item extraction and policy-sensitive synthesis.</w:t>
      </w:r>
    </w:p>
    <w:p>
      <w:pPr>
        <w:pStyle w:val="ListBullet"/>
      </w:pPr>
      <w:r>
        <w:t>Use a cheaper model for classification, source tagging, title generation, and summaries where failures are low-risk.</w:t>
      </w:r>
    </w:p>
    <w:p>
      <w:pPr>
        <w:pStyle w:val="ListBullet"/>
      </w:pPr>
      <w:r>
        <w:t>Use local Ollama or approved local inference only for Red-tier data when the pilot requires it.</w:t>
      </w:r>
    </w:p>
    <w:p>
      <w:pPr>
        <w:pStyle w:val="ListBullet"/>
      </w:pPr>
      <w:r>
        <w:t>Cache stable system prompts where provider support exists. Store prompt version, model, and schema version on every workflow_run.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ign w:val="center"/>
          </w:tcPr>
          <w:p>
            <w:pPr>
              <w:spacing w:after="0"/>
            </w:pPr>
            <w:r/>
            <w:r>
              <w:rPr>
                <w:b/>
                <w:color w:val="FFFFFF"/>
              </w:rPr>
              <w:t>Use case</w:t>
            </w:r>
          </w:p>
        </w:tc>
        <w:tc>
          <w:tcPr>
            <w:tcW w:type="dxa" w:w="2880"/>
            <w:shd w:fill="1F4E79"/>
            <w:vAlign w:val="center"/>
          </w:tcPr>
          <w:p>
            <w:pPr>
              <w:spacing w:after="0"/>
            </w:pPr>
            <w:r/>
            <w:r>
              <w:rPr>
                <w:b/>
                <w:color w:val="FFFFFF"/>
              </w:rPr>
              <w:t>Primary</w:t>
            </w:r>
          </w:p>
        </w:tc>
        <w:tc>
          <w:tcPr>
            <w:tcW w:type="dxa" w:w="2880"/>
            <w:shd w:fill="1F4E79"/>
            <w:vAlign w:val="center"/>
          </w:tcPr>
          <w:p>
            <w:pPr>
              <w:spacing w:after="0"/>
            </w:pPr>
            <w:r/>
            <w:r>
              <w:rPr>
                <w:b/>
                <w:color w:val="FFFFFF"/>
              </w:rPr>
              <w:t>Fallback</w:t>
            </w:r>
          </w:p>
        </w:tc>
        <w:tc>
          <w:tcPr>
            <w:tcW w:type="dxa" w:w="2592"/>
            <w:shd w:fill="1F4E79"/>
            <w:vAlign w:val="center"/>
          </w:tcPr>
          <w:p>
            <w:pPr>
              <w:spacing w:after="0"/>
            </w:pPr>
            <w:r/>
            <w:r>
              <w:rPr>
                <w:b/>
                <w:color w:val="FFFFFF"/>
              </w:rPr>
              <w:t>Validation</w:t>
            </w:r>
          </w:p>
        </w:tc>
      </w:tr>
      <w:tr>
        <w:tc>
          <w:tcPr>
            <w:tcW w:type="dxa" w:w="2448"/>
            <w:vAlign w:val="top"/>
          </w:tcPr>
          <w:p>
            <w:pPr>
              <w:spacing w:after="0"/>
            </w:pPr>
            <w:r/>
            <w:r>
              <w:rPr>
                <w:b w:val="0"/>
              </w:rPr>
              <w:t>Action extraction</w:t>
            </w:r>
          </w:p>
        </w:tc>
        <w:tc>
          <w:tcPr>
            <w:tcW w:type="dxa" w:w="2880"/>
            <w:vAlign w:val="top"/>
          </w:tcPr>
          <w:p>
            <w:pPr>
              <w:spacing w:after="0"/>
            </w:pPr>
            <w:r/>
            <w:r>
              <w:rPr>
                <w:b w:val="0"/>
              </w:rPr>
              <w:t>GPT-5-class or Claude Sonnet-class</w:t>
            </w:r>
          </w:p>
        </w:tc>
        <w:tc>
          <w:tcPr>
            <w:tcW w:type="dxa" w:w="2880"/>
            <w:vAlign w:val="top"/>
          </w:tcPr>
          <w:p>
            <w:pPr>
              <w:spacing w:after="0"/>
            </w:pPr>
            <w:r/>
            <w:r>
              <w:rPr>
                <w:b w:val="0"/>
              </w:rPr>
              <w:t>Alternate strong provider model</w:t>
            </w:r>
          </w:p>
        </w:tc>
        <w:tc>
          <w:tcPr>
            <w:tcW w:type="dxa" w:w="2592"/>
            <w:vAlign w:val="top"/>
          </w:tcPr>
          <w:p>
            <w:pPr>
              <w:spacing w:after="0"/>
            </w:pPr>
            <w:r/>
            <w:r>
              <w:rPr>
                <w:b w:val="0"/>
              </w:rPr>
              <w:t>Pydantic ActionItem schema; reject invalid JSON.</w:t>
            </w:r>
          </w:p>
        </w:tc>
      </w:tr>
      <w:tr>
        <w:tc>
          <w:tcPr>
            <w:tcW w:type="dxa" w:w="2448"/>
            <w:vAlign w:val="top"/>
          </w:tcPr>
          <w:p>
            <w:pPr>
              <w:spacing w:after="0"/>
            </w:pPr>
            <w:r/>
            <w:r>
              <w:rPr>
                <w:b w:val="0"/>
              </w:rPr>
              <w:t>Search answer synthesis</w:t>
            </w:r>
          </w:p>
        </w:tc>
        <w:tc>
          <w:tcPr>
            <w:tcW w:type="dxa" w:w="2880"/>
            <w:vAlign w:val="top"/>
          </w:tcPr>
          <w:p>
            <w:pPr>
              <w:spacing w:after="0"/>
            </w:pPr>
            <w:r/>
            <w:r>
              <w:rPr>
                <w:b w:val="0"/>
              </w:rPr>
              <w:t>Strong general model</w:t>
            </w:r>
          </w:p>
        </w:tc>
        <w:tc>
          <w:tcPr>
            <w:tcW w:type="dxa" w:w="2880"/>
            <w:vAlign w:val="top"/>
          </w:tcPr>
          <w:p>
            <w:pPr>
              <w:spacing w:after="0"/>
            </w:pPr>
            <w:r/>
            <w:r>
              <w:rPr>
                <w:b w:val="0"/>
              </w:rPr>
              <w:t>Mini/Haiku-class model for short answers</w:t>
            </w:r>
          </w:p>
        </w:tc>
        <w:tc>
          <w:tcPr>
            <w:tcW w:type="dxa" w:w="2592"/>
            <w:vAlign w:val="top"/>
          </w:tcPr>
          <w:p>
            <w:pPr>
              <w:spacing w:after="0"/>
            </w:pPr>
            <w:r/>
            <w:r>
              <w:rPr>
                <w:b w:val="0"/>
              </w:rPr>
              <w:t>Must include citations; no citation means no confident answer.</w:t>
            </w:r>
          </w:p>
        </w:tc>
      </w:tr>
      <w:tr>
        <w:tc>
          <w:tcPr>
            <w:tcW w:type="dxa" w:w="2448"/>
            <w:vAlign w:val="top"/>
          </w:tcPr>
          <w:p>
            <w:pPr>
              <w:spacing w:after="0"/>
            </w:pPr>
            <w:r/>
            <w:r>
              <w:rPr>
                <w:b w:val="0"/>
              </w:rPr>
              <w:t>Classification</w:t>
            </w:r>
          </w:p>
        </w:tc>
        <w:tc>
          <w:tcPr>
            <w:tcW w:type="dxa" w:w="2880"/>
            <w:vAlign w:val="top"/>
          </w:tcPr>
          <w:p>
            <w:pPr>
              <w:spacing w:after="0"/>
            </w:pPr>
            <w:r/>
            <w:r>
              <w:rPr>
                <w:b w:val="0"/>
              </w:rPr>
              <w:t>Mini/Haiku-class</w:t>
            </w:r>
          </w:p>
        </w:tc>
        <w:tc>
          <w:tcPr>
            <w:tcW w:type="dxa" w:w="2880"/>
            <w:vAlign w:val="top"/>
          </w:tcPr>
          <w:p>
            <w:pPr>
              <w:spacing w:after="0"/>
            </w:pPr>
            <w:r/>
            <w:r>
              <w:rPr>
                <w:b w:val="0"/>
              </w:rPr>
              <w:t>Local model if low-risk</w:t>
            </w:r>
          </w:p>
        </w:tc>
        <w:tc>
          <w:tcPr>
            <w:tcW w:type="dxa" w:w="2592"/>
            <w:vAlign w:val="top"/>
          </w:tcPr>
          <w:p>
            <w:pPr>
              <w:spacing w:after="0"/>
            </w:pPr>
            <w:r/>
            <w:r>
              <w:rPr>
                <w:b w:val="0"/>
              </w:rPr>
              <w:t>Enum-only outputs.</w:t>
            </w:r>
          </w:p>
        </w:tc>
      </w:tr>
      <w:tr>
        <w:tc>
          <w:tcPr>
            <w:tcW w:type="dxa" w:w="2448"/>
            <w:vAlign w:val="top"/>
          </w:tcPr>
          <w:p>
            <w:pPr>
              <w:spacing w:after="0"/>
            </w:pPr>
            <w:r/>
            <w:r>
              <w:rPr>
                <w:b w:val="0"/>
              </w:rPr>
              <w:t>Red-tier data</w:t>
            </w:r>
          </w:p>
        </w:tc>
        <w:tc>
          <w:tcPr>
            <w:tcW w:type="dxa" w:w="2880"/>
            <w:vAlign w:val="top"/>
          </w:tcPr>
          <w:p>
            <w:pPr>
              <w:spacing w:after="0"/>
            </w:pPr>
            <w:r/>
            <w:r>
              <w:rPr>
                <w:b w:val="0"/>
              </w:rPr>
              <w:t>Local model</w:t>
            </w:r>
          </w:p>
        </w:tc>
        <w:tc>
          <w:tcPr>
            <w:tcW w:type="dxa" w:w="2880"/>
            <w:vAlign w:val="top"/>
          </w:tcPr>
          <w:p>
            <w:pPr>
              <w:spacing w:after="0"/>
            </w:pPr>
            <w:r/>
            <w:r>
              <w:rPr>
                <w:b w:val="0"/>
              </w:rPr>
              <w:t>No cloud fallback without explicit org setting</w:t>
            </w:r>
          </w:p>
        </w:tc>
        <w:tc>
          <w:tcPr>
            <w:tcW w:type="dxa" w:w="2592"/>
            <w:vAlign w:val="top"/>
          </w:tcPr>
          <w:p>
            <w:pPr>
              <w:spacing w:after="0"/>
            </w:pPr>
            <w:r/>
            <w:r>
              <w:rPr>
                <w:b w:val="0"/>
              </w:rPr>
              <w:t>Audit event required.</w:t>
            </w:r>
          </w:p>
        </w:tc>
      </w:tr>
    </w:tbl>
    <w:p/>
    <w:p>
      <w:pPr>
        <w:pStyle w:val="Heading1"/>
      </w:pPr>
      <w:r>
        <w:t>11. Pilot Acceptance Criteria</w:t>
      </w:r>
    </w:p>
    <w:p>
      <w:pPr>
        <w:pStyle w:val="ListBullet"/>
      </w:pPr>
      <w:r>
        <w:t>Connect at least three real pilot systems: one communication source, one knowledge source, and one business system.</w:t>
      </w:r>
    </w:p>
    <w:p>
      <w:pPr>
        <w:pStyle w:val="ListBullet"/>
      </w:pPr>
      <w:r>
        <w:t>Ask a natural-language question and get a cited answer from indexed pilot data.</w:t>
      </w:r>
    </w:p>
    <w:p>
      <w:pPr>
        <w:pStyle w:val="ListBullet"/>
      </w:pPr>
      <w:r>
        <w:t>Run the action-item workflow and create a real Notion task, support ticket update, or engineering ticket.</w:t>
      </w:r>
    </w:p>
    <w:p>
      <w:pPr>
        <w:pStyle w:val="ListBullet"/>
      </w:pPr>
      <w:r>
        <w:t>Dashboard shows connector status, last sync time, failures, workflow outputs, and source citations.</w:t>
      </w:r>
    </w:p>
    <w:p>
      <w:pPr>
        <w:pStyle w:val="ListBullet"/>
      </w:pPr>
      <w:r>
        <w:t>Permission filter prevents cross-org or unauthorized source leakage in test cases.</w:t>
      </w:r>
    </w:p>
    <w:p>
      <w:pPr>
        <w:pStyle w:val="ListBullet"/>
      </w:pPr>
      <w:r>
        <w:t>Every connector action has an audit event with actor, source, payload hash, status, and timestamp.</w:t>
      </w:r>
    </w:p>
    <w:p>
      <w:pPr>
        <w:pStyle w:val="ListBullet"/>
      </w:pPr>
      <w:r>
        <w:t>Failure paths are visible: expired credentials, rate limits, model failure, invalid LLM JSON, and action execution failure.</w:t>
      </w:r>
    </w:p>
    <w:p>
      <w:pPr>
        <w:pStyle w:val="Heading1"/>
      </w:pPr>
      <w:r>
        <w:t>12. Risks and Mitigations</w:t>
      </w:r>
    </w:p>
    <w:tbl>
      <w:tblPr>
        <w:tblStyle w:val="TableGrid"/>
        <w:tblW w:type="auto" w:w="0"/>
        <w:tblLook w:firstColumn="1" w:firstRow="1" w:lastColumn="0" w:lastRow="0" w:noHBand="0" w:noVBand="1" w:val="04A0"/>
      </w:tblPr>
      <w:tblGrid>
        <w:gridCol w:w="3264"/>
        <w:gridCol w:w="3264"/>
        <w:gridCol w:w="3264"/>
      </w:tblGrid>
      <w:tr>
        <w:tc>
          <w:tcPr>
            <w:tcW w:type="dxa" w:w="2520"/>
            <w:shd w:fill="1F4E79"/>
            <w:vAlign w:val="center"/>
          </w:tcPr>
          <w:p>
            <w:pPr>
              <w:spacing w:after="0"/>
            </w:pPr>
            <w:r/>
            <w:r>
              <w:rPr>
                <w:b/>
                <w:color w:val="FFFFFF"/>
              </w:rPr>
              <w:t>Risk</w:t>
            </w:r>
          </w:p>
        </w:tc>
        <w:tc>
          <w:tcPr>
            <w:tcW w:type="dxa" w:w="3096"/>
            <w:shd w:fill="1F4E79"/>
            <w:vAlign w:val="center"/>
          </w:tcPr>
          <w:p>
            <w:pPr>
              <w:spacing w:after="0"/>
            </w:pPr>
            <w:r/>
            <w:r>
              <w:rPr>
                <w:b/>
                <w:color w:val="FFFFFF"/>
              </w:rPr>
              <w:t>Impact</w:t>
            </w:r>
          </w:p>
        </w:tc>
        <w:tc>
          <w:tcPr>
            <w:tcW w:type="dxa" w:w="4680"/>
            <w:shd w:fill="1F4E79"/>
            <w:vAlign w:val="center"/>
          </w:tcPr>
          <w:p>
            <w:pPr>
              <w:spacing w:after="0"/>
            </w:pPr>
            <w:r/>
            <w:r>
              <w:rPr>
                <w:b/>
                <w:color w:val="FFFFFF"/>
              </w:rPr>
              <w:t>Mitigation</w:t>
            </w:r>
          </w:p>
        </w:tc>
      </w:tr>
      <w:tr>
        <w:tc>
          <w:tcPr>
            <w:tcW w:type="dxa" w:w="2520"/>
            <w:vAlign w:val="top"/>
          </w:tcPr>
          <w:p>
            <w:pPr>
              <w:spacing w:after="0"/>
            </w:pPr>
            <w:r/>
            <w:r>
              <w:rPr>
                <w:b w:val="0"/>
              </w:rPr>
              <w:t>Connector sprawl</w:t>
            </w:r>
          </w:p>
        </w:tc>
        <w:tc>
          <w:tcPr>
            <w:tcW w:type="dxa" w:w="3096"/>
            <w:vAlign w:val="top"/>
          </w:tcPr>
          <w:p>
            <w:pPr>
              <w:spacing w:after="0"/>
            </w:pPr>
            <w:r/>
            <w:r>
              <w:rPr>
                <w:b w:val="0"/>
              </w:rPr>
              <w:t>MVP slips because every tool behaves differently.</w:t>
            </w:r>
          </w:p>
        </w:tc>
        <w:tc>
          <w:tcPr>
            <w:tcW w:type="dxa" w:w="4680"/>
            <w:vAlign w:val="top"/>
          </w:tcPr>
          <w:p>
            <w:pPr>
              <w:spacing w:after="0"/>
            </w:pPr>
            <w:r/>
            <w:r>
              <w:rPr>
                <w:b w:val="0"/>
              </w:rPr>
              <w:t>Use P0/P1 priority and a common connector interface. Build 3-5 connectors well.</w:t>
            </w:r>
          </w:p>
        </w:tc>
      </w:tr>
      <w:tr>
        <w:tc>
          <w:tcPr>
            <w:tcW w:type="dxa" w:w="2520"/>
            <w:vAlign w:val="top"/>
          </w:tcPr>
          <w:p>
            <w:pPr>
              <w:spacing w:after="0"/>
            </w:pPr>
            <w:r/>
            <w:r>
              <w:rPr>
                <w:b w:val="0"/>
              </w:rPr>
              <w:t>Auth delays</w:t>
            </w:r>
          </w:p>
        </w:tc>
        <w:tc>
          <w:tcPr>
            <w:tcW w:type="dxa" w:w="3096"/>
            <w:vAlign w:val="top"/>
          </w:tcPr>
          <w:p>
            <w:pPr>
              <w:spacing w:after="0"/>
            </w:pPr>
            <w:r/>
            <w:r>
              <w:rPr>
                <w:b w:val="0"/>
              </w:rPr>
              <w:t>Pilot blocked by OAuth app setup.</w:t>
            </w:r>
          </w:p>
        </w:tc>
        <w:tc>
          <w:tcPr>
            <w:tcW w:type="dxa" w:w="4680"/>
            <w:vAlign w:val="top"/>
          </w:tcPr>
          <w:p>
            <w:pPr>
              <w:spacing w:after="0"/>
            </w:pPr>
            <w:r/>
            <w:r>
              <w:rPr>
                <w:b w:val="0"/>
              </w:rPr>
              <w:t>Use Composio where it saves time; direct API keys for internal pilot when safe.</w:t>
            </w:r>
          </w:p>
        </w:tc>
      </w:tr>
      <w:tr>
        <w:tc>
          <w:tcPr>
            <w:tcW w:type="dxa" w:w="2520"/>
            <w:vAlign w:val="top"/>
          </w:tcPr>
          <w:p>
            <w:pPr>
              <w:spacing w:after="0"/>
            </w:pPr>
            <w:r/>
            <w:r>
              <w:rPr>
                <w:b w:val="0"/>
              </w:rPr>
              <w:t>Permission leakage</w:t>
            </w:r>
          </w:p>
        </w:tc>
        <w:tc>
          <w:tcPr>
            <w:tcW w:type="dxa" w:w="3096"/>
            <w:vAlign w:val="top"/>
          </w:tcPr>
          <w:p>
            <w:pPr>
              <w:spacing w:after="0"/>
            </w:pPr>
            <w:r/>
            <w:r>
              <w:rPr>
                <w:b w:val="0"/>
              </w:rPr>
              <w:t>Trust failure.</w:t>
            </w:r>
          </w:p>
        </w:tc>
        <w:tc>
          <w:tcPr>
            <w:tcW w:type="dxa" w:w="4680"/>
            <w:vAlign w:val="top"/>
          </w:tcPr>
          <w:p>
            <w:pPr>
              <w:spacing w:after="0"/>
            </w:pPr>
            <w:r/>
            <w:r>
              <w:rPr>
                <w:b w:val="0"/>
              </w:rPr>
              <w:t>Filter retrieval by org_id, source_id, permissions, and data_tier before model calls.</w:t>
            </w:r>
          </w:p>
        </w:tc>
      </w:tr>
      <w:tr>
        <w:tc>
          <w:tcPr>
            <w:tcW w:type="dxa" w:w="2520"/>
            <w:vAlign w:val="top"/>
          </w:tcPr>
          <w:p>
            <w:pPr>
              <w:spacing w:after="0"/>
            </w:pPr>
            <w:r/>
            <w:r>
              <w:rPr>
                <w:b w:val="0"/>
              </w:rPr>
              <w:t>LLM hallucination</w:t>
            </w:r>
          </w:p>
        </w:tc>
        <w:tc>
          <w:tcPr>
            <w:tcW w:type="dxa" w:w="3096"/>
            <w:vAlign w:val="top"/>
          </w:tcPr>
          <w:p>
            <w:pPr>
              <w:spacing w:after="0"/>
            </w:pPr>
            <w:r/>
            <w:r>
              <w:rPr>
                <w:b w:val="0"/>
              </w:rPr>
              <w:t>Bad answers or wrong actions.</w:t>
            </w:r>
          </w:p>
        </w:tc>
        <w:tc>
          <w:tcPr>
            <w:tcW w:type="dxa" w:w="4680"/>
            <w:vAlign w:val="top"/>
          </w:tcPr>
          <w:p>
            <w:pPr>
              <w:spacing w:after="0"/>
            </w:pPr>
            <w:r/>
            <w:r>
              <w:rPr>
                <w:b w:val="0"/>
              </w:rPr>
              <w:t>Require citations for answers and schema validation plus human-visible action previews for risky writes.</w:t>
            </w:r>
          </w:p>
        </w:tc>
      </w:tr>
      <w:tr>
        <w:tc>
          <w:tcPr>
            <w:tcW w:type="dxa" w:w="2520"/>
            <w:vAlign w:val="top"/>
          </w:tcPr>
          <w:p>
            <w:pPr>
              <w:spacing w:after="0"/>
            </w:pPr>
            <w:r/>
            <w:r>
              <w:rPr>
                <w:b w:val="0"/>
              </w:rPr>
              <w:t>GPL contamination</w:t>
            </w:r>
          </w:p>
        </w:tc>
        <w:tc>
          <w:tcPr>
            <w:tcW w:type="dxa" w:w="3096"/>
            <w:vAlign w:val="top"/>
          </w:tcPr>
          <w:p>
            <w:pPr>
              <w:spacing w:after="0"/>
            </w:pPr>
            <w:r/>
            <w:r>
              <w:rPr>
                <w:b w:val="0"/>
              </w:rPr>
              <w:t>Licensing issue.</w:t>
            </w:r>
          </w:p>
        </w:tc>
        <w:tc>
          <w:tcPr>
            <w:tcW w:type="dxa" w:w="4680"/>
            <w:vAlign w:val="top"/>
          </w:tcPr>
          <w:p>
            <w:pPr>
              <w:spacing w:after="0"/>
            </w:pPr>
            <w:r/>
            <w:r>
              <w:rPr>
                <w:b w:val="0"/>
              </w:rPr>
              <w:t>Do not fork GPL OpenHuman into proprietary distributed product; use as architecture reference.</w:t>
            </w:r>
          </w:p>
        </w:tc>
      </w:tr>
      <w:tr>
        <w:tc>
          <w:tcPr>
            <w:tcW w:type="dxa" w:w="2520"/>
            <w:vAlign w:val="top"/>
          </w:tcPr>
          <w:p>
            <w:pPr>
              <w:spacing w:after="0"/>
            </w:pPr>
            <w:r/>
            <w:r>
              <w:rPr>
                <w:b w:val="0"/>
              </w:rPr>
              <w:t>Tally/Keka API variance</w:t>
            </w:r>
          </w:p>
        </w:tc>
        <w:tc>
          <w:tcPr>
            <w:tcW w:type="dxa" w:w="3096"/>
            <w:vAlign w:val="top"/>
          </w:tcPr>
          <w:p>
            <w:pPr>
              <w:spacing w:after="0"/>
            </w:pPr>
            <w:r/>
            <w:r>
              <w:rPr>
                <w:b w:val="0"/>
              </w:rPr>
              <w:t>Finance/HR connector takes longer than expected.</w:t>
            </w:r>
          </w:p>
        </w:tc>
        <w:tc>
          <w:tcPr>
            <w:tcW w:type="dxa" w:w="4680"/>
            <w:vAlign w:val="top"/>
          </w:tcPr>
          <w:p>
            <w:pPr>
              <w:spacing w:after="0"/>
            </w:pPr>
            <w:r/>
            <w:r>
              <w:rPr>
                <w:b w:val="0"/>
              </w:rPr>
              <w:t>Make them read-only P1. Start with API proof of connectivity and CSV/manual fallback.</w:t>
            </w:r>
          </w:p>
        </w:tc>
      </w:tr>
      <w:tr>
        <w:tc>
          <w:tcPr>
            <w:tcW w:type="dxa" w:w="2520"/>
            <w:vAlign w:val="top"/>
          </w:tcPr>
          <w:p>
            <w:pPr>
              <w:spacing w:after="0"/>
            </w:pPr>
            <w:r/>
            <w:r>
              <w:rPr>
                <w:b w:val="0"/>
              </w:rPr>
              <w:t>Pilot data messiness</w:t>
            </w:r>
          </w:p>
        </w:tc>
        <w:tc>
          <w:tcPr>
            <w:tcW w:type="dxa" w:w="3096"/>
            <w:vAlign w:val="top"/>
          </w:tcPr>
          <w:p>
            <w:pPr>
              <w:spacing w:after="0"/>
            </w:pPr>
            <w:r/>
            <w:r>
              <w:rPr>
                <w:b w:val="0"/>
              </w:rPr>
              <w:t>Search feels low quality.</w:t>
            </w:r>
          </w:p>
        </w:tc>
        <w:tc>
          <w:tcPr>
            <w:tcW w:type="dxa" w:w="4680"/>
            <w:vAlign w:val="top"/>
          </w:tcPr>
          <w:p>
            <w:pPr>
              <w:spacing w:after="0"/>
            </w:pPr>
            <w:r/>
            <w:r>
              <w:rPr>
                <w:b w:val="0"/>
              </w:rPr>
              <w:t>Ship source health, recency metadata, and citation UI so users see provenance.</w:t>
            </w:r>
          </w:p>
        </w:tc>
      </w:tr>
    </w:tbl>
    <w:p/>
    <w:p>
      <w:pPr>
        <w:pStyle w:val="Heading1"/>
      </w:pPr>
      <w:r>
        <w:t>13. Updated Section 12 Replacement Text</w:t>
      </w:r>
    </w:p>
    <w:p>
      <w:r>
        <w:t>Replace the old coding-agent instructions with this shorter directive:</w:t>
      </w:r>
    </w:p>
    <w:tbl>
      <w:tblPr>
        <w:tblStyle w:val="TableGrid"/>
        <w:tblW w:type="auto" w:w="0"/>
        <w:tblLook w:firstColumn="1" w:firstRow="1" w:lastColumn="0" w:lastRow="0" w:noHBand="0" w:noVBand="1" w:val="04A0"/>
      </w:tblPr>
      <w:tblGrid>
        <w:gridCol w:w="9792"/>
      </w:tblGrid>
      <w:tr>
        <w:tc>
          <w:tcPr>
            <w:tcW w:type="dxa" w:w="9792"/>
            <w:shd w:fill="EAF2F8"/>
          </w:tcPr>
          <w:p>
            <w:r/>
            <w:r>
              <w:rPr>
                <w:b/>
                <w:color w:val="1F4E79"/>
              </w:rPr>
              <w:t>Coding-agent directive</w:t>
            </w:r>
            <w:r>
              <w:br/>
              <w:t>Build OSAI as a connector-first operating layer. Implement a shared connector interface, a permission-aware memory pipeline, a model-router-backed workflow engine, and a dashboard that makes syncs and actions visible. Use Composio for OAuth and actions where it accelerates delivery. Use direct APIs for connectors Composio does not cover well, especially Keka, TallyPrime, and pilot-specific systems. The first workflow must turn meeting notes/transcripts into validated action items and create tasks/tickets in Notion, Linear, GitHub, or Freshdesk depending on pilot need.</w:t>
            </w:r>
          </w:p>
        </w:tc>
      </w:tr>
    </w:tbl>
    <w:p/>
    <w:p>
      <w:pPr>
        <w:pStyle w:val="Heading1"/>
      </w:pPr>
      <w:r>
        <w:t>14. Source Notes Checked</w:t>
      </w:r>
    </w:p>
    <w:p>
      <w:pPr>
        <w:pStyle w:val="ListBullet"/>
      </w:pPr>
      <w:r>
        <w:t>Composio docs and GitHub: current Python SDK and open-source toolkit direction.</w:t>
      </w:r>
    </w:p>
    <w:p>
      <w:pPr>
        <w:pStyle w:val="ListBullet"/>
      </w:pPr>
      <w:r>
        <w:t>Qdrant docs/GitHub: vector store and Python client usage.</w:t>
      </w:r>
    </w:p>
    <w:p>
      <w:pPr>
        <w:pStyle w:val="ListBullet"/>
      </w:pPr>
      <w:r>
        <w:t>Onyx GitHub/docs: connector and permission-aware enterprise RAG patterns.</w:t>
      </w:r>
    </w:p>
    <w:p>
      <w:pPr>
        <w:pStyle w:val="ListBullet"/>
      </w:pPr>
      <w:r>
        <w:t>OpenAI docs: audio transcription with whisper-1 and current model/API guidance.</w:t>
      </w:r>
    </w:p>
    <w:p>
      <w:pPr>
        <w:pStyle w:val="ListBullet"/>
      </w:pPr>
      <w:r>
        <w:t>Anthropic docs: Claude Sonnet-class model naming and API model direction.</w:t>
      </w:r>
    </w:p>
    <w:p>
      <w:pPr>
        <w:pStyle w:val="ListBullet"/>
      </w:pPr>
      <w:r>
        <w:t>Slack, Google, Microsoft Graph, Notion, Freshdesk, Keka, Meta WhatsApp, and TallyPrime official docs for integration feasibility.</w:t>
      </w:r>
    </w:p>
    <w:p>
      <w:pPr>
        <w:pStyle w:val="ListBullet"/>
      </w:pPr>
      <w:r>
        <w:t>LiteLLM docs/GitHub: routing/fallback model gateway, with version pinning due to security advisories.</w:t>
      </w:r>
    </w:p>
    <w:p>
      <w:pPr>
        <w:pStyle w:val="Heading1"/>
      </w:pPr>
      <w:r>
        <w:t>15. Canonical URLs</w:t>
      </w:r>
    </w:p>
    <w:p>
      <w:pPr>
        <w:pStyle w:val="ListBullet"/>
      </w:pPr>
      <w:r>
        <w:t>https://github.com/onyx-dot-app/onyx</w:t>
      </w:r>
    </w:p>
    <w:p>
      <w:pPr>
        <w:pStyle w:val="ListBullet"/>
      </w:pPr>
      <w:r>
        <w:t>https://docs.onyx.app/admin/connectors</w:t>
      </w:r>
    </w:p>
    <w:p>
      <w:pPr>
        <w:pStyle w:val="ListBullet"/>
      </w:pPr>
      <w:r>
        <w:t>https://github.com/ComposioHQ/composio</w:t>
      </w:r>
    </w:p>
    <w:p>
      <w:pPr>
        <w:pStyle w:val="ListBullet"/>
      </w:pPr>
      <w:r>
        <w:t>https://docs.composio.dev/</w:t>
      </w:r>
    </w:p>
    <w:p>
      <w:pPr>
        <w:pStyle w:val="ListBullet"/>
      </w:pPr>
      <w:r>
        <w:t>https://github.com/qdrant/qdrant</w:t>
      </w:r>
    </w:p>
    <w:p>
      <w:pPr>
        <w:pStyle w:val="ListBullet"/>
      </w:pPr>
      <w:r>
        <w:t>https://qdrant.tech/documentation/</w:t>
      </w:r>
    </w:p>
    <w:p>
      <w:pPr>
        <w:pStyle w:val="ListBullet"/>
      </w:pPr>
      <w:r>
        <w:t>https://github.com/openai/whisper</w:t>
      </w:r>
    </w:p>
    <w:p>
      <w:pPr>
        <w:pStyle w:val="ListBullet"/>
      </w:pPr>
      <w:r>
        <w:t>https://platform.openai.com/docs/guides/speech-to-text</w:t>
      </w:r>
    </w:p>
    <w:p>
      <w:pPr>
        <w:pStyle w:val="ListBullet"/>
      </w:pPr>
      <w:r>
        <w:t>https://docs.litellm.ai/</w:t>
      </w:r>
    </w:p>
    <w:p>
      <w:pPr>
        <w:pStyle w:val="ListBullet"/>
      </w:pPr>
      <w:r>
        <w:t>https://developers.notion.com/</w:t>
      </w:r>
    </w:p>
    <w:p>
      <w:pPr>
        <w:pStyle w:val="ListBullet"/>
      </w:pPr>
      <w:r>
        <w:t>https://developers.freshdesk.com/api/</w:t>
      </w:r>
    </w:p>
    <w:p>
      <w:pPr>
        <w:pStyle w:val="ListBullet"/>
      </w:pPr>
      <w:r>
        <w:t>https://apidocs.keka.com/</w:t>
      </w:r>
    </w:p>
    <w:p>
      <w:pPr>
        <w:pStyle w:val="ListBullet"/>
      </w:pPr>
      <w:r>
        <w:t>https://help.tallysolutions.com/integration-with-tallyprime/</w:t>
      </w:r>
    </w:p>
    <w:p>
      <w:pPr>
        <w:pStyle w:val="ListBullet"/>
      </w:pPr>
      <w:r>
        <w:t>https://developers.facebook.com/docs/whatsapp/cloud-api</w:t>
      </w:r>
    </w:p>
    <w:p>
      <w:pPr>
        <w:pStyle w:val="ListBullet"/>
      </w:pPr>
      <w:r>
        <w:t>https://developers.google.com/drive/api</w:t>
      </w:r>
    </w:p>
    <w:p>
      <w:pPr>
        <w:pStyle w:val="ListBullet"/>
      </w:pPr>
      <w:r>
        <w:t>https://learn.microsoft.com/graph/</w:t>
      </w:r>
    </w:p>
    <w:p>
      <w:pPr>
        <w:pStyle w:val="ListBullet"/>
      </w:pPr>
      <w:r>
        <w:t>https://api.slack.com/</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OSAI MVP Execution Plan - Updated Stack -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