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c1v99xgqw4o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w0ou39z7c7" w:id="1"/>
      <w:bookmarkEnd w:id="1"/>
      <w:r w:rsidDel="00000000" w:rsidR="00000000" w:rsidRPr="00000000">
        <w:rPr>
          <w:rtl w:val="0"/>
        </w:rPr>
        <w:t xml:space="preserve">Modelo Relacional · Versión 3.0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cierre de sesión de revisión arquitectónica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tqtmj5rxo4j" w:id="2"/>
      <w:bookmarkEnd w:id="2"/>
      <w:r w:rsidDel="00000000" w:rsidR="00000000" w:rsidRPr="00000000">
        <w:rPr>
          <w:rtl w:val="0"/>
        </w:rPr>
        <w:t xml:space="preserve">Resumen de cambios respecto a Etapa 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Reorganización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4 módulos (Maestros, Catálogo, Comercial, Finanzas) a 3 módulos autocontenidos (Productos, Comercial, Finanzas)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Eliminación del módulo Maestros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 entidades se redistribuyeron al módulo donde realmente operan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Módulo Catálogo → Módulo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Renombrado y ampliado para contener todas las entidades participantes del dominio de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tipos_insumo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Movidas de Maestros a Productos (son clasificadores internos del módulo)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precios_corte_cameo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Movida de Maestros a Productos (es un costo de producción, no un parámetro global)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Movida de Maestros a Finanzas (solo se usa en la distribución de ganancias al facturar)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Nuevas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  <w:t xml:space="preserve"> agregadas al módulo Productos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45u5imxph4l" w:id="3"/>
      <w:bookmarkEnd w:id="3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6625c8hf7z" w:id="4"/>
      <w:bookmarkEnd w:id="4"/>
      <w:r w:rsidDel="00000000" w:rsidR="00000000" w:rsidRPr="00000000">
        <w:rPr>
          <w:rtl w:val="0"/>
        </w:rPr>
        <w:t xml:space="preserve">Arquitectura Final — 3 Módulos · 15 Tablas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zft5wt0le1p" w:id="5"/>
      <w:bookmarkEnd w:id="5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 (Aplique, Banner, Tag, Letras, Golosinas, Papercraft, Box 3D, Merch, Varios).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 (Papel, Papel Impreso, Pegamentos, Librería, Cortes, Embalaje, Mercería, Varios).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precios_corte_cameo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precios de la máquina Cameo (Máximo / Medio / Bajo). Permite auditoría retroactiva del costeo.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 Datos de contacto y condiciones comerciales.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precio unitario, unidad de medida, proveedor y fecha de actualización.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entre insumos y proveedores. Máximo 3 proveedores por insumo. Incluye precio de referencia y flag de proveedor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porcentaje_ganancia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  <w:t xml:space="preserve"> y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  <w:t xml:space="preserve"> (ok / error / sin_precio).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 (Bill of Materials). Qué insumos usa cada producto y en qué cantidad.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  <w:t xml:space="preserve"> ENUM (insumo / cameo / embalaje / extra).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tipos_insumo        ──► insumos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precios_corte_cameo  (referenciado en costo_producto_insumo cuando tipo_costo = 'cameo')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rqt9rg11ptf6" w:id="6"/>
      <w:bookmarkEnd w:id="6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cliente. Sin campos B2B (CUIT, factura, condición tributaria). Canal de contacto y usuario de red social.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3 estados (en_curso / cerrado / cancelado)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. Reemplaza la organización en carpetas de Drive.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  <w:t xml:space="preserve"> congelado al momento de emisión — cambios futuros en el catálogo no alteran presupuestos ya emitidos.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clientes ──► presupuestos ──► detalle_presupuesto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iq1n71k7ovkm" w:id="7"/>
      <w:bookmarkEnd w:id="7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la distribución de ganancias (Meme 40%, Pety 30%). Crítico para la automatización contable al facturar.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 Reemplaza las hojas "Cuentas 2022/2023/2024/2025".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la imprenta tercerizada (Patri).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 para detectar errores de estimación.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destinatario y remitente para pedidos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  <w:t xml:space="preserve">. Implementación opcional en primera fase.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socios ◄── transacciones (distribución automática 40/30/30 al facturar)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9j79nnqt2hbu" w:id="8"/>
      <w:bookmarkEnd w:id="8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║  tipos_insumo ──► insumos ◄── proveedores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║                      │    (insumo_proveedor)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║                      ▼                ║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║            costo_producto_insumo      ║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║                      │                ║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║  precios_corte_cameo ┘                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║                      ▼                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║                  productos            ║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║  clientes ──► presupuestos           ║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║                    │                 ║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║                    ▼                 ║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║           detalle_presupuesto        ║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║  socios ◄── transacciones            ║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8olhbjvux8ly" w:id="9"/>
      <w:bookmarkEnd w:id="9"/>
      <w:r w:rsidDel="00000000" w:rsidR="00000000" w:rsidRPr="00000000">
        <w:rPr>
          <w:rtl w:val="0"/>
        </w:rPr>
        <w:t xml:space="preserve">Detalle de entidades nuevas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g5n3s9kuvxuk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rlfrb2ah8k3h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es el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referencia del proveedor para este insumo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máximo 3 proveedores por insumo. Controlado en capa de aplicación.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ltm5rl2u3iqm" w:id="12"/>
      <w:bookmarkEnd w:id="12"/>
      <w:r w:rsidDel="00000000" w:rsidR="00000000" w:rsidRPr="00000000">
        <w:rPr>
          <w:rtl w:val="0"/>
        </w:rPr>
        <w:t xml:space="preserve">Vetos arquitectónicos vigentes (heredados de Etapa 2)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NUMERIC(19,4)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FSM de 5 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 usa 3 estados simples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autocontenido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9hu9b63sooyv" w:id="13"/>
      <w:bookmarkEnd w:id="13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dominante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/ 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/ 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/ P2 / 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i w:val="1"/>
          <w:iCs w:val="1"/>
          <w:rtl w:val="0"/>
        </w:rPr>
        <w:t xml:space="preserve">Etapa 2 tenía 13 tablas en 4 módulos. Etapa 3 tiene 15 tablas en 3 módulos autocontenidos.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