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E10600"/>
          <w:sz w:val="20"/>
          <w:szCs w:val="20"/>
        </w:rPr>
        <w:t xml:space="preserve">PUMA SE // GLOBAL COMMERCIAL OPERATIONS</w:t>
      </w:r>
    </w:p>
    <w:p>
      <w:pPr>
        <w:spacing w:after="200" w:before="100"/>
        <w:jc w:val="center"/>
      </w:pPr>
      <w:r>
        <w:rPr>
          <w:rFonts w:ascii="Arial" w:cs="Arial" w:eastAsia="Arial" w:hAnsi="Arial"/>
          <w:b/>
          <w:bCs/>
          <w:color w:val="0C0D0E"/>
          <w:sz w:val="36"/>
          <w:szCs w:val="36"/>
        </w:rPr>
        <w:t xml:space="preserve">PRODUCT REQUIREMENTS DOCUMENT (PRD)</w:t>
      </w:r>
    </w:p>
    <w:p>
      <w:pPr>
        <w:spacing w:after="400" w:before="0"/>
        <w:jc w:val="center"/>
      </w:pPr>
      <w:r>
        <w:rPr>
          <w:i/>
          <w:iCs/>
          <w:color w:val="555555"/>
          <w:sz w:val="20"/>
          <w:szCs w:val="20"/>
        </w:rPr>
        <w:t xml:space="preserve">Project: PUMA Seasonal Wholesale Buy-In / Sell-In Platform (NITRO MATRIX)
Season: Spring / Summer 2027 (SS27) &amp; Forward
Author: Senior B2B Product Management &amp; Enterprise UX Lead
Status: Approved for Development &amp; Stakeholder Validation
Version: 2.4 (Enterprise Edition)</w:t>
      </w:r>
    </w:p>
    <w:p>
      <w:pPr>
        <w:pBdr>
          <w:bottom w:val="single" w:color="E10600" w:sz="12" w:space="1"/>
        </w:pBdr>
        <w:spacing w:after="300" w:before="200"/>
      </w:pPr>
    </w:p>
    <w:p>
      <w:pPr>
        <w:pStyle w:val="Heading1"/>
        <w:spacing w:after="150" w:before="300"/>
      </w:pPr>
      <w:r>
        <w:rPr>
          <w:b/>
          <w:bCs/>
          <w:color w:val="0C0D0E"/>
          <w:sz w:val="28"/>
          <w:szCs w:val="28"/>
        </w:rPr>
        <w:t xml:space="preserve">1. Executive Summary &amp; Strategic Product Vision</w:t>
      </w:r>
    </w:p>
    <w:p>
      <w:r>
        <w:t xml:space="preserve">The PUMA Seasonal Wholesale Buy-In / Sell-In Platform represents a digital transformation initiative replacing high-friction, error-prone manual seasonal sales processes across regional distributor networks. Historically, seasonal wholesale assortment planning, booking, and allocation tracking relied on static PDF catalogs, disconnected Microsoft Excel spreadsheets, unversioned order forms, ad-hoc WhatsApp correspondence, and manual SAP ERP data entry.</w:t>
      </w:r>
    </w:p>
    <w:p>
      <w:r>
        <w:rPr>
          <w:b/>
          <w:bCs/>
        </w:rPr>
        <w:t xml:space="preserve">Core Value Proposition: </w:t>
      </w:r>
      <w:r>
        <w:rPr>
          <w:i/>
          <w:iCs/>
        </w:rPr>
        <w:t xml:space="preserve">"Provide authorized wholesale distributors and internal PUMA sales teams with a single, transparent, and collaborative digital matrix to discover upcoming seasonal collections, evaluate real-time central stock availability, model data-driven size curves, and book seasonal orders against contracted targets without offline friction."</w:t>
      </w:r>
    </w:p>
    <w:p>
      <w:pPr>
        <w:pStyle w:val="Heading1"/>
        <w:spacing w:after="150" w:before="300"/>
      </w:pPr>
      <w:r>
        <w:rPr>
          <w:b/>
          <w:bCs/>
          <w:color w:val="0C0D0E"/>
          <w:sz w:val="28"/>
          <w:szCs w:val="28"/>
        </w:rPr>
        <w:t xml:space="preserve">2. Problem Statement &amp; Legacy Process Bottlenecks</w:t>
      </w:r>
    </w:p>
    <w:p>
      <w:r>
        <w:t xml:space="preserve">The legacy seasonal buy-in process suffers from five critical operational deficiencies:</w:t>
      </w:r>
    </w:p>
    <w:p>
      <w:pPr>
        <w:pStyle w:val="ListParagraph"/>
        <w:numPr>
          <w:ilvl w:val="0"/>
          <w:numId w:val="1"/>
        </w:numPr>
      </w:pPr>
      <w:r>
        <w:rPr>
          <w:b/>
          <w:bCs/>
        </w:rPr>
        <w:t xml:space="preserve">Inventory Latency &amp; Overselling: </w:t>
      </w:r>
      <w:r>
        <w:t xml:space="preserve">Distributors place orders based on static PDFs without awareness of central factory allocations. When high-demand styles (e.g., Velocity NITRO 4, Speedcat OG) sell out globally, orders must be retroactively canceled or modified manually.</w:t>
      </w:r>
    </w:p>
    <w:p>
      <w:pPr>
        <w:pStyle w:val="ListParagraph"/>
        <w:numPr>
          <w:ilvl w:val="0"/>
          <w:numId w:val="1"/>
        </w:numPr>
      </w:pPr>
      <w:r>
        <w:rPr>
          <w:b/>
          <w:bCs/>
        </w:rPr>
        <w:t xml:space="preserve">Sub-optimal Size Curves: </w:t>
      </w:r>
      <w:r>
        <w:t xml:space="preserve">Without prescriptive benchmark curves, distributors over-order fringe sizes or misjudge market consumption, leading to downstream retail markdowns and unsold dealer stock.</w:t>
      </w:r>
    </w:p>
    <w:p>
      <w:pPr>
        <w:pStyle w:val="ListParagraph"/>
        <w:numPr>
          <w:ilvl w:val="0"/>
          <w:numId w:val="1"/>
        </w:numPr>
      </w:pPr>
      <w:r>
        <w:rPr>
          <w:b/>
          <w:bCs/>
        </w:rPr>
        <w:t xml:space="preserve">Blind Target Tracking: </w:t>
      </w:r>
      <w:r>
        <w:t xml:space="preserve">Sales managers lack real-time visibility into distributor buy drafts, resulting in last-minute seasonal revenue shortfalls and delayed follow-ups.</w:t>
      </w:r>
    </w:p>
    <w:p>
      <w:pPr>
        <w:pStyle w:val="ListParagraph"/>
        <w:numPr>
          <w:ilvl w:val="0"/>
          <w:numId w:val="1"/>
        </w:numPr>
      </w:pPr>
      <w:r>
        <w:rPr>
          <w:b/>
          <w:bCs/>
        </w:rPr>
        <w:t xml:space="preserve">Spreadsheet Consolidation Burden: </w:t>
      </w:r>
      <w:r>
        <w:t xml:space="preserve">Sales representatives spend up to 40% of their time transcribing handwritten or spreadsheet-based orders into commercial ERPs, increasing order entry errors.</w:t>
      </w:r>
    </w:p>
    <w:p>
      <w:pPr>
        <w:pStyle w:val="ListParagraph"/>
        <w:numPr>
          <w:ilvl w:val="0"/>
          <w:numId w:val="1"/>
        </w:numPr>
      </w:pPr>
      <w:r>
        <w:rPr>
          <w:b/>
          <w:bCs/>
        </w:rPr>
        <w:t xml:space="preserve">Order Fulfillment Opacity: </w:t>
      </w:r>
      <w:r>
        <w:t xml:space="preserve">Once an order is submitted, distributors have zero tracking into factory scheduling, credit validation, or warehouse staging until physical dispatch.</w:t>
      </w:r>
    </w:p>
    <w:p>
      <w:pPr>
        <w:pStyle w:val="Heading1"/>
        <w:spacing w:after="150" w:before="300"/>
      </w:pPr>
      <w:r>
        <w:rPr>
          <w:b/>
          <w:bCs/>
          <w:color w:val="0C0D0E"/>
          <w:sz w:val="28"/>
          <w:szCs w:val="28"/>
        </w:rPr>
        <w:t xml:space="preserve">3. Target Personas &amp; Behavioral Profiles</w:t>
      </w:r>
    </w:p>
    <w:p>
      <w:r>
        <w:t xml:space="preserve">The platform accommodates four primary stakeholder personas with distinct authorization roles and functional views:</w:t>
      </w:r>
    </w:p>
    <w:p>
      <w:pPr>
        <w:pStyle w:val="ListParagraph"/>
        <w:numPr>
          <w:ilvl w:val="0"/>
          <w:numId w:val="1"/>
        </w:numPr>
      </w:pPr>
      <w:r>
        <w:rPr>
          <w:b/>
          <w:bCs/>
        </w:rPr>
        <w:t xml:space="preserve">Persona 1: Wholesale Distributor / Retail Buyer (e.g., ABC Sports Distribution, Mumbai): </w:t>
      </w:r>
      <w:r>
        <w:t xml:space="preserve">Needs to explore upcoming SS27 collections, evaluate wholesale prices vs. suggested retail prices (MSRP), build size-level assortments, track current buy value against contracted seasonal targets (₹25L), and submit orders prior to allocation deadlines.</w:t>
      </w:r>
    </w:p>
    <w:p>
      <w:pPr>
        <w:pStyle w:val="ListParagraph"/>
        <w:numPr>
          <w:ilvl w:val="0"/>
          <w:numId w:val="1"/>
        </w:numPr>
      </w:pPr>
      <w:r>
        <w:rPr>
          <w:b/>
          <w:bCs/>
        </w:rPr>
        <w:t xml:space="preserve">Persona 2: PUMA Sales Representative (e.g., Key Accounts Lead): </w:t>
      </w:r>
      <w:r>
        <w:t xml:space="preserve">Needs to track assigned distributor pipeline, identify inactive buyers, analyze category coverage gaps, dispatch automated reminders via WhatsApp/Email, and assist distributors with assortment optimization.</w:t>
      </w:r>
    </w:p>
    <w:p>
      <w:pPr>
        <w:pStyle w:val="ListParagraph"/>
        <w:numPr>
          <w:ilvl w:val="0"/>
          <w:numId w:val="1"/>
        </w:numPr>
      </w:pPr>
      <w:r>
        <w:rPr>
          <w:b/>
          <w:bCs/>
        </w:rPr>
        <w:t xml:space="preserve">Persona 3: PUMA Sales Director / Regional Commercial Manager: </w:t>
      </w:r>
      <w:r>
        <w:t xml:space="preserve">Requires consolidated regional telemetry across Zones (West, North, South, East, Central), tracking overall sell-in (₹31.8 Cr actual vs. ₹48.5 Cr target), category penetration, and AOV expansion.</w:t>
      </w:r>
    </w:p>
    <w:p>
      <w:pPr>
        <w:pStyle w:val="ListParagraph"/>
        <w:numPr>
          <w:ilvl w:val="0"/>
          <w:numId w:val="1"/>
        </w:numPr>
      </w:pPr>
      <w:r>
        <w:rPr>
          <w:b/>
          <w:bCs/>
        </w:rPr>
        <w:t xml:space="preserve">Persona 4: PUMA Merchandising &amp; Supply Chain Administrator: </w:t>
      </w:r>
      <w:r>
        <w:t xml:space="preserve">Governs seasonal windows, allocation limits, minimum order quantities (MOQ), and monitors portfolio health via a 2×2 Demand vs. Availability Matrix.</w:t>
      </w:r>
    </w:p>
    <w:p>
      <w:pPr>
        <w:pStyle w:val="Heading1"/>
        <w:spacing w:after="150" w:before="300"/>
      </w:pPr>
      <w:r>
        <w:rPr>
          <w:b/>
          <w:bCs/>
          <w:color w:val="0C0D0E"/>
          <w:sz w:val="28"/>
          <w:szCs w:val="28"/>
        </w:rPr>
        <w:t xml:space="preserve">4. Comprehensive Feature Specifications</w:t>
      </w:r>
    </w:p>
    <w:p>
      <w:pPr>
        <w:pStyle w:val="Heading2"/>
        <w:spacing w:after="100" w:before="200"/>
      </w:pPr>
      <w:r>
        <w:rPr>
          <w:b/>
          <w:bCs/>
          <w:color w:val="E10600"/>
          <w:sz w:val="24"/>
          <w:szCs w:val="24"/>
        </w:rPr>
        <w:t xml:space="preserve">4.1 Season Lifecycle &amp; Planning Context Switcher</w:t>
      </w:r>
    </w:p>
    <w:p>
      <w:r>
        <w:t xml:space="preserve">The top navigation header maintains global awareness of the active seasonal context (SS27, FW27, SS28). Each season defines an opening date (01 Sep 2026), closing deadline (15 Oct 2026), delivery dispatch schedule (Jan–Mar 2027), active status flag, and countdown timer. Switching seasons dynamically recalculates target commitments, assortment items, and catalog items.</w:t>
      </w:r>
    </w:p>
    <w:p>
      <w:pPr>
        <w:pStyle w:val="Heading2"/>
        <w:spacing w:after="100" w:before="200"/>
      </w:pPr>
      <w:r>
        <w:rPr>
          <w:b/>
          <w:bCs/>
          <w:color w:val="E10600"/>
          <w:sz w:val="24"/>
          <w:szCs w:val="24"/>
        </w:rPr>
        <w:t xml:space="preserve">4.2 Digital Showroom &amp; Interactive Lookbook</w:t>
      </w:r>
    </w:p>
    <w:p>
      <w:r>
        <w:t xml:space="preserve">Replaces bulky physical catalogs with an editorial digital showroom. Features high-resolution campaign photography, franchise stories (NITROFOAM Elite, King K-BETTER, T7 Tech), category jump controls (Running, Training, Football, Basketball, Lifestyle, Motorsport, Apparel, Accessories), and an interactive dual-page flipbook lookbook. Buyers can click "Add to Buy" directly from lookbook editorial spreads into their active assortment draft.</w:t>
      </w:r>
    </w:p>
    <w:p>
      <w:pPr>
        <w:pStyle w:val="Heading2"/>
        <w:spacing w:after="100" w:before="200"/>
      </w:pPr>
      <w:r>
        <w:rPr>
          <w:b/>
          <w:bCs/>
          <w:color w:val="E10600"/>
          <w:sz w:val="24"/>
          <w:szCs w:val="24"/>
        </w:rPr>
        <w:t xml:space="preserve">4.3 Enterprise Product Discovery &amp; Commercial Catalog</w:t>
      </w:r>
    </w:p>
    <w:p>
      <w:r>
        <w:t xml:space="preserve">Presents 50+ authentic PUMA commercial styles with rich metadata: Style Number (e.g., 310123_01), Colorway, Category, Gender, Wholesale Price (in INR), MSRP, Margin Percentage (typically 51%–58%), Minimum Order Quantity (MOQ), Central Allocation Status, and Delivery Window. Features both a 4-column card view and a high-density tabular view with multi-axis filtering (Category, Gender, Availability, Delivery Window, Price Sorting).</w:t>
      </w:r>
    </w:p>
    <w:p>
      <w:pPr>
        <w:pStyle w:val="Heading2"/>
        <w:spacing w:after="100" w:before="200"/>
      </w:pPr>
      <w:r>
        <w:rPr>
          <w:b/>
          <w:bCs/>
          <w:color w:val="E10600"/>
          <w:sz w:val="24"/>
          <w:szCs w:val="24"/>
        </w:rPr>
        <w:t xml:space="preserve">4.4 Size Curve Modeling Engine &amp; Assortment Builder</w:t>
      </w:r>
    </w:p>
    <w:p>
      <w:r>
        <w:t xml:space="preserve">The core commercial transaction tool allows buyers to configure unit counts per individual size (UK 6–UK 11 for footwear; XS–XXL for apparel). Provides a 1-click "Apply Recommended Curve" option calibrated to PUMA historical regional sell-through ratios (e.g., 5%–15%–30%–30%–15%–5%). Features a real-time size distribution comparison chart, automated MOQ enforcement, and statistical variance warnings if custom curves deviate drastically from regional benchmarks.</w:t>
      </w:r>
    </w:p>
    <w:p>
      <w:pPr>
        <w:pStyle w:val="Heading2"/>
        <w:spacing w:after="100" w:before="200"/>
      </w:pPr>
      <w:r>
        <w:rPr>
          <w:b/>
          <w:bCs/>
          <w:color w:val="E10600"/>
          <w:sz w:val="24"/>
          <w:szCs w:val="24"/>
        </w:rPr>
        <w:t xml:space="preserve">4.5 "My Buy" Workspace &amp; Target Gap Recommendations</w:t>
      </w:r>
    </w:p>
    <w:p>
      <w:r>
        <w:t xml:space="preserve">A professional B2B order planning workbench that organizes selected styles by flat list, category, or delivery window. Displays real-time aggregate statistics: Total Styles, Total Units, Total Value (₹), Contracted Target, and Achievement %. If a distributor has a gap remaining to meet their target (e.g., ₹6.6L gap), the system dynamically recommends 3 high-velocity styles in under-represented categories to close the gap.</w:t>
      </w:r>
    </w:p>
    <w:p>
      <w:pPr>
        <w:pStyle w:val="Heading2"/>
        <w:spacing w:after="100" w:before="200"/>
      </w:pPr>
      <w:r>
        <w:rPr>
          <w:b/>
          <w:bCs/>
          <w:color w:val="E10600"/>
          <w:sz w:val="24"/>
          <w:szCs w:val="24"/>
        </w:rPr>
        <w:t xml:space="preserve">4.6 Central Availability Center &amp; Live Shortage Simulation</w:t>
      </w:r>
    </w:p>
    <w:p>
      <w:r>
        <w:t xml:space="preserve">Provides granular visibility into global factory allocation pools: Total Factory Allocation, Units Reserved by Confirmed Bookings, and Remaining Open Units. Features an interactive "Simulate Live Stock Shortage" toggle to demonstrate dynamic supply constraints (e.g., Velocity NITRO 4 UK 9 constricted by 18 units) paired with an automated Alternative Style Substitution Engine that recommends 3 in-stock substitutes with 1-click order replacement.</w:t>
      </w:r>
    </w:p>
    <w:p>
      <w:pPr>
        <w:pStyle w:val="Heading2"/>
        <w:spacing w:after="100" w:before="200"/>
      </w:pPr>
      <w:r>
        <w:rPr>
          <w:b/>
          <w:bCs/>
          <w:color w:val="E10600"/>
          <w:sz w:val="24"/>
          <w:szCs w:val="24"/>
        </w:rPr>
        <w:t xml:space="preserve">4.7 Commercial Order Review &amp; Submission Modal</w:t>
      </w:r>
    </w:p>
    <w:p>
      <w:r>
        <w:t xml:space="preserve">Prior to final order commitment, the system summarizes the buy breakdown across Footwear, Apparel, and Accessories. Captures commercial credit terms (Net 60 Days / LC, Net 45 Days, 100% Advance) and logistics routing preferences (FOB Bhiwandi Hub). Validates allocation constraints, presents legal confirmation checkboxes, and generates a unique seasonal order identifier (e.g., SS27-DB-10482).</w:t>
      </w:r>
    </w:p>
    <w:p>
      <w:pPr>
        <w:pStyle w:val="Heading2"/>
        <w:spacing w:after="100" w:before="200"/>
      </w:pPr>
      <w:r>
        <w:rPr>
          <w:b/>
          <w:bCs/>
          <w:color w:val="E10600"/>
          <w:sz w:val="24"/>
          <w:szCs w:val="24"/>
        </w:rPr>
        <w:t xml:space="preserve">4.8 Visual 8-Stage Order Fulfillment Tracker</w:t>
      </w:r>
    </w:p>
    <w:p>
      <w:r>
        <w:t xml:space="preserve">Implements an interactive timeline tracking orders across 8 distinct lifecycle milestones: Draft → Submitted → Under Review → Confirmed → Allocated → In Production → Ready for Delivery → Delivered. Users can simulate forward status progression, export PDF summary receipts, trigger browser print layouts, or initiate direct sales representative inquiries.</w:t>
      </w:r>
    </w:p>
    <w:p>
      <w:pPr>
        <w:pStyle w:val="Heading2"/>
        <w:spacing w:after="100" w:before="200"/>
      </w:pPr>
      <w:r>
        <w:rPr>
          <w:b/>
          <w:bCs/>
          <w:color w:val="E10600"/>
          <w:sz w:val="24"/>
          <w:szCs w:val="24"/>
        </w:rPr>
        <w:t xml:space="preserve">4.9 Sales Rep Workspace, CRM Profiles &amp; Automated Reminders</w:t>
      </w:r>
    </w:p>
    <w:p>
      <w:r>
        <w:t xml:space="preserve">Equips PUMA territory sales representatives with a master dashboard covering all assigned accounts. Highlights last activity timestamps, target achievement percentages, and buy draft states. Sales reps can trigger 1-click simulated follow-up reminders via WhatsApp and Email, or drill down into historical season comparisons (SS26, FW26, SS27).</w:t>
      </w:r>
    </w:p>
    <w:p>
      <w:pPr>
        <w:pStyle w:val="Heading2"/>
        <w:spacing w:after="100" w:before="200"/>
      </w:pPr>
      <w:r>
        <w:rPr>
          <w:b/>
          <w:bCs/>
          <w:color w:val="E10600"/>
          <w:sz w:val="24"/>
          <w:szCs w:val="24"/>
        </w:rPr>
        <w:t xml:space="preserve">4.10 Executive Sell-In Dashboard &amp; 2×2 Portfolio Matrix</w:t>
      </w:r>
    </w:p>
    <w:p>
      <w:r>
        <w:t xml:space="preserve">Provides senior commercial leadership with consolidated sell-in metrics: ₹31.8 Cr actual vs. ₹48.5 Cr target (65.6% achievement), 128 / 175 distributors buying, ₹24.8L Average Order Value, and territorial breakdown across 5 zones. Features a BCG-style 2×2 Portfolio Matrix categorizing styles into: High Demand + High Availability (Growth Drivers), High Demand + Low Availability (Bottlenecks), Low Demand + High Availability (Inventory Risk), and Low Demand + Low Availability (Niche/Specialty).</w:t>
      </w:r>
    </w:p>
    <w:p>
      <w:pPr>
        <w:pStyle w:val="Heading2"/>
        <w:spacing w:after="100" w:before="200"/>
      </w:pPr>
      <w:r>
        <w:rPr>
          <w:b/>
          <w:bCs/>
          <w:color w:val="E10600"/>
          <w:sz w:val="24"/>
          <w:szCs w:val="24"/>
        </w:rPr>
        <w:t xml:space="preserve">4.11 Operational Task Center &amp; Alert Notification Feed</w:t>
      </w:r>
    </w:p>
    <w:p>
      <w:r>
        <w:t xml:space="preserve">Features an interactive task center for commercial actions (reviewing distributor assortments, validating credit guarantees, resolving stock shortages) with state management across To Do, In Progress, and Completed. Paired with a notification bell feed broadcasting real-time stock alerts, deadline warnings, and order submissions.</w:t>
      </w:r>
    </w:p>
    <w:p>
      <w:pPr>
        <w:pStyle w:val="Heading1"/>
        <w:spacing w:after="150" w:before="300"/>
      </w:pPr>
      <w:r>
        <w:rPr>
          <w:b/>
          <w:bCs/>
          <w:color w:val="0C0D0E"/>
          <w:sz w:val="28"/>
          <w:szCs w:val="28"/>
        </w:rPr>
        <w:t xml:space="preserve">5. Non-Happy Paths, Edge Cases &amp; Business Rules</w:t>
      </w:r>
    </w:p>
    <w:p>
      <w:r>
        <w:t xml:space="preserve">To ensure enterprise robustness, the platform enforces strict business rules:</w:t>
      </w:r>
    </w:p>
    <w:p>
      <w:pPr>
        <w:pStyle w:val="ListParagraph"/>
        <w:numPr>
          <w:ilvl w:val="0"/>
          <w:numId w:val="1"/>
        </w:numPr>
      </w:pPr>
      <w:r>
        <w:rPr>
          <w:b/>
          <w:bCs/>
        </w:rPr>
        <w:t xml:space="preserve">MOQ Enforcement: </w:t>
      </w:r>
      <w:r>
        <w:t xml:space="preserve">Orders containing line items below the designated Minimum Order Quantity display a blocking warning and cannot be submitted until quantities are normalized.</w:t>
      </w:r>
    </w:p>
    <w:p>
      <w:pPr>
        <w:pStyle w:val="ListParagraph"/>
        <w:numPr>
          <w:ilvl w:val="0"/>
          <w:numId w:val="1"/>
        </w:numPr>
      </w:pPr>
      <w:r>
        <w:rPr>
          <w:b/>
          <w:bCs/>
        </w:rPr>
        <w:t xml:space="preserve">Out-of-Stock Size Blocking: </w:t>
      </w:r>
      <w:r>
        <w:t xml:space="preserve">Sizes designated as "Unavailable" or "Sold Out" are disabled in the quantity stepper with strikethrough styling to prevent overselling.</w:t>
      </w:r>
    </w:p>
    <w:p>
      <w:pPr>
        <w:pStyle w:val="ListParagraph"/>
        <w:numPr>
          <w:ilvl w:val="0"/>
          <w:numId w:val="1"/>
        </w:numPr>
      </w:pPr>
      <w:r>
        <w:rPr>
          <w:b/>
          <w:bCs/>
        </w:rPr>
        <w:t xml:space="preserve">Supply Shortage Recovery: </w:t>
      </w:r>
      <w:r>
        <w:t xml:space="preserve">When central inventory constricts, the platform provides automated 1-click alternative style replacement preserving line item value and delivery scheduling.</w:t>
      </w:r>
    </w:p>
    <w:p>
      <w:pPr>
        <w:pStyle w:val="ListParagraph"/>
        <w:numPr>
          <w:ilvl w:val="0"/>
          <w:numId w:val="1"/>
        </w:numPr>
      </w:pPr>
      <w:r>
        <w:rPr>
          <w:b/>
          <w:bCs/>
        </w:rPr>
        <w:t xml:space="preserve">Deadline Approaching Indicators: </w:t>
      </w:r>
      <w:r>
        <w:t xml:space="preserve">High-visibility persistent countdown banners alert distributors when less than 15 days remain before allocation lock.</w:t>
      </w:r>
    </w:p>
    <w:p>
      <w:pPr>
        <w:pStyle w:val="Heading1"/>
        <w:spacing w:after="150" w:before="300"/>
      </w:pPr>
      <w:r>
        <w:rPr>
          <w:b/>
          <w:bCs/>
          <w:color w:val="0C0D0E"/>
          <w:sz w:val="28"/>
          <w:szCs w:val="28"/>
        </w:rPr>
        <w:t xml:space="preserve">6. Success Metrics &amp; Business KPIs</w:t>
      </w:r>
    </w:p>
    <w:p>
      <w:r>
        <w:t xml:space="preserve">The success of the PUMA B2B platform will be evaluated against five core benchmarks:</w:t>
      </w:r>
    </w:p>
    <w:p>
      <w:pPr>
        <w:pStyle w:val="ListParagraph"/>
        <w:numPr>
          <w:ilvl w:val="0"/>
          <w:numId w:val="1"/>
        </w:numPr>
      </w:pPr>
      <w:r>
        <w:rPr>
          <w:b/>
          <w:bCs/>
        </w:rPr>
        <w:t xml:space="preserve">1. Seasonal Order Cycle Time: </w:t>
      </w:r>
      <w:r>
        <w:t xml:space="preserve">Reduce end-to-end buy confirmation cycle from 21 days (offline/manual) to under 48 hours.</w:t>
      </w:r>
    </w:p>
    <w:p>
      <w:pPr>
        <w:pStyle w:val="ListParagraph"/>
        <w:numPr>
          <w:ilvl w:val="0"/>
          <w:numId w:val="1"/>
        </w:numPr>
      </w:pPr>
      <w:r>
        <w:rPr>
          <w:b/>
          <w:bCs/>
        </w:rPr>
        <w:t xml:space="preserve">2. Distributor Target Achievement Rate: </w:t>
      </w:r>
      <w:r>
        <w:t xml:space="preserve">Increase seasonal target compliance from 78% to 92%+ through intelligent gap closing recommendations.</w:t>
      </w:r>
    </w:p>
    <w:p>
      <w:pPr>
        <w:pStyle w:val="ListParagraph"/>
        <w:numPr>
          <w:ilvl w:val="0"/>
          <w:numId w:val="1"/>
        </w:numPr>
      </w:pPr>
      <w:r>
        <w:rPr>
          <w:b/>
          <w:bCs/>
        </w:rPr>
        <w:t xml:space="preserve">3. Overselling &amp; Order Cancellation Rate: </w:t>
      </w:r>
      <w:r>
        <w:t xml:space="preserve">Reduce post-booking line-item cancellations due to inventory shortages from 14% to under 1.5%.</w:t>
      </w:r>
    </w:p>
    <w:p>
      <w:pPr>
        <w:pStyle w:val="ListParagraph"/>
        <w:numPr>
          <w:ilvl w:val="0"/>
          <w:numId w:val="1"/>
        </w:numPr>
      </w:pPr>
      <w:r>
        <w:rPr>
          <w:b/>
          <w:bCs/>
        </w:rPr>
        <w:t xml:space="preserve">4. Digital Assortment Adoption: </w:t>
      </w:r>
      <w:r>
        <w:t xml:space="preserve">Achieve 100% digital submission across Tier 1 Key Accounts within 2 seasons of deployment.</w:t>
      </w:r>
    </w:p>
    <w:p>
      <w:pPr>
        <w:pStyle w:val="ListParagraph"/>
        <w:numPr>
          <w:ilvl w:val="0"/>
          <w:numId w:val="1"/>
        </w:numPr>
      </w:pPr>
      <w:r>
        <w:rPr>
          <w:b/>
          <w:bCs/>
        </w:rPr>
        <w:t xml:space="preserve">5. Sales Rep Administrative Overhead: </w:t>
      </w:r>
      <w:r>
        <w:t xml:space="preserve">Reduce manual spreadsheet transcription time by 85%, freeing sales reps to focus on strategic account growth.</w:t>
      </w:r>
    </w:p>
    <w:p>
      <w:pPr>
        <w:pBdr>
          <w:top w:val="single" w:color="E10600" w:sz="6" w:space="1"/>
        </w:pBdr>
        <w:spacing w:after="200" w:before="400"/>
      </w:pPr>
      <w:r>
        <w:rPr>
          <w:i/>
          <w:iCs/>
          <w:color w:val="666666"/>
          <w:sz w:val="18"/>
          <w:szCs w:val="18"/>
        </w:rPr>
        <w:t xml:space="preserve">DOCUMENT APPROVAL &amp; SIGN-OFF
Lead Product Manager: Ishita Bansal (B2B Enterprise Commerce)
Commercial Operations Director: Rahul Sharma (Wholesale Strategy)
Distribution Lead: PUMA SE Global SCM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20" w:before="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2026-09-30T17:19:46.356Z</dcterms:created>
  <dcterms:modified xsi:type="dcterms:W3CDTF">2026-09-30T17:19:46.356Z</dcterms:modified>
</cp:coreProperties>
</file>

<file path=docProps/custom.xml><?xml version="1.0" encoding="utf-8"?>
<Properties xmlns="http://schemas.openxmlformats.org/officeDocument/2006/custom-properties" xmlns:vt="http://schemas.openxmlformats.org/officeDocument/2006/docPropsVTypes"/>
</file>