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Arial" w:hAnsi="Arial"/>
          <w:b/>
          <w:i w:val="0"/>
          <w:color w:val="333333"/>
          <w:sz w:val="48"/>
        </w:rPr>
        <w:t>PROJECT CONCEPT NOTE</w:t>
      </w:r>
    </w:p>
    <w:p>
      <w:pPr>
        <w:spacing w:after="480"/>
        <w:jc w:val="left"/>
      </w:pPr>
      <w:r>
        <w:rPr>
          <w:rFonts w:ascii="Arial" w:hAnsi="Arial"/>
          <w:b/>
          <w:i w:val="0"/>
          <w:color w:val="2F5597"/>
          <w:sz w:val="26"/>
        </w:rPr>
        <w:t xml:space="preserve">Project Title: </w:t>
      </w:r>
      <w:r>
        <w:rPr>
          <w:rFonts w:ascii="Arial" w:hAnsi="Arial"/>
          <w:b w:val="0"/>
          <w:i w:val="0"/>
          <w:color w:val="555555"/>
          <w:sz w:val="26"/>
        </w:rPr>
        <w:t>MediTrack – Smart Medicine Reminder &amp; AI Health Tracking System (SDG 3: Good Health and Well-Being)</w:t>
      </w:r>
    </w:p>
    <w:p>
      <w:pPr>
        <w:keepNext/>
        <w:spacing w:before="360" w:after="120"/>
      </w:pPr>
      <w:r>
        <w:rPr>
          <w:rFonts w:ascii="Arial" w:hAnsi="Arial"/>
          <w:b/>
          <w:i w:val="0"/>
          <w:color w:val="1B75BC"/>
          <w:sz w:val="30"/>
        </w:rPr>
        <w:t>1. Background and Problem Statement</w:t>
      </w:r>
    </w:p>
    <w:p>
      <w:pPr>
        <w:spacing w:after="160" w:line="276" w:lineRule="auto"/>
      </w:pPr>
      <w:r>
        <w:rPr>
          <w:rFonts w:ascii="Arial" w:hAnsi="Arial"/>
          <w:b w:val="0"/>
          <w:i w:val="0"/>
          <w:color w:val="222222"/>
          <w:sz w:val="22"/>
        </w:rPr>
        <w:t>Under the United Nations Sustainable Development Goal 3 (SDG 3): Good Health and Well-Being, improving medication adherence and tracking daily health habits are vital steps in reducing global mortality from preventable chronic conditions. In modern healthcare, poor adherence to prescribed medication schedules represents a critical, systemic challenge. Patients frequently forget dosing times, misinterpret complex instructions, or fail to maintain consistent records, leading to adverse health complications, increased hospitalization costs, and reduced treatment efficacy.</w:t>
      </w:r>
    </w:p>
    <w:p>
      <w:pPr>
        <w:spacing w:after="160" w:line="276" w:lineRule="auto"/>
      </w:pPr>
      <w:r>
        <w:rPr>
          <w:rFonts w:ascii="Arial" w:hAnsi="Arial"/>
          <w:b w:val="0"/>
          <w:i w:val="0"/>
          <w:color w:val="222222"/>
          <w:sz w:val="22"/>
        </w:rPr>
        <w:t>Existing health reminder systems are often static, fragmented spreadsheets, or simplistic digital calendars that rely on manual scheduling configurations. These tools do not account for individual lifestyles, lack conversational personalization, and offer no integration between medication adherence and holistic wellness metrics (e.g. sleep, hydration, and exercise). This separation of records prevents patients and healthcare providers from gaining a complete, unified view of a patient's daily health routine.</w:t>
      </w:r>
    </w:p>
    <w:p>
      <w:pPr>
        <w:keepNext/>
        <w:spacing w:before="360" w:after="120"/>
      </w:pPr>
      <w:r>
        <w:rPr>
          <w:rFonts w:ascii="Arial" w:hAnsi="Arial"/>
          <w:b/>
          <w:i w:val="0"/>
          <w:color w:val="1B75BC"/>
          <w:sz w:val="30"/>
        </w:rPr>
        <w:t>2. Project Objectives</w:t>
      </w:r>
    </w:p>
    <w:p>
      <w:pPr>
        <w:pStyle w:val="ListBullet"/>
        <w:spacing w:after="80" w:line="276" w:lineRule="auto"/>
        <w:ind w:left="360"/>
      </w:pPr>
      <w:r>
        <w:rPr>
          <w:rFonts w:ascii="Arial" w:hAnsi="Arial"/>
          <w:b/>
          <w:i w:val="0"/>
          <w:color w:val="222222"/>
          <w:sz w:val="22"/>
        </w:rPr>
        <w:t xml:space="preserve">Promote Adherence: </w:t>
      </w:r>
      <w:r>
        <w:rPr>
          <w:rFonts w:ascii="Arial" w:hAnsi="Arial"/>
          <w:b w:val="0"/>
          <w:i w:val="0"/>
          <w:color w:val="333333"/>
          <w:sz w:val="22"/>
        </w:rPr>
        <w:t>Establish an interactive medication reminder schedule that tracks taken, missed, and pending doses chronologically with clear visual cues.</w:t>
      </w:r>
    </w:p>
    <w:p>
      <w:pPr>
        <w:pStyle w:val="ListBullet"/>
        <w:spacing w:after="80" w:line="276" w:lineRule="auto"/>
        <w:ind w:left="360"/>
      </w:pPr>
      <w:r>
        <w:rPr>
          <w:rFonts w:ascii="Arial" w:hAnsi="Arial"/>
          <w:b/>
          <w:i w:val="0"/>
          <w:color w:val="222222"/>
          <w:sz w:val="22"/>
        </w:rPr>
        <w:t xml:space="preserve">Holistic Health Tracking: </w:t>
      </w:r>
      <w:r>
        <w:rPr>
          <w:rFonts w:ascii="Arial" w:hAnsi="Arial"/>
          <w:b w:val="0"/>
          <w:i w:val="0"/>
          <w:color w:val="333333"/>
          <w:sz w:val="22"/>
        </w:rPr>
        <w:t>Enable users to log vital health parameters (water intake, sleep duration, and physical exercise) alongside medication adherence in a unified digital portal.</w:t>
      </w:r>
    </w:p>
    <w:p>
      <w:pPr>
        <w:pStyle w:val="ListBullet"/>
        <w:spacing w:after="80" w:line="276" w:lineRule="auto"/>
        <w:ind w:left="360"/>
      </w:pPr>
      <w:r>
        <w:rPr>
          <w:rFonts w:ascii="Arial" w:hAnsi="Arial"/>
          <w:b/>
          <w:i w:val="0"/>
          <w:color w:val="222222"/>
          <w:sz w:val="22"/>
        </w:rPr>
        <w:t xml:space="preserve">Personalized AI Coaching: </w:t>
      </w:r>
      <w:r>
        <w:rPr>
          <w:rFonts w:ascii="Arial" w:hAnsi="Arial"/>
          <w:b w:val="0"/>
          <w:i w:val="0"/>
          <w:color w:val="333333"/>
          <w:sz w:val="22"/>
        </w:rPr>
        <w:t>Leverage context-aware Artificial Intelligence to query the patient's authenticated wellness data and deliver direct, conversational wellness insights.</w:t>
      </w:r>
    </w:p>
    <w:p>
      <w:pPr>
        <w:pStyle w:val="ListBullet"/>
        <w:spacing w:after="80" w:line="276" w:lineRule="auto"/>
        <w:ind w:left="360"/>
      </w:pPr>
      <w:r>
        <w:rPr>
          <w:rFonts w:ascii="Arial" w:hAnsi="Arial"/>
          <w:b/>
          <w:i w:val="0"/>
          <w:color w:val="222222"/>
          <w:sz w:val="22"/>
        </w:rPr>
        <w:t xml:space="preserve">Unified Health Metrics: </w:t>
      </w:r>
      <w:r>
        <w:rPr>
          <w:rFonts w:ascii="Arial" w:hAnsi="Arial"/>
          <w:b w:val="0"/>
          <w:i w:val="0"/>
          <w:color w:val="333333"/>
          <w:sz w:val="22"/>
        </w:rPr>
        <w:t>Generate a daily AI Health Score out of 100 to evaluate a patient's routine consistency and highlight actionable improvement targets.</w:t>
      </w:r>
    </w:p>
    <w:p>
      <w:pPr>
        <w:keepNext/>
        <w:spacing w:before="360" w:after="120"/>
      </w:pPr>
      <w:r>
        <w:rPr>
          <w:rFonts w:ascii="Arial" w:hAnsi="Arial"/>
          <w:b/>
          <w:i w:val="0"/>
          <w:color w:val="1B75BC"/>
          <w:sz w:val="30"/>
        </w:rPr>
        <w:t>3. Proposed Solution</w:t>
      </w:r>
    </w:p>
    <w:p>
      <w:pPr>
        <w:spacing w:after="160" w:line="276" w:lineRule="auto"/>
      </w:pPr>
      <w:r>
        <w:rPr>
          <w:rFonts w:ascii="Arial" w:hAnsi="Arial"/>
          <w:b w:val="0"/>
          <w:i w:val="0"/>
          <w:color w:val="222222"/>
          <w:sz w:val="22"/>
        </w:rPr>
        <w:t>MediTrack is a premium, secure Single Page Web Application (SPA) designed with a clean glassmorphic dark-theme user interface. It serves as an intelligent healthcare companion that consolidates medicine management, daily wellness metrics, and conversational artificial intelligence into one unified portal. Users build personalized medication schedules, log daily hydration, record sleep cycles, and track active workout duration. The platform dynamically calculates an animated health score on load and hosts a custom AI assistant that resolves database-driven queries instantly without relying on generic web search fallback scripts.</w:t>
      </w:r>
    </w:p>
    <w:p>
      <w:pPr>
        <w:keepNext/>
        <w:spacing w:before="360" w:after="120"/>
      </w:pPr>
      <w:r>
        <w:rPr>
          <w:rFonts w:ascii="Arial" w:hAnsi="Arial"/>
          <w:b/>
          <w:i w:val="0"/>
          <w:color w:val="1B75BC"/>
          <w:sz w:val="30"/>
        </w:rPr>
        <w:t>4. Key System Features</w:t>
      </w:r>
    </w:p>
    <w:p>
      <w:pPr>
        <w:pStyle w:val="ListBullet"/>
        <w:spacing w:after="80" w:line="276" w:lineRule="auto"/>
        <w:ind w:left="360"/>
      </w:pPr>
      <w:r>
        <w:rPr>
          <w:rFonts w:ascii="Arial" w:hAnsi="Arial"/>
          <w:b/>
          <w:i w:val="0"/>
          <w:color w:val="222222"/>
          <w:sz w:val="22"/>
        </w:rPr>
        <w:t xml:space="preserve">User Session Manager (JWT): </w:t>
      </w:r>
      <w:r>
        <w:rPr>
          <w:rFonts w:ascii="Arial" w:hAnsi="Arial"/>
          <w:b w:val="0"/>
          <w:i w:val="0"/>
          <w:color w:val="333333"/>
          <w:sz w:val="22"/>
        </w:rPr>
        <w:t>Secure token-based user sign-up and authentication flow protecting personal medical files and data records.</w:t>
      </w:r>
    </w:p>
    <w:p>
      <w:pPr>
        <w:pStyle w:val="ListBullet"/>
        <w:spacing w:after="80" w:line="276" w:lineRule="auto"/>
        <w:ind w:left="360"/>
      </w:pPr>
      <w:r>
        <w:rPr>
          <w:rFonts w:ascii="Arial" w:hAnsi="Arial"/>
          <w:b/>
          <w:i w:val="0"/>
          <w:color w:val="222222"/>
          <w:sz w:val="22"/>
        </w:rPr>
        <w:t xml:space="preserve">Medication Reminder Engine: </w:t>
      </w:r>
      <w:r>
        <w:rPr>
          <w:rFonts w:ascii="Arial" w:hAnsi="Arial"/>
          <w:b w:val="0"/>
          <w:i w:val="0"/>
          <w:color w:val="333333"/>
          <w:sz w:val="22"/>
        </w:rPr>
        <w:t>Dynamic schedule list compiling active medicines, dosage, times, and compliance status, with quick-tick action buttons for Taken or Missed choices.</w:t>
      </w:r>
    </w:p>
    <w:p>
      <w:pPr>
        <w:pStyle w:val="ListBullet"/>
        <w:spacing w:after="80" w:line="276" w:lineRule="auto"/>
        <w:ind w:left="360"/>
      </w:pPr>
      <w:r>
        <w:rPr>
          <w:rFonts w:ascii="Arial" w:hAnsi="Arial"/>
          <w:b/>
          <w:i w:val="0"/>
          <w:color w:val="222222"/>
          <w:sz w:val="22"/>
        </w:rPr>
        <w:t xml:space="preserve">Daily Wellness Tracker: </w:t>
      </w:r>
      <w:r>
        <w:rPr>
          <w:rFonts w:ascii="Arial" w:hAnsi="Arial"/>
          <w:b w:val="0"/>
          <w:i w:val="0"/>
          <w:color w:val="333333"/>
          <w:sz w:val="22"/>
        </w:rPr>
        <w:t>Interactive quantitative logging panels for water hydration (ml), sleep duration (hours), and physical exercise (minutes).</w:t>
      </w:r>
    </w:p>
    <w:p>
      <w:pPr>
        <w:pStyle w:val="ListBullet"/>
        <w:spacing w:after="80" w:line="276" w:lineRule="auto"/>
        <w:ind w:left="360"/>
      </w:pPr>
      <w:r>
        <w:rPr>
          <w:rFonts w:ascii="Arial" w:hAnsi="Arial"/>
          <w:b/>
          <w:i w:val="0"/>
          <w:color w:val="222222"/>
          <w:sz w:val="22"/>
        </w:rPr>
        <w:t xml:space="preserve">AI Health Score &amp; recommendations: </w:t>
      </w:r>
      <w:r>
        <w:rPr>
          <w:rFonts w:ascii="Arial" w:hAnsi="Arial"/>
          <w:b w:val="0"/>
          <w:i w:val="0"/>
          <w:color w:val="333333"/>
          <w:sz w:val="22"/>
        </w:rPr>
        <w:t>Animated radial dashboard chart assessing routines out of 100, displaying status ratings (Excellent, Good, Fair, Poor) and offering targeted advice.</w:t>
      </w:r>
    </w:p>
    <w:p>
      <w:pPr>
        <w:pStyle w:val="ListBullet"/>
        <w:spacing w:after="80" w:line="276" w:lineRule="auto"/>
        <w:ind w:left="360"/>
      </w:pPr>
      <w:r>
        <w:rPr>
          <w:rFonts w:ascii="Arial" w:hAnsi="Arial"/>
          <w:b/>
          <w:i w:val="0"/>
          <w:color w:val="222222"/>
          <w:sz w:val="22"/>
        </w:rPr>
        <w:t xml:space="preserve">Dynamic AI Insight Banners: </w:t>
      </w:r>
      <w:r>
        <w:rPr>
          <w:rFonts w:ascii="Arial" w:hAnsi="Arial"/>
          <w:b w:val="0"/>
          <w:i w:val="0"/>
          <w:color w:val="333333"/>
          <w:sz w:val="22"/>
        </w:rPr>
        <w:t>Top-level conversational summary generated on login or data updates, highlighting key metrics in bold and providing conversational feedback.</w:t>
      </w:r>
    </w:p>
    <w:p>
      <w:pPr>
        <w:pStyle w:val="ListBullet"/>
        <w:spacing w:after="80" w:line="276" w:lineRule="auto"/>
        <w:ind w:left="360"/>
      </w:pPr>
      <w:r>
        <w:rPr>
          <w:rFonts w:ascii="Arial" w:hAnsi="Arial"/>
          <w:b/>
          <w:i w:val="0"/>
          <w:color w:val="222222"/>
          <w:sz w:val="22"/>
        </w:rPr>
        <w:t xml:space="preserve">Intelligent AI Assistant Widget: </w:t>
      </w:r>
      <w:r>
        <w:rPr>
          <w:rFonts w:ascii="Arial" w:hAnsi="Arial"/>
          <w:b w:val="0"/>
          <w:i w:val="0"/>
          <w:color w:val="333333"/>
          <w:sz w:val="22"/>
        </w:rPr>
        <w:t>Floating circular widget opening a chat drawer that displays sequenced loaders ('Analyzing your medicines...') and maps dynamic conversation titles based on query keywords.</w:t>
      </w:r>
    </w:p>
    <w:p>
      <w:pPr>
        <w:keepNext/>
        <w:spacing w:before="360" w:after="120"/>
      </w:pPr>
      <w:r>
        <w:rPr>
          <w:rFonts w:ascii="Arial" w:hAnsi="Arial"/>
          <w:b/>
          <w:i w:val="0"/>
          <w:color w:val="1B75BC"/>
          <w:sz w:val="30"/>
        </w:rPr>
        <w:t>5. Technical Stack</w:t>
      </w:r>
    </w:p>
    <w:p>
      <w:pPr>
        <w:pStyle w:val="ListBullet"/>
        <w:spacing w:after="80" w:line="276" w:lineRule="auto"/>
        <w:ind w:left="360"/>
      </w:pPr>
      <w:r>
        <w:rPr>
          <w:rFonts w:ascii="Arial" w:hAnsi="Arial"/>
          <w:b/>
          <w:i w:val="0"/>
          <w:color w:val="222222"/>
          <w:sz w:val="22"/>
        </w:rPr>
        <w:t xml:space="preserve">Frontend Client: </w:t>
      </w:r>
      <w:r>
        <w:rPr>
          <w:rFonts w:ascii="Arial" w:hAnsi="Arial"/>
          <w:b w:val="0"/>
          <w:i w:val="0"/>
          <w:color w:val="333333"/>
          <w:sz w:val="22"/>
        </w:rPr>
        <w:t>React.js (v18) built with single page routing (React Router DOM), Chart.js (analytical trend graphs), and lucide-react.</w:t>
      </w:r>
    </w:p>
    <w:p>
      <w:pPr>
        <w:pStyle w:val="ListBullet"/>
        <w:spacing w:after="80" w:line="276" w:lineRule="auto"/>
        <w:ind w:left="360"/>
      </w:pPr>
      <w:r>
        <w:rPr>
          <w:rFonts w:ascii="Arial" w:hAnsi="Arial"/>
          <w:b/>
          <w:i w:val="0"/>
          <w:color w:val="222222"/>
          <w:sz w:val="22"/>
        </w:rPr>
        <w:t xml:space="preserve">Backend Server: </w:t>
      </w:r>
      <w:r>
        <w:rPr>
          <w:rFonts w:ascii="Arial" w:hAnsi="Arial"/>
          <w:b w:val="0"/>
          <w:i w:val="0"/>
          <w:color w:val="333333"/>
          <w:sz w:val="22"/>
        </w:rPr>
        <w:t>Node.js with Express.js REST APIs providing protected controller routing and secure password hashing via bcryptjs.</w:t>
      </w:r>
    </w:p>
    <w:p>
      <w:pPr>
        <w:pStyle w:val="ListBullet"/>
        <w:spacing w:after="80" w:line="276" w:lineRule="auto"/>
        <w:ind w:left="360"/>
      </w:pPr>
      <w:r>
        <w:rPr>
          <w:rFonts w:ascii="Arial" w:hAnsi="Arial"/>
          <w:b/>
          <w:i w:val="0"/>
          <w:color w:val="222222"/>
          <w:sz w:val="22"/>
        </w:rPr>
        <w:t xml:space="preserve">Database Engine: </w:t>
      </w:r>
      <w:r>
        <w:rPr>
          <w:rFonts w:ascii="Arial" w:hAnsi="Arial"/>
          <w:b w:val="0"/>
          <w:i w:val="0"/>
          <w:color w:val="333333"/>
          <w:sz w:val="22"/>
        </w:rPr>
        <w:t>MongoDB Atlas cloud cluster utilizing Mongoose Object Data Modeling (ODM) to structure and protect user records.</w:t>
      </w:r>
    </w:p>
    <w:p>
      <w:pPr>
        <w:pStyle w:val="ListBullet"/>
        <w:spacing w:after="80" w:line="276" w:lineRule="auto"/>
        <w:ind w:left="360"/>
      </w:pPr>
      <w:r>
        <w:rPr>
          <w:rFonts w:ascii="Arial" w:hAnsi="Arial"/>
          <w:b/>
          <w:i w:val="0"/>
          <w:color w:val="222222"/>
          <w:sz w:val="22"/>
        </w:rPr>
        <w:t xml:space="preserve">AI Integration Model: </w:t>
      </w:r>
      <w:r>
        <w:rPr>
          <w:rFonts w:ascii="Arial" w:hAnsi="Arial"/>
          <w:b w:val="0"/>
          <w:i w:val="0"/>
          <w:color w:val="333333"/>
          <w:sz w:val="22"/>
        </w:rPr>
        <w:t>Google Gemini API (gemini-2.5-flash) using the official @google/genai Node SDK, secured by dotenv environmental variables.</w:t>
      </w:r>
    </w:p>
    <w:p>
      <w:pPr>
        <w:keepNext/>
        <w:spacing w:before="360" w:after="120"/>
      </w:pPr>
      <w:r>
        <w:rPr>
          <w:rFonts w:ascii="Arial" w:hAnsi="Arial"/>
          <w:b/>
          <w:i w:val="0"/>
          <w:color w:val="1B75BC"/>
          <w:sz w:val="30"/>
        </w:rPr>
        <w:t>6. Expected Outcomes and Impact</w:t>
      </w:r>
    </w:p>
    <w:p>
      <w:pPr>
        <w:spacing w:after="160" w:line="276" w:lineRule="auto"/>
      </w:pPr>
      <w:r>
        <w:rPr>
          <w:rFonts w:ascii="Arial" w:hAnsi="Arial"/>
          <w:b w:val="0"/>
          <w:i w:val="0"/>
          <w:color w:val="222222"/>
          <w:sz w:val="22"/>
        </w:rPr>
        <w:t>MediTrack replaces static, manual calendars with gamified feedback loops and interactive AI coaching. This unified tracking system improves medication compliance, reduces drug-skipping behaviors, and reinforces daily habits. Through local Hybrid Query Routing, the system handles basic lookups instantly without server lag or excessive API token usage, while reserving Gemini generative calls for complex comparative tasks. By keeping health records private and context-aware, MediTrack empowers individuals to actively manage their wellness trajectories, directly supporting SDG 3 goals.</w:t>
      </w:r>
    </w:p>
    <w:p>
      <w:pPr>
        <w:keepNext/>
        <w:spacing w:before="360" w:after="120"/>
      </w:pPr>
      <w:r>
        <w:rPr>
          <w:rFonts w:ascii="Arial" w:hAnsi="Arial"/>
          <w:b/>
          <w:i w:val="0"/>
          <w:color w:val="1B75BC"/>
          <w:sz w:val="30"/>
        </w:rPr>
        <w:t>7. Conclusion</w:t>
      </w:r>
    </w:p>
    <w:p>
      <w:pPr>
        <w:spacing w:after="160" w:line="276" w:lineRule="auto"/>
      </w:pPr>
      <w:r>
        <w:rPr>
          <w:rFonts w:ascii="Arial" w:hAnsi="Arial"/>
          <w:b w:val="0"/>
          <w:i w:val="0"/>
          <w:color w:val="222222"/>
          <w:sz w:val="22"/>
        </w:rPr>
        <w:t>MediTrack successfully demonstrates that personal health reminders, daily wellness tracking, and modern large language models can be integrated into a unified digital ecosystem. By making adherence statistics visible and offering actionable, private, AI-coached paths forward, MediTrack empowers users to build long-term healthy habits and take control of their well-being.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