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5a22762829d4e2c" /><Relationship Type="http://schemas.openxmlformats.org/package/2006/relationships/metadata/core-properties" Target="/docProps/core.xml" Id="Rad8149e35fe94a66" /><Relationship Type="http://schemas.openxmlformats.org/officeDocument/2006/relationships/extended-properties" Target="/docProps/app.xml" Id="Rabeaf70e4614418c" /><Relationship Type="http://schemas.openxmlformats.org/officeDocument/2006/relationships/custom-properties" Target="/docProps/custom.xml" Id="R003d98bf367c483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Customer Behavior Analysis Report</w:t>
      </w:r>
    </w:p>
    <w:p w14:paraId="00100002" w14:textId="00100003">
      <w:pPr>
        <w:pStyle w:val="Normal"/>
        <w:spacing w:after="120"/>
        <w:jc w:val="center"/>
      </w:pPr>
      <w:r>
        <w:rPr>
          <w:color w:val="57606A"/>
          <w:sz w:val="26"/>
        </w:rPr>
        <w:t xml:space="preserve">E-Commerce Dataset | IBM SkillsBuild Data Analytics with AI Internship</w:t>
      </w:r>
    </w:p>
    <w:p w14:paraId="00100004" w14:textId="00100005">
      <w:pPr>
        <w:pStyle w:val="Normal"/>
        <w:spacing w:after="400"/>
        <w:jc w:val="center"/>
      </w:pPr>
      <w:r>
        <w:rPr>
          <w:color w:val="57606A"/>
          <w:sz w:val="22"/>
        </w:rPr>
        <w:t xml:space="preserve">Dataset: Ecommerce.csv  |  Records: 25,000 Sessions  |  Period: January – December 2024</w:t>
      </w:r>
    </w:p>
    <w:p w14:paraId="00100006" w14:textId="00100007">
      <w:pPr>
        <w:pStyle w:val="Heading1"/>
        <w:spacing w:after="120"/>
      </w:pPr>
      <w:r>
        <w:rPr>
          <w:b/>
          <w:sz w:val="32"/>
        </w:rPr>
        <w:t xml:space="preserve">Table of Contents</w:t>
      </w:r>
    </w:p>
    <w:p w14:paraId="00100008" w14:textId="00100009">
      <w:pPr>
        <w:pStyle w:val="Normal"/>
        <w:spacing w:after="60"/>
      </w:pPr>
      <w:r>
        <w:rPr>
          <w:sz w:val="22"/>
        </w:rPr>
        <w:t xml:space="preserve">1. Executive Summary</w:t>
      </w:r>
    </w:p>
    <w:p w14:paraId="0010000A" w14:textId="0010000B">
      <w:pPr>
        <w:pStyle w:val="Normal"/>
        <w:spacing w:after="60"/>
      </w:pPr>
      <w:r>
        <w:rPr>
          <w:sz w:val="22"/>
        </w:rPr>
        <w:t xml:space="preserve">2. Project Objectives</w:t>
      </w:r>
    </w:p>
    <w:p w14:paraId="0010000C" w14:textId="0010000D">
      <w:pPr>
        <w:pStyle w:val="Normal"/>
        <w:spacing w:after="60"/>
      </w:pPr>
      <w:r>
        <w:rPr>
          <w:sz w:val="22"/>
        </w:rPr>
        <w:t xml:space="preserve">3. Dataset Overview</w:t>
      </w:r>
    </w:p>
    <w:p w14:paraId="0010000E" w14:textId="0010000F">
      <w:pPr>
        <w:pStyle w:val="Normal"/>
        <w:spacing w:after="60"/>
      </w:pPr>
      <w:r>
        <w:rPr>
          <w:sz w:val="22"/>
        </w:rPr>
        <w:t xml:space="preserve">4. Methodology</w:t>
      </w:r>
    </w:p>
    <w:p w14:paraId="00100010" w14:textId="00100011">
      <w:pPr>
        <w:pStyle w:val="Normal"/>
        <w:spacing w:after="60"/>
      </w:pPr>
      <w:r>
        <w:rPr>
          <w:sz w:val="22"/>
        </w:rPr>
        <w:t xml:space="preserve">5. Exploratory Data Analysis</w:t>
      </w:r>
    </w:p>
    <w:p w14:paraId="00100012" w14:textId="00100013">
      <w:pPr>
        <w:pStyle w:val="Normal"/>
        <w:spacing w:after="60"/>
      </w:pPr>
      <w:r>
        <w:rPr>
          <w:sz w:val="22"/>
        </w:rPr>
        <w:t xml:space="preserve">6. Customer Segmentation</w:t>
      </w:r>
    </w:p>
    <w:p w14:paraId="00100014" w14:textId="00100015">
      <w:pPr>
        <w:pStyle w:val="Normal"/>
        <w:spacing w:after="60"/>
      </w:pPr>
      <w:r>
        <w:rPr>
          <w:sz w:val="22"/>
        </w:rPr>
        <w:t xml:space="preserve">7. Predictive Modeling (AI)</w:t>
      </w:r>
    </w:p>
    <w:p w14:paraId="00100016" w14:textId="00100017">
      <w:pPr>
        <w:pStyle w:val="Normal"/>
        <w:spacing w:after="60"/>
      </w:pPr>
      <w:r>
        <w:rPr>
          <w:sz w:val="22"/>
        </w:rPr>
        <w:t xml:space="preserve">8. Key Findings</w:t>
      </w:r>
    </w:p>
    <w:p w14:paraId="00100018" w14:textId="00100019">
      <w:pPr>
        <w:pStyle w:val="Normal"/>
        <w:spacing w:after="60"/>
      </w:pPr>
      <w:r>
        <w:rPr>
          <w:sz w:val="22"/>
        </w:rPr>
        <w:t xml:space="preserve">9. Business Recommendations</w:t>
      </w:r>
    </w:p>
    <w:p w14:paraId="0010001A" w14:textId="0010001B">
      <w:pPr>
        <w:pStyle w:val="Normal"/>
        <w:spacing w:after="400"/>
      </w:pPr>
      <w:r>
        <w:rPr>
          <w:sz w:val="22"/>
        </w:rPr>
        <w:t xml:space="preserve">10. Conclusion</w:t>
      </w:r>
    </w:p>
    <w:p w14:paraId="0010001C" w14:textId="0010001D">
      <w:pPr>
        <w:pStyle w:val="Heading1"/>
        <w:spacing w:before="280" w:after="160"/>
      </w:pPr>
      <w:r>
        <w:rPr>
          <w:b/>
          <w:sz w:val="36"/>
        </w:rPr>
        <w:t xml:space="preserve">1. Executive Summary</w:t>
      </w:r>
    </w:p>
    <w:p w14:paraId="0010001E" w14:textId="0010001F">
      <w:pPr>
        <w:pStyle w:val="Normal"/>
        <w:spacing w:after="160"/>
      </w:pPr>
      <w:r>
        <w:rPr>
          <w:sz w:val="22"/>
        </w:rPr>
        <w:t xml:space="preserve">This report presents a comprehensive data analytics and AI project conducted on an e-commerce customer behavior dataset comprising 25,000 session records from January to December 2024. The project was undertaken as part of the IBM SkillsBuild Data Analytics with AI Internship program.</w:t>
      </w:r>
    </w:p>
    <w:p w14:paraId="00100020" w14:textId="00100021">
      <w:pPr>
        <w:pStyle w:val="Normal"/>
        <w:spacing w:after="160"/>
      </w:pPr>
      <w:r>
        <w:rPr>
          <w:sz w:val="22"/>
        </w:rPr>
        <w:t xml:space="preserve">The analysis covers the full data science lifecycle: data acquisition, cleaning, exploratory data analysis (EDA), feature engineering, unsupervised customer segmentation using K-Means clustering, and supervised machine learning for purchase prediction. Three classification models were trained and evaluated — Logistic Regression, Random Forest, and Gradient Boosting — with the best model achieving an ROC-AUC score above 0.99, demonstrating strong predictive capability.</w:t>
      </w:r>
    </w:p>
    <w:p w14:paraId="00100022" w14:textId="00100023">
      <w:pPr>
        <w:pStyle w:val="Normal"/>
        <w:spacing w:after="280"/>
      </w:pPr>
      <w:r>
        <w:rPr>
          <w:sz w:val="22"/>
        </w:rPr>
        <w:t xml:space="preserve">Key findings indicate a ~13% overall purchase conversion rate, with cart-add behavior being the strongest predictor of purchase. Email and Referral marketing channels outperform Paid in conversion rate, and Electronics leads all product categories in total revenue. Four distinct customer segments were identified — High-Value Buyers, Engaged Browsers, Casual Visitors, and At-Risk Churners — each requiring tailored marketing strategies.</w:t>
      </w:r>
    </w:p>
    <w:p w14:paraId="00100024" w14:textId="00100025">
      <w:pPr>
        <w:pStyle w:val="Heading1"/>
        <w:spacing w:before="280" w:after="160"/>
      </w:pPr>
      <w:r>
        <w:rPr>
          <w:b/>
          <w:sz w:val="36"/>
        </w:rPr>
        <w:t xml:space="preserve">2. Project Objectives</w:t>
      </w:r>
    </w:p>
    <w:p w14:paraId="00100026" w14:textId="00100027">
      <w:pPr>
        <w:pStyle w:val="Normal"/>
        <w:spacing w:after="120"/>
      </w:pPr>
      <w:r>
        <w:rPr>
          <w:sz w:val="22"/>
        </w:rPr>
        <w:t xml:space="preserve">The project was designed to meet the following objectives:</w:t>
      </w:r>
    </w:p>
    <w:p w14:paraId="00100028" w14:textId="00100029">
      <w:pPr>
        <w:pStyle w:val="Normal"/>
        <w:numPr>
          <w:ilvl w:val="0"/>
          <w:numId w:val="1"/>
        </w:numPr>
        <w:spacing w:after="80"/>
      </w:pPr>
      <w:r>
        <w:rPr>
          <w:sz w:val="22"/>
        </w:rPr>
        <w:t xml:space="preserve">Understand customer behavior patterns across devices, channels, and product categories.</w:t>
      </w:r>
    </w:p>
    <w:p w14:paraId="0010002A" w14:textId="0010002B">
      <w:pPr>
        <w:pStyle w:val="Normal"/>
        <w:numPr>
          <w:ilvl w:val="0"/>
          <w:numId w:val="1"/>
        </w:numPr>
        <w:spacing w:after="80"/>
      </w:pPr>
      <w:r>
        <w:rPr>
          <w:sz w:val="22"/>
        </w:rPr>
        <w:t xml:space="preserve">Identify factors that drive purchase conversions and cart abandonment.</w:t>
      </w:r>
    </w:p>
    <w:p w14:paraId="0010002C" w14:textId="0010002D">
      <w:pPr>
        <w:pStyle w:val="Normal"/>
        <w:numPr>
          <w:ilvl w:val="0"/>
          <w:numId w:val="1"/>
        </w:numPr>
        <w:spacing w:after="80"/>
      </w:pPr>
      <w:r>
        <w:rPr>
          <w:sz w:val="22"/>
        </w:rPr>
        <w:t xml:space="preserve">Analyze temporal trends in session volumes and revenue across the 2024 calendar year.</w:t>
      </w:r>
    </w:p>
    <w:p w14:paraId="0010002E" w14:textId="0010002F">
      <w:pPr>
        <w:pStyle w:val="Normal"/>
        <w:numPr>
          <w:ilvl w:val="0"/>
          <w:numId w:val="1"/>
        </w:numPr>
        <w:spacing w:after="80"/>
      </w:pPr>
      <w:r>
        <w:rPr>
          <w:sz w:val="22"/>
        </w:rPr>
        <w:t xml:space="preserve">Segment customers into meaningful groups to support personalized marketing.</w:t>
      </w:r>
    </w:p>
    <w:p w14:paraId="00100030" w14:textId="00100031">
      <w:pPr>
        <w:pStyle w:val="Normal"/>
        <w:numPr>
          <w:ilvl w:val="0"/>
          <w:numId w:val="1"/>
        </w:numPr>
        <w:spacing w:after="80"/>
      </w:pPr>
      <w:r>
        <w:rPr>
          <w:sz w:val="22"/>
        </w:rPr>
        <w:t xml:space="preserve">Build and compare machine learning models to predict purchase likelihood in real time.</w:t>
      </w:r>
    </w:p>
    <w:p w14:paraId="00100032" w14:textId="00100033">
      <w:pPr>
        <w:pStyle w:val="Normal"/>
        <w:numPr>
          <w:ilvl w:val="0"/>
          <w:numId w:val="1"/>
        </w:numPr>
        <w:spacing w:after="280"/>
      </w:pPr>
      <w:r>
        <w:rPr>
          <w:sz w:val="22"/>
        </w:rPr>
        <w:t xml:space="preserve">Derive actionable business recommendations from data-driven insights.</w:t>
      </w:r>
    </w:p>
    <w:p w14:paraId="00100034" w14:textId="00100035">
      <w:pPr>
        <w:pStyle w:val="Heading1"/>
        <w:spacing w:before="280" w:after="160"/>
      </w:pPr>
      <w:r>
        <w:rPr>
          <w:b/>
          <w:sz w:val="36"/>
        </w:rPr>
        <w:t xml:space="preserve">3. Dataset Overview</w:t>
      </w:r>
    </w:p>
    <w:p w14:paraId="00100036" w14:textId="00100037">
      <w:pPr>
        <w:pStyle w:val="Normal"/>
        <w:spacing w:after="160"/>
      </w:pPr>
      <w:r>
        <w:rPr>
          <w:sz w:val="22"/>
        </w:rPr>
        <w:t xml:space="preserve">The dataset (Ecommerce.csv) contains 25,000 rows and 29 columns representing individual e-commerce sessions. Each row corresponds to a single user session on the platform and captures behavioral, transactional, and contextual attributes.</w:t>
      </w:r>
    </w:p>
    <w:p w14:paraId="00100038" w14:textId="00100039">
      <w:pPr>
        <w:pStyle w:val="Heading2"/>
        <w:spacing w:before="200" w:after="120"/>
      </w:pPr>
      <w:r>
        <w:rPr>
          <w:b/>
          <w:sz w:val="28"/>
        </w:rPr>
        <w:t xml:space="preserve">3.1 Column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A" w14:textId="0010003B">
            <w:r>
              <w:t xml:space="preserve">Column</w:t>
            </w:r>
          </w:p>
        </w:tc>
        <w:tc>
          <w:p w14:paraId="0010003C" w14:textId="0010003D">
            <w:r>
              <w:t xml:space="preserve">Description</w:t>
            </w:r>
          </w:p>
        </w:tc>
        <w:tc>
          <w:p w14:paraId="0010003E" w14:textId="0010003F">
            <w:r>
              <w:t xml:space="preserve">Type</w:t>
            </w:r>
          </w:p>
        </w:tc>
      </w:tr>
      <w:tr>
        <w:trPr/>
        <w:tc>
          <w:p w14:paraId="00100040" w14:textId="00100041">
            <w:r>
              <w:t xml:space="preserve">customer_id / session_id</w:t>
            </w:r>
          </w:p>
        </w:tc>
        <w:tc>
          <w:p w14:paraId="00100042" w14:textId="00100043">
            <w:r>
              <w:t xml:space="preserve">Unique identifiers for customer and session</w:t>
            </w:r>
          </w:p>
        </w:tc>
        <w:tc>
          <w:p w14:paraId="00100044" w14:textId="00100045">
            <w:r>
              <w:t xml:space="preserve">ID</w:t>
            </w:r>
          </w:p>
        </w:tc>
      </w:tr>
      <w:tr>
        <w:trPr/>
        <w:tc>
          <w:p w14:paraId="00100046" w14:textId="00100047">
            <w:r>
              <w:t xml:space="preserve">visit_date</w:t>
            </w:r>
          </w:p>
        </w:tc>
        <w:tc>
          <w:p w14:paraId="00100048" w14:textId="00100049">
            <w:r>
              <w:t xml:space="preserve">Date of session (DD-MM-YYYY), covering full year 2024</w:t>
            </w:r>
          </w:p>
        </w:tc>
        <w:tc>
          <w:p w14:paraId="0010004A" w14:textId="0010004B">
            <w:r>
              <w:t xml:space="preserve">Date</w:t>
            </w:r>
          </w:p>
        </w:tc>
      </w:tr>
      <w:tr>
        <w:trPr/>
        <w:tc>
          <w:p w14:paraId="0010004C" w14:textId="0010004D">
            <w:r>
              <w:t xml:space="preserve">device_type</w:t>
            </w:r>
          </w:p>
        </w:tc>
        <w:tc>
          <w:p w14:paraId="0010004E" w14:textId="0010004F">
            <w:r>
              <w:t xml:space="preserve">0=Desktop, 1=Mobile, 2=Tablet</w:t>
            </w:r>
          </w:p>
        </w:tc>
        <w:tc>
          <w:p w14:paraId="00100050" w14:textId="00100051">
            <w:r>
              <w:t xml:space="preserve">Categorical</w:t>
            </w:r>
          </w:p>
        </w:tc>
      </w:tr>
      <w:tr>
        <w:trPr/>
        <w:tc>
          <w:p w14:paraId="00100052" w14:textId="00100053">
            <w:r>
              <w:t xml:space="preserve">user_type</w:t>
            </w:r>
          </w:p>
        </w:tc>
        <w:tc>
          <w:p w14:paraId="00100054" w14:textId="00100055">
            <w:r>
              <w:t xml:space="preserve">0=New User, 1=Returning User</w:t>
            </w:r>
          </w:p>
        </w:tc>
        <w:tc>
          <w:p w14:paraId="00100056" w14:textId="00100057">
            <w:r>
              <w:t xml:space="preserve">Categorical</w:t>
            </w:r>
          </w:p>
        </w:tc>
      </w:tr>
      <w:tr>
        <w:trPr/>
        <w:tc>
          <w:p w14:paraId="00100058" w14:textId="00100059">
            <w:r>
              <w:t xml:space="preserve">marketing_channel</w:t>
            </w:r>
          </w:p>
        </w:tc>
        <w:tc>
          <w:p w14:paraId="0010005A" w14:textId="0010005B">
            <w:r>
              <w:t xml:space="preserve">0=Organic, 1=Email, 2=Social, 3=Direct, 4=Paid, 5=Referral</w:t>
            </w:r>
          </w:p>
        </w:tc>
        <w:tc>
          <w:p w14:paraId="0010005C" w14:textId="0010005D">
            <w:r>
              <w:t xml:space="preserve">Categorical</w:t>
            </w:r>
          </w:p>
        </w:tc>
      </w:tr>
      <w:tr>
        <w:trPr/>
        <w:tc>
          <w:p w14:paraId="0010005E" w14:textId="0010005F">
            <w:r>
              <w:t xml:space="preserve">product_category</w:t>
            </w:r>
          </w:p>
        </w:tc>
        <w:tc>
          <w:p w14:paraId="00100060" w14:textId="00100061">
            <w:r>
              <w:t xml:space="preserve">0=Electronics, 1=Clothing, 2=Home &amp; Living, 3=Sports, 4=Beauty, 5=Books, 6=Toys, 7=Other</w:t>
            </w:r>
          </w:p>
        </w:tc>
        <w:tc>
          <w:p w14:paraId="00100062" w14:textId="00100063">
            <w:r>
              <w:t xml:space="preserve">Categorical</w:t>
            </w:r>
          </w:p>
        </w:tc>
      </w:tr>
      <w:tr>
        <w:trPr/>
        <w:tc>
          <w:p w14:paraId="00100064" w14:textId="00100065">
            <w:r>
              <w:t xml:space="preserve">revenue, unit_price, quantity</w:t>
            </w:r>
          </w:p>
        </w:tc>
        <w:tc>
          <w:p w14:paraId="00100066" w14:textId="00100067">
            <w:r>
              <w:t xml:space="preserve">Transaction financials — price, units, and total revenue</w:t>
            </w:r>
          </w:p>
        </w:tc>
        <w:tc>
          <w:p w14:paraId="00100068" w14:textId="00100069">
            <w:r>
              <w:t xml:space="preserve">Numeric</w:t>
            </w:r>
          </w:p>
        </w:tc>
      </w:tr>
      <w:tr>
        <w:trPr/>
        <w:tc>
          <w:p w14:paraId="0010006A" w14:textId="0010006B">
            <w:r>
              <w:t xml:space="preserve">pages_viewed, time_on_site_sec</w:t>
            </w:r>
          </w:p>
        </w:tc>
        <w:tc>
          <w:p w14:paraId="0010006C" w14:textId="0010006D">
            <w:r>
              <w:t xml:space="preserve">Session engagement metrics</w:t>
            </w:r>
          </w:p>
        </w:tc>
        <w:tc>
          <w:p w14:paraId="0010006E" w14:textId="0010006F">
            <w:r>
              <w:t xml:space="preserve">Numeric</w:t>
            </w:r>
          </w:p>
        </w:tc>
      </w:tr>
      <w:tr>
        <w:trPr/>
        <w:tc>
          <w:p w14:paraId="00100070" w14:textId="00100071">
            <w:r>
              <w:t xml:space="preserve">added_to_cart, purchased, cart_abandoned</w:t>
            </w:r>
          </w:p>
        </w:tc>
        <w:tc>
          <w:p w14:paraId="00100072" w14:textId="00100073">
            <w:r>
              <w:t xml:space="preserve">Funnel behavior flags (binary 0/1)</w:t>
            </w:r>
          </w:p>
        </w:tc>
        <w:tc>
          <w:p w14:paraId="00100074" w14:textId="00100075">
            <w:r>
              <w:t xml:space="preserve">Binary</w:t>
            </w:r>
          </w:p>
        </w:tc>
      </w:tr>
      <w:tr>
        <w:trPr/>
        <w:tc>
          <w:p w14:paraId="00100076" w14:textId="00100077">
            <w:r>
              <w:t xml:space="preserve">rating, payment_method, location</w:t>
            </w:r>
          </w:p>
        </w:tc>
        <w:tc>
          <w:p w14:paraId="00100078" w14:textId="00100079">
            <w:r>
              <w:t xml:space="preserve">Post-purchase attributes and context</w:t>
            </w:r>
          </w:p>
        </w:tc>
        <w:tc>
          <w:p w14:paraId="0010007A" w14:textId="0010007B">
            <w:r>
              <w:t xml:space="preserve">Mixed</w:t>
            </w:r>
          </w:p>
        </w:tc>
      </w:tr>
    </w:tbl>
    <w:p w14:paraId="0010007C" w14:textId="0010007D">
      <w:pPr>
        <w:pStyle w:val="Normal"/>
        <w:spacing w:after="200"/>
        <w:jc w:val="center"/>
      </w:pPr>
      <w:r>
        <w:rPr>
          <w:color w:val="57606A"/>
          <w:sz w:val="20"/>
        </w:rPr>
        <w:t xml:space="preserve">Table 1: Key Dataset Columns</w:t>
      </w:r>
    </w:p>
    <w:p w14:paraId="0010007E" w14:textId="0010007F">
      <w:pPr>
        <w:pStyle w:val="Heading2"/>
        <w:spacing w:before="200" w:after="120"/>
      </w:pPr>
      <w:r>
        <w:rPr>
          <w:b/>
          <w:sz w:val="28"/>
        </w:rPr>
        <w:t xml:space="preserve">3.2 Data Quality</w:t>
      </w:r>
    </w:p>
    <w:p w14:paraId="00100080" w14:textId="00100081">
      <w:pPr>
        <w:pStyle w:val="Normal"/>
        <w:spacing w:after="280"/>
      </w:pPr>
      <w:r>
        <w:rPr>
          <w:sz w:val="22"/>
        </w:rPr>
        <w:t xml:space="preserve">The dataset was found to be in excellent condition with no missing values across all 25,000 records and 29 columns. No duplicate session records were detected. Date parsing was performed on the visit_date column (format: DD-MM-YYYY), confirming the dataset spans the full calendar year 2024 — from January 1 to December 31. Categorical columns were encoded as integers in the raw data and were decoded to human-readable labels during preprocessing for analysis clarity.</w:t>
      </w:r>
    </w:p>
    <w:p w14:paraId="0010020E" w14:textId="0010020F">
      <w:pPr>
        <w:spacing w:line="240" w:lineRule="auto"/>
      </w:pPr>
      <w:r>
        <w:rPr/>
        <w:drawing>
          <wp:inline distT="0" distB="0" distL="0" distR="0">
            <wp:extent cx="5040000" cy="4016784"/>
            <wp:effectExtent l="0" t="0" r="0" b="0"/>
            <wp:docPr id="12" name="fig_correlation_heatmap.png" descr=""/>
            <wp:cNvGraphicFramePr>
              <a:graphicFrameLocks noChangeAspect="1"/>
            </wp:cNvGraphicFramePr>
            <a:graphic>
              <a:graphicData uri="http://schemas.openxmlformats.org/drawingml/2006/picture">
                <pic:pic>
                  <pic:nvPicPr>
                    <pic:cNvPr id="12" name="fig_correlation_heatmap.png"/>
                    <pic:cNvPicPr/>
                  </pic:nvPicPr>
                  <pic:blipFill>
                    <a:blip r:embed="R7b740689c22f4639" cstate="print"/>
                    <a:stretch>
                      <a:fillRect/>
                    </a:stretch>
                  </pic:blipFill>
                  <pic:spPr>
                    <a:xfrm>
                      <a:off x="0" y="0"/>
                      <a:ext cx="5040000" cy="4016784"/>
                    </a:xfrm>
                    <a:prstGeom prst="rect">
                      <a:avLst/>
                    </a:prstGeom>
                  </pic:spPr>
                </pic:pic>
              </a:graphicData>
            </a:graphic>
          </wp:inline>
        </w:drawing>
      </w:r>
    </w:p>
    <w:p w14:paraId="00100226" w14:textId="00100227">
      <w:pPr>
        <w:pStyle w:val="Normal"/>
        <w:spacing w:after="200"/>
        <w:jc w:val="center"/>
      </w:pPr>
      <w:r>
        <w:rPr>
          <w:color w:val="57606A"/>
          <w:sz w:val="20"/>
        </w:rPr>
        <w:t xml:space="preserve">Figure 12: Feature Correlation Matrix — Pairwise correlations across numeric features</w:t>
      </w:r>
    </w:p>
    <w:p w14:paraId="00100082" w14:textId="00100083">
      <w:pPr>
        <w:pStyle w:val="Heading1"/>
        <w:spacing w:before="280" w:after="160"/>
      </w:pPr>
      <w:r>
        <w:rPr>
          <w:b/>
          <w:sz w:val="36"/>
        </w:rPr>
        <w:t xml:space="preserve">4. Methodology</w:t>
      </w:r>
    </w:p>
    <w:p w14:paraId="00100084" w14:textId="00100085">
      <w:pPr>
        <w:pStyle w:val="Normal"/>
        <w:spacing w:after="160"/>
      </w:pPr>
      <w:r>
        <w:rPr>
          <w:sz w:val="22"/>
        </w:rPr>
        <w:t xml:space="preserve">The project follows the standard data science process (CRISP-DM) and is structured into seven sequential phases: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6" w14:textId="00100087">
            <w:r>
              <w:t xml:space="preserve">Phase</w:t>
            </w:r>
          </w:p>
        </w:tc>
        <w:tc>
          <w:p w14:paraId="00100088" w14:textId="00100089">
            <w:r>
              <w:t xml:space="preserve">Activity</w:t>
            </w:r>
          </w:p>
        </w:tc>
        <w:tc>
          <w:p w14:paraId="0010008A" w14:textId="0010008B">
            <w:r>
              <w:t xml:space="preserve">Tools Used</w:t>
            </w:r>
          </w:p>
        </w:tc>
      </w:tr>
      <w:tr>
        <w:trPr/>
        <w:tc>
          <w:p w14:paraId="0010008C" w14:textId="0010008D">
            <w:r>
              <w:t xml:space="preserve">1 — Data Loading</w:t>
            </w:r>
          </w:p>
        </w:tc>
        <w:tc>
          <w:p w14:paraId="0010008E" w14:textId="0010008F">
            <w:r>
              <w:t xml:space="preserve">Read CSV, inspect shape, data types, statistical summary</w:t>
            </w:r>
          </w:p>
        </w:tc>
        <w:tc>
          <w:p w14:paraId="00100090" w14:textId="00100091">
            <w:r>
              <w:t xml:space="preserve">pandas</w:t>
            </w:r>
          </w:p>
        </w:tc>
      </w:tr>
      <w:tr>
        <w:trPr/>
        <w:tc>
          <w:p w14:paraId="00100092" w14:textId="00100093">
            <w:r>
              <w:t xml:space="preserve">2 — Data Cleaning</w:t>
            </w:r>
          </w:p>
        </w:tc>
        <w:tc>
          <w:p w14:paraId="00100094" w14:textId="00100095">
            <w:r>
              <w:t xml:space="preserve">Null checks, duplicate removal, date parsing, category decoding</w:t>
            </w:r>
          </w:p>
        </w:tc>
        <w:tc>
          <w:p w14:paraId="00100096" w14:textId="00100097">
            <w:r>
              <w:t xml:space="preserve">pandas</w:t>
            </w:r>
          </w:p>
        </w:tc>
      </w:tr>
      <w:tr>
        <w:trPr/>
        <w:tc>
          <w:p w14:paraId="00100098" w14:textId="00100099">
            <w:r>
              <w:t xml:space="preserve">3 — EDA</w:t>
            </w:r>
          </w:p>
        </w:tc>
        <w:tc>
          <w:p w14:paraId="0010009A" w14:textId="0010009B">
            <w:r>
              <w:t xml:space="preserve">10 multi-chart visualizations across all key dimensions</w:t>
            </w:r>
          </w:p>
        </w:tc>
        <w:tc>
          <w:p w14:paraId="0010009C" w14:textId="0010009D">
            <w:r>
              <w:t xml:space="preserve">matplotlib, seaborn</w:t>
            </w:r>
          </w:p>
        </w:tc>
      </w:tr>
      <w:tr>
        <w:trPr/>
        <w:tc>
          <w:p w14:paraId="0010009E" w14:textId="0010009F">
            <w:r>
              <w:t xml:space="preserve">4 — Feature Engineering</w:t>
            </w:r>
          </w:p>
        </w:tc>
        <w:tc>
          <w:p w14:paraId="001000A0" w14:textId="001000A1">
            <w:r>
              <w:t xml:space="preserve">Create engagement_score, effective_price, is_weekend, has_discount</w:t>
            </w:r>
          </w:p>
        </w:tc>
        <w:tc>
          <w:p w14:paraId="001000A2" w14:textId="001000A3">
            <w:r>
              <w:t xml:space="preserve">pandas, numpy</w:t>
            </w:r>
          </w:p>
        </w:tc>
      </w:tr>
      <w:tr>
        <w:trPr/>
        <w:tc>
          <w:p w14:paraId="001000A4" w14:textId="001000A5">
            <w:r>
              <w:t xml:space="preserve">5 — Segmentation</w:t>
            </w:r>
          </w:p>
        </w:tc>
        <w:tc>
          <w:p w14:paraId="001000A6" w14:textId="001000A7">
            <w:r>
              <w:t xml:space="preserve">K-Means clustering (k=4), PCA visualization, segment labeling</w:t>
            </w:r>
          </w:p>
        </w:tc>
        <w:tc>
          <w:p w14:paraId="001000A8" w14:textId="001000A9">
            <w:r>
              <w:t xml:space="preserve">scikit-learn</w:t>
            </w:r>
          </w:p>
        </w:tc>
      </w:tr>
      <w:tr>
        <w:trPr/>
        <w:tc>
          <w:p w14:paraId="001000AA" w14:textId="001000AB">
            <w:r>
              <w:t xml:space="preserve">6 — Predictive Modeling</w:t>
            </w:r>
          </w:p>
        </w:tc>
        <w:tc>
          <w:p w14:paraId="001000AC" w14:textId="001000AD">
            <w:r>
              <w:t xml:space="preserve">Train 3 classifiers, evaluate with AUC, F1, cross-validation</w:t>
            </w:r>
          </w:p>
        </w:tc>
        <w:tc>
          <w:p w14:paraId="001000AE" w14:textId="001000AF">
            <w:r>
              <w:t xml:space="preserve">scikit-learn</w:t>
            </w:r>
          </w:p>
        </w:tc>
      </w:tr>
      <w:tr>
        <w:trPr/>
        <w:tc>
          <w:p w14:paraId="001000B0" w14:textId="001000B1">
            <w:r>
              <w:t xml:space="preserve">7 — Insights</w:t>
            </w:r>
          </w:p>
        </w:tc>
        <w:tc>
          <w:p w14:paraId="001000B2" w14:textId="001000B3">
            <w:r>
              <w:t xml:space="preserve">Key findings summary, 8 actionable business recommendations</w:t>
            </w:r>
          </w:p>
        </w:tc>
        <w:tc>
          <w:p w14:paraId="001000B4" w14:textId="001000B5">
            <w:r>
              <w:t xml:space="preserve">Domain analysis</w:t>
            </w:r>
          </w:p>
        </w:tc>
      </w:tr>
    </w:tbl>
    <w:p w14:paraId="001000B6" w14:textId="001000B7">
      <w:pPr>
        <w:pStyle w:val="Normal"/>
        <w:spacing w:after="160"/>
        <w:jc w:val="center"/>
      </w:pPr>
      <w:r>
        <w:rPr>
          <w:color w:val="57606A"/>
          <w:sz w:val="20"/>
        </w:rPr>
        <w:t xml:space="preserve">Table 2: Project Methodology Phases</w:t>
      </w:r>
    </w:p>
    <w:p w14:paraId="001000B8" w14:textId="001000B9">
      <w:pPr>
        <w:pStyle w:val="Normal"/>
        <w:spacing w:after="280"/>
      </w:pPr>
      <w:r>
        <w:rPr>
          <w:sz w:val="22"/>
        </w:rPr>
        <w:t xml:space="preserve">All analysis was performed in Python 3.11 using the following libraries: pandas (data manipulation), numpy (numerical computing), matplotlib and seaborn (data visualization), and scikit-learn (machine learning). The complete analysis is documented in the Jupyter Notebook Customer-Behavior.ipynb.</w:t>
      </w:r>
    </w:p>
    <w:p w14:paraId="001000BA" w14:textId="001000BB">
      <w:pPr>
        <w:pStyle w:val="Heading1"/>
        <w:spacing w:before="280" w:after="160"/>
      </w:pPr>
      <w:r>
        <w:rPr>
          <w:b/>
          <w:sz w:val="36"/>
        </w:rPr>
        <w:t xml:space="preserve">5. Exploratory Data Analysis</w:t>
      </w:r>
    </w:p>
    <w:p w14:paraId="001000BC" w14:textId="001000BD">
      <w:pPr>
        <w:pStyle w:val="Heading2"/>
        <w:spacing w:before="200" w:after="120"/>
      </w:pPr>
      <w:r>
        <w:rPr>
          <w:b/>
          <w:sz w:val="28"/>
        </w:rPr>
        <w:t xml:space="preserve">5.1 Purchase Distribution</w:t>
      </w:r>
    </w:p>
    <w:p w14:paraId="001000BE" w14:textId="001000BF">
      <w:pPr>
        <w:pStyle w:val="Normal"/>
        <w:spacing w:after="160"/>
      </w:pPr>
      <w:r>
        <w:rPr>
          <w:sz w:val="22"/>
        </w:rPr>
        <w:t xml:space="preserve">Of the 25,000 sessions analyzed, approximately 13% resulted in a purchase. This 13:87 ratio between purchasers and non-purchasers indicates a significant conversion funnel gap and represents the central business problem this project addresses. The remaining 87% of sessions are non-converting — presenting a large opportunity for optimization through targeted interventions.</w:t>
      </w:r>
    </w:p>
    <w:p w14:paraId="001001F8" w14:textId="001001F9">
      <w:pPr>
        <w:spacing w:line="240" w:lineRule="auto"/>
      </w:pPr>
      <w:r>
        <w:rPr/>
        <w:drawing>
          <wp:inline distT="0" distB="0" distL="0" distR="0">
            <wp:extent cx="5040000" cy="2236618"/>
            <wp:effectExtent l="0" t="0" r="0" b="0"/>
            <wp:docPr id="1" name="fig_purchase_distribution.png" descr=""/>
            <wp:cNvGraphicFramePr>
              <a:graphicFrameLocks noChangeAspect="1"/>
            </wp:cNvGraphicFramePr>
            <a:graphic>
              <a:graphicData uri="http://schemas.openxmlformats.org/drawingml/2006/picture">
                <pic:pic>
                  <pic:nvPicPr>
                    <pic:cNvPr id="1" name="fig_purchase_distribution.png"/>
                    <pic:cNvPicPr/>
                  </pic:nvPicPr>
                  <pic:blipFill>
                    <a:blip r:embed="Rdafea374db564e7b" cstate="print"/>
                    <a:stretch>
                      <a:fillRect/>
                    </a:stretch>
                  </pic:blipFill>
                  <pic:spPr>
                    <a:xfrm>
                      <a:off x="0" y="0"/>
                      <a:ext cx="5040000" cy="2236618"/>
                    </a:xfrm>
                    <a:prstGeom prst="rect">
                      <a:avLst/>
                    </a:prstGeom>
                  </pic:spPr>
                </pic:pic>
              </a:graphicData>
            </a:graphic>
          </wp:inline>
        </w:drawing>
      </w:r>
    </w:p>
    <w:p w14:paraId="00100210" w14:textId="00100211">
      <w:pPr>
        <w:pStyle w:val="Normal"/>
        <w:spacing w:after="200"/>
        <w:jc w:val="center"/>
      </w:pPr>
      <w:r>
        <w:rPr>
          <w:color w:val="57606A"/>
          <w:sz w:val="20"/>
        </w:rPr>
        <w:t xml:space="preserve">Figure 1: Purchase Distribution — Overall conversion rate across 25,000 sessions</w:t>
      </w:r>
    </w:p>
    <w:p w14:paraId="001000C0" w14:textId="001000C1">
      <w:pPr>
        <w:pStyle w:val="Heading2"/>
        <w:spacing w:before="200" w:after="120"/>
      </w:pPr>
      <w:r>
        <w:rPr>
          <w:b/>
          <w:sz w:val="28"/>
        </w:rPr>
        <w:t xml:space="preserve">5.2 Device Type Analysis</w:t>
      </w:r>
    </w:p>
    <w:p w14:paraId="001000C2" w14:textId="001000C3">
      <w:pPr>
        <w:pStyle w:val="Normal"/>
        <w:spacing w:after="160"/>
      </w:pPr>
      <w:r>
        <w:rPr>
          <w:sz w:val="22"/>
        </w:rPr>
        <w:t xml:space="preserve">Mobile devices account for the largest share of sessions, followed by Desktop and Tablet. However, when analyzed by purchase rate, Desktop sessions exhibit a marginally higher conversion rate. This discrepancy points to a potential Mobile UX friction point — users browse via mobile but convert less frequently, suggesting that improving the mobile checkout experience could yield significant revenue uplift.</w:t>
      </w:r>
    </w:p>
    <w:p w14:paraId="001001FA" w14:textId="001001FB">
      <w:pPr>
        <w:spacing w:line="240" w:lineRule="auto"/>
      </w:pPr>
      <w:r>
        <w:rPr/>
        <w:drawing>
          <wp:inline distT="0" distB="0" distL="0" distR="0">
            <wp:extent cx="5040000" cy="1929375"/>
            <wp:effectExtent l="0" t="0" r="0" b="0"/>
            <wp:docPr id="2" name="fig_device_analysis.png" descr=""/>
            <wp:cNvGraphicFramePr>
              <a:graphicFrameLocks noChangeAspect="1"/>
            </wp:cNvGraphicFramePr>
            <a:graphic>
              <a:graphicData uri="http://schemas.openxmlformats.org/drawingml/2006/picture">
                <pic:pic>
                  <pic:nvPicPr>
                    <pic:cNvPr id="2" name="fig_device_analysis.png"/>
                    <pic:cNvPicPr/>
                  </pic:nvPicPr>
                  <pic:blipFill>
                    <a:blip r:embed="R3cf11702ed774083" cstate="print"/>
                    <a:stretch>
                      <a:fillRect/>
                    </a:stretch>
                  </pic:blipFill>
                  <pic:spPr>
                    <a:xfrm>
                      <a:off x="0" y="0"/>
                      <a:ext cx="5040000" cy="1929375"/>
                    </a:xfrm>
                    <a:prstGeom prst="rect">
                      <a:avLst/>
                    </a:prstGeom>
                  </pic:spPr>
                </pic:pic>
              </a:graphicData>
            </a:graphic>
          </wp:inline>
        </w:drawing>
      </w:r>
    </w:p>
    <w:p w14:paraId="00100212" w14:textId="00100213">
      <w:pPr>
        <w:pStyle w:val="Normal"/>
        <w:spacing w:after="200"/>
        <w:jc w:val="center"/>
      </w:pPr>
      <w:r>
        <w:rPr>
          <w:color w:val="57606A"/>
          <w:sz w:val="20"/>
        </w:rPr>
        <w:t xml:space="preserve">Figure 2: Device Type Analysis — Session volume and purchase rate by device</w:t>
      </w:r>
    </w:p>
    <w:p w14:paraId="001000C4" w14:textId="001000C5">
      <w:pPr>
        <w:pStyle w:val="Heading2"/>
        <w:spacing w:before="200" w:after="120"/>
      </w:pPr>
      <w:r>
        <w:rPr>
          <w:b/>
          <w:sz w:val="28"/>
        </w:rPr>
        <w:t xml:space="preserve">5.3 Marketing Channel Effectiveness</w:t>
      </w:r>
    </w:p>
    <w:p w14:paraId="001000C6" w14:textId="001000C7">
      <w:pPr>
        <w:pStyle w:val="Normal"/>
        <w:spacing w:after="160"/>
      </w:pPr>
      <w:r>
        <w:rPr>
          <w:sz w:val="22"/>
        </w:rPr>
        <w:t xml:space="preserve">Email and Referral channels deliver the highest purchase conversion rates among all marketing channels, outperforming Paid Search and Organic in purchase intent. Direct traffic also performs competitively, suggesting strong brand recall. Paid channels, while generating high session volumes, underperform in conversion efficiency — indicating a potential misalignment between ad targeting and buyer intent.</w:t>
      </w:r>
    </w:p>
    <w:p w14:paraId="001001FC" w14:textId="001001FD">
      <w:pPr>
        <w:spacing w:line="240" w:lineRule="auto"/>
      </w:pPr>
      <w:r>
        <w:rPr/>
        <w:drawing>
          <wp:inline distT="0" distB="0" distL="0" distR="0">
            <wp:extent cx="5040000" cy="1793898"/>
            <wp:effectExtent l="0" t="0" r="0" b="0"/>
            <wp:docPr id="3" name="fig_channel_analysis.png" descr=""/>
            <wp:cNvGraphicFramePr>
              <a:graphicFrameLocks noChangeAspect="1"/>
            </wp:cNvGraphicFramePr>
            <a:graphic>
              <a:graphicData uri="http://schemas.openxmlformats.org/drawingml/2006/picture">
                <pic:pic>
                  <pic:nvPicPr>
                    <pic:cNvPr id="3" name="fig_channel_analysis.png"/>
                    <pic:cNvPicPr/>
                  </pic:nvPicPr>
                  <pic:blipFill>
                    <a:blip r:embed="Rd70764cbc318492a" cstate="print"/>
                    <a:stretch>
                      <a:fillRect/>
                    </a:stretch>
                  </pic:blipFill>
                  <pic:spPr>
                    <a:xfrm>
                      <a:off x="0" y="0"/>
                      <a:ext cx="5040000" cy="1793898"/>
                    </a:xfrm>
                    <a:prstGeom prst="rect">
                      <a:avLst/>
                    </a:prstGeom>
                  </pic:spPr>
                </pic:pic>
              </a:graphicData>
            </a:graphic>
          </wp:inline>
        </w:drawing>
      </w:r>
    </w:p>
    <w:p w14:paraId="00100214" w14:textId="00100215">
      <w:pPr>
        <w:pStyle w:val="Normal"/>
        <w:spacing w:after="200"/>
        <w:jc w:val="center"/>
      </w:pPr>
      <w:r>
        <w:rPr>
          <w:color w:val="57606A"/>
          <w:sz w:val="20"/>
        </w:rPr>
        <w:t xml:space="preserve">Figure 3: Marketing Channel Effectiveness — Session volume and conversion rate by channel</w:t>
      </w:r>
    </w:p>
    <w:p w14:paraId="001000C8" w14:textId="001000C9">
      <w:pPr>
        <w:pStyle w:val="Heading2"/>
        <w:spacing w:before="200" w:after="120"/>
      </w:pPr>
      <w:r>
        <w:rPr>
          <w:b/>
          <w:sz w:val="28"/>
        </w:rPr>
        <w:t xml:space="preserve">5.4 Product Category Performance</w:t>
      </w:r>
    </w:p>
    <w:p w14:paraId="001000CA" w14:textId="001000CB">
      <w:pPr>
        <w:pStyle w:val="Normal"/>
        <w:spacing w:after="160"/>
      </w:pPr>
      <w:r>
        <w:rPr>
          <w:sz w:val="22"/>
        </w:rPr>
        <w:t xml:space="preserve">Electronics leads all product categories in total revenue generated from purchased sessions, driven by its higher unit prices. Sports and Home &amp; Living categories show competitive purchase rates. Books and Toys exhibit lower average transaction values but maintain solid session volumes. Beauty products demonstrate strong repeat-purchase potential based on rating patterns.</w:t>
      </w:r>
    </w:p>
    <w:p w14:paraId="001001FE" w14:textId="001001FF">
      <w:pPr>
        <w:spacing w:line="240" w:lineRule="auto"/>
      </w:pPr>
      <w:r>
        <w:rPr/>
        <w:drawing>
          <wp:inline distT="0" distB="0" distL="0" distR="0">
            <wp:extent cx="5040000" cy="1668648"/>
            <wp:effectExtent l="0" t="0" r="0" b="0"/>
            <wp:docPr id="4" name="fig_category_analysis.png" descr=""/>
            <wp:cNvGraphicFramePr>
              <a:graphicFrameLocks noChangeAspect="1"/>
            </wp:cNvGraphicFramePr>
            <a:graphic>
              <a:graphicData uri="http://schemas.openxmlformats.org/drawingml/2006/picture">
                <pic:pic>
                  <pic:nvPicPr>
                    <pic:cNvPr id="4" name="fig_category_analysis.png"/>
                    <pic:cNvPicPr/>
                  </pic:nvPicPr>
                  <pic:blipFill>
                    <a:blip r:embed="R3c8c70fe14d145fc" cstate="print"/>
                    <a:stretch>
                      <a:fillRect/>
                    </a:stretch>
                  </pic:blipFill>
                  <pic:spPr>
                    <a:xfrm>
                      <a:off x="0" y="0"/>
                      <a:ext cx="5040000" cy="1668648"/>
                    </a:xfrm>
                    <a:prstGeom prst="rect">
                      <a:avLst/>
                    </a:prstGeom>
                  </pic:spPr>
                </pic:pic>
              </a:graphicData>
            </a:graphic>
          </wp:inline>
        </w:drawing>
      </w:r>
    </w:p>
    <w:p w14:paraId="00100216" w14:textId="00100217">
      <w:pPr>
        <w:pStyle w:val="Normal"/>
        <w:spacing w:after="200"/>
        <w:jc w:val="center"/>
      </w:pPr>
      <w:r>
        <w:rPr>
          <w:color w:val="57606A"/>
          <w:sz w:val="20"/>
        </w:rPr>
        <w:t xml:space="preserve">Figure 4: Product Category — Revenue and purchase rate by category</w:t>
      </w:r>
    </w:p>
    <w:p w14:paraId="001000CC" w14:textId="001000CD">
      <w:pPr>
        <w:pStyle w:val="Heading2"/>
        <w:spacing w:before="200" w:after="120"/>
      </w:pPr>
      <w:r>
        <w:rPr>
          <w:b/>
          <w:sz w:val="28"/>
        </w:rPr>
        <w:t xml:space="preserve">5.5 Session Behavior</w:t>
      </w:r>
    </w:p>
    <w:p w14:paraId="001000CE" w14:textId="001000CF">
      <w:pPr>
        <w:pStyle w:val="Normal"/>
        <w:spacing w:after="160"/>
      </w:pPr>
      <w:r>
        <w:rPr>
          <w:sz w:val="22"/>
        </w:rPr>
        <w:t xml:space="preserve">Customers who complete a purchase exhibit noticeably different browsing patterns compared to non-purchasers. Purchasers tend to view more pages and spend more time on the site. The engagement score (pages_viewed × time_on_site_min / 100) emerges as a strong proxy for purchase intent. Sessions with 'Very Long' duration bucket show the highest purchase rates.</w:t>
      </w:r>
    </w:p>
    <w:p w14:paraId="00100200" w14:textId="00100201">
      <w:pPr>
        <w:spacing w:line="240" w:lineRule="auto"/>
      </w:pPr>
      <w:r>
        <w:rPr/>
        <w:drawing>
          <wp:inline distT="0" distB="0" distL="0" distR="0">
            <wp:extent cx="5040000" cy="1789565"/>
            <wp:effectExtent l="0" t="0" r="0" b="0"/>
            <wp:docPr id="5" name="fig_session_behavior.png" descr=""/>
            <wp:cNvGraphicFramePr>
              <a:graphicFrameLocks noChangeAspect="1"/>
            </wp:cNvGraphicFramePr>
            <a:graphic>
              <a:graphicData uri="http://schemas.openxmlformats.org/drawingml/2006/picture">
                <pic:pic>
                  <pic:nvPicPr>
                    <pic:cNvPr id="5" name="fig_session_behavior.png"/>
                    <pic:cNvPicPr/>
                  </pic:nvPicPr>
                  <pic:blipFill>
                    <a:blip r:embed="R7f40d3399702499e" cstate="print"/>
                    <a:stretch>
                      <a:fillRect/>
                    </a:stretch>
                  </pic:blipFill>
                  <pic:spPr>
                    <a:xfrm>
                      <a:off x="0" y="0"/>
                      <a:ext cx="5040000" cy="1789565"/>
                    </a:xfrm>
                    <a:prstGeom prst="rect">
                      <a:avLst/>
                    </a:prstGeom>
                  </pic:spPr>
                </pic:pic>
              </a:graphicData>
            </a:graphic>
          </wp:inline>
        </w:drawing>
      </w:r>
    </w:p>
    <w:p w14:paraId="00100218" w14:textId="00100219">
      <w:pPr>
        <w:pStyle w:val="Normal"/>
        <w:spacing w:after="200"/>
        <w:jc w:val="center"/>
      </w:pPr>
      <w:r>
        <w:rPr>
          <w:color w:val="57606A"/>
          <w:sz w:val="20"/>
        </w:rPr>
        <w:t xml:space="preserve">Figure 5: Session Behavior — Pages viewed and time on site for purchasers vs non-purchasers</w:t>
      </w:r>
    </w:p>
    <w:p w14:paraId="001000D0" w14:textId="001000D1">
      <w:pPr>
        <w:pStyle w:val="Heading2"/>
        <w:spacing w:before="200" w:after="120"/>
      </w:pPr>
      <w:r>
        <w:rPr>
          <w:b/>
          <w:sz w:val="28"/>
        </w:rPr>
        <w:t xml:space="preserve">5.6 Discount Impact</w:t>
      </w:r>
    </w:p>
    <w:p w14:paraId="001000D2" w14:textId="001000D3">
      <w:pPr>
        <w:pStyle w:val="Normal"/>
        <w:spacing w:after="160"/>
      </w:pPr>
      <w:r>
        <w:rPr>
          <w:sz w:val="22"/>
        </w:rPr>
        <w:t xml:space="preserve">Discounts have a measurable positive effect on purchase conversion. Sessions with discounts above 20% show notably higher conversion rates compared to sessions with no discount. However, the relationship is not strictly linear — moderate discounts (10–20%) also improve conversion rates meaningfully, suggesting that even small incentives can trigger purchase decisions without the margin cost of deep discounts.</w:t>
      </w:r>
    </w:p>
    <w:p w14:paraId="00100202" w14:textId="00100203">
      <w:pPr>
        <w:spacing w:line="240" w:lineRule="auto"/>
      </w:pPr>
      <w:r>
        <w:rPr/>
        <w:drawing>
          <wp:inline distT="0" distB="0" distL="0" distR="0">
            <wp:extent cx="5040000" cy="1789565"/>
            <wp:effectExtent l="0" t="0" r="0" b="0"/>
            <wp:docPr id="6" name="fig_discount_impact.png" descr=""/>
            <wp:cNvGraphicFramePr>
              <a:graphicFrameLocks noChangeAspect="1"/>
            </wp:cNvGraphicFramePr>
            <a:graphic>
              <a:graphicData uri="http://schemas.openxmlformats.org/drawingml/2006/picture">
                <pic:pic>
                  <pic:nvPicPr>
                    <pic:cNvPr id="6" name="fig_discount_impact.png"/>
                    <pic:cNvPicPr/>
                  </pic:nvPicPr>
                  <pic:blipFill>
                    <a:blip r:embed="R7319402bbc2c4a2c" cstate="print"/>
                    <a:stretch>
                      <a:fillRect/>
                    </a:stretch>
                  </pic:blipFill>
                  <pic:spPr>
                    <a:xfrm>
                      <a:off x="0" y="0"/>
                      <a:ext cx="5040000" cy="1789565"/>
                    </a:xfrm>
                    <a:prstGeom prst="rect">
                      <a:avLst/>
                    </a:prstGeom>
                  </pic:spPr>
                </pic:pic>
              </a:graphicData>
            </a:graphic>
          </wp:inline>
        </w:drawing>
      </w:r>
    </w:p>
    <w:p w14:paraId="0010021A" w14:textId="0010021B">
      <w:pPr>
        <w:pStyle w:val="Normal"/>
        <w:spacing w:after="200"/>
        <w:jc w:val="center"/>
      </w:pPr>
      <w:r>
        <w:rPr>
          <w:color w:val="57606A"/>
          <w:sz w:val="20"/>
        </w:rPr>
        <w:t xml:space="preserve">Figure 6: Discount Impact — How discounts influence purchase probability</w:t>
      </w:r>
    </w:p>
    <w:p w14:paraId="001000D4" w14:textId="001000D5">
      <w:pPr>
        <w:pStyle w:val="Heading2"/>
        <w:spacing w:before="200" w:after="120"/>
      </w:pPr>
      <w:r>
        <w:rPr>
          <w:b/>
          <w:sz w:val="28"/>
        </w:rPr>
        <w:t xml:space="preserve">5.7 Temporal Trends</w:t>
      </w:r>
    </w:p>
    <w:p w14:paraId="001000D6" w14:textId="001000D7">
      <w:pPr>
        <w:pStyle w:val="Normal"/>
        <w:spacing w:after="280"/>
      </w:pPr>
      <w:r>
        <w:rPr>
          <w:sz w:val="22"/>
        </w:rPr>
        <w:t xml:space="preserve">Monthly revenue and session volume data reveal clear seasonal patterns across 2024. Q4 (October–December) shows elevated session volumes and revenue, consistent with the global holiday shopping season. Q1 and Q3 show relatively stable activity with moderate peaks in March (spring pre-season) and July (summer promotions). Weekday analysis shows fairly consistent purchase rates throughout the week, with slight peaks on mid-week days (Wednesday–Thursday).</w:t>
      </w:r>
    </w:p>
    <w:p w14:paraId="00100204" w14:textId="00100205">
      <w:pPr>
        <w:spacing w:line="240" w:lineRule="auto"/>
      </w:pPr>
      <w:r>
        <w:rPr/>
        <w:drawing>
          <wp:inline distT="0" distB="0" distL="0" distR="0">
            <wp:extent cx="5040000" cy="3219999"/>
            <wp:effectExtent l="0" t="0" r="0" b="0"/>
            <wp:docPr id="7" name="fig_temporal_trends.png" descr=""/>
            <wp:cNvGraphicFramePr>
              <a:graphicFrameLocks noChangeAspect="1"/>
            </wp:cNvGraphicFramePr>
            <a:graphic>
              <a:graphicData uri="http://schemas.openxmlformats.org/drawingml/2006/picture">
                <pic:pic>
                  <pic:nvPicPr>
                    <pic:cNvPr id="7" name="fig_temporal_trends.png"/>
                    <pic:cNvPicPr/>
                  </pic:nvPicPr>
                  <pic:blipFill>
                    <a:blip r:embed="Rdc98518dad4648bf" cstate="print"/>
                    <a:stretch>
                      <a:fillRect/>
                    </a:stretch>
                  </pic:blipFill>
                  <pic:spPr>
                    <a:xfrm>
                      <a:off x="0" y="0"/>
                      <a:ext cx="5040000" cy="3219999"/>
                    </a:xfrm>
                    <a:prstGeom prst="rect">
                      <a:avLst/>
                    </a:prstGeom>
                  </pic:spPr>
                </pic:pic>
              </a:graphicData>
            </a:graphic>
          </wp:inline>
        </w:drawing>
      </w:r>
    </w:p>
    <w:p w14:paraId="0010021C" w14:textId="0010021D">
      <w:pPr>
        <w:pStyle w:val="Normal"/>
        <w:spacing w:after="200"/>
        <w:jc w:val="center"/>
      </w:pPr>
      <w:r>
        <w:rPr>
          <w:color w:val="57606A"/>
          <w:sz w:val="20"/>
        </w:rPr>
        <w:t xml:space="preserve">Figure 7: Temporal Trends — Monthly revenue and session volume across 2024</w:t>
      </w:r>
    </w:p>
    <w:p w14:paraId="001000D8" w14:textId="001000D9">
      <w:pPr>
        <w:pStyle w:val="Heading1"/>
        <w:spacing w:before="280" w:after="160"/>
      </w:pPr>
      <w:r>
        <w:rPr>
          <w:b/>
          <w:sz w:val="36"/>
        </w:rPr>
        <w:t xml:space="preserve">6. Customer Segmentation</w:t>
      </w:r>
    </w:p>
    <w:p w14:paraId="001000DA" w14:textId="001000DB">
      <w:pPr>
        <w:pStyle w:val="Normal"/>
        <w:spacing w:after="160"/>
      </w:pPr>
      <w:r>
        <w:rPr>
          <w:sz w:val="22"/>
        </w:rPr>
        <w:t xml:space="preserve">K-Means clustering was applied to aggregate customer-level features to identify distinct behavioral segments. Customer-level features were computed by aggregating session data per customer_id, yielding attributes such as total sessions, total purchases, total revenue, average pages viewed, average time on site, average discount received, cart add count, and conversion rate.</w:t>
      </w:r>
    </w:p>
    <w:p w14:paraId="001000DC" w14:textId="001000DD">
      <w:pPr>
        <w:pStyle w:val="Heading2"/>
        <w:spacing w:before="200" w:after="120"/>
      </w:pPr>
      <w:r>
        <w:rPr>
          <w:b/>
          <w:sz w:val="28"/>
        </w:rPr>
        <w:t xml:space="preserve">6.1 Optimal Cluster Selection</w:t>
      </w:r>
    </w:p>
    <w:p w14:paraId="001000DE" w14:textId="001000DF">
      <w:pPr>
        <w:pStyle w:val="Normal"/>
        <w:spacing w:after="160"/>
      </w:pPr>
      <w:r>
        <w:rPr>
          <w:sz w:val="22"/>
        </w:rPr>
        <w:t xml:space="preserve">The Elbow Method was applied to evaluate inertia across k = 2 to 8 clusters. The inertia curve shows a clear elbow at k = 4, indicating that four clusters provide an optimal balance between model complexity and within-cluster cohesion. All features were standardized using StandardScaler prior to clustering to ensure equal feature weighting.</w:t>
      </w:r>
    </w:p>
    <w:p w14:paraId="00100206" w14:textId="00100207">
      <w:pPr>
        <w:spacing w:line="240" w:lineRule="auto"/>
      </w:pPr>
      <w:r>
        <w:rPr/>
        <w:drawing>
          <wp:inline distT="0" distB="0" distL="0" distR="0">
            <wp:extent cx="4320000" cy="2104615"/>
            <wp:effectExtent l="0" t="0" r="0" b="0"/>
            <wp:docPr id="8" name="fig_elbow.png" descr=""/>
            <wp:cNvGraphicFramePr>
              <a:graphicFrameLocks noChangeAspect="1"/>
            </wp:cNvGraphicFramePr>
            <a:graphic>
              <a:graphicData uri="http://schemas.openxmlformats.org/drawingml/2006/picture">
                <pic:pic>
                  <pic:nvPicPr>
                    <pic:cNvPr id="8" name="fig_elbow.png"/>
                    <pic:cNvPicPr/>
                  </pic:nvPicPr>
                  <pic:blipFill>
                    <a:blip r:embed="R919d6f9ca03c4072" cstate="print"/>
                    <a:stretch>
                      <a:fillRect/>
                    </a:stretch>
                  </pic:blipFill>
                  <pic:spPr>
                    <a:xfrm>
                      <a:off x="0" y="0"/>
                      <a:ext cx="4320000" cy="2104615"/>
                    </a:xfrm>
                    <a:prstGeom prst="rect">
                      <a:avLst/>
                    </a:prstGeom>
                  </pic:spPr>
                </pic:pic>
              </a:graphicData>
            </a:graphic>
          </wp:inline>
        </w:drawing>
      </w:r>
    </w:p>
    <w:p w14:paraId="0010021E" w14:textId="0010021F">
      <w:pPr>
        <w:pStyle w:val="Normal"/>
        <w:spacing w:after="200"/>
        <w:jc w:val="center"/>
      </w:pPr>
      <w:r>
        <w:rPr>
          <w:color w:val="57606A"/>
          <w:sz w:val="20"/>
        </w:rPr>
        <w:t xml:space="preserve">Figure 8: Elbow Method — Optimal number of clusters (k=4)</w:t>
      </w:r>
    </w:p>
    <w:p w14:paraId="001000E0" w14:textId="001000E1">
      <w:pPr>
        <w:pStyle w:val="Heading2"/>
        <w:spacing w:before="200" w:after="120"/>
      </w:pPr>
      <w:r>
        <w:rPr>
          <w:b/>
          <w:sz w:val="28"/>
        </w:rPr>
        <w:t xml:space="preserve">6.2 Cluster Profiles</w:t>
      </w:r>
    </w:p>
    <w:p w14:paraId="001000E2" w14:textId="001000E3">
      <w:pPr>
        <w:pStyle w:val="Normal"/>
        <w:spacing w:after="160"/>
      </w:pPr>
      <w:r>
        <w:rPr>
          <w:sz w:val="22"/>
        </w:rPr>
        <w:t xml:space="preserve">PCA (Principal Component Analysis) was used to reduce the 6-dimensional cluster feature space to 2 dimensions for visualization. The PCA projection confirms well-separated clusters. The four customer segments identified are described below:</w:t>
      </w:r>
    </w:p>
    <w:p w14:paraId="00100208" w14:textId="00100209">
      <w:pPr>
        <w:spacing w:line="240" w:lineRule="auto"/>
      </w:pPr>
      <w:r>
        <w:rPr/>
        <w:drawing>
          <wp:inline distT="0" distB="0" distL="0" distR="0">
            <wp:extent cx="5040000" cy="2982857"/>
            <wp:effectExtent l="0" t="0" r="0" b="0"/>
            <wp:docPr id="9" name="fig_clusters_pca.png" descr=""/>
            <wp:cNvGraphicFramePr>
              <a:graphicFrameLocks noChangeAspect="1"/>
            </wp:cNvGraphicFramePr>
            <a:graphic>
              <a:graphicData uri="http://schemas.openxmlformats.org/drawingml/2006/picture">
                <pic:pic>
                  <pic:nvPicPr>
                    <pic:cNvPr id="9" name="fig_clusters_pca.png"/>
                    <pic:cNvPicPr/>
                  </pic:nvPicPr>
                  <pic:blipFill>
                    <a:blip r:embed="R30f415fccfaf4264" cstate="print"/>
                    <a:stretch>
                      <a:fillRect/>
                    </a:stretch>
                  </pic:blipFill>
                  <pic:spPr>
                    <a:xfrm>
                      <a:off x="0" y="0"/>
                      <a:ext cx="5040000" cy="2982857"/>
                    </a:xfrm>
                    <a:prstGeom prst="rect">
                      <a:avLst/>
                    </a:prstGeom>
                  </pic:spPr>
                </pic:pic>
              </a:graphicData>
            </a:graphic>
          </wp:inline>
        </w:drawing>
      </w:r>
    </w:p>
    <w:p w14:paraId="00100220" w14:textId="00100221">
      <w:pPr>
        <w:pStyle w:val="Normal"/>
        <w:spacing w:after="200"/>
        <w:jc w:val="center"/>
      </w:pPr>
      <w:r>
        <w:rPr>
          <w:color w:val="57606A"/>
          <w:sz w:val="20"/>
        </w:rPr>
        <w:t xml:space="preserve">Figure 9: Customer Segments — PCA 2D Projection of 4 K-Means clusters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4" w14:textId="001000E5">
            <w:r>
              <w:t xml:space="preserve">Segment</w:t>
            </w:r>
          </w:p>
        </w:tc>
        <w:tc>
          <w:p w14:paraId="001000E6" w14:textId="001000E7">
            <w:r>
              <w:t xml:space="preserve">Description</w:t>
            </w:r>
          </w:p>
        </w:tc>
        <w:tc>
          <w:p w14:paraId="001000E8" w14:textId="001000E9">
            <w:r>
              <w:t xml:space="preserve">Characteristics</w:t>
            </w:r>
          </w:p>
        </w:tc>
        <w:tc>
          <w:p w14:paraId="001000EA" w14:textId="001000EB">
            <w:r>
              <w:t xml:space="preserve">Strategy</w:t>
            </w:r>
          </w:p>
        </w:tc>
      </w:tr>
      <w:tr>
        <w:trPr/>
        <w:tc>
          <w:p w14:paraId="001000EC" w14:textId="001000ED">
            <w:r>
              <w:t xml:space="preserve">High-Value Buyers</w:t>
            </w:r>
          </w:p>
        </w:tc>
        <w:tc>
          <w:p w14:paraId="001000EE" w14:textId="001000EF">
            <w:r>
              <w:t xml:space="preserve">Top revenue generators with frequent purchases</w:t>
            </w:r>
          </w:p>
        </w:tc>
        <w:tc>
          <w:p w14:paraId="001000F0" w14:textId="001000F1">
            <w:r>
              <w:t xml:space="preserve">High revenue, high conversion rate, high engagement</w:t>
            </w:r>
          </w:p>
        </w:tc>
        <w:tc>
          <w:p w14:paraId="001000F2" w14:textId="001000F3">
            <w:r>
              <w:t xml:space="preserve">VIP programs, early access, loyalty rewards</w:t>
            </w:r>
          </w:p>
        </w:tc>
      </w:tr>
      <w:tr>
        <w:trPr/>
        <w:tc>
          <w:p w14:paraId="001000F4" w14:textId="001000F5">
            <w:r>
              <w:t xml:space="preserve">Engaged Browsers</w:t>
            </w:r>
          </w:p>
        </w:tc>
        <w:tc>
          <w:p w14:paraId="001000F6" w14:textId="001000F7">
            <w:r>
              <w:t xml:space="preserve">High engagement but moderate conversion</w:t>
            </w:r>
          </w:p>
        </w:tc>
        <w:tc>
          <w:p w14:paraId="001000F8" w14:textId="001000F9">
            <w:r>
              <w:t xml:space="preserve">Many pages viewed, long sessions, occasional purchases</w:t>
            </w:r>
          </w:p>
        </w:tc>
        <w:tc>
          <w:p w14:paraId="001000FA" w14:textId="001000FB">
            <w:r>
              <w:t xml:space="preserve">Personalized product nudges, retargeting ads</w:t>
            </w:r>
          </w:p>
        </w:tc>
      </w:tr>
      <w:tr>
        <w:trPr/>
        <w:tc>
          <w:p w14:paraId="001000FC" w14:textId="001000FD">
            <w:r>
              <w:t xml:space="preserve">Casual Visitors</w:t>
            </w:r>
          </w:p>
        </w:tc>
        <w:tc>
          <w:p w14:paraId="001000FE" w14:textId="001000FF">
            <w:r>
              <w:t xml:space="preserve">Infrequent visitors, low intent</w:t>
            </w:r>
          </w:p>
        </w:tc>
        <w:tc>
          <w:p w14:paraId="00100100" w14:textId="00100101">
            <w:r>
              <w:t xml:space="preserve">Few sessions, low time on site, low conversion</w:t>
            </w:r>
          </w:p>
        </w:tc>
        <w:tc>
          <w:p w14:paraId="00100102" w14:textId="00100103">
            <w:r>
              <w:t xml:space="preserve">Awareness campaigns, seasonal promotions</w:t>
            </w:r>
          </w:p>
        </w:tc>
      </w:tr>
      <w:tr>
        <w:trPr/>
        <w:tc>
          <w:p w14:paraId="00100104" w14:textId="00100105">
            <w:r>
              <w:t xml:space="preserve">At-Risk Churners</w:t>
            </w:r>
          </w:p>
        </w:tc>
        <w:tc>
          <w:p w14:paraId="00100106" w14:textId="00100107">
            <w:r>
              <w:t xml:space="preserve">Previously active, declining engagement</w:t>
            </w:r>
          </w:p>
        </w:tc>
        <w:tc>
          <w:p w14:paraId="00100108" w14:textId="00100109">
            <w:r>
              <w:t xml:space="preserve">Decreasing session frequency, low recent revenue</w:t>
            </w:r>
          </w:p>
        </w:tc>
        <w:tc>
          <w:p w14:paraId="0010010A" w14:textId="0010010B">
            <w:r>
              <w:t xml:space="preserve">Win-back emails, targeted discounts, surveys</w:t>
            </w:r>
          </w:p>
        </w:tc>
      </w:tr>
    </w:tbl>
    <w:p w14:paraId="0010010C" w14:textId="0010010D">
      <w:pPr>
        <w:pStyle w:val="Normal"/>
        <w:spacing w:after="280"/>
        <w:jc w:val="center"/>
      </w:pPr>
      <w:r>
        <w:rPr>
          <w:color w:val="57606A"/>
          <w:sz w:val="20"/>
        </w:rPr>
        <w:t xml:space="preserve">Table 3: Customer Segment Profiles</w:t>
      </w:r>
    </w:p>
    <w:p w14:paraId="0010010E" w14:textId="0010010F">
      <w:pPr>
        <w:pStyle w:val="Heading1"/>
        <w:spacing w:before="280" w:after="160"/>
      </w:pPr>
      <w:r>
        <w:rPr>
          <w:b/>
          <w:sz w:val="36"/>
        </w:rPr>
        <w:t xml:space="preserve">7. Predictive Modeling (AI)</w:t>
      </w:r>
    </w:p>
    <w:p w14:paraId="00100110" w14:textId="00100111">
      <w:pPr>
        <w:pStyle w:val="Heading2"/>
        <w:spacing w:before="200" w:after="120"/>
      </w:pPr>
      <w:r>
        <w:rPr>
          <w:b/>
          <w:sz w:val="28"/>
        </w:rPr>
        <w:t xml:space="preserve">7.1 Feature Selection</w:t>
      </w:r>
    </w:p>
    <w:p w14:paraId="00100112" w14:textId="00100113">
      <w:pPr>
        <w:pStyle w:val="Normal"/>
        <w:spacing w:after="160"/>
      </w:pPr>
      <w:r>
        <w:rPr>
          <w:sz w:val="22"/>
        </w:rPr>
        <w:t xml:space="preserve">Eighteen features were selected for model training based on domain knowledge and correlation analysis: device_type, user_type, marketing_channel, product_category, unit_price, quantity, discount_percent, pages_viewed, time_on_site_min, added_to_cart, rating, has_discount (engineered), is_weekend (engineered), engagement_score (engineered), effective_price (engineered), visit_month, visit_season, and visit_weekday. The target variable is purchased (binary: 0 or 1).</w:t>
      </w:r>
    </w:p>
    <w:p w14:paraId="00100114" w14:textId="00100115">
      <w:pPr>
        <w:pStyle w:val="Heading2"/>
        <w:spacing w:before="200" w:after="120"/>
      </w:pPr>
      <w:r>
        <w:rPr>
          <w:b/>
          <w:sz w:val="28"/>
        </w:rPr>
        <w:t xml:space="preserve">7.2 Train-Test Split</w:t>
      </w:r>
    </w:p>
    <w:p w14:paraId="00100116" w14:textId="00100117">
      <w:pPr>
        <w:pStyle w:val="Normal"/>
        <w:spacing w:after="160"/>
      </w:pPr>
      <w:r>
        <w:rPr>
          <w:sz w:val="22"/>
        </w:rPr>
        <w:t xml:space="preserve">The dataset was split into 80% training (20,000 sessions) and 20% test (5,000 sessions) sets using stratified sampling to preserve the class distribution. This ensures the minority class (purchased = 1) is adequately represented in both splits.</w:t>
      </w:r>
    </w:p>
    <w:p w14:paraId="00100118" w14:textId="00100119">
      <w:pPr>
        <w:pStyle w:val="Heading2"/>
        <w:spacing w:before="200" w:after="120"/>
      </w:pPr>
      <w:r>
        <w:rPr>
          <w:b/>
          <w:sz w:val="28"/>
        </w:rPr>
        <w:t xml:space="preserve">7.3 Models Trained</w:t>
      </w:r>
    </w:p>
    <w:p w14:paraId="0010011A" w14:textId="0010011B">
      <w:pPr>
        <w:pStyle w:val="Normal"/>
        <w:spacing w:after="120"/>
      </w:pPr>
      <w:r>
        <w:rPr>
          <w:sz w:val="22"/>
        </w:rPr>
        <w:t xml:space="preserve">Three classification algorithms were trained and evaluated:</w:t>
      </w:r>
    </w:p>
    <w:p w14:paraId="0010011C" w14:textId="0010011D">
      <w:pPr>
        <w:pStyle w:val="Normal"/>
        <w:numPr>
          <w:ilvl w:val="0"/>
          <w:numId w:val="2"/>
        </w:numPr>
        <w:spacing w:after="80"/>
      </w:pPr>
      <w:r>
        <w:rPr>
          <w:sz w:val="22"/>
        </w:rPr>
        <w:t xml:space="preserve">Logistic Regression: A linear baseline model with L2 regularization (max_iter=500). Provides interpretable coefficients and fast training.</w:t>
      </w:r>
    </w:p>
    <w:p w14:paraId="0010011E" w14:textId="0010011F">
      <w:pPr>
        <w:pStyle w:val="Normal"/>
        <w:numPr>
          <w:ilvl w:val="0"/>
          <w:numId w:val="2"/>
        </w:numPr>
        <w:spacing w:after="80"/>
      </w:pPr>
      <w:r>
        <w:rPr>
          <w:sz w:val="22"/>
        </w:rPr>
        <w:t xml:space="preserve">Random Forest: An ensemble of 100 decision trees with bootstrap sampling. Robust to overfitting, provides feature importance scores.</w:t>
      </w:r>
    </w:p>
    <w:p w14:paraId="00100120" w14:textId="00100121">
      <w:pPr>
        <w:pStyle w:val="Normal"/>
        <w:numPr>
          <w:ilvl w:val="0"/>
          <w:numId w:val="2"/>
        </w:numPr>
        <w:spacing w:after="160"/>
      </w:pPr>
      <w:r>
        <w:rPr>
          <w:sz w:val="22"/>
        </w:rPr>
        <w:t xml:space="preserve">Gradient Boosting: A sequential ensemble of 100 weak learners. Typically achieves the best accuracy by minimizing residual errors iteratively.</w:t>
      </w:r>
    </w:p>
    <w:p w14:paraId="00100122" w14:textId="00100123">
      <w:pPr>
        <w:pStyle w:val="Heading2"/>
        <w:spacing w:before="200" w:after="120"/>
      </w:pPr>
      <w:r>
        <w:rPr>
          <w:b/>
          <w:sz w:val="28"/>
        </w:rPr>
        <w:t xml:space="preserve">7.4 Model Evaluation Results</w:t>
      </w:r>
    </w:p>
    <w:p w14:paraId="00100124" w14:textId="00100125">
      <w:pPr>
        <w:pStyle w:val="Normal"/>
        <w:spacing w:after="160"/>
      </w:pPr>
      <w:r>
        <w:rPr>
          <w:sz w:val="22"/>
        </w:rPr>
        <w:t xml:space="preserve">All three models were evaluated using Accuracy, F1-Score, ROC-AUC, and 5-Fold Cross-Validation AUC. The ROC-AUC metric was selected as the primary evaluation criterion due to the class imbalance in the target variable (~13% positive class).</w:t>
      </w:r>
    </w:p>
    <w:p w14:paraId="0010020A" w14:textId="0010020B">
      <w:pPr>
        <w:spacing w:line="240" w:lineRule="auto"/>
      </w:pPr>
      <w:r>
        <w:rPr/>
        <w:drawing>
          <wp:inline distT="0" distB="0" distL="0" distR="0">
            <wp:extent cx="5040000" cy="2247438"/>
            <wp:effectExtent l="0" t="0" r="0" b="0"/>
            <wp:docPr id="10" name="fig_model_evaluation.png" descr=""/>
            <wp:cNvGraphicFramePr>
              <a:graphicFrameLocks noChangeAspect="1"/>
            </wp:cNvGraphicFramePr>
            <a:graphic>
              <a:graphicData uri="http://schemas.openxmlformats.org/drawingml/2006/picture">
                <pic:pic>
                  <pic:nvPicPr>
                    <pic:cNvPr id="10" name="fig_model_evaluation.png"/>
                    <pic:cNvPicPr/>
                  </pic:nvPicPr>
                  <pic:blipFill>
                    <a:blip r:embed="Rdd1d6afb49264e4e" cstate="print"/>
                    <a:stretch>
                      <a:fillRect/>
                    </a:stretch>
                  </pic:blipFill>
                  <pic:spPr>
                    <a:xfrm>
                      <a:off x="0" y="0"/>
                      <a:ext cx="5040000" cy="2247438"/>
                    </a:xfrm>
                    <a:prstGeom prst="rect">
                      <a:avLst/>
                    </a:prstGeom>
                  </pic:spPr>
                </pic:pic>
              </a:graphicData>
            </a:graphic>
          </wp:inline>
        </w:drawing>
      </w:r>
    </w:p>
    <w:p w14:paraId="00100222" w14:textId="00100223">
      <w:pPr>
        <w:pStyle w:val="Normal"/>
        <w:spacing w:after="200"/>
        <w:jc w:val="center"/>
      </w:pPr>
      <w:r>
        <w:rPr>
          <w:color w:val="57606A"/>
          <w:sz w:val="20"/>
        </w:rPr>
        <w:t xml:space="preserve">Figure 10: Model Evaluation — ROC curves and confusion matrix for best model</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26" w14:textId="00100127">
            <w:r>
              <w:t xml:space="preserve">Model</w:t>
            </w:r>
          </w:p>
        </w:tc>
        <w:tc>
          <w:p w14:paraId="00100128" w14:textId="00100129">
            <w:r>
              <w:t xml:space="preserve">Accuracy</w:t>
            </w:r>
          </w:p>
        </w:tc>
        <w:tc>
          <w:p w14:paraId="0010012A" w14:textId="0010012B">
            <w:r>
              <w:t xml:space="preserve">F1-Score</w:t>
            </w:r>
          </w:p>
        </w:tc>
        <w:tc>
          <w:p w14:paraId="0010012C" w14:textId="0010012D">
            <w:r>
              <w:t xml:space="preserve">ROC-AUC</w:t>
            </w:r>
          </w:p>
        </w:tc>
        <w:tc>
          <w:p w14:paraId="0010012E" w14:textId="0010012F">
            <w:r>
              <w:t xml:space="preserve">CV AUC (5-fold)</w:t>
            </w:r>
          </w:p>
        </w:tc>
      </w:tr>
      <w:tr>
        <w:trPr/>
        <w:tc>
          <w:p w14:paraId="00100130" w14:textId="00100131">
            <w:r>
              <w:t xml:space="preserve">Logistic Regression</w:t>
            </w:r>
          </w:p>
        </w:tc>
        <w:tc>
          <w:p w14:paraId="00100132" w14:textId="00100133">
            <w:r>
              <w:t xml:space="preserve">~87%</w:t>
            </w:r>
          </w:p>
        </w:tc>
        <w:tc>
          <w:p w14:paraId="00100134" w14:textId="00100135">
            <w:r>
              <w:t xml:space="preserve">~0.50</w:t>
            </w:r>
          </w:p>
        </w:tc>
        <w:tc>
          <w:p w14:paraId="00100136" w14:textId="00100137">
            <w:r>
              <w:t xml:space="preserve">~0.90</w:t>
            </w:r>
          </w:p>
        </w:tc>
        <w:tc>
          <w:p w14:paraId="00100138" w14:textId="00100139">
            <w:r>
              <w:t xml:space="preserve">~0.90</w:t>
            </w:r>
          </w:p>
        </w:tc>
      </w:tr>
      <w:tr>
        <w:trPr/>
        <w:tc>
          <w:p w14:paraId="0010013A" w14:textId="0010013B">
            <w:r>
              <w:t xml:space="preserve">Random Forest</w:t>
            </w:r>
          </w:p>
        </w:tc>
        <w:tc>
          <w:p w14:paraId="0010013C" w14:textId="0010013D">
            <w:r>
              <w:t xml:space="preserve">~99%</w:t>
            </w:r>
          </w:p>
        </w:tc>
        <w:tc>
          <w:p w14:paraId="0010013E" w14:textId="0010013F">
            <w:r>
              <w:t xml:space="preserve">~0.97</w:t>
            </w:r>
          </w:p>
        </w:tc>
        <w:tc>
          <w:p w14:paraId="00100140" w14:textId="00100141">
            <w:r>
              <w:t xml:space="preserve">~0.999</w:t>
            </w:r>
          </w:p>
        </w:tc>
        <w:tc>
          <w:p w14:paraId="00100142" w14:textId="00100143">
            <w:r>
              <w:t xml:space="preserve">~0.999</w:t>
            </w:r>
          </w:p>
        </w:tc>
      </w:tr>
      <w:tr>
        <w:trPr/>
        <w:tc>
          <w:p w14:paraId="00100144" w14:textId="00100145">
            <w:r>
              <w:t xml:space="preserve">Gradient Boosting</w:t>
            </w:r>
          </w:p>
        </w:tc>
        <w:tc>
          <w:p w14:paraId="00100146" w14:textId="00100147">
            <w:r>
              <w:t xml:space="preserve">~99%</w:t>
            </w:r>
          </w:p>
        </w:tc>
        <w:tc>
          <w:p w14:paraId="00100148" w14:textId="00100149">
            <w:r>
              <w:t xml:space="preserve">~0.97</w:t>
            </w:r>
          </w:p>
        </w:tc>
        <w:tc>
          <w:p w14:paraId="0010014A" w14:textId="0010014B">
            <w:r>
              <w:t xml:space="preserve">~0.999</w:t>
            </w:r>
          </w:p>
        </w:tc>
        <w:tc>
          <w:p w14:paraId="0010014C" w14:textId="0010014D">
            <w:r>
              <w:t xml:space="preserve">~0.999</w:t>
            </w:r>
          </w:p>
        </w:tc>
      </w:tr>
      <w:tr>
        <w:trPr/>
        <w:tc>
          <w:p w14:paraId="0010014E" w14:textId="0010014F">
            <w:r>
              <w:t xml:space="preserve">Best Model</w:t>
            </w:r>
          </w:p>
        </w:tc>
        <w:tc>
          <w:p w14:paraId="00100150" w14:textId="00100151">
            <w:r>
              <w:t xml:space="preserve">Random Forest / Gradient Boosting</w:t>
            </w:r>
          </w:p>
        </w:tc>
        <w:tc>
          <w:p w14:paraId="00100152" w14:textId="00100153">
            <w:r>
              <w:t xml:space="preserve">Primary metric: ROC-AUC</w:t>
            </w:r>
          </w:p>
        </w:tc>
        <w:tc>
          <w:p w14:paraId="00100154" w14:textId="00100155">
            <w:r>
              <w:t xml:space="preserve">Stratified 80/20 split</w:t>
            </w:r>
          </w:p>
        </w:tc>
        <w:tc>
          <w:p w14:paraId="00100156" w14:textId="00100157">
            <w:r>
              <w:t xml:space="preserve">Class-balanced evaluation</w:t>
            </w:r>
          </w:p>
        </w:tc>
      </w:tr>
    </w:tbl>
    <w:p w14:paraId="00100158" w14:textId="00100159">
      <w:pPr>
        <w:pStyle w:val="Normal"/>
        <w:spacing w:after="160"/>
        <w:jc w:val="center"/>
      </w:pPr>
      <w:r>
        <w:rPr>
          <w:color w:val="57606A"/>
          <w:sz w:val="20"/>
        </w:rPr>
        <w:t xml:space="preserve">Table 4: Model Evaluation Comparison</w:t>
      </w:r>
    </w:p>
    <w:p w14:paraId="0010015A" w14:textId="0010015B">
      <w:pPr>
        <w:pStyle w:val="Normal"/>
        <w:spacing w:after="160"/>
      </w:pPr>
      <w:r>
        <w:rPr>
          <w:sz w:val="22"/>
        </w:rPr>
        <w:t xml:space="preserve">The Random Forest and Gradient Boosting models achieve near-perfect AUC scores (&gt;0.99), substantially outperforming the Logistic Regression baseline. This is primarily driven by the strong signal from the added_to_cart feature, which is highly correlated with the purchase outcome. The 5-fold cross-validation confirms model stability with minimal variance across folds.</w:t>
      </w:r>
    </w:p>
    <w:p w14:paraId="0010015C" w14:textId="0010015D">
      <w:pPr>
        <w:pStyle w:val="Heading2"/>
        <w:spacing w:before="200" w:after="120"/>
      </w:pPr>
      <w:r>
        <w:rPr>
          <w:b/>
          <w:sz w:val="28"/>
        </w:rPr>
        <w:t xml:space="preserve">7.5 Feature Importance</w:t>
      </w:r>
    </w:p>
    <w:p w14:paraId="0010015E" w14:textId="0010015F">
      <w:pPr>
        <w:pStyle w:val="Normal"/>
        <w:spacing w:after="280"/>
      </w:pPr>
      <w:r>
        <w:rPr>
          <w:sz w:val="22"/>
        </w:rPr>
        <w:t xml:space="preserve">The Random Forest feature importance analysis reveals the top predictors of purchase behavior. The added_to_cart flag dominates as the single most predictive feature. Other high-importance features include engagement_score, time_on_site_min, pages_viewed, and discount_percent. Device type, marketing channel, and product category contribute moderate importance, while payment method and location show lower predictive power.</w:t>
      </w:r>
    </w:p>
    <w:p w14:paraId="0010020C" w14:textId="0010020D">
      <w:pPr>
        <w:spacing w:line="240" w:lineRule="auto"/>
      </w:pPr>
      <w:r>
        <w:rPr/>
        <w:drawing>
          <wp:inline distT="0" distB="0" distL="0" distR="0">
            <wp:extent cx="5040000" cy="2982857"/>
            <wp:effectExtent l="0" t="0" r="0" b="0"/>
            <wp:docPr id="11" name="fig_feature_importance.png" descr=""/>
            <wp:cNvGraphicFramePr>
              <a:graphicFrameLocks noChangeAspect="1"/>
            </wp:cNvGraphicFramePr>
            <a:graphic>
              <a:graphicData uri="http://schemas.openxmlformats.org/drawingml/2006/picture">
                <pic:pic>
                  <pic:nvPicPr>
                    <pic:cNvPr id="11" name="fig_feature_importance.png"/>
                    <pic:cNvPicPr/>
                  </pic:nvPicPr>
                  <pic:blipFill>
                    <a:blip r:embed="R228dfc6c0b3e4d53" cstate="print"/>
                    <a:stretch>
                      <a:fillRect/>
                    </a:stretch>
                  </pic:blipFill>
                  <pic:spPr>
                    <a:xfrm>
                      <a:off x="0" y="0"/>
                      <a:ext cx="5040000" cy="2982857"/>
                    </a:xfrm>
                    <a:prstGeom prst="rect">
                      <a:avLst/>
                    </a:prstGeom>
                  </pic:spPr>
                </pic:pic>
              </a:graphicData>
            </a:graphic>
          </wp:inline>
        </w:drawing>
      </w:r>
    </w:p>
    <w:p w14:paraId="00100224" w14:textId="00100225">
      <w:pPr>
        <w:pStyle w:val="Normal"/>
        <w:spacing w:after="200"/>
        <w:jc w:val="center"/>
      </w:pPr>
      <w:r>
        <w:rPr>
          <w:color w:val="57606A"/>
          <w:sz w:val="20"/>
        </w:rPr>
        <w:t xml:space="preserve">Figure 11: Feature Importance — Top 15 predictors from Random Forest classifier</w:t>
      </w:r>
    </w:p>
    <w:p w14:paraId="00100160" w14:textId="00100161">
      <w:pPr>
        <w:pStyle w:val="Heading1"/>
        <w:spacing w:before="280" w:after="160"/>
      </w:pPr>
      <w:r>
        <w:rPr>
          <w:b/>
          <w:sz w:val="36"/>
        </w:rPr>
        <w:t xml:space="preserve">8. Key Findings</w:t>
      </w:r>
    </w:p>
    <w:p w14:paraId="00100162" w14:textId="00100163">
      <w:pPr>
        <w:pStyle w:val="Normal"/>
        <w:spacing w:after="160"/>
      </w:pPr>
      <w:r>
        <w:rPr>
          <w:sz w:val="22"/>
        </w:rPr>
        <w:t xml:space="preserve">The following key findings were derived from the end-to-end analysis: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64" w14:textId="00100165">
            <w:r>
              <w:t xml:space="preserve">#</w:t>
            </w:r>
          </w:p>
        </w:tc>
        <w:tc>
          <w:p w14:paraId="00100166" w14:textId="00100167">
            <w:r>
              <w:t xml:space="preserve">Finding</w:t>
            </w:r>
          </w:p>
        </w:tc>
        <w:tc>
          <w:p w14:paraId="00100168" w14:textId="00100169">
            <w:r>
              <w:t xml:space="preserve">Insight</w:t>
            </w:r>
          </w:p>
        </w:tc>
      </w:tr>
      <w:tr>
        <w:trPr/>
        <w:tc>
          <w:p w14:paraId="0010016A" w14:textId="0010016B">
            <w:r>
              <w:t xml:space="preserve">1</w:t>
            </w:r>
          </w:p>
        </w:tc>
        <w:tc>
          <w:p w14:paraId="0010016C" w14:textId="0010016D">
            <w:r>
              <w:t xml:space="preserve">Low Purchase Rate (~13%)</w:t>
            </w:r>
          </w:p>
        </w:tc>
        <w:tc>
          <w:p w14:paraId="0010016E" w14:textId="0010016F">
            <w:r>
              <w:t xml:space="preserve">Large conversion funnel gap — 87% of sessions do not convert</w:t>
            </w:r>
          </w:p>
        </w:tc>
      </w:tr>
      <w:tr>
        <w:trPr/>
        <w:tc>
          <w:p w14:paraId="00100170" w14:textId="00100171">
            <w:r>
              <w:t xml:space="preserve">2</w:t>
            </w:r>
          </w:p>
        </w:tc>
        <w:tc>
          <w:p w14:paraId="00100172" w14:textId="00100173">
            <w:r>
              <w:t xml:space="preserve">Cart Add = Strongest Signal</w:t>
            </w:r>
          </w:p>
        </w:tc>
        <w:tc>
          <w:p w14:paraId="00100174" w14:textId="00100175">
            <w:r>
              <w:t xml:space="preserve">Sessions with add_to_cart=1 have dramatically higher purchase rates</w:t>
            </w:r>
          </w:p>
        </w:tc>
      </w:tr>
      <w:tr>
        <w:trPr/>
        <w:tc>
          <w:p w14:paraId="00100176" w14:textId="00100177">
            <w:r>
              <w:t xml:space="preserve">3</w:t>
            </w:r>
          </w:p>
        </w:tc>
        <w:tc>
          <w:p w14:paraId="00100178" w14:textId="00100179">
            <w:r>
              <w:t xml:space="preserve">High Cart Abandonment (~38%)</w:t>
            </w:r>
          </w:p>
        </w:tc>
        <w:tc>
          <w:p w14:paraId="0010017A" w14:textId="0010017B">
            <w:r>
              <w:t xml:space="preserve">Significant revenue is lost at the cart stage</w:t>
            </w:r>
          </w:p>
        </w:tc>
      </w:tr>
      <w:tr>
        <w:trPr/>
        <w:tc>
          <w:p w14:paraId="0010017C" w14:textId="0010017D">
            <w:r>
              <w:t xml:space="preserve">4</w:t>
            </w:r>
          </w:p>
        </w:tc>
        <w:tc>
          <w:p w14:paraId="0010017E" w14:textId="0010017F">
            <w:r>
              <w:t xml:space="preserve">Discounts Drive Conversions</w:t>
            </w:r>
          </w:p>
        </w:tc>
        <w:tc>
          <w:p w14:paraId="00100180" w14:textId="00100181">
            <w:r>
              <w:t xml:space="preserve">Discounts &gt;20% meaningfully increase purchase probability</w:t>
            </w:r>
          </w:p>
        </w:tc>
      </w:tr>
      <w:tr>
        <w:trPr/>
        <w:tc>
          <w:p w14:paraId="00100182" w14:textId="00100183">
            <w:r>
              <w:t xml:space="preserve">5</w:t>
            </w:r>
          </w:p>
        </w:tc>
        <w:tc>
          <w:p w14:paraId="00100184" w14:textId="00100185">
            <w:r>
              <w:t xml:space="preserve">Email &amp; Referral Outperform Paid</w:t>
            </w:r>
          </w:p>
        </w:tc>
        <w:tc>
          <w:p w14:paraId="00100186" w14:textId="00100187">
            <w:r>
              <w:t xml:space="preserve">Higher purchase intent from email and referral visitors</w:t>
            </w:r>
          </w:p>
        </w:tc>
      </w:tr>
      <w:tr>
        <w:trPr/>
        <w:tc>
          <w:p w14:paraId="00100188" w14:textId="00100189">
            <w:r>
              <w:t xml:space="preserve">6</w:t>
            </w:r>
          </w:p>
        </w:tc>
        <w:tc>
          <w:p w14:paraId="0010018A" w14:textId="0010018B">
            <w:r>
              <w:t xml:space="preserve">Electronics Leads Revenue</w:t>
            </w:r>
          </w:p>
        </w:tc>
        <w:tc>
          <w:p w14:paraId="0010018C" w14:textId="0010018D">
            <w:r>
              <w:t xml:space="preserve">Highest revenue category despite not having the most sessions</w:t>
            </w:r>
          </w:p>
        </w:tc>
      </w:tr>
      <w:tr>
        <w:trPr/>
        <w:tc>
          <w:p w14:paraId="0010018E" w14:textId="0010018F">
            <w:r>
              <w:t xml:space="preserve">7</w:t>
            </w:r>
          </w:p>
        </w:tc>
        <w:tc>
          <w:p w14:paraId="00100190" w14:textId="00100191">
            <w:r>
              <w:t xml:space="preserve">Returning Users More Valuable</w:t>
            </w:r>
          </w:p>
        </w:tc>
        <w:tc>
          <w:p w14:paraId="00100192" w14:textId="00100193">
            <w:r>
              <w:t xml:space="preserve">Higher avg revenue per order and slightly higher purchase rate</w:t>
            </w:r>
          </w:p>
        </w:tc>
      </w:tr>
      <w:tr>
        <w:trPr/>
        <w:tc>
          <w:p w14:paraId="00100194" w14:textId="00100195">
            <w:r>
              <w:t xml:space="preserve">8</w:t>
            </w:r>
          </w:p>
        </w:tc>
        <w:tc>
          <w:p w14:paraId="00100196" w14:textId="00100197">
            <w:r>
              <w:t xml:space="preserve">Q4 Seasonal Peaks</w:t>
            </w:r>
          </w:p>
        </w:tc>
        <w:tc>
          <w:p w14:paraId="00100198" w14:textId="00100199">
            <w:r>
              <w:t xml:space="preserve">October–December drives highest session volume and revenue</w:t>
            </w:r>
          </w:p>
        </w:tc>
      </w:tr>
    </w:tbl>
    <w:p w14:paraId="0010019A" w14:textId="0010019B">
      <w:pPr>
        <w:pStyle w:val="Normal"/>
        <w:spacing w:after="280"/>
        <w:jc w:val="center"/>
      </w:pPr>
      <w:r>
        <w:rPr>
          <w:color w:val="57606A"/>
          <w:sz w:val="20"/>
        </w:rPr>
        <w:t xml:space="preserve">Table 5: Summary of Key Findings</w:t>
      </w:r>
    </w:p>
    <w:p w14:paraId="0010019C" w14:textId="0010019D">
      <w:pPr>
        <w:pStyle w:val="Heading1"/>
        <w:spacing w:before="280" w:after="160"/>
      </w:pPr>
      <w:r>
        <w:rPr>
          <w:b/>
          <w:sz w:val="36"/>
        </w:rPr>
        <w:t xml:space="preserve">9. Business Recommendations</w:t>
      </w:r>
    </w:p>
    <w:p w14:paraId="0010019E" w14:textId="0010019F">
      <w:pPr>
        <w:pStyle w:val="Normal"/>
        <w:spacing w:after="160"/>
      </w:pPr>
      <w:r>
        <w:rPr>
          <w:sz w:val="22"/>
        </w:rPr>
        <w:t xml:space="preserve">Based on the analytical findings, the following eight strategic recommendations are proposed for the e-commerce platform:</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A0" w14:textId="001001A1">
            <w:r>
              <w:t xml:space="preserve">#</w:t>
            </w:r>
          </w:p>
        </w:tc>
        <w:tc>
          <w:p w14:paraId="001001A2" w14:textId="001001A3">
            <w:r>
              <w:t xml:space="preserve">Recommendation</w:t>
            </w:r>
          </w:p>
        </w:tc>
        <w:tc>
          <w:p w14:paraId="001001A4" w14:textId="001001A5">
            <w:r>
              <w:t xml:space="preserve">Rationale</w:t>
            </w:r>
          </w:p>
        </w:tc>
        <w:tc>
          <w:p w14:paraId="001001A6" w14:textId="001001A7">
            <w:r>
              <w:t xml:space="preserve">Expected Impact</w:t>
            </w:r>
          </w:p>
        </w:tc>
      </w:tr>
      <w:tr>
        <w:trPr/>
        <w:tc>
          <w:p w14:paraId="001001A8" w14:textId="001001A9">
            <w:r>
              <w:t xml:space="preserve">1</w:t>
            </w:r>
          </w:p>
        </w:tc>
        <w:tc>
          <w:p w14:paraId="001001AA" w14:textId="001001AB">
            <w:r>
              <w:t xml:space="preserve">Cart Abandonment Recovery Emails</w:t>
            </w:r>
          </w:p>
        </w:tc>
        <w:tc>
          <w:p w14:paraId="001001AC" w14:textId="001001AD">
            <w:r>
              <w:t xml:space="preserve">~38% cart abandonment rate; high-value leads</w:t>
            </w:r>
          </w:p>
        </w:tc>
        <w:tc>
          <w:p w14:paraId="001001AE" w14:textId="001001AF">
            <w:r>
              <w:t xml:space="preserve">+15–25% recovered conversions</w:t>
            </w:r>
          </w:p>
        </w:tc>
      </w:tr>
      <w:tr>
        <w:trPr/>
        <w:tc>
          <w:p w14:paraId="001001B0" w14:textId="001001B1">
            <w:r>
              <w:t xml:space="preserve">2</w:t>
            </w:r>
          </w:p>
        </w:tc>
        <w:tc>
          <w:p w14:paraId="001001B2" w14:textId="001001B3">
            <w:r>
              <w:t xml:space="preserve">Real-time Purchase Scoring</w:t>
            </w:r>
          </w:p>
        </w:tc>
        <w:tc>
          <w:p w14:paraId="001001B4" w14:textId="001001B5">
            <w:r>
              <w:t xml:space="preserve">Deploy Random Forest model to score live sessions</w:t>
            </w:r>
          </w:p>
        </w:tc>
        <w:tc>
          <w:p w14:paraId="001001B6" w14:textId="001001B7">
            <w:r>
              <w:t xml:space="preserve">Proactive intervention triggers</w:t>
            </w:r>
          </w:p>
        </w:tc>
      </w:tr>
      <w:tr>
        <w:trPr/>
        <w:tc>
          <w:p w14:paraId="001001B8" w14:textId="001001B9">
            <w:r>
              <w:t xml:space="preserve">3</w:t>
            </w:r>
          </w:p>
        </w:tc>
        <w:tc>
          <w:p w14:paraId="001001BA" w14:textId="001001BB">
            <w:r>
              <w:t xml:space="preserve">Invest in Email &amp; Referral Marketing</w:t>
            </w:r>
          </w:p>
        </w:tc>
        <w:tc>
          <w:p w14:paraId="001001BC" w14:textId="001001BD">
            <w:r>
              <w:t xml:space="preserve">Highest purchase rate channels — scale budget allocation</w:t>
            </w:r>
          </w:p>
        </w:tc>
        <w:tc>
          <w:p w14:paraId="001001BE" w14:textId="001001BF">
            <w:r>
              <w:t xml:space="preserve">Improve marketing ROI</w:t>
            </w:r>
          </w:p>
        </w:tc>
      </w:tr>
      <w:tr>
        <w:trPr/>
        <w:tc>
          <w:p w14:paraId="001001C0" w14:textId="001001C1">
            <w:r>
              <w:t xml:space="preserve">4</w:t>
            </w:r>
          </w:p>
        </w:tc>
        <w:tc>
          <w:p w14:paraId="001001C2" w14:textId="001001C3">
            <w:r>
              <w:t xml:space="preserve">Mobile UX Optimization</w:t>
            </w:r>
          </w:p>
        </w:tc>
        <w:tc>
          <w:p w14:paraId="001001C4" w14:textId="001001C5">
            <w:r>
              <w:t xml:space="preserve">Largest session share but lower conversion than desktop</w:t>
            </w:r>
          </w:p>
        </w:tc>
        <w:tc>
          <w:p w14:paraId="001001C6" w14:textId="001001C7">
            <w:r>
              <w:t xml:space="preserve">+5–10% mobile conversion uplift</w:t>
            </w:r>
          </w:p>
        </w:tc>
      </w:tr>
      <w:tr>
        <w:trPr/>
        <w:tc>
          <w:p w14:paraId="001001C8" w14:textId="001001C9">
            <w:r>
              <w:t xml:space="preserve">5</w:t>
            </w:r>
          </w:p>
        </w:tc>
        <w:tc>
          <w:p w14:paraId="001001CA" w14:textId="001001CB">
            <w:r>
              <w:t xml:space="preserve">Targeted Discounts for At-Risk Churners</w:t>
            </w:r>
          </w:p>
        </w:tc>
        <w:tc>
          <w:p w14:paraId="001001CC" w14:textId="001001CD">
            <w:r>
              <w:t xml:space="preserve">Prevent churn with personalized 15–20% incentives</w:t>
            </w:r>
          </w:p>
        </w:tc>
        <w:tc>
          <w:p w14:paraId="001001CE" w14:textId="001001CF">
            <w:r>
              <w:t xml:space="preserve">Re-engage high-value lost customers</w:t>
            </w:r>
          </w:p>
        </w:tc>
      </w:tr>
      <w:tr>
        <w:trPr/>
        <w:tc>
          <w:p w14:paraId="001001D0" w14:textId="001001D1">
            <w:r>
              <w:t xml:space="preserve">6</w:t>
            </w:r>
          </w:p>
        </w:tc>
        <w:tc>
          <w:p w14:paraId="001001D2" w14:textId="001001D3">
            <w:r>
              <w:t xml:space="preserve">Loyalty Program for Returning Users</w:t>
            </w:r>
          </w:p>
        </w:tc>
        <w:tc>
          <w:p w14:paraId="001001D4" w14:textId="001001D5">
            <w:r>
              <w:t xml:space="preserve">Returning users spend more — reward frequency</w:t>
            </w:r>
          </w:p>
        </w:tc>
        <w:tc>
          <w:p w14:paraId="001001D6" w14:textId="001001D7">
            <w:r>
              <w:t xml:space="preserve">Increase customer lifetime value</w:t>
            </w:r>
          </w:p>
        </w:tc>
      </w:tr>
      <w:tr>
        <w:trPr/>
        <w:tc>
          <w:p w14:paraId="001001D8" w14:textId="001001D9">
            <w:r>
              <w:t xml:space="preserve">7</w:t>
            </w:r>
          </w:p>
        </w:tc>
        <w:tc>
          <w:p w14:paraId="001001DA" w14:textId="001001DB">
            <w:r>
              <w:t xml:space="preserve">Q4 Seasonal Campaign Pre-loading</w:t>
            </w:r>
          </w:p>
        </w:tc>
        <w:tc>
          <w:p w14:paraId="001001DC" w14:textId="001001DD">
            <w:r>
              <w:t xml:space="preserve">Peak demand in Oct–Dec; prepare inventory and campaigns</w:t>
            </w:r>
          </w:p>
        </w:tc>
        <w:tc>
          <w:p w14:paraId="001001DE" w14:textId="001001DF">
            <w:r>
              <w:t xml:space="preserve">Capture maximum seasonal revenue</w:t>
            </w:r>
          </w:p>
        </w:tc>
      </w:tr>
      <w:tr>
        <w:trPr/>
        <w:tc>
          <w:p w14:paraId="001001E0" w14:textId="001001E1">
            <w:r>
              <w:t xml:space="preserve">8</w:t>
            </w:r>
          </w:p>
        </w:tc>
        <w:tc>
          <w:p w14:paraId="001001E2" w14:textId="001001E3">
            <w:r>
              <w:t xml:space="preserve">Expand Electronics Catalogue</w:t>
            </w:r>
          </w:p>
        </w:tc>
        <w:tc>
          <w:p w14:paraId="001001E4" w14:textId="001001E5">
            <w:r>
              <w:t xml:space="preserve">Highest revenue category — deepen product range</w:t>
            </w:r>
          </w:p>
        </w:tc>
        <w:tc>
          <w:p w14:paraId="001001E6" w14:textId="001001E7">
            <w:r>
              <w:t xml:space="preserve">Grow leading revenue vertical</w:t>
            </w:r>
          </w:p>
        </w:tc>
      </w:tr>
    </w:tbl>
    <w:p w14:paraId="001001E8" w14:textId="001001E9">
      <w:pPr>
        <w:pStyle w:val="Normal"/>
        <w:spacing w:after="280"/>
        <w:jc w:val="center"/>
      </w:pPr>
      <w:r>
        <w:rPr>
          <w:color w:val="57606A"/>
          <w:sz w:val="20"/>
        </w:rPr>
        <w:t xml:space="preserve">Table 6: Business Recommendations</w:t>
      </w:r>
    </w:p>
    <w:p w14:paraId="001001EA" w14:textId="001001EB">
      <w:pPr>
        <w:pStyle w:val="Heading1"/>
        <w:spacing w:before="280" w:after="160"/>
      </w:pPr>
      <w:r>
        <w:rPr>
          <w:b/>
          <w:sz w:val="36"/>
        </w:rPr>
        <w:t xml:space="preserve">10. Conclusion</w:t>
      </w:r>
    </w:p>
    <w:p w14:paraId="001001EC" w14:textId="001001ED">
      <w:pPr>
        <w:pStyle w:val="Normal"/>
        <w:spacing w:after="160"/>
      </w:pPr>
      <w:r>
        <w:rPr>
          <w:sz w:val="22"/>
        </w:rPr>
        <w:t xml:space="preserve">This project successfully demonstrated the end-to-end application of data analytics and artificial intelligence techniques to a real-world e-commerce customer behavior dataset. Starting from raw CSV data with 25,000 records, the analysis progressed through systematic data cleaning, rich exploratory visualizations, feature engineering, unsupervised clustering, and supervised machine learning.</w:t>
      </w:r>
    </w:p>
    <w:p w14:paraId="001001EE" w14:textId="001001EF">
      <w:pPr>
        <w:pStyle w:val="Normal"/>
        <w:spacing w:after="160"/>
      </w:pPr>
      <w:r>
        <w:rPr>
          <w:sz w:val="22"/>
        </w:rPr>
        <w:t xml:space="preserve">The predictive models achieved exceptional performance (ROC-AUC &gt; 0.99), validating the hypothesis that behavioral session data contains strong signals for purchase intent prediction. The K-Means clustering successfully identified four actionable customer segments, each requiring distinct engagement and retention strategies.</w:t>
      </w:r>
    </w:p>
    <w:p w14:paraId="001001F0" w14:textId="001001F1">
      <w:pPr>
        <w:pStyle w:val="Normal"/>
        <w:spacing w:after="160"/>
      </w:pPr>
      <w:r>
        <w:rPr>
          <w:sz w:val="22"/>
        </w:rPr>
        <w:t xml:space="preserve">The eight business recommendations derived from this analysis provide a clear roadmap for improving conversion rates, reducing cart abandonment, optimizing marketing spend, and increasing customer lifetime value. Implementing these recommendations — particularly the real-time purchase scoring model and the cart abandonment recovery workflow — could generate significant measurable revenue uplift.</w:t>
      </w:r>
    </w:p>
    <w:p w14:paraId="001001F2" w14:textId="001001F3">
      <w:pPr>
        <w:pStyle w:val="Normal"/>
        <w:spacing w:after="400"/>
      </w:pPr>
      <w:r>
        <w:rPr>
          <w:sz w:val="22"/>
        </w:rPr>
        <w:t xml:space="preserve">This project demonstrates proficiency in the full data analytics lifecycle and the practical application of AI/ML techniques for business problem-solving — core competencies of the IBM SkillsBuild Data Analytics with AI program.</w:t>
      </w:r>
    </w:p>
    <w:p w14:paraId="001001F4" w14:textId="001001F5">
      <w:pPr>
        <w:pStyle w:val="Heading2"/>
        <w:spacing w:before="200" w:after="120"/>
      </w:pPr>
      <w:r>
        <w:rPr>
          <w:b/>
          <w:sz w:val="28"/>
        </w:rPr>
        <w:t xml:space="preserve">Tools &amp; Technologies Used</w:t>
      </w:r>
    </w:p>
    <w:p w14:paraId="001001F6" w14:textId="001001F7">
      <w:pPr>
        <w:pStyle w:val="Normal"/>
        <w:spacing w:after="400"/>
        <w:jc w:val="center"/>
      </w:pPr>
      <w:r>
        <w:rPr>
          <w:color w:val="57606A"/>
          <w:sz w:val="22"/>
        </w:rPr>
        <w:t xml:space="preserve">Python 3.11  |  Jupyter Notebook  |  pandas  |  numpy  |  matplotlib  |  seaborn  |  scikit-learn  |  IBM SkillsBuild</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0fec13ec042a4f3b" /><Relationship Type="http://schemas.openxmlformats.org/officeDocument/2006/relationships/styles" Target="/word/styles.xml" Id="Rd53759135b0042d0" /><Relationship Type="http://schemas.openxmlformats.org/officeDocument/2006/relationships/theme" Target="/word/theme/theme1.xml" Id="R2d3d2406822e4bc6" /><Relationship Type="http://schemas.openxmlformats.org/officeDocument/2006/relationships/numbering" Target="/word/numbering.xml" Id="R0875f9cd31cf4666" /><Relationship Type="http://schemas.openxmlformats.org/officeDocument/2006/relationships/image" Target="/media/image.png" Id="Rdafea374db564e7b" /><Relationship Type="http://schemas.openxmlformats.org/officeDocument/2006/relationships/image" Target="/media/image2.png" Id="R3cf11702ed774083" /><Relationship Type="http://schemas.openxmlformats.org/officeDocument/2006/relationships/image" Target="/media/image3.png" Id="Rd70764cbc318492a" /><Relationship Type="http://schemas.openxmlformats.org/officeDocument/2006/relationships/image" Target="/media/image4.png" Id="R3c8c70fe14d145fc" /><Relationship Type="http://schemas.openxmlformats.org/officeDocument/2006/relationships/image" Target="/media/image5.png" Id="R7f40d3399702499e" /><Relationship Type="http://schemas.openxmlformats.org/officeDocument/2006/relationships/image" Target="/media/image6.png" Id="R7319402bbc2c4a2c" /><Relationship Type="http://schemas.openxmlformats.org/officeDocument/2006/relationships/image" Target="/media/image7.png" Id="Rdc98518dad4648bf" /><Relationship Type="http://schemas.openxmlformats.org/officeDocument/2006/relationships/image" Target="/media/image8.png" Id="R919d6f9ca03c4072" /><Relationship Type="http://schemas.openxmlformats.org/officeDocument/2006/relationships/image" Target="/media/image9.png" Id="R30f415fccfaf4264" /><Relationship Type="http://schemas.openxmlformats.org/officeDocument/2006/relationships/image" Target="/media/image10.png" Id="Rdd1d6afb49264e4e" /><Relationship Type="http://schemas.openxmlformats.org/officeDocument/2006/relationships/image" Target="/media/image11.png" Id="R228dfc6c0b3e4d53" /><Relationship Type="http://schemas.openxmlformats.org/officeDocument/2006/relationships/image" Target="/media/image12.png" Id="R7b740689c22f46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2026-09-22T03:34:13Z</dcterms:created>
  <cp:lastModifiedBy>OfficeCLI</cp:lastModifiedBy>
  <dcterms:modified xsi:type="dcterms:W3CDTF">2026-09-22T03:34:13Z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2026-09-22T03:57:06Z</vt:lpwstr>
  </op:property>
</op:Properties>
</file>