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Segoe UI" w:hAnsi="Segoe UI"/>
          <w:b/>
          <w:color w:val="DA3287"/>
          <w:sz w:val="28"/>
        </w:rPr>
        <w:t>UNIVERSITY OF ENGINEERING AND TECHNOLOGY LAHORE</w:t>
      </w:r>
    </w:p>
    <w:p>
      <w:pPr>
        <w:spacing w:after="800"/>
        <w:jc w:val="center"/>
      </w:pPr>
      <w:r>
        <w:rPr>
          <w:b/>
          <w:color w:val="646E78"/>
          <w:sz w:val="24"/>
        </w:rPr>
        <w:t>Department of Cybersecurity</w:t>
      </w:r>
    </w:p>
    <w:p>
      <w:pPr>
        <w:spacing w:after="120"/>
        <w:jc w:val="center"/>
      </w:pPr>
      <w:r>
        <w:rPr>
          <w:b/>
          <w:color w:val="DA3287"/>
          <w:sz w:val="48"/>
        </w:rPr>
        <w:t>Blossom Flower Shop Management System</w:t>
      </w:r>
    </w:p>
    <w:p>
      <w:pPr>
        <w:spacing w:after="1000"/>
        <w:jc w:val="center"/>
        <w:pBdr>
          <w:bottom w:val="single" w:sz="6" w:space="4" w:color="F8C8DC"/>
        </w:pBdr>
      </w:pPr>
      <w:r>
        <w:rPr>
          <w:i/>
          <w:color w:val="646E78"/>
          <w:sz w:val="22"/>
        </w:rPr>
        <w:t>Comprehensive Desktop Application Development &amp; Database Report</w:t>
      </w:r>
    </w:p>
    <w:tbl>
      <w:tblPr>
        <w:tblW w:type="auto" w:w="0"/>
        <w:jc w:val="center"/>
        <w:tblLook w:firstColumn="1" w:firstRow="1" w:lastColumn="0" w:lastRow="0" w:noHBand="0" w:noVBand="1" w:val="04A0"/>
        <w:tblBorders>
          <w:top w:val="single" w:sz="4" w:space="0" w:color="F8C8DC"/>
          <w:bottom w:val="single" w:sz="6" w:space="0" w:color="F8C8DC"/>
          <w:insideH w:val="single" w:sz="4" w:space="0" w:color="F8C8DC"/>
          <w:left w:val="none"/>
          <w:right w:val="none"/>
          <w:insideV w:val="none"/>
        </w:tblBorders>
      </w:tblPr>
      <w:tblGrid>
        <w:gridCol w:w="4680"/>
        <w:gridCol w:w="4680"/>
      </w:tblGrid>
      <w:tr>
        <w:tc>
          <w:tcPr>
            <w:tcW w:type="dxa" w:w="4680"/>
            <w:shd w:fill="FFF5FA"/>
            <w:tcMar>
              <w:top w:w="100" w:type="dxa"/>
              <w:bottom w:w="100" w:type="dxa"/>
              <w:left w:w="150" w:type="dxa"/>
              <w:right w:w="150" w:type="dxa"/>
            </w:tcMar>
          </w:tcPr>
          <w:p>
            <w:r>
              <w:rPr>
                <w:b/>
                <w:color w:val="646E78"/>
              </w:rPr>
              <w:t>Submitted By:</w:t>
            </w:r>
          </w:p>
        </w:tc>
        <w:tc>
          <w:tcPr>
            <w:tcW w:type="dxa" w:w="4680"/>
            <w:shd w:fill="FFF5FA"/>
            <w:tcMar>
              <w:top w:w="100" w:type="dxa"/>
              <w:bottom w:w="100" w:type="dxa"/>
              <w:left w:w="150" w:type="dxa"/>
              <w:right w:w="150" w:type="dxa"/>
            </w:tcMar>
          </w:tcPr>
          <w:p>
            <w:r>
              <w:rPr>
                <w:b/>
                <w:color w:val="DA3287"/>
              </w:rPr>
              <w:t>ISHMAL TAHIR RAJA</w:t>
            </w:r>
          </w:p>
        </w:tc>
      </w:tr>
      <w:tr>
        <w:tc>
          <w:tcPr>
            <w:tcW w:type="dxa" w:w="4680"/>
            <w:shd w:fill="FFF5FA"/>
            <w:tcMar>
              <w:top w:w="100" w:type="dxa"/>
              <w:bottom w:w="100" w:type="dxa"/>
              <w:left w:w="150" w:type="dxa"/>
              <w:right w:w="150" w:type="dxa"/>
            </w:tcMar>
          </w:tcPr>
          <w:p>
            <w:r>
              <w:rPr>
                <w:b/>
                <w:color w:val="646E78"/>
              </w:rPr>
              <w:t>Registration No.:</w:t>
            </w:r>
          </w:p>
        </w:tc>
        <w:tc>
          <w:tcPr>
            <w:tcW w:type="dxa" w:w="4680"/>
            <w:shd w:fill="FFF5FA"/>
            <w:tcMar>
              <w:top w:w="100" w:type="dxa"/>
              <w:bottom w:w="100" w:type="dxa"/>
              <w:left w:w="150" w:type="dxa"/>
              <w:right w:w="150" w:type="dxa"/>
            </w:tcMar>
          </w:tcPr>
          <w:p>
            <w:r>
              <w:rPr>
                <w:b/>
              </w:rPr>
              <w:t>2026(s)-CYS-16</w:t>
            </w:r>
          </w:p>
        </w:tc>
      </w:tr>
      <w:tr>
        <w:tc>
          <w:tcPr>
            <w:tcW w:type="dxa" w:w="4680"/>
            <w:shd w:fill="FFF5FA"/>
            <w:tcMar>
              <w:top w:w="100" w:type="dxa"/>
              <w:bottom w:w="100" w:type="dxa"/>
              <w:left w:w="150" w:type="dxa"/>
              <w:right w:w="150" w:type="dxa"/>
            </w:tcMar>
          </w:tcPr>
          <w:p>
            <w:r>
              <w:rPr>
                <w:b/>
                <w:color w:val="646E78"/>
              </w:rPr>
              <w:t>Submitted To:</w:t>
            </w:r>
          </w:p>
        </w:tc>
        <w:tc>
          <w:tcPr>
            <w:tcW w:type="dxa" w:w="4680"/>
            <w:shd w:fill="FFF5FA"/>
            <w:tcMar>
              <w:top w:w="100" w:type="dxa"/>
              <w:bottom w:w="100" w:type="dxa"/>
              <w:left w:w="150" w:type="dxa"/>
              <w:right w:w="150" w:type="dxa"/>
            </w:tcMar>
          </w:tcPr>
          <w:p>
            <w:r>
              <w:rPr>
                <w:b/>
              </w:rPr>
              <w:t>Sir Hafiz Muhammad Mubashir</w:t>
            </w:r>
          </w:p>
        </w:tc>
      </w:tr>
      <w:tr>
        <w:tc>
          <w:tcPr>
            <w:tcW w:type="dxa" w:w="4680"/>
            <w:shd w:fill="FFF5FA"/>
            <w:tcMar>
              <w:top w:w="100" w:type="dxa"/>
              <w:bottom w:w="100" w:type="dxa"/>
              <w:left w:w="150" w:type="dxa"/>
              <w:right w:w="150" w:type="dxa"/>
            </w:tcMar>
          </w:tcPr>
          <w:p>
            <w:r>
              <w:rPr>
                <w:b/>
                <w:color w:val="646E78"/>
              </w:rPr>
              <w:t>Platform &amp; Stack:</w:t>
            </w:r>
          </w:p>
        </w:tc>
        <w:tc>
          <w:tcPr>
            <w:tcW w:type="dxa" w:w="4680"/>
            <w:shd w:fill="FFF5FA"/>
            <w:tcMar>
              <w:top w:w="100" w:type="dxa"/>
              <w:bottom w:w="100" w:type="dxa"/>
              <w:left w:w="150" w:type="dxa"/>
              <w:right w:w="150" w:type="dxa"/>
            </w:tcMar>
          </w:tcPr>
          <w:p>
            <w:r>
              <w:rPr>
                <w:b w:val="0"/>
              </w:rPr>
              <w:t>Python 3.14 | PyQt5 | SQLite | Qt Designer</w:t>
            </w:r>
          </w:p>
        </w:tc>
      </w:tr>
    </w:tbl>
    <w:p>
      <w:pPr>
        <w:spacing w:after="480"/>
      </w:pPr>
    </w:p>
    <w:p>
      <w:pPr>
        <w:keepNext/>
        <w:spacing w:before="360" w:after="120"/>
        <w:pBdr>
          <w:bottom w:val="single" w:sz="8" w:space="4" w:color="FF69B4"/>
        </w:pBdr>
      </w:pPr>
      <w:r>
        <w:rPr>
          <w:b/>
          <w:color w:val="DA3287"/>
          <w:sz w:val="28"/>
        </w:rPr>
        <w:t>1. Project Overview</w:t>
      </w:r>
    </w:p>
    <w:p>
      <w:r>
        <w:t>The Blossom Flower Shop Management System is an advanced standalone desktop application designed to modernize and streamline the administrative and transactional ecosystems of retail florists. Built with user experience and enterprise security in mind, the platform provides clear interfaces for real-time stock orchestration, customer archival tracking, detailed multi-variant logging, and automatic point-of-sale invoice indexing.</w:t>
      </w:r>
    </w:p>
    <w:p>
      <w:pPr>
        <w:keepNext/>
        <w:spacing w:before="360" w:after="120"/>
        <w:pBdr>
          <w:bottom w:val="single" w:sz="8" w:space="4" w:color="FF69B4"/>
        </w:pBdr>
      </w:pPr>
      <w:r>
        <w:rPr>
          <w:b/>
          <w:color w:val="DA3287"/>
          <w:sz w:val="28"/>
        </w:rPr>
        <w:t>2. Technology Stack &amp; Tools Used</w:t>
      </w:r>
    </w:p>
    <w:p>
      <w:r>
        <w:t>The system design utilizes cutting-edge components from the modern Python desktop paradigm to maximize performance speed, cross-platform compilation, and stable structural architectures:</w:t>
      </w:r>
    </w:p>
    <w:p>
      <w:pPr>
        <w:pStyle w:val="ListBullet"/>
        <w:spacing w:after="80"/>
      </w:pPr>
      <w:r>
        <w:rPr>
          <w:b/>
          <w:color w:val="DA3287"/>
        </w:rPr>
        <w:t xml:space="preserve">Programming Language: </w:t>
      </w:r>
      <w:r>
        <w:t>Python (Version 3.14) providing top-tier execution structures and optimal syntax binding.</w:t>
      </w:r>
    </w:p>
    <w:p>
      <w:pPr>
        <w:pStyle w:val="ListBullet"/>
        <w:spacing w:after="80"/>
      </w:pPr>
      <w:r>
        <w:rPr>
          <w:b/>
          <w:color w:val="DA3287"/>
        </w:rPr>
        <w:t xml:space="preserve">Database Management: </w:t>
      </w:r>
      <w:r>
        <w:t>SQLite (via native python sqlite3 engine), yielding zero-configuration, secure serverless relational tables stored inside 'flowershop.db'.</w:t>
      </w:r>
    </w:p>
    <w:p>
      <w:pPr>
        <w:pStyle w:val="ListBullet"/>
        <w:spacing w:after="80"/>
      </w:pPr>
      <w:r>
        <w:rPr>
          <w:b/>
          <w:color w:val="DA3287"/>
        </w:rPr>
        <w:t xml:space="preserve">User Interface Framework: </w:t>
      </w:r>
      <w:r>
        <w:t>PyQt5 (C++ Qt bindings for Python) enabling advanced multi-threaded widgets, custom stylesheets, and hardware-accelerated layouts.</w:t>
      </w:r>
    </w:p>
    <w:p>
      <w:pPr>
        <w:pStyle w:val="ListBullet"/>
        <w:spacing w:after="80"/>
      </w:pPr>
      <w:r>
        <w:rPr>
          <w:b/>
          <w:color w:val="DA3287"/>
        </w:rPr>
        <w:t xml:space="preserve">UI Blueprinting &amp; Layout: </w:t>
      </w:r>
      <w:r>
        <w:t>Qt Designer used to rigorously map layout dimensions, tab behaviors, spin-box intervals, and relational grids before coding execution.</w:t>
      </w:r>
    </w:p>
    <w:p>
      <w:pPr>
        <w:pStyle w:val="ListBullet"/>
        <w:spacing w:after="80"/>
      </w:pPr>
      <w:r>
        <w:rPr>
          <w:b/>
          <w:color w:val="DA3287"/>
        </w:rPr>
        <w:t xml:space="preserve">Visual Polish &amp; Aesthetics: </w:t>
      </w:r>
      <w:r>
        <w:t>Custom Qt Style Sheets (QSS) for an interactive, responsive modern floral palette built over cascading properties.</w:t>
      </w:r>
    </w:p>
    <w:p>
      <w:pPr>
        <w:keepNext/>
        <w:spacing w:before="360" w:after="120"/>
        <w:pBdr>
          <w:bottom w:val="single" w:sz="8" w:space="4" w:color="FF69B4"/>
        </w:pBdr>
      </w:pPr>
      <w:r>
        <w:rPr>
          <w:b/>
          <w:color w:val="DA3287"/>
          <w:sz w:val="28"/>
        </w:rPr>
        <w:t>3. Database Schema Design</w:t>
      </w:r>
    </w:p>
    <w:p>
      <w:r>
        <w:t>The relational core functions autonomously upon launch using defensive conditional queries ('CREATE TABLE IF NOT EXISTS'). The structured entity relationships span across 6 vital structural data tables:</w:t>
      </w:r>
    </w:p>
    <w:tbl>
      <w:tblPr>
        <w:tblW w:type="auto" w:w="0"/>
        <w:jc w:val="center"/>
        <w:tblLook w:firstColumn="1" w:firstRow="1" w:lastColumn="0" w:lastRow="0" w:noHBand="0" w:noVBand="1" w:val="04A0"/>
        <w:tblBorders>
          <w:top w:val="single" w:sz="4" w:space="0" w:color="F8C8DC"/>
          <w:bottom w:val="single" w:sz="6" w:space="0" w:color="F8C8DC"/>
          <w:insideH w:val="single" w:sz="4" w:space="0" w:color="F8C8DC"/>
          <w:left w:val="none"/>
          <w:right w:val="none"/>
          <w:insideV w:val="none"/>
        </w:tblBorders>
      </w:tblPr>
      <w:tblGrid>
        <w:gridCol w:w="3120"/>
        <w:gridCol w:w="3120"/>
        <w:gridCol w:w="3120"/>
      </w:tblGrid>
      <w:tr>
        <w:tc>
          <w:tcPr>
            <w:tcW w:type="dxa" w:w="3120"/>
            <w:shd w:fill="DA3287"/>
            <w:tcMar>
              <w:top w:w="120" w:type="dxa"/>
              <w:bottom w:w="120" w:type="dxa"/>
              <w:left w:w="150" w:type="dxa"/>
              <w:right w:w="150" w:type="dxa"/>
            </w:tcMar>
          </w:tcPr>
          <w:p>
            <w:r>
              <w:rPr>
                <w:b/>
                <w:color w:val="FFFFFF"/>
              </w:rPr>
              <w:t>Table Name</w:t>
            </w:r>
          </w:p>
        </w:tc>
        <w:tc>
          <w:tcPr>
            <w:tcW w:type="dxa" w:w="3120"/>
            <w:shd w:fill="DA3287"/>
            <w:tcMar>
              <w:top w:w="120" w:type="dxa"/>
              <w:bottom w:w="120" w:type="dxa"/>
              <w:left w:w="150" w:type="dxa"/>
              <w:right w:w="150" w:type="dxa"/>
            </w:tcMar>
          </w:tcPr>
          <w:p>
            <w:r>
              <w:rPr>
                <w:b/>
                <w:color w:val="FFFFFF"/>
              </w:rPr>
              <w:t>Key Attributes &amp; Fields Registered</w:t>
            </w:r>
          </w:p>
        </w:tc>
        <w:tc>
          <w:tcPr>
            <w:tcW w:type="dxa" w:w="3120"/>
            <w:shd w:fill="DA3287"/>
            <w:tcMar>
              <w:top w:w="120" w:type="dxa"/>
              <w:bottom w:w="120" w:type="dxa"/>
              <w:left w:w="150" w:type="dxa"/>
              <w:right w:w="150" w:type="dxa"/>
            </w:tcMar>
          </w:tcPr>
          <w:p>
            <w:r>
              <w:rPr>
                <w:b/>
                <w:color w:val="FFFFFF"/>
              </w:rPr>
              <w:t>Operational Scope</w:t>
            </w:r>
          </w:p>
        </w:tc>
      </w:tr>
      <w:tr>
        <w:tc>
          <w:tcPr>
            <w:tcW w:type="dxa" w:w="3120"/>
            <w:shd w:fill="FFF5FA"/>
            <w:tcMar>
              <w:top w:w="100" w:type="dxa"/>
              <w:bottom w:w="100" w:type="dxa"/>
              <w:left w:w="150" w:type="dxa"/>
              <w:right w:w="150" w:type="dxa"/>
            </w:tcMar>
          </w:tcPr>
          <w:p>
            <w:r>
              <w:rPr>
                <w:b/>
                <w:color w:val="DA3287"/>
              </w:rPr>
              <w:t>users</w:t>
            </w:r>
          </w:p>
        </w:tc>
        <w:tc>
          <w:tcPr>
            <w:tcW w:type="dxa" w:w="3120"/>
            <w:shd w:fill="FFF5FA"/>
            <w:tcMar>
              <w:top w:w="100" w:type="dxa"/>
              <w:bottom w:w="100" w:type="dxa"/>
              <w:left w:w="150" w:type="dxa"/>
              <w:right w:w="150" w:type="dxa"/>
            </w:tcMar>
          </w:tcPr>
          <w:p>
            <w:r>
              <w:t>id (PK), username (UNIQUE), password</w:t>
            </w:r>
          </w:p>
        </w:tc>
        <w:tc>
          <w:tcPr>
            <w:tcW w:type="dxa" w:w="3120"/>
            <w:shd w:fill="FFF5FA"/>
            <w:tcMar>
              <w:top w:w="100" w:type="dxa"/>
              <w:bottom w:w="100" w:type="dxa"/>
              <w:left w:w="150" w:type="dxa"/>
              <w:right w:w="150" w:type="dxa"/>
            </w:tcMar>
          </w:tcPr>
          <w:p>
            <w:r>
              <w:t>Admin login control. Defaults to ('admin', 'admin') safely.</w:t>
            </w:r>
          </w:p>
        </w:tc>
      </w:tr>
      <w:tr>
        <w:tc>
          <w:tcPr>
            <w:tcW w:type="dxa" w:w="3120"/>
            <w:shd w:fill="FFFFFF"/>
            <w:tcMar>
              <w:top w:w="100" w:type="dxa"/>
              <w:bottom w:w="100" w:type="dxa"/>
              <w:left w:w="150" w:type="dxa"/>
              <w:right w:w="150" w:type="dxa"/>
            </w:tcMar>
          </w:tcPr>
          <w:p>
            <w:r>
              <w:rPr>
                <w:b/>
                <w:color w:val="DA3287"/>
              </w:rPr>
              <w:t>flowers</w:t>
            </w:r>
          </w:p>
        </w:tc>
        <w:tc>
          <w:tcPr>
            <w:tcW w:type="dxa" w:w="3120"/>
            <w:shd w:fill="FFFFFF"/>
            <w:tcMar>
              <w:top w:w="100" w:type="dxa"/>
              <w:bottom w:w="100" w:type="dxa"/>
              <w:left w:w="150" w:type="dxa"/>
              <w:right w:w="150" w:type="dxa"/>
            </w:tcMar>
          </w:tcPr>
          <w:p>
            <w:r>
              <w:t>id (PK), name, flower_type, color, stem, price, status, added_date</w:t>
            </w:r>
          </w:p>
        </w:tc>
        <w:tc>
          <w:tcPr>
            <w:tcW w:type="dxa" w:w="3120"/>
            <w:shd w:fill="FFFFFF"/>
            <w:tcMar>
              <w:top w:w="100" w:type="dxa"/>
              <w:bottom w:w="100" w:type="dxa"/>
              <w:left w:w="150" w:type="dxa"/>
              <w:right w:w="150" w:type="dxa"/>
            </w:tcMar>
          </w:tcPr>
          <w:p>
            <w:r>
              <w:t>Catalogues biological details, stock availability, and time of entry.</w:t>
            </w:r>
          </w:p>
        </w:tc>
      </w:tr>
      <w:tr>
        <w:tc>
          <w:tcPr>
            <w:tcW w:type="dxa" w:w="3120"/>
            <w:shd w:fill="FFF5FA"/>
            <w:tcMar>
              <w:top w:w="100" w:type="dxa"/>
              <w:bottom w:w="100" w:type="dxa"/>
              <w:left w:w="150" w:type="dxa"/>
              <w:right w:w="150" w:type="dxa"/>
            </w:tcMar>
          </w:tcPr>
          <w:p>
            <w:r>
              <w:rPr>
                <w:b/>
                <w:color w:val="DA3287"/>
              </w:rPr>
              <w:t>customers</w:t>
            </w:r>
          </w:p>
        </w:tc>
        <w:tc>
          <w:tcPr>
            <w:tcW w:type="dxa" w:w="3120"/>
            <w:shd w:fill="FFF5FA"/>
            <w:tcMar>
              <w:top w:w="100" w:type="dxa"/>
              <w:bottom w:w="100" w:type="dxa"/>
              <w:left w:w="150" w:type="dxa"/>
              <w:right w:w="150" w:type="dxa"/>
            </w:tcMar>
          </w:tcPr>
          <w:p>
            <w:r>
              <w:t>id (PK), name, phone, joined_date</w:t>
            </w:r>
          </w:p>
        </w:tc>
        <w:tc>
          <w:tcPr>
            <w:tcW w:type="dxa" w:w="3120"/>
            <w:shd w:fill="FFF5FA"/>
            <w:tcMar>
              <w:top w:w="100" w:type="dxa"/>
              <w:bottom w:w="100" w:type="dxa"/>
              <w:left w:w="150" w:type="dxa"/>
              <w:right w:w="150" w:type="dxa"/>
            </w:tcMar>
          </w:tcPr>
          <w:p>
            <w:r>
              <w:t>Indexes customer loyalty accounts and tracking dates.</w:t>
            </w:r>
          </w:p>
        </w:tc>
      </w:tr>
      <w:tr>
        <w:tc>
          <w:tcPr>
            <w:tcW w:type="dxa" w:w="3120"/>
            <w:shd w:fill="FFFFFF"/>
            <w:tcMar>
              <w:top w:w="100" w:type="dxa"/>
              <w:bottom w:w="100" w:type="dxa"/>
              <w:left w:w="150" w:type="dxa"/>
              <w:right w:w="150" w:type="dxa"/>
            </w:tcMar>
          </w:tcPr>
          <w:p>
            <w:r>
              <w:rPr>
                <w:b/>
                <w:color w:val="DA3287"/>
              </w:rPr>
              <w:t>sales</w:t>
            </w:r>
          </w:p>
        </w:tc>
        <w:tc>
          <w:tcPr>
            <w:tcW w:type="dxa" w:w="3120"/>
            <w:shd w:fill="FFFFFF"/>
            <w:tcMar>
              <w:top w:w="100" w:type="dxa"/>
              <w:bottom w:w="100" w:type="dxa"/>
              <w:left w:w="150" w:type="dxa"/>
              <w:right w:w="150" w:type="dxa"/>
            </w:tcMar>
          </w:tcPr>
          <w:p>
            <w:r>
              <w:t>id (PK), item, customer, amount, sale_date</w:t>
            </w:r>
          </w:p>
        </w:tc>
        <w:tc>
          <w:tcPr>
            <w:tcW w:type="dxa" w:w="3120"/>
            <w:shd w:fill="FFFFFF"/>
            <w:tcMar>
              <w:top w:w="100" w:type="dxa"/>
              <w:bottom w:w="100" w:type="dxa"/>
              <w:left w:w="150" w:type="dxa"/>
              <w:right w:w="150" w:type="dxa"/>
            </w:tcMar>
          </w:tcPr>
          <w:p>
            <w:r>
              <w:t>Tracks immediate storefront transactions against customer entities.</w:t>
            </w:r>
          </w:p>
        </w:tc>
      </w:tr>
      <w:tr>
        <w:tc>
          <w:tcPr>
            <w:tcW w:type="dxa" w:w="3120"/>
            <w:shd w:fill="FFF5FA"/>
            <w:tcMar>
              <w:top w:w="100" w:type="dxa"/>
              <w:bottom w:w="100" w:type="dxa"/>
              <w:left w:w="150" w:type="dxa"/>
              <w:right w:w="150" w:type="dxa"/>
            </w:tcMar>
          </w:tcPr>
          <w:p>
            <w:r>
              <w:rPr>
                <w:b/>
                <w:color w:val="DA3287"/>
              </w:rPr>
              <w:t>inventory</w:t>
            </w:r>
          </w:p>
        </w:tc>
        <w:tc>
          <w:tcPr>
            <w:tcW w:type="dxa" w:w="3120"/>
            <w:shd w:fill="FFF5FA"/>
            <w:tcMar>
              <w:top w:w="100" w:type="dxa"/>
              <w:bottom w:w="100" w:type="dxa"/>
              <w:left w:w="150" w:type="dxa"/>
              <w:right w:w="150" w:type="dxa"/>
            </w:tcMar>
          </w:tcPr>
          <w:p>
            <w:r>
              <w:t>id (PK), product, qty, price, updated</w:t>
            </w:r>
          </w:p>
        </w:tc>
        <w:tc>
          <w:tcPr>
            <w:tcW w:type="dxa" w:w="3120"/>
            <w:shd w:fill="FFF5FA"/>
            <w:tcMar>
              <w:top w:w="100" w:type="dxa"/>
              <w:bottom w:w="100" w:type="dxa"/>
              <w:left w:w="150" w:type="dxa"/>
              <w:right w:w="150" w:type="dxa"/>
            </w:tcMar>
          </w:tcPr>
          <w:p>
            <w:r>
              <w:t>Dynamically updates absolute hardware counts and value indexes.</w:t>
            </w:r>
          </w:p>
        </w:tc>
      </w:tr>
      <w:tr>
        <w:tc>
          <w:tcPr>
            <w:tcW w:type="dxa" w:w="3120"/>
            <w:shd w:fill="FFFFFF"/>
            <w:tcMar>
              <w:top w:w="100" w:type="dxa"/>
              <w:bottom w:w="100" w:type="dxa"/>
              <w:left w:w="150" w:type="dxa"/>
              <w:right w:w="150" w:type="dxa"/>
            </w:tcMar>
          </w:tcPr>
          <w:p>
            <w:r>
              <w:rPr>
                <w:b/>
                <w:color w:val="DA3287"/>
              </w:rPr>
              <w:t>bills</w:t>
            </w:r>
          </w:p>
        </w:tc>
        <w:tc>
          <w:tcPr>
            <w:tcW w:type="dxa" w:w="3120"/>
            <w:shd w:fill="FFFFFF"/>
            <w:tcMar>
              <w:top w:w="100" w:type="dxa"/>
              <w:bottom w:w="100" w:type="dxa"/>
              <w:left w:w="150" w:type="dxa"/>
              <w:right w:w="150" w:type="dxa"/>
            </w:tcMar>
          </w:tcPr>
          <w:p>
            <w:r>
              <w:t>id (PK), bill_no (UNIQUE), customer, phone, total, date</w:t>
            </w:r>
          </w:p>
        </w:tc>
        <w:tc>
          <w:tcPr>
            <w:tcW w:type="dxa" w:w="3120"/>
            <w:shd w:fill="FFFFFF"/>
            <w:tcMar>
              <w:top w:w="100" w:type="dxa"/>
              <w:bottom w:w="100" w:type="dxa"/>
              <w:left w:w="150" w:type="dxa"/>
              <w:right w:w="150" w:type="dxa"/>
            </w:tcMar>
          </w:tcPr>
          <w:p>
            <w:r>
              <w:t>Generates safe non-repudiation timestamps (B-[epoch]) for finance.</w:t>
            </w:r>
          </w:p>
        </w:tc>
      </w:tr>
    </w:tbl>
    <w:p>
      <w:pPr>
        <w:spacing w:after="240"/>
      </w:pPr>
    </w:p>
    <w:p>
      <w:pPr>
        <w:keepNext/>
        <w:spacing w:before="360" w:after="120"/>
        <w:pBdr>
          <w:bottom w:val="single" w:sz="8" w:space="4" w:color="FF69B4"/>
        </w:pBdr>
      </w:pPr>
      <w:r>
        <w:rPr>
          <w:b/>
          <w:color w:val="DA3287"/>
          <w:sz w:val="28"/>
        </w:rPr>
        <w:t>4. Application Architecture &amp; Workflow</w:t>
      </w:r>
    </w:p>
    <w:p>
      <w:r>
        <w:t>The code utilizes strict Object-Oriented Programming (OOP) inheritance to decouple specific responsibilities into dedicated functional visual blocks:</w:t>
      </w:r>
    </w:p>
    <w:p>
      <w:pPr>
        <w:spacing w:before="160" w:after="60"/>
      </w:pPr>
      <w:r>
        <w:rPr>
          <w:b/>
          <w:color w:val="646E78"/>
          <w:sz w:val="24"/>
        </w:rPr>
        <w:t>A. Security &amp; Gatekeeping Layer (Login Class)</w:t>
      </w:r>
    </w:p>
    <w:p>
      <w:r>
        <w:t>Restricts administrative dashboard manipulation to verified handlers. Password values use masked echo inputs (QLineEdit.Password) to enforce standard data privacy conventions. Cross-comparison is securely handled through parameterized execution to stop classic SQL injection routes, outputting warning dialogues via QMessageBox upon credentials discrepancy.</w:t>
      </w:r>
    </w:p>
    <w:p>
      <w:pPr>
        <w:spacing w:before="160" w:after="60"/>
      </w:pPr>
      <w:r>
        <w:rPr>
          <w:b/>
          <w:color w:val="646E78"/>
          <w:sz w:val="24"/>
        </w:rPr>
        <w:t>B. Command Center Module (Dashboard Class)</w:t>
      </w:r>
    </w:p>
    <w:p>
      <w:r>
        <w:t>An open QMainWindow space structured through an optimized 5-tab workspace panel allowing rapid operational switching:</w:t>
      </w:r>
    </w:p>
    <w:p>
      <w:pPr>
        <w:pStyle w:val="ListBullet"/>
        <w:spacing w:after="80"/>
      </w:pPr>
      <w:r>
        <w:rPr>
          <w:b/>
          <w:color w:val="DA3287"/>
        </w:rPr>
        <w:t xml:space="preserve">Flowers Workspace: </w:t>
      </w:r>
      <w:r>
        <w:t>Captures distinct inventory attributes (Name, Type, Color, Price) and mirrors table data via instant refresh callbacks into QTableWidget components.</w:t>
      </w:r>
    </w:p>
    <w:p>
      <w:pPr>
        <w:pStyle w:val="ListBullet"/>
        <w:spacing w:after="80"/>
      </w:pPr>
      <w:r>
        <w:rPr>
          <w:b/>
          <w:color w:val="DA3287"/>
        </w:rPr>
        <w:t xml:space="preserve">Customer Registry: </w:t>
      </w:r>
      <w:r>
        <w:t>Tracks dynamic customer acquisition pathways, linking client cellular contacts cleanly to operational logs.</w:t>
      </w:r>
    </w:p>
    <w:p>
      <w:pPr>
        <w:pStyle w:val="ListBullet"/>
        <w:spacing w:after="80"/>
      </w:pPr>
      <w:r>
        <w:rPr>
          <w:b/>
          <w:color w:val="DA3287"/>
        </w:rPr>
        <w:t xml:space="preserve">Sales Monitoring: </w:t>
      </w:r>
      <w:r>
        <w:t>Processes immediate point-of-sale entries, storing gross value metrics with real-time transactional timestamps.</w:t>
      </w:r>
    </w:p>
    <w:p>
      <w:pPr>
        <w:pStyle w:val="ListBullet"/>
        <w:spacing w:after="80"/>
      </w:pPr>
      <w:r>
        <w:rPr>
          <w:b/>
          <w:color w:val="DA3287"/>
        </w:rPr>
        <w:t xml:space="preserve">Inventory Controls: </w:t>
      </w:r>
      <w:r>
        <w:t>Utilizes advanced numeric safety constraints (QSpinBox) to easily increment or decrement absolute operational warehouse metrics.</w:t>
      </w:r>
    </w:p>
    <w:p>
      <w:pPr>
        <w:pStyle w:val="ListBullet"/>
        <w:spacing w:after="80"/>
      </w:pPr>
      <w:r>
        <w:rPr>
          <w:b/>
          <w:color w:val="DA3287"/>
        </w:rPr>
        <w:t xml:space="preserve">Financial Billing Ledger: </w:t>
      </w:r>
      <w:r>
        <w:t>Integrates system clock configurations to generate un-falsifiable transaction codes paired directly with real-time checkout indices.</w:t>
      </w:r>
    </w:p>
    <w:p>
      <w:pPr>
        <w:keepNext/>
        <w:spacing w:before="360" w:after="120"/>
        <w:pBdr>
          <w:bottom w:val="single" w:sz="8" w:space="4" w:color="FF69B4"/>
        </w:pBdr>
      </w:pPr>
      <w:r>
        <w:rPr>
          <w:b/>
          <w:color w:val="DA3287"/>
          <w:sz w:val="28"/>
        </w:rPr>
        <w:t>5. UI/UX Styling &amp; Aesthetic Elements</w:t>
      </w:r>
    </w:p>
    <w:p>
      <w:r>
        <w:t>The application features a unique visual presentation mapped out through cascading Qt Style Sheets (QSS) targeting native windows to offer high-end commercial visual response:</w:t>
      </w:r>
    </w:p>
    <w:p>
      <w:pPr>
        <w:pStyle w:val="ListBullet"/>
        <w:spacing w:after="80"/>
      </w:pPr>
      <w:r>
        <w:rPr>
          <w:b/>
          <w:color w:val="DA3287"/>
        </w:rPr>
        <w:t xml:space="preserve">Cohesive Palette: </w:t>
      </w:r>
      <w:r>
        <w:t>Utilizes soft pastel pink elements (#fff0f6 background matrix, #f8c8dc framing accents) to immediately mirror a professional floral theme.</w:t>
      </w:r>
    </w:p>
    <w:p>
      <w:pPr>
        <w:pStyle w:val="ListBullet"/>
        <w:spacing w:after="80"/>
      </w:pPr>
      <w:r>
        <w:rPr>
          <w:b/>
          <w:color w:val="DA3287"/>
        </w:rPr>
        <w:t xml:space="preserve">Interactive States: </w:t>
      </w:r>
      <w:r>
        <w:t>Buttons change dynamically upon pointer intersection (#ff69b4 turns to #ff85c1 via hover selectors), delivering premium tactile visual validation.</w:t>
      </w:r>
    </w:p>
    <w:p>
      <w:pPr>
        <w:pStyle w:val="ListBullet"/>
        <w:spacing w:after="80"/>
      </w:pPr>
      <w:r>
        <w:rPr>
          <w:b/>
          <w:color w:val="DA3287"/>
        </w:rPr>
        <w:t xml:space="preserve">Typography Mastery: </w:t>
      </w:r>
      <w:r>
        <w:t>Configured globally to Segoe UI (10pt-11pt font weights) ensuring comfortable alphanumeric structural readability within packed ledger windows.</w:t>
      </w:r>
    </w:p>
    <w:p>
      <w:pPr>
        <w:keepNext/>
        <w:spacing w:before="360" w:after="120"/>
        <w:pBdr>
          <w:bottom w:val="single" w:sz="8" w:space="4" w:color="FF69B4"/>
        </w:pBdr>
      </w:pPr>
      <w:r>
        <w:rPr>
          <w:b/>
          <w:color w:val="DA3287"/>
          <w:sz w:val="28"/>
        </w:rPr>
        <w:t>6. Conclusion &amp; Future Scaling</w:t>
      </w:r>
    </w:p>
    <w:p>
      <w:r>
        <w:t>The Blossom Flower Shop Management System delivers a robust desktop framework perfectly adjusted for business automation. Developed over Python 3.14 and structured via modular object classes, the code retains seamless scaling capabilities. Future iterations can easily expand this database model to incorporate SHA-256 cryptographic password layers, live hardware barcode integrations, and automated mathematical charts tracking gross sales trajectories over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Segoe UI" w:hAnsi="Segoe UI"/>
      <w:color w:val="282C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