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8A328" w14:textId="77777777" w:rsidR="00322D5E" w:rsidRDefault="00322D5E" w:rsidP="00322D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4"/>
        <w:rPr>
          <w:rFonts w:ascii="Calibri" w:eastAsia="Calibri" w:hAnsi="Calibri" w:cs="Calibri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Email to the Manager </w:t>
      </w:r>
    </w:p>
    <w:p w14:paraId="2DD7F153" w14:textId="77777777" w:rsidR="00322D5E" w:rsidRDefault="00322D5E" w:rsidP="00322D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To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: Joe (Manager at Citi Finance) </w:t>
      </w:r>
    </w:p>
    <w:p w14:paraId="5051D50B" w14:textId="77777777" w:rsidR="00322D5E" w:rsidRDefault="00322D5E" w:rsidP="00322D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4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From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: Isha Rathee (Financial Analyst at Citi Finance) </w:t>
      </w:r>
    </w:p>
    <w:p w14:paraId="6E66E34E" w14:textId="77777777" w:rsidR="00322D5E" w:rsidRDefault="00322D5E" w:rsidP="00322D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4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Date</w:t>
      </w:r>
      <w:r>
        <w:rPr>
          <w:rFonts w:ascii="Calibri" w:eastAsia="Calibri" w:hAnsi="Calibri" w:cs="Calibri"/>
          <w:color w:val="000000"/>
          <w:sz w:val="20"/>
          <w:szCs w:val="20"/>
        </w:rPr>
        <w:t>: 10-03-2026</w:t>
      </w:r>
    </w:p>
    <w:p w14:paraId="7C2B1F25" w14:textId="77777777" w:rsidR="00322D5E" w:rsidRDefault="00322D5E" w:rsidP="00322D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6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Subject: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Verification of </w:t>
      </w:r>
      <w:r>
        <w:rPr>
          <w:rFonts w:ascii="Calibri" w:eastAsia="Calibri" w:hAnsi="Calibri" w:cs="Calibri"/>
          <w:sz w:val="20"/>
          <w:szCs w:val="20"/>
        </w:rPr>
        <w:t>r</w:t>
      </w:r>
      <w:r>
        <w:rPr>
          <w:rFonts w:ascii="Calibri" w:eastAsia="Calibri" w:hAnsi="Calibri" w:cs="Calibri"/>
          <w:color w:val="000000"/>
          <w:sz w:val="20"/>
          <w:szCs w:val="20"/>
        </w:rPr>
        <w:t>isk-</w:t>
      </w:r>
      <w:r>
        <w:rPr>
          <w:rFonts w:ascii="Calibri" w:eastAsia="Calibri" w:hAnsi="Calibri" w:cs="Calibri"/>
          <w:sz w:val="20"/>
          <w:szCs w:val="20"/>
        </w:rPr>
        <w:t>w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eighted </w:t>
      </w:r>
      <w:r>
        <w:rPr>
          <w:rFonts w:ascii="Calibri" w:eastAsia="Calibri" w:hAnsi="Calibri" w:cs="Calibri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z w:val="20"/>
          <w:szCs w:val="20"/>
        </w:rPr>
        <w:t>ssets provided by operating units</w:t>
      </w:r>
    </w:p>
    <w:p w14:paraId="1D56B95E" w14:textId="77777777" w:rsidR="00322D5E" w:rsidRDefault="00322D5E" w:rsidP="00322D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7"/>
        <w:rPr>
          <w:rFonts w:ascii="Calibri" w:eastAsia="Calibri" w:hAnsi="Calibri" w:cs="Calibri"/>
          <w:color w:val="000000"/>
          <w:sz w:val="20"/>
          <w:szCs w:val="20"/>
        </w:rPr>
      </w:pPr>
    </w:p>
    <w:p w14:paraId="2312066B" w14:textId="77777777" w:rsidR="00322D5E" w:rsidRDefault="00322D5E" w:rsidP="00322D5E">
      <w:pPr>
        <w:pStyle w:val="NormalWeb"/>
      </w:pPr>
      <w:r>
        <w:t>Dear Joe,</w:t>
      </w:r>
    </w:p>
    <w:p w14:paraId="058D045A" w14:textId="77777777" w:rsidR="00322D5E" w:rsidRDefault="00322D5E" w:rsidP="00322D5E">
      <w:pPr>
        <w:pStyle w:val="NormalWeb"/>
      </w:pPr>
      <w:r>
        <w:t>I have completed an independent verification of the risk-weighted assets (RWA) and minimum capital adequacy ratios submitted by the operating units in accordance with Basel III requirements.</w:t>
      </w:r>
    </w:p>
    <w:p w14:paraId="0DEC9D22" w14:textId="77777777" w:rsidR="00322D5E" w:rsidRDefault="00322D5E" w:rsidP="00322D5E">
      <w:pPr>
        <w:pStyle w:val="NormalWeb"/>
      </w:pPr>
      <w:r>
        <w:t>Using the Federal Reserve Board standardized methodology, I recalculated RWAs by applying the appropriate risk weights to each asset class and subsequently calculated the Common Equity Tier 1 (CET1) capital ratios for each operating unit.</w:t>
      </w:r>
    </w:p>
    <w:p w14:paraId="4954C9D0" w14:textId="77777777" w:rsidR="00322D5E" w:rsidRDefault="00322D5E" w:rsidP="00322D5E">
      <w:pPr>
        <w:pStyle w:val="NormalWeb"/>
      </w:pPr>
      <w:r>
        <w:t xml:space="preserve">My analysis indicates that Operating Units </w:t>
      </w:r>
      <w:r>
        <w:rPr>
          <w:rStyle w:val="Strong"/>
        </w:rPr>
        <w:t>A and B maintain capital adequacy ratios above the Basel III minimum requirement of 10.5%</w:t>
      </w:r>
      <w:r>
        <w:t xml:space="preserve">, with ratios of approximately </w:t>
      </w:r>
      <w:r>
        <w:rPr>
          <w:rStyle w:val="Strong"/>
        </w:rPr>
        <w:t>13.5% and 22.4% respectively</w:t>
      </w:r>
      <w:r>
        <w:t>, suggesting sufficient capitalization relative to their risk-weighted assets.</w:t>
      </w:r>
    </w:p>
    <w:p w14:paraId="54CF0DB3" w14:textId="77777777" w:rsidR="00322D5E" w:rsidRDefault="00322D5E" w:rsidP="00322D5E">
      <w:pPr>
        <w:pStyle w:val="NormalWeb"/>
      </w:pPr>
      <w:r>
        <w:t xml:space="preserve">However, </w:t>
      </w:r>
      <w:r>
        <w:rPr>
          <w:rStyle w:val="Strong"/>
        </w:rPr>
        <w:t>Operating Units C and D fall below the regulatory threshold</w:t>
      </w:r>
      <w:r>
        <w:t xml:space="preserve">, with recalculated capital adequacy ratios of </w:t>
      </w:r>
      <w:r>
        <w:rPr>
          <w:rStyle w:val="Strong"/>
        </w:rPr>
        <w:t>7.8% and 4.3% respectively</w:t>
      </w:r>
      <w:r>
        <w:t>, which would indicate potential non-compliance with Basel III capital requirements.</w:t>
      </w:r>
    </w:p>
    <w:p w14:paraId="264D5D67" w14:textId="77777777" w:rsidR="00322D5E" w:rsidRDefault="00322D5E" w:rsidP="00322D5E">
      <w:pPr>
        <w:pStyle w:val="NormalWeb"/>
      </w:pPr>
      <w:r>
        <w:t xml:space="preserve">Additionally, I identified </w:t>
      </w:r>
      <w:r>
        <w:rPr>
          <w:rStyle w:val="Strong"/>
        </w:rPr>
        <w:t>discrepancies between the RWAs reported by certain operating units and those derived using the standardized risk-weighting methodology</w:t>
      </w:r>
      <w:r>
        <w:t xml:space="preserve">. For example, the independently calculated RWA for Operating Unit A is </w:t>
      </w:r>
      <w:r>
        <w:rPr>
          <w:rStyle w:val="Strong"/>
        </w:rPr>
        <w:t>$74m</w:t>
      </w:r>
      <w:r>
        <w:t xml:space="preserve">, compared with </w:t>
      </w:r>
      <w:r>
        <w:rPr>
          <w:rStyle w:val="Strong"/>
        </w:rPr>
        <w:t>$70.25m reported</w:t>
      </w:r>
      <w:r>
        <w:t xml:space="preserve">, while Unit D shows a significant difference between the reported </w:t>
      </w:r>
      <w:r>
        <w:rPr>
          <w:rStyle w:val="Strong"/>
        </w:rPr>
        <w:t>$200.23m</w:t>
      </w:r>
      <w:r>
        <w:t xml:space="preserve"> and recalculated </w:t>
      </w:r>
      <w:r>
        <w:rPr>
          <w:rStyle w:val="Strong"/>
        </w:rPr>
        <w:t>$462.5m</w:t>
      </w:r>
      <w:r>
        <w:t>. These inconsistencies suggest potential misapplication of risk weights or calculation errors in the submitted figures.</w:t>
      </w:r>
    </w:p>
    <w:p w14:paraId="0104F5F0" w14:textId="77777777" w:rsidR="00322D5E" w:rsidRDefault="00322D5E" w:rsidP="00322D5E">
      <w:pPr>
        <w:pStyle w:val="NormalWeb"/>
      </w:pPr>
      <w:r>
        <w:t>I recommend that we request clarification from the relevant operating units regarding their methodology and calculations to ensure alignment with Basel III standards before finalizing the capital adequacy review.</w:t>
      </w:r>
    </w:p>
    <w:p w14:paraId="365BB089" w14:textId="77777777" w:rsidR="00322D5E" w:rsidRDefault="00322D5E" w:rsidP="00322D5E">
      <w:pPr>
        <w:pStyle w:val="NormalWeb"/>
      </w:pPr>
      <w:r>
        <w:t>Please let me know if you would like me to conduct a deeper review of the underlying assumptions or coordinate with the operating units to reconcile these differences.</w:t>
      </w:r>
    </w:p>
    <w:p w14:paraId="76904206" w14:textId="77777777" w:rsidR="00322D5E" w:rsidRDefault="00322D5E" w:rsidP="00322D5E">
      <w:pPr>
        <w:pStyle w:val="NormalWeb"/>
      </w:pPr>
      <w:r>
        <w:t>Many thanks,</w:t>
      </w:r>
    </w:p>
    <w:p w14:paraId="1741C5B6" w14:textId="77777777" w:rsidR="00322D5E" w:rsidRDefault="00322D5E" w:rsidP="00322D5E">
      <w:pPr>
        <w:pStyle w:val="NormalWeb"/>
      </w:pPr>
      <w:r>
        <w:t>Isha Rathee</w:t>
      </w:r>
      <w:r>
        <w:br/>
        <w:t>Financial Analyst</w:t>
      </w:r>
      <w:r>
        <w:br/>
        <w:t>Citi Finance</w:t>
      </w:r>
    </w:p>
    <w:p w14:paraId="514A8F63" w14:textId="77777777" w:rsidR="00322D5E" w:rsidRDefault="00322D5E" w:rsidP="00322D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6"/>
        <w:rPr>
          <w:rFonts w:ascii="Calibri" w:eastAsia="Calibri" w:hAnsi="Calibri" w:cs="Calibri"/>
          <w:color w:val="000000"/>
          <w:sz w:val="20"/>
          <w:szCs w:val="20"/>
        </w:rPr>
      </w:pPr>
    </w:p>
    <w:p w14:paraId="1A8DC553" w14:textId="77777777" w:rsidR="00D60DD2" w:rsidRDefault="00D60DD2"/>
    <w:sectPr w:rsidR="00D60DD2">
      <w:footerReference w:type="default" r:id="rId4"/>
      <w:pgSz w:w="11920" w:h="16840"/>
      <w:pgMar w:top="713" w:right="725" w:bottom="2752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BB29D" w14:textId="77777777" w:rsidR="00903F8D" w:rsidRDefault="00322D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05"/>
    <w:rsid w:val="00322D5E"/>
    <w:rsid w:val="005706C6"/>
    <w:rsid w:val="00D60DD2"/>
    <w:rsid w:val="00D7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0D5F5-F19E-4FDC-974B-9B3305D9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5E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2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322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Rathee</dc:creator>
  <cp:keywords/>
  <dc:description/>
  <cp:lastModifiedBy>Isha Rathee</cp:lastModifiedBy>
  <cp:revision>2</cp:revision>
  <dcterms:created xsi:type="dcterms:W3CDTF">2026-03-10T04:51:00Z</dcterms:created>
  <dcterms:modified xsi:type="dcterms:W3CDTF">2026-03-10T04:51:00Z</dcterms:modified>
</cp:coreProperties>
</file>