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24A"/>
          <w:sz w:val="56"/>
        </w:rPr>
        <w:t>Product Requirements Document</w:t>
      </w:r>
    </w:p>
    <w:p>
      <w:pPr>
        <w:jc w:val="center"/>
      </w:pPr>
      <w:r>
        <w:rPr>
          <w:color w:val="666666"/>
          <w:sz w:val="26"/>
        </w:rPr>
        <w:t>YT Signal Scout — Emerging YouTube Channel Discovery Agent</w:t>
      </w:r>
    </w:p>
    <w:p>
      <w:pPr>
        <w:jc w:val="center"/>
      </w:pPr>
      <w:r>
        <w:rPr>
          <w:color w:val="666666"/>
          <w:sz w:val="18"/>
        </w:rPr>
        <w:t>Version 1.0 | 19 July 2026 | Confidential Working Draft</w:t>
      </w:r>
    </w:p>
    <w:p>
      <w:r>
        <w:br/>
      </w:r>
    </w:p>
    <w:tbl>
      <w:tblPr>
        <w:tblStyle w:val="TableGrid"/>
        <w:tblW w:type="auto" w:w="0"/>
        <w:tblLook w:firstColumn="1" w:firstRow="1" w:lastColumn="0" w:lastRow="0" w:noHBand="0" w:noVBand="1" w:val="04A0"/>
      </w:tblPr>
      <w:tblGrid>
        <w:gridCol w:w="10080"/>
      </w:tblGrid>
      <w:tr>
        <w:tc>
          <w:tcPr>
            <w:tcW w:type="dxa" w:w="10080"/>
            <w:shd w:fill="D9EAF7"/>
          </w:tcPr>
          <w:p>
            <w:r>
              <w:rPr>
                <w:b/>
                <w:color w:val="1F4E78"/>
              </w:rPr>
              <w:t xml:space="preserve">PRODUCT DEFINITION: </w:t>
            </w:r>
            <w:r>
              <w:rPr>
                <w:sz w:val="18"/>
              </w:rPr>
              <w:t>A discovery and monitoring platform that identifies public YouTube channels whose recent videos consistently attract disproportionately high viewership relative to their publicly visible subscriber base, while separating official YouTube metrics from product-generated analytical scores.</w:t>
            </w:r>
          </w:p>
        </w:tc>
      </w:tr>
    </w:tbl>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2448"/>
            <w:shd w:fill="1F4E78"/>
            <w:vAlign w:val="center"/>
          </w:tcPr>
          <w:p>
            <w:r/>
            <w:r>
              <w:rPr>
                <w:b/>
                <w:color w:val="FFFFFF"/>
                <w:sz w:val="17"/>
              </w:rPr>
              <w:t>Field</w:t>
            </w:r>
          </w:p>
        </w:tc>
        <w:tc>
          <w:tcPr>
            <w:tcW w:type="dxa" w:w="7776"/>
            <w:shd w:fill="1F4E78"/>
            <w:vAlign w:val="center"/>
          </w:tcPr>
          <w:p>
            <w:r/>
            <w:r>
              <w:rPr>
                <w:b/>
                <w:color w:val="FFFFFF"/>
                <w:sz w:val="17"/>
              </w:rPr>
              <w:t>Value</w:t>
            </w:r>
          </w:p>
        </w:tc>
      </w:tr>
      <w:tr>
        <w:tc>
          <w:tcPr>
            <w:tcW w:type="dxa" w:w="2448"/>
            <w:vAlign w:val="center"/>
          </w:tcPr>
          <w:p>
            <w:r/>
            <w:r>
              <w:rPr>
                <w:b w:val="0"/>
                <w:sz w:val="17"/>
              </w:rPr>
              <w:t>Document</w:t>
            </w:r>
          </w:p>
        </w:tc>
        <w:tc>
          <w:tcPr>
            <w:tcW w:type="dxa" w:w="7776"/>
            <w:vAlign w:val="center"/>
          </w:tcPr>
          <w:p>
            <w:r/>
            <w:r>
              <w:rPr>
                <w:b w:val="0"/>
                <w:sz w:val="17"/>
              </w:rPr>
              <w:t>Product Requirements Document</w:t>
            </w:r>
          </w:p>
        </w:tc>
      </w:tr>
      <w:tr>
        <w:tc>
          <w:tcPr>
            <w:tcW w:type="dxa" w:w="2448"/>
            <w:vAlign w:val="center"/>
            <w:shd w:fill="F6F9FC"/>
          </w:tcPr>
          <w:p>
            <w:r/>
            <w:r>
              <w:rPr>
                <w:b w:val="0"/>
                <w:sz w:val="17"/>
              </w:rPr>
              <w:t>Owner</w:t>
            </w:r>
          </w:p>
        </w:tc>
        <w:tc>
          <w:tcPr>
            <w:tcW w:type="dxa" w:w="7776"/>
            <w:vAlign w:val="center"/>
            <w:shd w:fill="F6F9FC"/>
          </w:tcPr>
          <w:p>
            <w:r/>
            <w:r>
              <w:rPr>
                <w:b w:val="0"/>
                <w:sz w:val="17"/>
              </w:rPr>
              <w:t>Product and Engineering</w:t>
            </w:r>
          </w:p>
        </w:tc>
      </w:tr>
      <w:tr>
        <w:tc>
          <w:tcPr>
            <w:tcW w:type="dxa" w:w="2448"/>
            <w:vAlign w:val="center"/>
          </w:tcPr>
          <w:p>
            <w:r/>
            <w:r>
              <w:rPr>
                <w:b w:val="0"/>
                <w:sz w:val="17"/>
              </w:rPr>
              <w:t>Status</w:t>
            </w:r>
          </w:p>
        </w:tc>
        <w:tc>
          <w:tcPr>
            <w:tcW w:type="dxa" w:w="7776"/>
            <w:vAlign w:val="center"/>
          </w:tcPr>
          <w:p>
            <w:r/>
            <w:r>
              <w:rPr>
                <w:b w:val="0"/>
                <w:sz w:val="17"/>
              </w:rPr>
              <w:t>Baseline draft for validation</w:t>
            </w:r>
          </w:p>
        </w:tc>
      </w:tr>
      <w:tr>
        <w:tc>
          <w:tcPr>
            <w:tcW w:type="dxa" w:w="2448"/>
            <w:vAlign w:val="center"/>
            <w:shd w:fill="F6F9FC"/>
          </w:tcPr>
          <w:p>
            <w:r/>
            <w:r>
              <w:rPr>
                <w:b w:val="0"/>
                <w:sz w:val="17"/>
              </w:rPr>
              <w:t>Review cadence</w:t>
            </w:r>
          </w:p>
        </w:tc>
        <w:tc>
          <w:tcPr>
            <w:tcW w:type="dxa" w:w="7776"/>
            <w:vAlign w:val="center"/>
            <w:shd w:fill="F6F9FC"/>
          </w:tcPr>
          <w:p>
            <w:r/>
            <w:r>
              <w:rPr>
                <w:b w:val="0"/>
                <w:sz w:val="17"/>
              </w:rPr>
              <w:t>At every material API/policy or architecture change</w:t>
            </w:r>
          </w:p>
        </w:tc>
      </w:tr>
      <w:tr>
        <w:tc>
          <w:tcPr>
            <w:tcW w:type="dxa" w:w="2448"/>
            <w:vAlign w:val="center"/>
          </w:tcPr>
          <w:p>
            <w:r/>
            <w:r>
              <w:rPr>
                <w:b w:val="0"/>
                <w:sz w:val="17"/>
              </w:rPr>
              <w:t>Approvers</w:t>
            </w:r>
          </w:p>
        </w:tc>
        <w:tc>
          <w:tcPr>
            <w:tcW w:type="dxa" w:w="7776"/>
            <w:vAlign w:val="center"/>
          </w:tcPr>
          <w:p>
            <w:r/>
            <w:r>
              <w:rPr>
                <w:b w:val="0"/>
                <w:sz w:val="17"/>
              </w:rPr>
              <w:t>Founder/Product Owner, Engineering Lead, Security Lead, Legal/Compliance</w:t>
            </w:r>
          </w:p>
        </w:tc>
      </w:tr>
      <w:tr>
        <w:tc>
          <w:tcPr>
            <w:tcW w:type="dxa" w:w="2448"/>
            <w:vAlign w:val="center"/>
            <w:shd w:fill="F6F9FC"/>
          </w:tcPr>
          <w:p>
            <w:r/>
            <w:r>
              <w:rPr>
                <w:b w:val="0"/>
                <w:sz w:val="17"/>
              </w:rPr>
              <w:t>Related documents</w:t>
            </w:r>
          </w:p>
        </w:tc>
        <w:tc>
          <w:tcPr>
            <w:tcW w:type="dxa" w:w="7776"/>
            <w:vAlign w:val="center"/>
            <w:shd w:fill="F6F9FC"/>
          </w:tcPr>
          <w:p>
            <w:r/>
            <w:r>
              <w:rPr>
                <w:b w:val="0"/>
                <w:sz w:val="17"/>
              </w:rPr>
              <w:t>PRD, TRD, UI/UX Specification, Security Specification, Feature Catalogue</w:t>
            </w:r>
          </w:p>
        </w:tc>
      </w:tr>
    </w:tbl>
    <w:p/>
    <w:p>
      <w:pPr>
        <w:pStyle w:val="Heading1"/>
      </w:pPr>
      <w:r>
        <w:t>Assumptions and Non-Negotiable Constraints</w:t>
      </w:r>
    </w:p>
    <w:p>
      <w:pPr>
        <w:pStyle w:val="ListBullet"/>
      </w:pPr>
      <w:r>
        <w:t>Production collection uses documented YouTube API Services only; no HTML scraping, undocumented endpoints, CAPTCHA bypass, or credential rotation to evade quota.</w:t>
      </w:r>
    </w:p>
    <w:p>
      <w:pPr>
        <w:pStyle w:val="ListBullet"/>
      </w:pPr>
      <w:r>
        <w:t>Public discovery cannot access impressions, click-through rate, audience retention, traffic source, revenue, or exact subscriber gains unless a channel owner explicitly authorizes access.</w:t>
      </w:r>
    </w:p>
    <w:p>
      <w:pPr>
        <w:pStyle w:val="ListBullet"/>
      </w:pPr>
      <w:r>
        <w:t>Subscriber counts may be hidden or rounded. Any ratio using subscriber count must carry a data-quality indicator.</w:t>
      </w:r>
    </w:p>
    <w:p>
      <w:pPr>
        <w:pStyle w:val="ListBullet"/>
      </w:pPr>
      <w:r>
        <w:t>A product-generated score must be visibly labelled as proprietary and not presented as an official YouTube metric.</w:t>
      </w:r>
    </w:p>
    <w:p>
      <w:pPr>
        <w:pStyle w:val="ListBullet"/>
      </w:pPr>
      <w:r>
        <w:t>The product must maintain a policy kill switch capable of disabling collection, derived metrics, or display without redeployment.</w:t>
      </w:r>
    </w:p>
    <w:p>
      <w:pPr>
        <w:pStyle w:val="Heading1"/>
      </w:pPr>
      <w:r>
        <w:t>1. Executive Product Decision</w:t>
      </w:r>
    </w:p>
    <w:p>
      <w:r>
        <w:t>Build the product as a quota-aware discovery and monitoring system, not as an unrestricted web crawler. The first release should find candidates through bounded topic/region/language searches, enrich channels and recent videos through official API endpoints, store time-series snapshots, calculate transparent proprietary signals, and present explainable rankings with confidence levels.</w:t>
      </w:r>
    </w:p>
    <w:tbl>
      <w:tblPr>
        <w:tblStyle w:val="TableGrid"/>
        <w:tblW w:type="auto" w:w="0"/>
        <w:tblLook w:firstColumn="1" w:firstRow="1" w:lastColumn="0" w:lastRow="0" w:noHBand="0" w:noVBand="1" w:val="04A0"/>
      </w:tblPr>
      <w:tblGrid>
        <w:gridCol w:w="10080"/>
      </w:tblGrid>
      <w:tr>
        <w:tc>
          <w:tcPr>
            <w:tcW w:type="dxa" w:w="10080"/>
            <w:shd w:fill="D9EAF7"/>
          </w:tcPr>
          <w:p>
            <w:r>
              <w:rPr>
                <w:b/>
                <w:color w:val="1F4E78"/>
              </w:rPr>
              <w:t xml:space="preserve">MVP SUCCESS CRITERION: </w:t>
            </w:r>
            <w:r>
              <w:rPr>
                <w:sz w:val="18"/>
              </w:rPr>
              <w:t>A user can define a market, run discovery, and receive a ranked shortlist in which at least 70% of reviewed top-20 channels are judged manually to have unusually strong recent audience demand relative to current public subscriber scale.</w:t>
            </w:r>
          </w:p>
        </w:tc>
      </w:tr>
    </w:tbl>
    <w:p/>
    <w:p>
      <w:pPr>
        <w:pStyle w:val="Heading1"/>
      </w:pPr>
      <w:r>
        <w:t>2. Problem Statement</w:t>
      </w:r>
    </w:p>
    <w:p>
      <w:r>
        <w:t>Creators, agencies, investors, talent scouts, media buyers, and competitive-intelligence teams discover breakout channels late. Absolute views favor established channels, while subscriber count alone misses channels whose videos are being distributed far beyond their subscriber base. The product must surface emerging channels early and show the evidence behind each recommendation.</w:t>
      </w:r>
    </w:p>
    <w:p>
      <w:pPr>
        <w:pStyle w:val="Heading1"/>
      </w:pPr>
      <w:r>
        <w:t>3. Personas and Jobs-to-be-Done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fill="1F4E78"/>
            <w:vAlign w:val="center"/>
          </w:tcPr>
          <w:p>
            <w:r/>
            <w:r>
              <w:rPr>
                <w:b/>
                <w:color w:val="FFFFFF"/>
                <w:sz w:val="17"/>
              </w:rPr>
              <w:t>Persona</w:t>
            </w:r>
          </w:p>
        </w:tc>
        <w:tc>
          <w:tcPr>
            <w:tcW w:type="dxa" w:w="2880"/>
            <w:shd w:fill="1F4E78"/>
            <w:vAlign w:val="center"/>
          </w:tcPr>
          <w:p>
            <w:r/>
            <w:r>
              <w:rPr>
                <w:b/>
                <w:color w:val="FFFFFF"/>
                <w:sz w:val="17"/>
              </w:rPr>
              <w:t>Primary job</w:t>
            </w:r>
          </w:p>
        </w:tc>
        <w:tc>
          <w:tcPr>
            <w:tcW w:type="dxa" w:w="3744"/>
            <w:shd w:fill="1F4E78"/>
            <w:vAlign w:val="center"/>
          </w:tcPr>
          <w:p>
            <w:r/>
            <w:r>
              <w:rPr>
                <w:b/>
                <w:color w:val="FFFFFF"/>
                <w:sz w:val="17"/>
              </w:rPr>
              <w:t>Decision enabled</w:t>
            </w:r>
          </w:p>
        </w:tc>
        <w:tc>
          <w:tcPr>
            <w:tcW w:type="dxa" w:w="1440"/>
            <w:shd w:fill="1F4E78"/>
            <w:vAlign w:val="center"/>
          </w:tcPr>
          <w:p>
            <w:r/>
            <w:r>
              <w:rPr>
                <w:b/>
                <w:color w:val="FFFFFF"/>
                <w:sz w:val="17"/>
              </w:rPr>
              <w:t>Frequency</w:t>
            </w:r>
          </w:p>
        </w:tc>
      </w:tr>
      <w:tr>
        <w:tc>
          <w:tcPr>
            <w:tcW w:type="dxa" w:w="2160"/>
            <w:vAlign w:val="center"/>
          </w:tcPr>
          <w:p>
            <w:r/>
            <w:r>
              <w:rPr>
                <w:b w:val="0"/>
                <w:sz w:val="17"/>
              </w:rPr>
              <w:t>Creator / content strategist</w:t>
            </w:r>
          </w:p>
        </w:tc>
        <w:tc>
          <w:tcPr>
            <w:tcW w:type="dxa" w:w="2880"/>
            <w:vAlign w:val="center"/>
          </w:tcPr>
          <w:p>
            <w:r/>
            <w:r>
              <w:rPr>
                <w:b w:val="0"/>
                <w:sz w:val="17"/>
              </w:rPr>
              <w:t>Find formats and niches gaining algorithmic reach</w:t>
            </w:r>
          </w:p>
        </w:tc>
        <w:tc>
          <w:tcPr>
            <w:tcW w:type="dxa" w:w="3744"/>
            <w:vAlign w:val="center"/>
          </w:tcPr>
          <w:p>
            <w:r/>
            <w:r>
              <w:rPr>
                <w:b w:val="0"/>
                <w:sz w:val="17"/>
              </w:rPr>
              <w:t>What topic, format or creator pattern should I study?</w:t>
            </w:r>
          </w:p>
        </w:tc>
        <w:tc>
          <w:tcPr>
            <w:tcW w:type="dxa" w:w="1440"/>
            <w:vAlign w:val="center"/>
          </w:tcPr>
          <w:p>
            <w:r/>
            <w:r>
              <w:rPr>
                <w:b w:val="0"/>
                <w:sz w:val="17"/>
              </w:rPr>
              <w:t>Daily/weekly</w:t>
            </w:r>
          </w:p>
        </w:tc>
      </w:tr>
      <w:tr>
        <w:tc>
          <w:tcPr>
            <w:tcW w:type="dxa" w:w="2160"/>
            <w:vAlign w:val="center"/>
            <w:shd w:fill="F6F9FC"/>
          </w:tcPr>
          <w:p>
            <w:r/>
            <w:r>
              <w:rPr>
                <w:b w:val="0"/>
                <w:sz w:val="17"/>
              </w:rPr>
              <w:t>Talent or influencer agency</w:t>
            </w:r>
          </w:p>
        </w:tc>
        <w:tc>
          <w:tcPr>
            <w:tcW w:type="dxa" w:w="2880"/>
            <w:vAlign w:val="center"/>
            <w:shd w:fill="F6F9FC"/>
          </w:tcPr>
          <w:p>
            <w:r/>
            <w:r>
              <w:rPr>
                <w:b w:val="0"/>
                <w:sz w:val="17"/>
              </w:rPr>
              <w:t>Identify creators before rates and competition rise</w:t>
            </w:r>
          </w:p>
        </w:tc>
        <w:tc>
          <w:tcPr>
            <w:tcW w:type="dxa" w:w="3744"/>
            <w:vAlign w:val="center"/>
            <w:shd w:fill="F6F9FC"/>
          </w:tcPr>
          <w:p>
            <w:r/>
            <w:r>
              <w:rPr>
                <w:b w:val="0"/>
                <w:sz w:val="17"/>
              </w:rPr>
              <w:t>Who should we contact or sign?</w:t>
            </w:r>
          </w:p>
        </w:tc>
        <w:tc>
          <w:tcPr>
            <w:tcW w:type="dxa" w:w="1440"/>
            <w:vAlign w:val="center"/>
            <w:shd w:fill="F6F9FC"/>
          </w:tcPr>
          <w:p>
            <w:r/>
            <w:r>
              <w:rPr>
                <w:b w:val="0"/>
                <w:sz w:val="17"/>
              </w:rPr>
              <w:t>Daily</w:t>
            </w:r>
          </w:p>
        </w:tc>
      </w:tr>
      <w:tr>
        <w:tc>
          <w:tcPr>
            <w:tcW w:type="dxa" w:w="2160"/>
            <w:vAlign w:val="center"/>
          </w:tcPr>
          <w:p>
            <w:r/>
            <w:r>
              <w:rPr>
                <w:b w:val="0"/>
                <w:sz w:val="17"/>
              </w:rPr>
              <w:t>Brand / media buyer</w:t>
            </w:r>
          </w:p>
        </w:tc>
        <w:tc>
          <w:tcPr>
            <w:tcW w:type="dxa" w:w="2880"/>
            <w:vAlign w:val="center"/>
          </w:tcPr>
          <w:p>
            <w:r/>
            <w:r>
              <w:rPr>
                <w:b w:val="0"/>
                <w:sz w:val="17"/>
              </w:rPr>
              <w:t>Find efficient emerging creators</w:t>
            </w:r>
          </w:p>
        </w:tc>
        <w:tc>
          <w:tcPr>
            <w:tcW w:type="dxa" w:w="3744"/>
            <w:vAlign w:val="center"/>
          </w:tcPr>
          <w:p>
            <w:r/>
            <w:r>
              <w:rPr>
                <w:b w:val="0"/>
                <w:sz w:val="17"/>
              </w:rPr>
              <w:t>Which channels may deliver reach beyond follower size?</w:t>
            </w:r>
          </w:p>
        </w:tc>
        <w:tc>
          <w:tcPr>
            <w:tcW w:type="dxa" w:w="1440"/>
            <w:vAlign w:val="center"/>
          </w:tcPr>
          <w:p>
            <w:r/>
            <w:r>
              <w:rPr>
                <w:b w:val="0"/>
                <w:sz w:val="17"/>
              </w:rPr>
              <w:t>Campaign-based</w:t>
            </w:r>
          </w:p>
        </w:tc>
      </w:tr>
      <w:tr>
        <w:tc>
          <w:tcPr>
            <w:tcW w:type="dxa" w:w="2160"/>
            <w:vAlign w:val="center"/>
            <w:shd w:fill="F6F9FC"/>
          </w:tcPr>
          <w:p>
            <w:r/>
            <w:r>
              <w:rPr>
                <w:b w:val="0"/>
                <w:sz w:val="17"/>
              </w:rPr>
              <w:t>Investor / studio / network</w:t>
            </w:r>
          </w:p>
        </w:tc>
        <w:tc>
          <w:tcPr>
            <w:tcW w:type="dxa" w:w="2880"/>
            <w:vAlign w:val="center"/>
            <w:shd w:fill="F6F9FC"/>
          </w:tcPr>
          <w:p>
            <w:r/>
            <w:r>
              <w:rPr>
                <w:b w:val="0"/>
                <w:sz w:val="17"/>
              </w:rPr>
              <w:t>Track creator momentum and category shifts</w:t>
            </w:r>
          </w:p>
        </w:tc>
        <w:tc>
          <w:tcPr>
            <w:tcW w:type="dxa" w:w="3744"/>
            <w:vAlign w:val="center"/>
            <w:shd w:fill="F6F9FC"/>
          </w:tcPr>
          <w:p>
            <w:r/>
            <w:r>
              <w:rPr>
                <w:b w:val="0"/>
                <w:sz w:val="17"/>
              </w:rPr>
              <w:t>Which channels or niches are compounding?</w:t>
            </w:r>
          </w:p>
        </w:tc>
        <w:tc>
          <w:tcPr>
            <w:tcW w:type="dxa" w:w="1440"/>
            <w:vAlign w:val="center"/>
            <w:shd w:fill="F6F9FC"/>
          </w:tcPr>
          <w:p>
            <w:r/>
            <w:r>
              <w:rPr>
                <w:b w:val="0"/>
                <w:sz w:val="17"/>
              </w:rPr>
              <w:t>Weekly/monthly</w:t>
            </w:r>
          </w:p>
        </w:tc>
      </w:tr>
      <w:tr>
        <w:tc>
          <w:tcPr>
            <w:tcW w:type="dxa" w:w="2160"/>
            <w:vAlign w:val="center"/>
          </w:tcPr>
          <w:p>
            <w:r/>
            <w:r>
              <w:rPr>
                <w:b w:val="0"/>
                <w:sz w:val="17"/>
              </w:rPr>
              <w:t>Research analyst</w:t>
            </w:r>
          </w:p>
        </w:tc>
        <w:tc>
          <w:tcPr>
            <w:tcW w:type="dxa" w:w="2880"/>
            <w:vAlign w:val="center"/>
          </w:tcPr>
          <w:p>
            <w:r/>
            <w:r>
              <w:rPr>
                <w:b w:val="0"/>
                <w:sz w:val="17"/>
              </w:rPr>
              <w:t>Build repeatable market maps</w:t>
            </w:r>
          </w:p>
        </w:tc>
        <w:tc>
          <w:tcPr>
            <w:tcW w:type="dxa" w:w="3744"/>
            <w:vAlign w:val="center"/>
          </w:tcPr>
          <w:p>
            <w:r/>
            <w:r>
              <w:rPr>
                <w:b w:val="0"/>
                <w:sz w:val="17"/>
              </w:rPr>
              <w:t>What changed, and why was a channel ranked?</w:t>
            </w:r>
          </w:p>
        </w:tc>
        <w:tc>
          <w:tcPr>
            <w:tcW w:type="dxa" w:w="1440"/>
            <w:vAlign w:val="center"/>
          </w:tcPr>
          <w:p>
            <w:r/>
            <w:r>
              <w:rPr>
                <w:b w:val="0"/>
                <w:sz w:val="17"/>
              </w:rPr>
              <w:t>Weekly</w:t>
            </w:r>
          </w:p>
        </w:tc>
      </w:tr>
    </w:tbl>
    <w:p/>
    <w:p>
      <w:pPr>
        <w:pStyle w:val="Heading1"/>
      </w:pPr>
      <w:r>
        <w:t>4. Goals, Non-Goals and Guardrails</w:t>
      </w:r>
    </w:p>
    <w:tbl>
      <w:tblPr>
        <w:tblStyle w:val="TableGrid"/>
        <w:tblW w:type="auto" w:w="0"/>
        <w:jc w:val="center"/>
        <w:tblLook w:firstColumn="1" w:firstRow="1" w:lastColumn="0" w:lastRow="0" w:noHBand="0" w:noVBand="1" w:val="04A0"/>
      </w:tblPr>
      <w:tblGrid>
        <w:gridCol w:w="3360"/>
        <w:gridCol w:w="3360"/>
        <w:gridCol w:w="3360"/>
      </w:tblGrid>
      <w:tr>
        <w:tc>
          <w:tcPr>
            <w:tcW w:type="dxa" w:w="1008"/>
            <w:shd w:fill="1F4E78"/>
            <w:vAlign w:val="center"/>
          </w:tcPr>
          <w:p>
            <w:r/>
            <w:r>
              <w:rPr>
                <w:b/>
                <w:color w:val="FFFFFF"/>
                <w:sz w:val="17"/>
              </w:rPr>
              <w:t>ID</w:t>
            </w:r>
          </w:p>
        </w:tc>
        <w:tc>
          <w:tcPr>
            <w:tcW w:type="dxa" w:w="1296"/>
            <w:shd w:fill="1F4E78"/>
            <w:vAlign w:val="center"/>
          </w:tcPr>
          <w:p>
            <w:r/>
            <w:r>
              <w:rPr>
                <w:b/>
                <w:color w:val="FFFFFF"/>
                <w:sz w:val="17"/>
              </w:rPr>
              <w:t>Type</w:t>
            </w:r>
          </w:p>
        </w:tc>
        <w:tc>
          <w:tcPr>
            <w:tcW w:type="dxa" w:w="7920"/>
            <w:shd w:fill="1F4E78"/>
            <w:vAlign w:val="center"/>
          </w:tcPr>
          <w:p>
            <w:r/>
            <w:r>
              <w:rPr>
                <w:b/>
                <w:color w:val="FFFFFF"/>
                <w:sz w:val="17"/>
              </w:rPr>
              <w:t>Requirement</w:t>
            </w:r>
          </w:p>
        </w:tc>
      </w:tr>
      <w:tr>
        <w:tc>
          <w:tcPr>
            <w:tcW w:type="dxa" w:w="1008"/>
            <w:vAlign w:val="center"/>
          </w:tcPr>
          <w:p>
            <w:r/>
            <w:r>
              <w:rPr>
                <w:b w:val="0"/>
                <w:sz w:val="17"/>
              </w:rPr>
              <w:t>G-01</w:t>
            </w:r>
          </w:p>
        </w:tc>
        <w:tc>
          <w:tcPr>
            <w:tcW w:type="dxa" w:w="1296"/>
            <w:vAlign w:val="center"/>
          </w:tcPr>
          <w:p>
            <w:r/>
            <w:r>
              <w:rPr>
                <w:b w:val="0"/>
                <w:sz w:val="17"/>
              </w:rPr>
              <w:t>Goal</w:t>
            </w:r>
          </w:p>
        </w:tc>
        <w:tc>
          <w:tcPr>
            <w:tcW w:type="dxa" w:w="7920"/>
            <w:vAlign w:val="center"/>
          </w:tcPr>
          <w:p>
            <w:r/>
            <w:r>
              <w:rPr>
                <w:b w:val="0"/>
                <w:sz w:val="17"/>
              </w:rPr>
              <w:t>Identify public channels with recent video demand materially above their current public subscriber scale.</w:t>
            </w:r>
          </w:p>
        </w:tc>
      </w:tr>
      <w:tr>
        <w:tc>
          <w:tcPr>
            <w:tcW w:type="dxa" w:w="1008"/>
            <w:vAlign w:val="center"/>
            <w:shd w:fill="F6F9FC"/>
          </w:tcPr>
          <w:p>
            <w:r/>
            <w:r>
              <w:rPr>
                <w:b w:val="0"/>
                <w:sz w:val="17"/>
              </w:rPr>
              <w:t>G-02</w:t>
            </w:r>
          </w:p>
        </w:tc>
        <w:tc>
          <w:tcPr>
            <w:tcW w:type="dxa" w:w="1296"/>
            <w:vAlign w:val="center"/>
            <w:shd w:fill="F6F9FC"/>
          </w:tcPr>
          <w:p>
            <w:r/>
            <w:r>
              <w:rPr>
                <w:b w:val="0"/>
                <w:sz w:val="17"/>
              </w:rPr>
              <w:t>Goal</w:t>
            </w:r>
          </w:p>
        </w:tc>
        <w:tc>
          <w:tcPr>
            <w:tcW w:type="dxa" w:w="7920"/>
            <w:vAlign w:val="center"/>
            <w:shd w:fill="F6F9FC"/>
          </w:tcPr>
          <w:p>
            <w:r/>
            <w:r>
              <w:rPr>
                <w:b w:val="0"/>
                <w:sz w:val="17"/>
              </w:rPr>
              <w:t>Measure momentum through repeated snapshots rather than claiming access to private growth metrics.</w:t>
            </w:r>
          </w:p>
        </w:tc>
      </w:tr>
      <w:tr>
        <w:tc>
          <w:tcPr>
            <w:tcW w:type="dxa" w:w="1008"/>
            <w:vAlign w:val="center"/>
          </w:tcPr>
          <w:p>
            <w:r/>
            <w:r>
              <w:rPr>
                <w:b w:val="0"/>
                <w:sz w:val="17"/>
              </w:rPr>
              <w:t>G-03</w:t>
            </w:r>
          </w:p>
        </w:tc>
        <w:tc>
          <w:tcPr>
            <w:tcW w:type="dxa" w:w="1296"/>
            <w:vAlign w:val="center"/>
          </w:tcPr>
          <w:p>
            <w:r/>
            <w:r>
              <w:rPr>
                <w:b w:val="0"/>
                <w:sz w:val="17"/>
              </w:rPr>
              <w:t>Goal</w:t>
            </w:r>
          </w:p>
        </w:tc>
        <w:tc>
          <w:tcPr>
            <w:tcW w:type="dxa" w:w="7920"/>
            <w:vAlign w:val="center"/>
          </w:tcPr>
          <w:p>
            <w:r/>
            <w:r>
              <w:rPr>
                <w:b w:val="0"/>
                <w:sz w:val="17"/>
              </w:rPr>
              <w:t>Explain every rank using visible source metrics, sample size, time window and confidence.</w:t>
            </w:r>
          </w:p>
        </w:tc>
      </w:tr>
      <w:tr>
        <w:tc>
          <w:tcPr>
            <w:tcW w:type="dxa" w:w="1008"/>
            <w:vAlign w:val="center"/>
            <w:shd w:fill="F6F9FC"/>
          </w:tcPr>
          <w:p>
            <w:r/>
            <w:r>
              <w:rPr>
                <w:b w:val="0"/>
                <w:sz w:val="17"/>
              </w:rPr>
              <w:t>G-04</w:t>
            </w:r>
          </w:p>
        </w:tc>
        <w:tc>
          <w:tcPr>
            <w:tcW w:type="dxa" w:w="1296"/>
            <w:vAlign w:val="center"/>
            <w:shd w:fill="F6F9FC"/>
          </w:tcPr>
          <w:p>
            <w:r/>
            <w:r>
              <w:rPr>
                <w:b w:val="0"/>
                <w:sz w:val="17"/>
              </w:rPr>
              <w:t>Goal</w:t>
            </w:r>
          </w:p>
        </w:tc>
        <w:tc>
          <w:tcPr>
            <w:tcW w:type="dxa" w:w="7920"/>
            <w:vAlign w:val="center"/>
            <w:shd w:fill="F6F9FC"/>
          </w:tcPr>
          <w:p>
            <w:r/>
            <w:r>
              <w:rPr>
                <w:b w:val="0"/>
                <w:sz w:val="17"/>
              </w:rPr>
              <w:t>Allow niche, geography, language, channel-size and content-format segmentation.</w:t>
            </w:r>
          </w:p>
        </w:tc>
      </w:tr>
      <w:tr>
        <w:tc>
          <w:tcPr>
            <w:tcW w:type="dxa" w:w="1008"/>
            <w:vAlign w:val="center"/>
          </w:tcPr>
          <w:p>
            <w:r/>
            <w:r>
              <w:rPr>
                <w:b w:val="0"/>
                <w:sz w:val="17"/>
              </w:rPr>
              <w:t>NG-01</w:t>
            </w:r>
          </w:p>
        </w:tc>
        <w:tc>
          <w:tcPr>
            <w:tcW w:type="dxa" w:w="1296"/>
            <w:vAlign w:val="center"/>
          </w:tcPr>
          <w:p>
            <w:r/>
            <w:r>
              <w:rPr>
                <w:b w:val="0"/>
                <w:sz w:val="17"/>
              </w:rPr>
              <w:t>Non-goal</w:t>
            </w:r>
          </w:p>
        </w:tc>
        <w:tc>
          <w:tcPr>
            <w:tcW w:type="dxa" w:w="7920"/>
            <w:vAlign w:val="center"/>
          </w:tcPr>
          <w:p>
            <w:r/>
            <w:r>
              <w:rPr>
                <w:b w:val="0"/>
                <w:sz w:val="17"/>
              </w:rPr>
              <w:t>Do not predict revenue, sponsorship price, or future subscriber count in MVP.</w:t>
            </w:r>
          </w:p>
        </w:tc>
      </w:tr>
      <w:tr>
        <w:tc>
          <w:tcPr>
            <w:tcW w:type="dxa" w:w="1008"/>
            <w:vAlign w:val="center"/>
            <w:shd w:fill="F6F9FC"/>
          </w:tcPr>
          <w:p>
            <w:r/>
            <w:r>
              <w:rPr>
                <w:b w:val="0"/>
                <w:sz w:val="17"/>
              </w:rPr>
              <w:t>NG-02</w:t>
            </w:r>
          </w:p>
        </w:tc>
        <w:tc>
          <w:tcPr>
            <w:tcW w:type="dxa" w:w="1296"/>
            <w:vAlign w:val="center"/>
            <w:shd w:fill="F6F9FC"/>
          </w:tcPr>
          <w:p>
            <w:r/>
            <w:r>
              <w:rPr>
                <w:b w:val="0"/>
                <w:sz w:val="17"/>
              </w:rPr>
              <w:t>Non-goal</w:t>
            </w:r>
          </w:p>
        </w:tc>
        <w:tc>
          <w:tcPr>
            <w:tcW w:type="dxa" w:w="7920"/>
            <w:vAlign w:val="center"/>
            <w:shd w:fill="F6F9FC"/>
          </w:tcPr>
          <w:p>
            <w:r/>
            <w:r>
              <w:rPr>
                <w:b w:val="0"/>
                <w:sz w:val="17"/>
              </w:rPr>
              <w:t>Do not download, transcribe, clone or rehost audiovisual content in MVP.</w:t>
            </w:r>
          </w:p>
        </w:tc>
      </w:tr>
      <w:tr>
        <w:tc>
          <w:tcPr>
            <w:tcW w:type="dxa" w:w="1008"/>
            <w:vAlign w:val="center"/>
          </w:tcPr>
          <w:p>
            <w:r/>
            <w:r>
              <w:rPr>
                <w:b w:val="0"/>
                <w:sz w:val="17"/>
              </w:rPr>
              <w:t>NG-03</w:t>
            </w:r>
          </w:p>
        </w:tc>
        <w:tc>
          <w:tcPr>
            <w:tcW w:type="dxa" w:w="1296"/>
            <w:vAlign w:val="center"/>
          </w:tcPr>
          <w:p>
            <w:r/>
            <w:r>
              <w:rPr>
                <w:b w:val="0"/>
                <w:sz w:val="17"/>
              </w:rPr>
              <w:t>Non-goal</w:t>
            </w:r>
          </w:p>
        </w:tc>
        <w:tc>
          <w:tcPr>
            <w:tcW w:type="dxa" w:w="7920"/>
            <w:vAlign w:val="center"/>
          </w:tcPr>
          <w:p>
            <w:r/>
            <w:r>
              <w:rPr>
                <w:b w:val="0"/>
                <w:sz w:val="17"/>
              </w:rPr>
              <w:t>Do not claim a complete scan of all YouTube channels.</w:t>
            </w:r>
          </w:p>
        </w:tc>
      </w:tr>
      <w:tr>
        <w:tc>
          <w:tcPr>
            <w:tcW w:type="dxa" w:w="1008"/>
            <w:vAlign w:val="center"/>
            <w:shd w:fill="F6F9FC"/>
          </w:tcPr>
          <w:p>
            <w:r/>
            <w:r>
              <w:rPr>
                <w:b w:val="0"/>
                <w:sz w:val="17"/>
              </w:rPr>
              <w:t>GR-01</w:t>
            </w:r>
          </w:p>
        </w:tc>
        <w:tc>
          <w:tcPr>
            <w:tcW w:type="dxa" w:w="1296"/>
            <w:vAlign w:val="center"/>
            <w:shd w:fill="F6F9FC"/>
          </w:tcPr>
          <w:p>
            <w:r/>
            <w:r>
              <w:rPr>
                <w:b w:val="0"/>
                <w:sz w:val="17"/>
              </w:rPr>
              <w:t>Guardrail</w:t>
            </w:r>
          </w:p>
        </w:tc>
        <w:tc>
          <w:tcPr>
            <w:tcW w:type="dxa" w:w="7920"/>
            <w:vAlign w:val="center"/>
            <w:shd w:fill="F6F9FC"/>
          </w:tcPr>
          <w:p>
            <w:r/>
            <w:r>
              <w:rPr>
                <w:b w:val="0"/>
                <w:sz w:val="17"/>
              </w:rPr>
              <w:t>Do not rank channels with hidden subscriber counts using subscriber ratios; place them in a separate momentum-only queue.</w:t>
            </w:r>
          </w:p>
        </w:tc>
      </w:tr>
      <w:tr>
        <w:tc>
          <w:tcPr>
            <w:tcW w:type="dxa" w:w="1008"/>
            <w:vAlign w:val="center"/>
          </w:tcPr>
          <w:p>
            <w:r/>
            <w:r>
              <w:rPr>
                <w:b w:val="0"/>
                <w:sz w:val="17"/>
              </w:rPr>
              <w:t>GR-02</w:t>
            </w:r>
          </w:p>
        </w:tc>
        <w:tc>
          <w:tcPr>
            <w:tcW w:type="dxa" w:w="1296"/>
            <w:vAlign w:val="center"/>
          </w:tcPr>
          <w:p>
            <w:r/>
            <w:r>
              <w:rPr>
                <w:b w:val="0"/>
                <w:sz w:val="17"/>
              </w:rPr>
              <w:t>Guardrail</w:t>
            </w:r>
          </w:p>
        </w:tc>
        <w:tc>
          <w:tcPr>
            <w:tcW w:type="dxa" w:w="7920"/>
            <w:vAlign w:val="center"/>
          </w:tcPr>
          <w:p>
            <w:r/>
            <w:r>
              <w:rPr>
                <w:b w:val="0"/>
                <w:sz w:val="17"/>
              </w:rPr>
              <w:t>Do not label a channel “fast-growing” until at least two snapshots exist. Before that, label it “high reach relative to subscribers.”</w:t>
            </w:r>
          </w:p>
        </w:tc>
      </w:tr>
    </w:tbl>
    <w:p/>
    <w:p>
      <w:pPr>
        <w:pStyle w:val="Heading1"/>
      </w:pPr>
      <w:r>
        <w:t>5. Core Product Vocabulary</w:t>
      </w:r>
    </w:p>
    <w:tbl>
      <w:tblPr>
        <w:tblStyle w:val="TableGrid"/>
        <w:tblW w:type="auto" w:w="0"/>
        <w:jc w:val="center"/>
        <w:tblLook w:firstColumn="1" w:firstRow="1" w:lastColumn="0" w:lastRow="0" w:noHBand="0" w:noVBand="1" w:val="04A0"/>
      </w:tblPr>
      <w:tblGrid>
        <w:gridCol w:w="5040"/>
        <w:gridCol w:w="5040"/>
      </w:tblGrid>
      <w:tr>
        <w:tc>
          <w:tcPr>
            <w:tcW w:type="dxa" w:w="2592"/>
            <w:shd w:fill="1F4E78"/>
            <w:vAlign w:val="center"/>
          </w:tcPr>
          <w:p>
            <w:r/>
            <w:r>
              <w:rPr>
                <w:b/>
                <w:color w:val="FFFFFF"/>
                <w:sz w:val="17"/>
              </w:rPr>
              <w:t>Term</w:t>
            </w:r>
          </w:p>
        </w:tc>
        <w:tc>
          <w:tcPr>
            <w:tcW w:type="dxa" w:w="7632"/>
            <w:shd w:fill="1F4E78"/>
            <w:vAlign w:val="center"/>
          </w:tcPr>
          <w:p>
            <w:r/>
            <w:r>
              <w:rPr>
                <w:b/>
                <w:color w:val="FFFFFF"/>
                <w:sz w:val="17"/>
              </w:rPr>
              <w:t>Definition</w:t>
            </w:r>
          </w:p>
        </w:tc>
      </w:tr>
      <w:tr>
        <w:tc>
          <w:tcPr>
            <w:tcW w:type="dxa" w:w="2592"/>
            <w:vAlign w:val="center"/>
          </w:tcPr>
          <w:p>
            <w:r/>
            <w:r>
              <w:rPr>
                <w:b w:val="0"/>
                <w:sz w:val="17"/>
              </w:rPr>
              <w:t>Candidate channel</w:t>
            </w:r>
          </w:p>
        </w:tc>
        <w:tc>
          <w:tcPr>
            <w:tcW w:type="dxa" w:w="7632"/>
            <w:vAlign w:val="center"/>
          </w:tcPr>
          <w:p>
            <w:r/>
            <w:r>
              <w:rPr>
                <w:b w:val="0"/>
                <w:sz w:val="17"/>
              </w:rPr>
              <w:t>A channel discovered but not yet passing minimum data-quality gates.</w:t>
            </w:r>
          </w:p>
        </w:tc>
      </w:tr>
      <w:tr>
        <w:tc>
          <w:tcPr>
            <w:tcW w:type="dxa" w:w="2592"/>
            <w:vAlign w:val="center"/>
            <w:shd w:fill="F6F9FC"/>
          </w:tcPr>
          <w:p>
            <w:r/>
            <w:r>
              <w:rPr>
                <w:b w:val="0"/>
                <w:sz w:val="17"/>
              </w:rPr>
              <w:t>Qualified channel</w:t>
            </w:r>
          </w:p>
        </w:tc>
        <w:tc>
          <w:tcPr>
            <w:tcW w:type="dxa" w:w="7632"/>
            <w:vAlign w:val="center"/>
            <w:shd w:fill="F6F9FC"/>
          </w:tcPr>
          <w:p>
            <w:r/>
            <w:r>
              <w:rPr>
                <w:b w:val="0"/>
                <w:sz w:val="17"/>
              </w:rPr>
              <w:t>A candidate with sufficient public metadata and recent eligible videos for scoring.</w:t>
            </w:r>
          </w:p>
        </w:tc>
      </w:tr>
      <w:tr>
        <w:tc>
          <w:tcPr>
            <w:tcW w:type="dxa" w:w="2592"/>
            <w:vAlign w:val="center"/>
          </w:tcPr>
          <w:p>
            <w:r/>
            <w:r>
              <w:rPr>
                <w:b w:val="0"/>
                <w:sz w:val="17"/>
              </w:rPr>
              <w:t>Observation window</w:t>
            </w:r>
          </w:p>
        </w:tc>
        <w:tc>
          <w:tcPr>
            <w:tcW w:type="dxa" w:w="7632"/>
            <w:vAlign w:val="center"/>
          </w:tcPr>
          <w:p>
            <w:r/>
            <w:r>
              <w:rPr>
                <w:b w:val="0"/>
                <w:sz w:val="17"/>
              </w:rPr>
              <w:t>The video publication age range considered, e.g., 2–90 days.</w:t>
            </w:r>
          </w:p>
        </w:tc>
      </w:tr>
      <w:tr>
        <w:tc>
          <w:tcPr>
            <w:tcW w:type="dxa" w:w="2592"/>
            <w:vAlign w:val="center"/>
            <w:shd w:fill="F6F9FC"/>
          </w:tcPr>
          <w:p>
            <w:r/>
            <w:r>
              <w:rPr>
                <w:b w:val="0"/>
                <w:sz w:val="17"/>
              </w:rPr>
              <w:t>Eligible video</w:t>
            </w:r>
          </w:p>
        </w:tc>
        <w:tc>
          <w:tcPr>
            <w:tcW w:type="dxa" w:w="7632"/>
            <w:vAlign w:val="center"/>
            <w:shd w:fill="F6F9FC"/>
          </w:tcPr>
          <w:p>
            <w:r/>
            <w:r>
              <w:rPr>
                <w:b w:val="0"/>
                <w:sz w:val="17"/>
              </w:rPr>
              <w:t>Public, non-deleted video satisfying format, age and exclusion rules.</w:t>
            </w:r>
          </w:p>
        </w:tc>
      </w:tr>
      <w:tr>
        <w:tc>
          <w:tcPr>
            <w:tcW w:type="dxa" w:w="2592"/>
            <w:vAlign w:val="center"/>
          </w:tcPr>
          <w:p>
            <w:r/>
            <w:r>
              <w:rPr>
                <w:b w:val="0"/>
                <w:sz w:val="17"/>
              </w:rPr>
              <w:t>View-to-subscriber ratio (VSR)</w:t>
            </w:r>
          </w:p>
        </w:tc>
        <w:tc>
          <w:tcPr>
            <w:tcW w:type="dxa" w:w="7632"/>
            <w:vAlign w:val="center"/>
          </w:tcPr>
          <w:p>
            <w:r/>
            <w:r>
              <w:rPr>
                <w:b w:val="0"/>
                <w:sz w:val="17"/>
              </w:rPr>
              <w:t>Video view count divided by current public channel subscriber count; a proprietary ratio calculated from API metrics.</w:t>
            </w:r>
          </w:p>
        </w:tc>
      </w:tr>
      <w:tr>
        <w:tc>
          <w:tcPr>
            <w:tcW w:type="dxa" w:w="2592"/>
            <w:vAlign w:val="center"/>
            <w:shd w:fill="F6F9FC"/>
          </w:tcPr>
          <w:p>
            <w:r/>
            <w:r>
              <w:rPr>
                <w:b w:val="0"/>
                <w:sz w:val="17"/>
              </w:rPr>
              <w:t>Median VSR</w:t>
            </w:r>
          </w:p>
        </w:tc>
        <w:tc>
          <w:tcPr>
            <w:tcW w:type="dxa" w:w="7632"/>
            <w:vAlign w:val="center"/>
            <w:shd w:fill="F6F9FC"/>
          </w:tcPr>
          <w:p>
            <w:r/>
            <w:r>
              <w:rPr>
                <w:b w:val="0"/>
                <w:sz w:val="17"/>
              </w:rPr>
              <w:t>Median VSR across eligible recent videos; preferred over mean to reduce one-hit distortion.</w:t>
            </w:r>
          </w:p>
        </w:tc>
      </w:tr>
      <w:tr>
        <w:tc>
          <w:tcPr>
            <w:tcW w:type="dxa" w:w="2592"/>
            <w:vAlign w:val="center"/>
          </w:tcPr>
          <w:p>
            <w:r/>
            <w:r>
              <w:rPr>
                <w:b w:val="0"/>
                <w:sz w:val="17"/>
              </w:rPr>
              <w:t>Hit consistency</w:t>
            </w:r>
          </w:p>
        </w:tc>
        <w:tc>
          <w:tcPr>
            <w:tcW w:type="dxa" w:w="7632"/>
            <w:vAlign w:val="center"/>
          </w:tcPr>
          <w:p>
            <w:r/>
            <w:r>
              <w:rPr>
                <w:b w:val="0"/>
                <w:sz w:val="17"/>
              </w:rPr>
              <w:t>Share of eligible videos whose VSR exceeds a configured threshold.</w:t>
            </w:r>
          </w:p>
        </w:tc>
      </w:tr>
      <w:tr>
        <w:tc>
          <w:tcPr>
            <w:tcW w:type="dxa" w:w="2592"/>
            <w:vAlign w:val="center"/>
            <w:shd w:fill="F6F9FC"/>
          </w:tcPr>
          <w:p>
            <w:r/>
            <w:r>
              <w:rPr>
                <w:b w:val="0"/>
                <w:sz w:val="17"/>
              </w:rPr>
              <w:t>View velocity proxy</w:t>
            </w:r>
          </w:p>
        </w:tc>
        <w:tc>
          <w:tcPr>
            <w:tcW w:type="dxa" w:w="7632"/>
            <w:vAlign w:val="center"/>
            <w:shd w:fill="F6F9FC"/>
          </w:tcPr>
          <w:p>
            <w:r/>
            <w:r>
              <w:rPr>
                <w:b w:val="0"/>
                <w:sz w:val="17"/>
              </w:rPr>
              <w:t>Change in public view count between stored snapshots divided by elapsed hours.</w:t>
            </w:r>
          </w:p>
        </w:tc>
      </w:tr>
      <w:tr>
        <w:tc>
          <w:tcPr>
            <w:tcW w:type="dxa" w:w="2592"/>
            <w:vAlign w:val="center"/>
          </w:tcPr>
          <w:p>
            <w:r/>
            <w:r>
              <w:rPr>
                <w:b w:val="0"/>
                <w:sz w:val="17"/>
              </w:rPr>
              <w:t>Momentum score</w:t>
            </w:r>
          </w:p>
        </w:tc>
        <w:tc>
          <w:tcPr>
            <w:tcW w:type="dxa" w:w="7632"/>
            <w:vAlign w:val="center"/>
          </w:tcPr>
          <w:p>
            <w:r/>
            <w:r>
              <w:rPr>
                <w:b w:val="0"/>
                <w:sz w:val="17"/>
              </w:rPr>
              <w:t>Proprietary score combining relative reach, consistency, recency and observed velocity.</w:t>
            </w:r>
          </w:p>
        </w:tc>
      </w:tr>
      <w:tr>
        <w:tc>
          <w:tcPr>
            <w:tcW w:type="dxa" w:w="2592"/>
            <w:vAlign w:val="center"/>
            <w:shd w:fill="F6F9FC"/>
          </w:tcPr>
          <w:p>
            <w:r/>
            <w:r>
              <w:rPr>
                <w:b w:val="0"/>
                <w:sz w:val="17"/>
              </w:rPr>
              <w:t>Confidence</w:t>
            </w:r>
          </w:p>
        </w:tc>
        <w:tc>
          <w:tcPr>
            <w:tcW w:type="dxa" w:w="7632"/>
            <w:vAlign w:val="center"/>
            <w:shd w:fill="F6F9FC"/>
          </w:tcPr>
          <w:p>
            <w:r/>
            <w:r>
              <w:rPr>
                <w:b w:val="0"/>
                <w:sz w:val="17"/>
              </w:rPr>
              <w:t>High/medium/low based on sample size, snapshot history, hidden/rounded data and anomalies.</w:t>
            </w:r>
          </w:p>
        </w:tc>
      </w:tr>
    </w:tbl>
    <w:p/>
    <w:p>
      <w:pPr>
        <w:pStyle w:val="Heading1"/>
      </w:pPr>
      <w:r>
        <w:t>6. Primary User Journeys</w:t>
      </w:r>
    </w:p>
    <w:p>
      <w:pPr>
        <w:pStyle w:val="Heading2"/>
      </w:pPr>
      <w:r>
        <w:t>Journey A — Create a discovery run</w:t>
      </w:r>
    </w:p>
    <w:p>
      <w:pPr>
        <w:pStyle w:val="ListNumber"/>
      </w:pPr>
      <w:r>
        <w:t>Select market template or create custom search definition.</w:t>
      </w:r>
    </w:p>
    <w:p>
      <w:pPr>
        <w:pStyle w:val="ListNumber"/>
      </w:pPr>
      <w:r>
        <w:t>Specify topics/keywords, excluded terms, region, relevance language, channel-size band, publication window and video format.</w:t>
      </w:r>
    </w:p>
    <w:p>
      <w:pPr>
        <w:pStyle w:val="ListNumber"/>
      </w:pPr>
      <w:r>
        <w:t>View estimated search/API budget and expected candidate volume.</w:t>
      </w:r>
    </w:p>
    <w:p>
      <w:pPr>
        <w:pStyle w:val="ListNumber"/>
      </w:pPr>
      <w:r>
        <w:t>Run immediately or schedule.</w:t>
      </w:r>
    </w:p>
    <w:p>
      <w:pPr>
        <w:pStyle w:val="ListNumber"/>
      </w:pPr>
      <w:r>
        <w:t>Review ranked channels and reason codes.</w:t>
      </w:r>
    </w:p>
    <w:p>
      <w:pPr>
        <w:pStyle w:val="ListNumber"/>
      </w:pPr>
      <w:r>
        <w:t>Save channels to a watchlist or dismiss with a reason.</w:t>
      </w:r>
    </w:p>
    <w:p>
      <w:pPr>
        <w:pStyle w:val="Heading2"/>
      </w:pPr>
      <w:r>
        <w:t>Journey B — Investigate a channel</w:t>
      </w:r>
    </w:p>
    <w:p>
      <w:pPr>
        <w:pStyle w:val="ListNumber"/>
      </w:pPr>
      <w:r>
        <w:t>Open channel detail from results.</w:t>
      </w:r>
    </w:p>
    <w:p>
      <w:pPr>
        <w:pStyle w:val="ListNumber"/>
      </w:pPr>
      <w:r>
        <w:t>Review public channel metrics with collection timestamp.</w:t>
      </w:r>
    </w:p>
    <w:p>
      <w:pPr>
        <w:pStyle w:val="ListNumber"/>
      </w:pPr>
      <w:r>
        <w:t>Inspect recent-video distribution, median and percentile VSR, consistency and velocity history.</w:t>
      </w:r>
    </w:p>
    <w:p>
      <w:pPr>
        <w:pStyle w:val="ListNumber"/>
      </w:pPr>
      <w:r>
        <w:t>See confidence warnings and anomalies.</w:t>
      </w:r>
    </w:p>
    <w:p>
      <w:pPr>
        <w:pStyle w:val="ListNumber"/>
      </w:pPr>
      <w:r>
        <w:t>Open the channel/video on YouTube.</w:t>
      </w:r>
    </w:p>
    <w:p>
      <w:pPr>
        <w:pStyle w:val="ListNumber"/>
      </w:pPr>
      <w:r>
        <w:t>Add tags, notes, owner and watchlist status.</w:t>
      </w:r>
    </w:p>
    <w:p>
      <w:pPr>
        <w:pStyle w:val="Heading2"/>
      </w:pPr>
      <w:r>
        <w:t>Journey C — Monitor momentum</w:t>
      </w:r>
    </w:p>
    <w:p>
      <w:pPr>
        <w:pStyle w:val="ListNumber"/>
      </w:pPr>
      <w:r>
        <w:t>Schedule daily or weekly refresh.</w:t>
      </w:r>
    </w:p>
    <w:p>
      <w:pPr>
        <w:pStyle w:val="ListNumber"/>
      </w:pPr>
      <w:r>
        <w:t>Receive alerts when a channel crosses a threshold, accelerates, or publishes a breakout video.</w:t>
      </w:r>
    </w:p>
    <w:p>
      <w:pPr>
        <w:pStyle w:val="ListNumber"/>
      </w:pPr>
      <w:r>
        <w:t>Compare current score with prior snapshots.</w:t>
      </w:r>
    </w:p>
    <w:p>
      <w:pPr>
        <w:pStyle w:val="ListNumber"/>
      </w:pPr>
      <w:r>
        <w:t>Export a governed shortlist.</w:t>
      </w:r>
    </w:p>
    <w:p>
      <w:pPr>
        <w:pStyle w:val="Heading1"/>
      </w:pPr>
      <w:r>
        <w:t>7. Functional Requirements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440"/>
            <w:shd w:fill="1F4E78"/>
            <w:vAlign w:val="center"/>
          </w:tcPr>
          <w:p>
            <w:r/>
            <w:r>
              <w:rPr>
                <w:b/>
                <w:color w:val="FFFFFF"/>
                <w:sz w:val="15"/>
              </w:rPr>
              <w:t>ID</w:t>
            </w:r>
          </w:p>
        </w:tc>
        <w:tc>
          <w:tcPr>
            <w:tcW w:type="dxa" w:w="792"/>
            <w:shd w:fill="1F4E78"/>
            <w:vAlign w:val="center"/>
          </w:tcPr>
          <w:p>
            <w:r/>
            <w:r>
              <w:rPr>
                <w:b/>
                <w:color w:val="FFFFFF"/>
                <w:sz w:val="15"/>
              </w:rPr>
              <w:t>Priority</w:t>
            </w:r>
          </w:p>
        </w:tc>
        <w:tc>
          <w:tcPr>
            <w:tcW w:type="dxa" w:w="1224"/>
            <w:shd w:fill="1F4E78"/>
            <w:vAlign w:val="center"/>
          </w:tcPr>
          <w:p>
            <w:r/>
            <w:r>
              <w:rPr>
                <w:b/>
                <w:color w:val="FFFFFF"/>
                <w:sz w:val="15"/>
              </w:rPr>
              <w:t>Module</w:t>
            </w:r>
          </w:p>
        </w:tc>
        <w:tc>
          <w:tcPr>
            <w:tcW w:type="dxa" w:w="4320"/>
            <w:shd w:fill="1F4E78"/>
            <w:vAlign w:val="center"/>
          </w:tcPr>
          <w:p>
            <w:r/>
            <w:r>
              <w:rPr>
                <w:b/>
                <w:color w:val="FFFFFF"/>
                <w:sz w:val="15"/>
              </w:rPr>
              <w:t>Requirement</w:t>
            </w:r>
          </w:p>
        </w:tc>
        <w:tc>
          <w:tcPr>
            <w:tcW w:type="dxa" w:w="2736"/>
            <w:shd w:fill="1F4E78"/>
            <w:vAlign w:val="center"/>
          </w:tcPr>
          <w:p>
            <w:r/>
            <w:r>
              <w:rPr>
                <w:b/>
                <w:color w:val="FFFFFF"/>
                <w:sz w:val="15"/>
              </w:rPr>
              <w:t>Acceptance summary</w:t>
            </w:r>
          </w:p>
        </w:tc>
      </w:tr>
      <w:tr>
        <w:tc>
          <w:tcPr>
            <w:tcW w:type="dxa" w:w="1440"/>
            <w:vAlign w:val="center"/>
          </w:tcPr>
          <w:p>
            <w:r/>
            <w:r>
              <w:rPr>
                <w:b w:val="0"/>
                <w:sz w:val="15"/>
              </w:rPr>
              <w:t>FR-DIS-001</w:t>
            </w:r>
          </w:p>
        </w:tc>
        <w:tc>
          <w:tcPr>
            <w:tcW w:type="dxa" w:w="792"/>
            <w:vAlign w:val="center"/>
          </w:tcPr>
          <w:p>
            <w:r/>
            <w:r>
              <w:rPr>
                <w:b w:val="0"/>
                <w:sz w:val="15"/>
              </w:rPr>
              <w:t>P0</w:t>
            </w:r>
          </w:p>
        </w:tc>
        <w:tc>
          <w:tcPr>
            <w:tcW w:type="dxa" w:w="1224"/>
            <w:vAlign w:val="center"/>
          </w:tcPr>
          <w:p>
            <w:r/>
            <w:r>
              <w:rPr>
                <w:b w:val="0"/>
                <w:sz w:val="15"/>
              </w:rPr>
              <w:t>Discovery</w:t>
            </w:r>
          </w:p>
        </w:tc>
        <w:tc>
          <w:tcPr>
            <w:tcW w:type="dxa" w:w="4320"/>
            <w:vAlign w:val="center"/>
          </w:tcPr>
          <w:p>
            <w:r/>
            <w:r>
              <w:rPr>
                <w:b w:val="0"/>
                <w:sz w:val="15"/>
              </w:rPr>
              <w:t>Create reusable search definitions with keyword sets, exclusions, region, language, date range and format filters.</w:t>
            </w:r>
          </w:p>
        </w:tc>
        <w:tc>
          <w:tcPr>
            <w:tcW w:type="dxa" w:w="2736"/>
            <w:vAlign w:val="center"/>
          </w:tcPr>
          <w:p>
            <w:r/>
            <w:r>
              <w:rPr>
                <w:b w:val="0"/>
                <w:sz w:val="15"/>
              </w:rPr>
              <w:t>Search definition persists and can be rerun.</w:t>
            </w:r>
          </w:p>
        </w:tc>
      </w:tr>
      <w:tr>
        <w:tc>
          <w:tcPr>
            <w:tcW w:type="dxa" w:w="1440"/>
            <w:vAlign w:val="center"/>
            <w:shd w:fill="F6F9FC"/>
          </w:tcPr>
          <w:p>
            <w:r/>
            <w:r>
              <w:rPr>
                <w:b w:val="0"/>
                <w:sz w:val="15"/>
              </w:rPr>
              <w:t>FR-DIS-002</w:t>
            </w:r>
          </w:p>
        </w:tc>
        <w:tc>
          <w:tcPr>
            <w:tcW w:type="dxa" w:w="792"/>
            <w:vAlign w:val="center"/>
            <w:shd w:fill="F6F9FC"/>
          </w:tcPr>
          <w:p>
            <w:r/>
            <w:r>
              <w:rPr>
                <w:b w:val="0"/>
                <w:sz w:val="15"/>
              </w:rPr>
              <w:t>P0</w:t>
            </w:r>
          </w:p>
        </w:tc>
        <w:tc>
          <w:tcPr>
            <w:tcW w:type="dxa" w:w="1224"/>
            <w:vAlign w:val="center"/>
            <w:shd w:fill="F6F9FC"/>
          </w:tcPr>
          <w:p>
            <w:r/>
            <w:r>
              <w:rPr>
                <w:b w:val="0"/>
                <w:sz w:val="15"/>
              </w:rPr>
              <w:t>Discovery</w:t>
            </w:r>
          </w:p>
        </w:tc>
        <w:tc>
          <w:tcPr>
            <w:tcW w:type="dxa" w:w="4320"/>
            <w:vAlign w:val="center"/>
            <w:shd w:fill="F6F9FC"/>
          </w:tcPr>
          <w:p>
            <w:r/>
            <w:r>
              <w:rPr>
                <w:b w:val="0"/>
                <w:sz w:val="15"/>
              </w:rPr>
              <w:t>Discover recent videos and derive unique channel IDs from results.</w:t>
            </w:r>
          </w:p>
        </w:tc>
        <w:tc>
          <w:tcPr>
            <w:tcW w:type="dxa" w:w="2736"/>
            <w:vAlign w:val="center"/>
            <w:shd w:fill="F6F9FC"/>
          </w:tcPr>
          <w:p>
            <w:r/>
            <w:r>
              <w:rPr>
                <w:b w:val="0"/>
                <w:sz w:val="15"/>
              </w:rPr>
              <w:t>Duplicate channels are collapsed; source query is retained.</w:t>
            </w:r>
          </w:p>
        </w:tc>
      </w:tr>
      <w:tr>
        <w:tc>
          <w:tcPr>
            <w:tcW w:type="dxa" w:w="1440"/>
            <w:vAlign w:val="center"/>
          </w:tcPr>
          <w:p>
            <w:r/>
            <w:r>
              <w:rPr>
                <w:b w:val="0"/>
                <w:sz w:val="15"/>
              </w:rPr>
              <w:t>FR-ENR-001</w:t>
            </w:r>
          </w:p>
        </w:tc>
        <w:tc>
          <w:tcPr>
            <w:tcW w:type="dxa" w:w="792"/>
            <w:vAlign w:val="center"/>
          </w:tcPr>
          <w:p>
            <w:r/>
            <w:r>
              <w:rPr>
                <w:b w:val="0"/>
                <w:sz w:val="15"/>
              </w:rPr>
              <w:t>P0</w:t>
            </w:r>
          </w:p>
        </w:tc>
        <w:tc>
          <w:tcPr>
            <w:tcW w:type="dxa" w:w="1224"/>
            <w:vAlign w:val="center"/>
          </w:tcPr>
          <w:p>
            <w:r/>
            <w:r>
              <w:rPr>
                <w:b w:val="0"/>
                <w:sz w:val="15"/>
              </w:rPr>
              <w:t>Enrichment</w:t>
            </w:r>
          </w:p>
        </w:tc>
        <w:tc>
          <w:tcPr>
            <w:tcW w:type="dxa" w:w="4320"/>
            <w:vAlign w:val="center"/>
          </w:tcPr>
          <w:p>
            <w:r/>
            <w:r>
              <w:rPr>
                <w:b w:val="0"/>
                <w:sz w:val="15"/>
              </w:rPr>
              <w:t>Retrieve channel snippet/statistics and recent upload inventory through official APIs.</w:t>
            </w:r>
          </w:p>
        </w:tc>
        <w:tc>
          <w:tcPr>
            <w:tcW w:type="dxa" w:w="2736"/>
            <w:vAlign w:val="center"/>
          </w:tcPr>
          <w:p>
            <w:r/>
            <w:r>
              <w:rPr>
                <w:b w:val="0"/>
                <w:sz w:val="15"/>
              </w:rPr>
              <w:t>Each metric stores source, fetched_at and raw value.</w:t>
            </w:r>
          </w:p>
        </w:tc>
      </w:tr>
      <w:tr>
        <w:tc>
          <w:tcPr>
            <w:tcW w:type="dxa" w:w="1440"/>
            <w:vAlign w:val="center"/>
            <w:shd w:fill="F6F9FC"/>
          </w:tcPr>
          <w:p>
            <w:r/>
            <w:r>
              <w:rPr>
                <w:b w:val="0"/>
                <w:sz w:val="15"/>
              </w:rPr>
              <w:t>FR-ENR-002</w:t>
            </w:r>
          </w:p>
        </w:tc>
        <w:tc>
          <w:tcPr>
            <w:tcW w:type="dxa" w:w="792"/>
            <w:vAlign w:val="center"/>
            <w:shd w:fill="F6F9FC"/>
          </w:tcPr>
          <w:p>
            <w:r/>
            <w:r>
              <w:rPr>
                <w:b w:val="0"/>
                <w:sz w:val="15"/>
              </w:rPr>
              <w:t>P0</w:t>
            </w:r>
          </w:p>
        </w:tc>
        <w:tc>
          <w:tcPr>
            <w:tcW w:type="dxa" w:w="1224"/>
            <w:vAlign w:val="center"/>
            <w:shd w:fill="F6F9FC"/>
          </w:tcPr>
          <w:p>
            <w:r/>
            <w:r>
              <w:rPr>
                <w:b w:val="0"/>
                <w:sz w:val="15"/>
              </w:rPr>
              <w:t>Enrichment</w:t>
            </w:r>
          </w:p>
        </w:tc>
        <w:tc>
          <w:tcPr>
            <w:tcW w:type="dxa" w:w="4320"/>
            <w:vAlign w:val="center"/>
            <w:shd w:fill="F6F9FC"/>
          </w:tcPr>
          <w:p>
            <w:r/>
            <w:r>
              <w:rPr>
                <w:b w:val="0"/>
                <w:sz w:val="15"/>
              </w:rPr>
              <w:t>Retrieve current statistics for eligible videos in batches.</w:t>
            </w:r>
          </w:p>
        </w:tc>
        <w:tc>
          <w:tcPr>
            <w:tcW w:type="dxa" w:w="2736"/>
            <w:vAlign w:val="center"/>
            <w:shd w:fill="F6F9FC"/>
          </w:tcPr>
          <w:p>
            <w:r/>
            <w:r>
              <w:rPr>
                <w:b w:val="0"/>
                <w:sz w:val="15"/>
              </w:rPr>
              <w:t>Partial failures are retried and visible.</w:t>
            </w:r>
          </w:p>
        </w:tc>
      </w:tr>
      <w:tr>
        <w:tc>
          <w:tcPr>
            <w:tcW w:type="dxa" w:w="1440"/>
            <w:vAlign w:val="center"/>
          </w:tcPr>
          <w:p>
            <w:r/>
            <w:r>
              <w:rPr>
                <w:b w:val="0"/>
                <w:sz w:val="15"/>
              </w:rPr>
              <w:t>FR-SCO-001</w:t>
            </w:r>
          </w:p>
        </w:tc>
        <w:tc>
          <w:tcPr>
            <w:tcW w:type="dxa" w:w="792"/>
            <w:vAlign w:val="center"/>
          </w:tcPr>
          <w:p>
            <w:r/>
            <w:r>
              <w:rPr>
                <w:b w:val="0"/>
                <w:sz w:val="15"/>
              </w:rPr>
              <w:t>P0</w:t>
            </w:r>
          </w:p>
        </w:tc>
        <w:tc>
          <w:tcPr>
            <w:tcW w:type="dxa" w:w="1224"/>
            <w:vAlign w:val="center"/>
          </w:tcPr>
          <w:p>
            <w:r/>
            <w:r>
              <w:rPr>
                <w:b w:val="0"/>
                <w:sz w:val="15"/>
              </w:rPr>
              <w:t>Scoring</w:t>
            </w:r>
          </w:p>
        </w:tc>
        <w:tc>
          <w:tcPr>
            <w:tcW w:type="dxa" w:w="4320"/>
            <w:vAlign w:val="center"/>
          </w:tcPr>
          <w:p>
            <w:r/>
            <w:r>
              <w:rPr>
                <w:b w:val="0"/>
                <w:sz w:val="15"/>
              </w:rPr>
              <w:t>Calculate median VSR, p75 VSR, hit consistency, recency and observed velocity.</w:t>
            </w:r>
          </w:p>
        </w:tc>
        <w:tc>
          <w:tcPr>
            <w:tcW w:type="dxa" w:w="2736"/>
            <w:vAlign w:val="center"/>
          </w:tcPr>
          <w:p>
            <w:r/>
            <w:r>
              <w:rPr>
                <w:b w:val="0"/>
                <w:sz w:val="15"/>
              </w:rPr>
              <w:t>Formula version is persisted with each score.</w:t>
            </w:r>
          </w:p>
        </w:tc>
      </w:tr>
      <w:tr>
        <w:tc>
          <w:tcPr>
            <w:tcW w:type="dxa" w:w="1440"/>
            <w:vAlign w:val="center"/>
            <w:shd w:fill="F6F9FC"/>
          </w:tcPr>
          <w:p>
            <w:r/>
            <w:r>
              <w:rPr>
                <w:b w:val="0"/>
                <w:sz w:val="15"/>
              </w:rPr>
              <w:t>FR-SCO-002</w:t>
            </w:r>
          </w:p>
        </w:tc>
        <w:tc>
          <w:tcPr>
            <w:tcW w:type="dxa" w:w="792"/>
            <w:vAlign w:val="center"/>
            <w:shd w:fill="F6F9FC"/>
          </w:tcPr>
          <w:p>
            <w:r/>
            <w:r>
              <w:rPr>
                <w:b w:val="0"/>
                <w:sz w:val="15"/>
              </w:rPr>
              <w:t>P0</w:t>
            </w:r>
          </w:p>
        </w:tc>
        <w:tc>
          <w:tcPr>
            <w:tcW w:type="dxa" w:w="1224"/>
            <w:vAlign w:val="center"/>
            <w:shd w:fill="F6F9FC"/>
          </w:tcPr>
          <w:p>
            <w:r/>
            <w:r>
              <w:rPr>
                <w:b w:val="0"/>
                <w:sz w:val="15"/>
              </w:rPr>
              <w:t>Scoring</w:t>
            </w:r>
          </w:p>
        </w:tc>
        <w:tc>
          <w:tcPr>
            <w:tcW w:type="dxa" w:w="4320"/>
            <w:vAlign w:val="center"/>
            <w:shd w:fill="F6F9FC"/>
          </w:tcPr>
          <w:p>
            <w:r/>
            <w:r>
              <w:rPr>
                <w:b w:val="0"/>
                <w:sz w:val="15"/>
              </w:rPr>
              <w:t>Apply qualification gates before ranking.</w:t>
            </w:r>
          </w:p>
        </w:tc>
        <w:tc>
          <w:tcPr>
            <w:tcW w:type="dxa" w:w="2736"/>
            <w:vAlign w:val="center"/>
            <w:shd w:fill="F6F9FC"/>
          </w:tcPr>
          <w:p>
            <w:r/>
            <w:r>
              <w:rPr>
                <w:b w:val="0"/>
                <w:sz w:val="15"/>
              </w:rPr>
              <w:t>Channels failing gates are marked insufficient_data, not assigned zero.</w:t>
            </w:r>
          </w:p>
        </w:tc>
      </w:tr>
      <w:tr>
        <w:tc>
          <w:tcPr>
            <w:tcW w:type="dxa" w:w="1440"/>
            <w:vAlign w:val="center"/>
          </w:tcPr>
          <w:p>
            <w:r/>
            <w:r>
              <w:rPr>
                <w:b w:val="0"/>
                <w:sz w:val="15"/>
              </w:rPr>
              <w:t>FR-SCO-003</w:t>
            </w:r>
          </w:p>
        </w:tc>
        <w:tc>
          <w:tcPr>
            <w:tcW w:type="dxa" w:w="792"/>
            <w:vAlign w:val="center"/>
          </w:tcPr>
          <w:p>
            <w:r/>
            <w:r>
              <w:rPr>
                <w:b w:val="0"/>
                <w:sz w:val="15"/>
              </w:rPr>
              <w:t>P0</w:t>
            </w:r>
          </w:p>
        </w:tc>
        <w:tc>
          <w:tcPr>
            <w:tcW w:type="dxa" w:w="1224"/>
            <w:vAlign w:val="center"/>
          </w:tcPr>
          <w:p>
            <w:r/>
            <w:r>
              <w:rPr>
                <w:b w:val="0"/>
                <w:sz w:val="15"/>
              </w:rPr>
              <w:t>Scoring</w:t>
            </w:r>
          </w:p>
        </w:tc>
        <w:tc>
          <w:tcPr>
            <w:tcW w:type="dxa" w:w="4320"/>
            <w:vAlign w:val="center"/>
          </w:tcPr>
          <w:p>
            <w:r/>
            <w:r>
              <w:rPr>
                <w:b w:val="0"/>
                <w:sz w:val="15"/>
              </w:rPr>
              <w:t>Generate reason codes such as HIGH_MEDIAN_VSR, CONSISTENT_OUTPERFORMANCE, ACCELERATING_VIEWS.</w:t>
            </w:r>
          </w:p>
        </w:tc>
        <w:tc>
          <w:tcPr>
            <w:tcW w:type="dxa" w:w="2736"/>
            <w:vAlign w:val="center"/>
          </w:tcPr>
          <w:p>
            <w:r/>
            <w:r>
              <w:rPr>
                <w:b w:val="0"/>
                <w:sz w:val="15"/>
              </w:rPr>
              <w:t>At least one reason code displayed for ranked channels.</w:t>
            </w:r>
          </w:p>
        </w:tc>
      </w:tr>
      <w:tr>
        <w:tc>
          <w:tcPr>
            <w:tcW w:type="dxa" w:w="1440"/>
            <w:vAlign w:val="center"/>
            <w:shd w:fill="F6F9FC"/>
          </w:tcPr>
          <w:p>
            <w:r/>
            <w:r>
              <w:rPr>
                <w:b w:val="0"/>
                <w:sz w:val="15"/>
              </w:rPr>
              <w:t>FR-WAT-001</w:t>
            </w:r>
          </w:p>
        </w:tc>
        <w:tc>
          <w:tcPr>
            <w:tcW w:type="dxa" w:w="792"/>
            <w:vAlign w:val="center"/>
            <w:shd w:fill="F6F9FC"/>
          </w:tcPr>
          <w:p>
            <w:r/>
            <w:r>
              <w:rPr>
                <w:b w:val="0"/>
                <w:sz w:val="15"/>
              </w:rPr>
              <w:t>P0</w:t>
            </w:r>
          </w:p>
        </w:tc>
        <w:tc>
          <w:tcPr>
            <w:tcW w:type="dxa" w:w="1224"/>
            <w:vAlign w:val="center"/>
            <w:shd w:fill="F6F9FC"/>
          </w:tcPr>
          <w:p>
            <w:r/>
            <w:r>
              <w:rPr>
                <w:b w:val="0"/>
                <w:sz w:val="15"/>
              </w:rPr>
              <w:t>Watchlists</w:t>
            </w:r>
          </w:p>
        </w:tc>
        <w:tc>
          <w:tcPr>
            <w:tcW w:type="dxa" w:w="4320"/>
            <w:vAlign w:val="center"/>
            <w:shd w:fill="F6F9FC"/>
          </w:tcPr>
          <w:p>
            <w:r/>
            <w:r>
              <w:rPr>
                <w:b w:val="0"/>
                <w:sz w:val="15"/>
              </w:rPr>
              <w:t>Create watchlists and add/remove channels.</w:t>
            </w:r>
          </w:p>
        </w:tc>
        <w:tc>
          <w:tcPr>
            <w:tcW w:type="dxa" w:w="2736"/>
            <w:vAlign w:val="center"/>
            <w:shd w:fill="F6F9FC"/>
          </w:tcPr>
          <w:p>
            <w:r/>
            <w:r>
              <w:rPr>
                <w:b w:val="0"/>
                <w:sz w:val="15"/>
              </w:rPr>
              <w:t>Changes are audited.</w:t>
            </w:r>
          </w:p>
        </w:tc>
      </w:tr>
      <w:tr>
        <w:tc>
          <w:tcPr>
            <w:tcW w:type="dxa" w:w="1440"/>
            <w:vAlign w:val="center"/>
          </w:tcPr>
          <w:p>
            <w:r/>
            <w:r>
              <w:rPr>
                <w:b w:val="0"/>
                <w:sz w:val="15"/>
              </w:rPr>
              <w:t>FR-ALT-001</w:t>
            </w:r>
          </w:p>
        </w:tc>
        <w:tc>
          <w:tcPr>
            <w:tcW w:type="dxa" w:w="792"/>
            <w:vAlign w:val="center"/>
          </w:tcPr>
          <w:p>
            <w:r/>
            <w:r>
              <w:rPr>
                <w:b w:val="0"/>
                <w:sz w:val="15"/>
              </w:rPr>
              <w:t>P1</w:t>
            </w:r>
          </w:p>
        </w:tc>
        <w:tc>
          <w:tcPr>
            <w:tcW w:type="dxa" w:w="1224"/>
            <w:vAlign w:val="center"/>
          </w:tcPr>
          <w:p>
            <w:r/>
            <w:r>
              <w:rPr>
                <w:b w:val="0"/>
                <w:sz w:val="15"/>
              </w:rPr>
              <w:t>Alerts</w:t>
            </w:r>
          </w:p>
        </w:tc>
        <w:tc>
          <w:tcPr>
            <w:tcW w:type="dxa" w:w="4320"/>
            <w:vAlign w:val="center"/>
          </w:tcPr>
          <w:p>
            <w:r/>
            <w:r>
              <w:rPr>
                <w:b w:val="0"/>
                <w:sz w:val="15"/>
              </w:rPr>
              <w:t>Configure threshold, acceleration and new-breakout-video alerts.</w:t>
            </w:r>
          </w:p>
        </w:tc>
        <w:tc>
          <w:tcPr>
            <w:tcW w:type="dxa" w:w="2736"/>
            <w:vAlign w:val="center"/>
          </w:tcPr>
          <w:p>
            <w:r/>
            <w:r>
              <w:rPr>
                <w:b w:val="0"/>
                <w:sz w:val="15"/>
              </w:rPr>
              <w:t>Alerts are deduplicated and include evidence.</w:t>
            </w:r>
          </w:p>
        </w:tc>
      </w:tr>
      <w:tr>
        <w:tc>
          <w:tcPr>
            <w:tcW w:type="dxa" w:w="1440"/>
            <w:vAlign w:val="center"/>
            <w:shd w:fill="F6F9FC"/>
          </w:tcPr>
          <w:p>
            <w:r/>
            <w:r>
              <w:rPr>
                <w:b w:val="0"/>
                <w:sz w:val="15"/>
              </w:rPr>
              <w:t>FR-EXP-001</w:t>
            </w:r>
          </w:p>
        </w:tc>
        <w:tc>
          <w:tcPr>
            <w:tcW w:type="dxa" w:w="792"/>
            <w:vAlign w:val="center"/>
            <w:shd w:fill="F6F9FC"/>
          </w:tcPr>
          <w:p>
            <w:r/>
            <w:r>
              <w:rPr>
                <w:b w:val="0"/>
                <w:sz w:val="15"/>
              </w:rPr>
              <w:t>P1</w:t>
            </w:r>
          </w:p>
        </w:tc>
        <w:tc>
          <w:tcPr>
            <w:tcW w:type="dxa" w:w="1224"/>
            <w:vAlign w:val="center"/>
            <w:shd w:fill="F6F9FC"/>
          </w:tcPr>
          <w:p>
            <w:r/>
            <w:r>
              <w:rPr>
                <w:b w:val="0"/>
                <w:sz w:val="15"/>
              </w:rPr>
              <w:t>Export</w:t>
            </w:r>
          </w:p>
        </w:tc>
        <w:tc>
          <w:tcPr>
            <w:tcW w:type="dxa" w:w="4320"/>
            <w:vAlign w:val="center"/>
            <w:shd w:fill="F6F9FC"/>
          </w:tcPr>
          <w:p>
            <w:r/>
            <w:r>
              <w:rPr>
                <w:b w:val="0"/>
                <w:sz w:val="15"/>
              </w:rPr>
              <w:t>Export selected channels and evidence to CSV.</w:t>
            </w:r>
          </w:p>
        </w:tc>
        <w:tc>
          <w:tcPr>
            <w:tcW w:type="dxa" w:w="2736"/>
            <w:vAlign w:val="center"/>
            <w:shd w:fill="F6F9FC"/>
          </w:tcPr>
          <w:p>
            <w:r/>
            <w:r>
              <w:rPr>
                <w:b w:val="0"/>
                <w:sz w:val="15"/>
              </w:rPr>
              <w:t>Export includes collection timestamps and proprietary-metric labels.</w:t>
            </w:r>
          </w:p>
        </w:tc>
      </w:tr>
      <w:tr>
        <w:tc>
          <w:tcPr>
            <w:tcW w:type="dxa" w:w="1440"/>
            <w:vAlign w:val="center"/>
          </w:tcPr>
          <w:p>
            <w:r/>
            <w:r>
              <w:rPr>
                <w:b w:val="0"/>
                <w:sz w:val="15"/>
              </w:rPr>
              <w:t>FR-ADM-001</w:t>
            </w:r>
          </w:p>
        </w:tc>
        <w:tc>
          <w:tcPr>
            <w:tcW w:type="dxa" w:w="792"/>
            <w:vAlign w:val="center"/>
          </w:tcPr>
          <w:p>
            <w:r/>
            <w:r>
              <w:rPr>
                <w:b w:val="0"/>
                <w:sz w:val="15"/>
              </w:rPr>
              <w:t>P0</w:t>
            </w:r>
          </w:p>
        </w:tc>
        <w:tc>
          <w:tcPr>
            <w:tcW w:type="dxa" w:w="1224"/>
            <w:vAlign w:val="center"/>
          </w:tcPr>
          <w:p>
            <w:r/>
            <w:r>
              <w:rPr>
                <w:b w:val="0"/>
                <w:sz w:val="15"/>
              </w:rPr>
              <w:t>Administration</w:t>
            </w:r>
          </w:p>
        </w:tc>
        <w:tc>
          <w:tcPr>
            <w:tcW w:type="dxa" w:w="4320"/>
            <w:vAlign w:val="center"/>
          </w:tcPr>
          <w:p>
            <w:r/>
            <w:r>
              <w:rPr>
                <w:b w:val="0"/>
                <w:sz w:val="15"/>
              </w:rPr>
              <w:t>Show API quota consumption, failed jobs, policy switches and connector health.</w:t>
            </w:r>
          </w:p>
        </w:tc>
        <w:tc>
          <w:tcPr>
            <w:tcW w:type="dxa" w:w="2736"/>
            <w:vAlign w:val="center"/>
          </w:tcPr>
          <w:p>
            <w:r/>
            <w:r>
              <w:rPr>
                <w:b w:val="0"/>
                <w:sz w:val="15"/>
              </w:rPr>
              <w:t>Admin can pause discovery independently from refresh.</w:t>
            </w:r>
          </w:p>
        </w:tc>
      </w:tr>
      <w:tr>
        <w:tc>
          <w:tcPr>
            <w:tcW w:type="dxa" w:w="1440"/>
            <w:vAlign w:val="center"/>
            <w:shd w:fill="F6F9FC"/>
          </w:tcPr>
          <w:p>
            <w:r/>
            <w:r>
              <w:rPr>
                <w:b w:val="0"/>
                <w:sz w:val="15"/>
              </w:rPr>
              <w:t>FR-GOV-001</w:t>
            </w:r>
          </w:p>
        </w:tc>
        <w:tc>
          <w:tcPr>
            <w:tcW w:type="dxa" w:w="792"/>
            <w:vAlign w:val="center"/>
            <w:shd w:fill="F6F9FC"/>
          </w:tcPr>
          <w:p>
            <w:r/>
            <w:r>
              <w:rPr>
                <w:b w:val="0"/>
                <w:sz w:val="15"/>
              </w:rPr>
              <w:t>P0</w:t>
            </w:r>
          </w:p>
        </w:tc>
        <w:tc>
          <w:tcPr>
            <w:tcW w:type="dxa" w:w="1224"/>
            <w:vAlign w:val="center"/>
            <w:shd w:fill="F6F9FC"/>
          </w:tcPr>
          <w:p>
            <w:r/>
            <w:r>
              <w:rPr>
                <w:b w:val="0"/>
                <w:sz w:val="15"/>
              </w:rPr>
              <w:t>Governance</w:t>
            </w:r>
          </w:p>
        </w:tc>
        <w:tc>
          <w:tcPr>
            <w:tcW w:type="dxa" w:w="4320"/>
            <w:vAlign w:val="center"/>
            <w:shd w:fill="F6F9FC"/>
          </w:tcPr>
          <w:p>
            <w:r/>
            <w:r>
              <w:rPr>
                <w:b w:val="0"/>
                <w:sz w:val="15"/>
              </w:rPr>
              <w:t>Support dismissal reasons and analyst annotations.</w:t>
            </w:r>
          </w:p>
        </w:tc>
        <w:tc>
          <w:tcPr>
            <w:tcW w:type="dxa" w:w="2736"/>
            <w:vAlign w:val="center"/>
            <w:shd w:fill="F6F9FC"/>
          </w:tcPr>
          <w:p>
            <w:r/>
            <w:r>
              <w:rPr>
                <w:b w:val="0"/>
                <w:sz w:val="15"/>
              </w:rPr>
              <w:t>Dismissed channels can be excluded per workspace or search definition.</w:t>
            </w:r>
          </w:p>
        </w:tc>
      </w:tr>
    </w:tbl>
    <w:p/>
    <w:p>
      <w:pPr>
        <w:pStyle w:val="Heading1"/>
      </w:pPr>
      <w:r>
        <w:t>8. Qualification and Scoring Rules</w:t>
      </w:r>
    </w:p>
    <w:p>
      <w:pPr>
        <w:pStyle w:val="Heading2"/>
      </w:pPr>
      <w:r>
        <w:t>8.1 Minimum qualification gates</w:t>
      </w:r>
    </w:p>
    <w:p>
      <w:pPr>
        <w:pStyle w:val="ListBullet"/>
      </w:pPr>
      <w:r>
        <w:t>Public subscriber count is visible and greater than zero for subscriber-ratio ranking.</w:t>
      </w:r>
    </w:p>
    <w:p>
      <w:pPr>
        <w:pStyle w:val="ListBullet"/>
      </w:pPr>
      <w:r>
        <w:t>At least 5 eligible recent videos; recommended target is 10–20.</w:t>
      </w:r>
    </w:p>
    <w:p>
      <w:pPr>
        <w:pStyle w:val="ListBullet"/>
      </w:pPr>
      <w:r>
        <w:t>At least 60% of sampled recent public uploads have retrievable statistics.</w:t>
      </w:r>
    </w:p>
    <w:p>
      <w:pPr>
        <w:pStyle w:val="ListBullet"/>
      </w:pPr>
      <w:r>
        <w:t>Exclude videos younger than 24 hours by default to reduce early volatility; configurable.</w:t>
      </w:r>
    </w:p>
    <w:p>
      <w:pPr>
        <w:pStyle w:val="ListBullet"/>
      </w:pPr>
      <w:r>
        <w:t>Exclude videos older than 90 days in the default recent-performance model.</w:t>
      </w:r>
    </w:p>
    <w:p>
      <w:pPr>
        <w:pStyle w:val="ListBullet"/>
      </w:pPr>
      <w:r>
        <w:t>Separate Shorts, standard videos and livestream replays; do not mix them in one baseline by default.</w:t>
      </w:r>
    </w:p>
    <w:p>
      <w:pPr>
        <w:pStyle w:val="Heading2"/>
      </w:pPr>
      <w:r>
        <w:t>8.2 Default MVP score</w:t>
      </w:r>
    </w:p>
    <w:p>
      <w:r>
        <w:t>Score components are normalized within a peer cohort defined by region, relevance language, content format and subscriber band. This avoids comparing a Hindi Shorts channel with an English long-form software channel.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shd w:fill="1F4E78"/>
            <w:vAlign w:val="center"/>
          </w:tcPr>
          <w:p>
            <w:r/>
            <w:r>
              <w:rPr>
                <w:b/>
                <w:color w:val="FFFFFF"/>
                <w:sz w:val="17"/>
              </w:rPr>
              <w:t>Component</w:t>
            </w:r>
          </w:p>
        </w:tc>
        <w:tc>
          <w:tcPr>
            <w:tcW w:type="dxa" w:w="864"/>
            <w:shd w:fill="1F4E78"/>
            <w:vAlign w:val="center"/>
          </w:tcPr>
          <w:p>
            <w:r/>
            <w:r>
              <w:rPr>
                <w:b/>
                <w:color w:val="FFFFFF"/>
                <w:sz w:val="17"/>
              </w:rPr>
              <w:t>Weight</w:t>
            </w:r>
          </w:p>
        </w:tc>
        <w:tc>
          <w:tcPr>
            <w:tcW w:type="dxa" w:w="5184"/>
            <w:shd w:fill="1F4E78"/>
            <w:vAlign w:val="center"/>
          </w:tcPr>
          <w:p>
            <w:r/>
            <w:r>
              <w:rPr>
                <w:b/>
                <w:color w:val="FFFFFF"/>
                <w:sz w:val="17"/>
              </w:rPr>
              <w:t>Definition</w:t>
            </w:r>
          </w:p>
        </w:tc>
        <w:tc>
          <w:tcPr>
            <w:tcW w:type="dxa" w:w="2160"/>
            <w:shd w:fill="1F4E78"/>
            <w:vAlign w:val="center"/>
          </w:tcPr>
          <w:p>
            <w:r/>
            <w:r>
              <w:rPr>
                <w:b/>
                <w:color w:val="FFFFFF"/>
                <w:sz w:val="17"/>
              </w:rPr>
              <w:t>Cap / protection</w:t>
            </w:r>
          </w:p>
        </w:tc>
      </w:tr>
      <w:tr>
        <w:tc>
          <w:tcPr>
            <w:tcW w:type="dxa" w:w="2016"/>
            <w:vAlign w:val="center"/>
          </w:tcPr>
          <w:p>
            <w:r/>
            <w:r>
              <w:rPr>
                <w:b w:val="0"/>
                <w:sz w:val="17"/>
              </w:rPr>
              <w:t>Relative reach</w:t>
            </w:r>
          </w:p>
        </w:tc>
        <w:tc>
          <w:tcPr>
            <w:tcW w:type="dxa" w:w="864"/>
            <w:vAlign w:val="center"/>
          </w:tcPr>
          <w:p>
            <w:r/>
            <w:r>
              <w:rPr>
                <w:b w:val="0"/>
                <w:sz w:val="17"/>
              </w:rPr>
              <w:t>40%</w:t>
            </w:r>
          </w:p>
        </w:tc>
        <w:tc>
          <w:tcPr>
            <w:tcW w:type="dxa" w:w="5184"/>
            <w:vAlign w:val="center"/>
          </w:tcPr>
          <w:p>
            <w:r/>
            <w:r>
              <w:rPr>
                <w:b w:val="0"/>
                <w:sz w:val="17"/>
              </w:rPr>
              <w:t>Percentile rank of log1p(median recent-video VSR) within cohort.</w:t>
            </w:r>
          </w:p>
        </w:tc>
        <w:tc>
          <w:tcPr>
            <w:tcW w:type="dxa" w:w="2160"/>
            <w:vAlign w:val="center"/>
          </w:tcPr>
          <w:p>
            <w:r/>
            <w:r>
              <w:rPr>
                <w:b w:val="0"/>
                <w:sz w:val="17"/>
              </w:rPr>
              <w:t>Winsorize at cohort p99.</w:t>
            </w:r>
          </w:p>
        </w:tc>
      </w:tr>
      <w:tr>
        <w:tc>
          <w:tcPr>
            <w:tcW w:type="dxa" w:w="2016"/>
            <w:vAlign w:val="center"/>
            <w:shd w:fill="F6F9FC"/>
          </w:tcPr>
          <w:p>
            <w:r/>
            <w:r>
              <w:rPr>
                <w:b w:val="0"/>
                <w:sz w:val="17"/>
              </w:rPr>
              <w:t>Consistency</w:t>
            </w:r>
          </w:p>
        </w:tc>
        <w:tc>
          <w:tcPr>
            <w:tcW w:type="dxa" w:w="864"/>
            <w:vAlign w:val="center"/>
            <w:shd w:fill="F6F9FC"/>
          </w:tcPr>
          <w:p>
            <w:r/>
            <w:r>
              <w:rPr>
                <w:b w:val="0"/>
                <w:sz w:val="17"/>
              </w:rPr>
              <w:t>25%</w:t>
            </w:r>
          </w:p>
        </w:tc>
        <w:tc>
          <w:tcPr>
            <w:tcW w:type="dxa" w:w="5184"/>
            <w:vAlign w:val="center"/>
            <w:shd w:fill="F6F9FC"/>
          </w:tcPr>
          <w:p>
            <w:r/>
            <w:r>
              <w:rPr>
                <w:b w:val="0"/>
                <w:sz w:val="17"/>
              </w:rPr>
              <w:t>Share of eligible videos with VSR ≥ 1.0, adjusted for sample size.</w:t>
            </w:r>
          </w:p>
        </w:tc>
        <w:tc>
          <w:tcPr>
            <w:tcW w:type="dxa" w:w="2160"/>
            <w:vAlign w:val="center"/>
            <w:shd w:fill="F6F9FC"/>
          </w:tcPr>
          <w:p>
            <w:r/>
            <w:r>
              <w:rPr>
                <w:b w:val="0"/>
                <w:sz w:val="17"/>
              </w:rPr>
              <w:t>Bayesian shrinkage toward cohort mean.</w:t>
            </w:r>
          </w:p>
        </w:tc>
      </w:tr>
      <w:tr>
        <w:tc>
          <w:tcPr>
            <w:tcW w:type="dxa" w:w="2016"/>
            <w:vAlign w:val="center"/>
          </w:tcPr>
          <w:p>
            <w:r/>
            <w:r>
              <w:rPr>
                <w:b w:val="0"/>
                <w:sz w:val="17"/>
              </w:rPr>
              <w:t>Observed velocity</w:t>
            </w:r>
          </w:p>
        </w:tc>
        <w:tc>
          <w:tcPr>
            <w:tcW w:type="dxa" w:w="864"/>
            <w:vAlign w:val="center"/>
          </w:tcPr>
          <w:p>
            <w:r/>
            <w:r>
              <w:rPr>
                <w:b w:val="0"/>
                <w:sz w:val="17"/>
              </w:rPr>
              <w:t>20%</w:t>
            </w:r>
          </w:p>
        </w:tc>
        <w:tc>
          <w:tcPr>
            <w:tcW w:type="dxa" w:w="5184"/>
            <w:vAlign w:val="center"/>
          </w:tcPr>
          <w:p>
            <w:r/>
            <w:r>
              <w:rPr>
                <w:b w:val="0"/>
                <w:sz w:val="17"/>
              </w:rPr>
              <w:t>Percentile of median view gains/hour from repeated snapshots.</w:t>
            </w:r>
          </w:p>
        </w:tc>
        <w:tc>
          <w:tcPr>
            <w:tcW w:type="dxa" w:w="2160"/>
            <w:vAlign w:val="center"/>
          </w:tcPr>
          <w:p>
            <w:r/>
            <w:r>
              <w:rPr>
                <w:b w:val="0"/>
                <w:sz w:val="17"/>
              </w:rPr>
              <w:t>Requires ≥2 snapshots; otherwise redistribute weight.</w:t>
            </w:r>
          </w:p>
        </w:tc>
      </w:tr>
      <w:tr>
        <w:tc>
          <w:tcPr>
            <w:tcW w:type="dxa" w:w="2016"/>
            <w:vAlign w:val="center"/>
            <w:shd w:fill="F6F9FC"/>
          </w:tcPr>
          <w:p>
            <w:r/>
            <w:r>
              <w:rPr>
                <w:b w:val="0"/>
                <w:sz w:val="17"/>
              </w:rPr>
              <w:t>Recency</w:t>
            </w:r>
          </w:p>
        </w:tc>
        <w:tc>
          <w:tcPr>
            <w:tcW w:type="dxa" w:w="864"/>
            <w:vAlign w:val="center"/>
            <w:shd w:fill="F6F9FC"/>
          </w:tcPr>
          <w:p>
            <w:r/>
            <w:r>
              <w:rPr>
                <w:b w:val="0"/>
                <w:sz w:val="17"/>
              </w:rPr>
              <w:t>10%</w:t>
            </w:r>
          </w:p>
        </w:tc>
        <w:tc>
          <w:tcPr>
            <w:tcW w:type="dxa" w:w="5184"/>
            <w:vAlign w:val="center"/>
            <w:shd w:fill="F6F9FC"/>
          </w:tcPr>
          <w:p>
            <w:r/>
            <w:r>
              <w:rPr>
                <w:b w:val="0"/>
                <w:sz w:val="17"/>
              </w:rPr>
              <w:t>Higher score when strong performance is concentrated in newer uploads.</w:t>
            </w:r>
          </w:p>
        </w:tc>
        <w:tc>
          <w:tcPr>
            <w:tcW w:type="dxa" w:w="2160"/>
            <w:vAlign w:val="center"/>
            <w:shd w:fill="F6F9FC"/>
          </w:tcPr>
          <w:p>
            <w:r/>
            <w:r>
              <w:rPr>
                <w:b w:val="0"/>
                <w:sz w:val="17"/>
              </w:rPr>
              <w:t>Exponential decay by video age.</w:t>
            </w:r>
          </w:p>
        </w:tc>
      </w:tr>
      <w:tr>
        <w:tc>
          <w:tcPr>
            <w:tcW w:type="dxa" w:w="2016"/>
            <w:vAlign w:val="center"/>
          </w:tcPr>
          <w:p>
            <w:r/>
            <w:r>
              <w:rPr>
                <w:b w:val="0"/>
                <w:sz w:val="17"/>
              </w:rPr>
              <w:t>Breadth</w:t>
            </w:r>
          </w:p>
        </w:tc>
        <w:tc>
          <w:tcPr>
            <w:tcW w:type="dxa" w:w="864"/>
            <w:vAlign w:val="center"/>
          </w:tcPr>
          <w:p>
            <w:r/>
            <w:r>
              <w:rPr>
                <w:b w:val="0"/>
                <w:sz w:val="17"/>
              </w:rPr>
              <w:t>5%</w:t>
            </w:r>
          </w:p>
        </w:tc>
        <w:tc>
          <w:tcPr>
            <w:tcW w:type="dxa" w:w="5184"/>
            <w:vAlign w:val="center"/>
          </w:tcPr>
          <w:p>
            <w:r/>
            <w:r>
              <w:rPr>
                <w:b w:val="0"/>
                <w:sz w:val="17"/>
              </w:rPr>
              <w:t>Number of eligible videos after logarithmic scaling.</w:t>
            </w:r>
          </w:p>
        </w:tc>
        <w:tc>
          <w:tcPr>
            <w:tcW w:type="dxa" w:w="2160"/>
            <w:vAlign w:val="center"/>
          </w:tcPr>
          <w:p>
            <w:r/>
            <w:r>
              <w:rPr>
                <w:b w:val="0"/>
                <w:sz w:val="17"/>
              </w:rPr>
              <w:t>Maximum credit at 20 videos.</w:t>
            </w:r>
          </w:p>
        </w:tc>
      </w:tr>
    </w:tbl>
    <w:p/>
    <w:p>
      <w:r>
        <w:t>Display formula: Momentum Score (0–100) = weighted sum of available normalized components. The UI must show “Product-generated score — not a YouTube metric.”</w:t>
      </w:r>
    </w:p>
    <w:p>
      <w:pPr>
        <w:pStyle w:val="Heading2"/>
      </w:pPr>
      <w:r>
        <w:t>8.3 Confidence model</w:t>
      </w:r>
    </w:p>
    <w:tbl>
      <w:tblPr>
        <w:tblStyle w:val="TableGrid"/>
        <w:tblW w:type="auto" w:w="0"/>
        <w:jc w:val="center"/>
        <w:tblLook w:firstColumn="1" w:firstRow="1" w:lastColumn="0" w:lastRow="0" w:noHBand="0" w:noVBand="1" w:val="04A0"/>
      </w:tblPr>
      <w:tblGrid>
        <w:gridCol w:w="5040"/>
        <w:gridCol w:w="5040"/>
      </w:tblGrid>
      <w:tr>
        <w:tc>
          <w:tcPr>
            <w:tcW w:type="dxa" w:w="1728"/>
            <w:shd w:fill="1F4E78"/>
            <w:vAlign w:val="center"/>
          </w:tcPr>
          <w:p>
            <w:r/>
            <w:r>
              <w:rPr>
                <w:b/>
                <w:color w:val="FFFFFF"/>
                <w:sz w:val="17"/>
              </w:rPr>
              <w:t>Confidence</w:t>
            </w:r>
          </w:p>
        </w:tc>
        <w:tc>
          <w:tcPr>
            <w:tcW w:type="dxa" w:w="8640"/>
            <w:shd w:fill="1F4E78"/>
            <w:vAlign w:val="center"/>
          </w:tcPr>
          <w:p>
            <w:r/>
            <w:r>
              <w:rPr>
                <w:b/>
                <w:color w:val="FFFFFF"/>
                <w:sz w:val="17"/>
              </w:rPr>
              <w:t>Conditions</w:t>
            </w:r>
          </w:p>
        </w:tc>
      </w:tr>
      <w:tr>
        <w:tc>
          <w:tcPr>
            <w:tcW w:type="dxa" w:w="1728"/>
            <w:vAlign w:val="center"/>
          </w:tcPr>
          <w:p>
            <w:r/>
            <w:r>
              <w:rPr>
                <w:b w:val="0"/>
                <w:sz w:val="17"/>
              </w:rPr>
              <w:t>High</w:t>
            </w:r>
          </w:p>
        </w:tc>
        <w:tc>
          <w:tcPr>
            <w:tcW w:type="dxa" w:w="8640"/>
            <w:vAlign w:val="center"/>
          </w:tcPr>
          <w:p>
            <w:r/>
            <w:r>
              <w:rPr>
                <w:b w:val="0"/>
                <w:sz w:val="17"/>
              </w:rPr>
              <w:t>≥10 eligible videos; subscriber visible; ≥3 snapshots across ≥48 hours; no severe anomaly; ≥80% retrieval completeness.</w:t>
            </w:r>
          </w:p>
        </w:tc>
      </w:tr>
      <w:tr>
        <w:tc>
          <w:tcPr>
            <w:tcW w:type="dxa" w:w="1728"/>
            <w:vAlign w:val="center"/>
            <w:shd w:fill="F6F9FC"/>
          </w:tcPr>
          <w:p>
            <w:r/>
            <w:r>
              <w:rPr>
                <w:b w:val="0"/>
                <w:sz w:val="17"/>
              </w:rPr>
              <w:t>Medium</w:t>
            </w:r>
          </w:p>
        </w:tc>
        <w:tc>
          <w:tcPr>
            <w:tcW w:type="dxa" w:w="8640"/>
            <w:vAlign w:val="center"/>
            <w:shd w:fill="F6F9FC"/>
          </w:tcPr>
          <w:p>
            <w:r/>
            <w:r>
              <w:rPr>
                <w:b w:val="0"/>
                <w:sz w:val="17"/>
              </w:rPr>
              <w:t>5–9 eligible videos, or only 2 snapshots, or rounded subscriber count materially affects ratios.</w:t>
            </w:r>
          </w:p>
        </w:tc>
      </w:tr>
      <w:tr>
        <w:tc>
          <w:tcPr>
            <w:tcW w:type="dxa" w:w="1728"/>
            <w:vAlign w:val="center"/>
          </w:tcPr>
          <w:p>
            <w:r/>
            <w:r>
              <w:rPr>
                <w:b w:val="0"/>
                <w:sz w:val="17"/>
              </w:rPr>
              <w:t>Low</w:t>
            </w:r>
          </w:p>
        </w:tc>
        <w:tc>
          <w:tcPr>
            <w:tcW w:type="dxa" w:w="8640"/>
            <w:vAlign w:val="center"/>
          </w:tcPr>
          <w:p>
            <w:r/>
            <w:r>
              <w:rPr>
                <w:b w:val="0"/>
                <w:sz w:val="17"/>
              </w:rPr>
              <w:t>Single snapshot, high content-format ambiguity, suspected paid/embedded spike, or retrieval completeness below 80%.</w:t>
            </w:r>
          </w:p>
        </w:tc>
      </w:tr>
      <w:tr>
        <w:tc>
          <w:tcPr>
            <w:tcW w:type="dxa" w:w="1728"/>
            <w:vAlign w:val="center"/>
            <w:shd w:fill="F6F9FC"/>
          </w:tcPr>
          <w:p>
            <w:r/>
            <w:r>
              <w:rPr>
                <w:b w:val="0"/>
                <w:sz w:val="17"/>
              </w:rPr>
              <w:t>Not scoreable</w:t>
            </w:r>
          </w:p>
        </w:tc>
        <w:tc>
          <w:tcPr>
            <w:tcW w:type="dxa" w:w="8640"/>
            <w:vAlign w:val="center"/>
            <w:shd w:fill="F6F9FC"/>
          </w:tcPr>
          <w:p>
            <w:r/>
            <w:r>
              <w:rPr>
                <w:b w:val="0"/>
                <w:sz w:val="17"/>
              </w:rPr>
              <w:t>Hidden/zero subscribers for VSR model, fewer than 5 eligible videos, or policy/data failure.</w:t>
            </w:r>
          </w:p>
        </w:tc>
      </w:tr>
    </w:tbl>
    <w:p/>
    <w:p>
      <w:pPr>
        <w:pStyle w:val="Heading1"/>
      </w:pPr>
      <w:r>
        <w:t>9. Data Quality and Edge Cases</w:t>
      </w:r>
    </w:p>
    <w:tbl>
      <w:tblPr>
        <w:tblStyle w:val="TableGrid"/>
        <w:tblW w:type="auto" w:w="0"/>
        <w:jc w:val="center"/>
        <w:tblLook w:firstColumn="1" w:firstRow="1" w:lastColumn="0" w:lastRow="0" w:noHBand="0" w:noVBand="1" w:val="04A0"/>
      </w:tblPr>
      <w:tblGrid>
        <w:gridCol w:w="5040"/>
        <w:gridCol w:w="5040"/>
      </w:tblGrid>
      <w:tr>
        <w:tc>
          <w:tcPr>
            <w:tcW w:type="dxa" w:w="2592"/>
            <w:shd w:fill="1F4E78"/>
            <w:vAlign w:val="center"/>
          </w:tcPr>
          <w:p>
            <w:r/>
            <w:r>
              <w:rPr>
                <w:b/>
                <w:color w:val="FFFFFF"/>
                <w:sz w:val="17"/>
              </w:rPr>
              <w:t>Case</w:t>
            </w:r>
          </w:p>
        </w:tc>
        <w:tc>
          <w:tcPr>
            <w:tcW w:type="dxa" w:w="7776"/>
            <w:shd w:fill="1F4E78"/>
            <w:vAlign w:val="center"/>
          </w:tcPr>
          <w:p>
            <w:r/>
            <w:r>
              <w:rPr>
                <w:b/>
                <w:color w:val="FFFFFF"/>
                <w:sz w:val="17"/>
              </w:rPr>
              <w:t>Required behaviour</w:t>
            </w:r>
          </w:p>
        </w:tc>
      </w:tr>
      <w:tr>
        <w:tc>
          <w:tcPr>
            <w:tcW w:type="dxa" w:w="2592"/>
            <w:vAlign w:val="center"/>
          </w:tcPr>
          <w:p>
            <w:r/>
            <w:r>
              <w:rPr>
                <w:b w:val="0"/>
                <w:sz w:val="17"/>
              </w:rPr>
              <w:t>Hidden subscriber count</w:t>
            </w:r>
          </w:p>
        </w:tc>
        <w:tc>
          <w:tcPr>
            <w:tcW w:type="dxa" w:w="7776"/>
            <w:vAlign w:val="center"/>
          </w:tcPr>
          <w:p>
            <w:r/>
            <w:r>
              <w:rPr>
                <w:b w:val="0"/>
                <w:sz w:val="17"/>
              </w:rPr>
              <w:t>Exclude from subscriber-ratio leaderboard; allow separate view-velocity watchlist.</w:t>
            </w:r>
          </w:p>
        </w:tc>
      </w:tr>
      <w:tr>
        <w:tc>
          <w:tcPr>
            <w:tcW w:type="dxa" w:w="2592"/>
            <w:vAlign w:val="center"/>
            <w:shd w:fill="F6F9FC"/>
          </w:tcPr>
          <w:p>
            <w:r/>
            <w:r>
              <w:rPr>
                <w:b w:val="0"/>
                <w:sz w:val="17"/>
              </w:rPr>
              <w:t>Rounded subscriber count</w:t>
            </w:r>
          </w:p>
        </w:tc>
        <w:tc>
          <w:tcPr>
            <w:tcW w:type="dxa" w:w="7776"/>
            <w:vAlign w:val="center"/>
            <w:shd w:fill="F6F9FC"/>
          </w:tcPr>
          <w:p>
            <w:r/>
            <w:r>
              <w:rPr>
                <w:b w:val="0"/>
                <w:sz w:val="17"/>
              </w:rPr>
              <w:t>Show approximate symbol and lower confidence near band/threshold boundaries.</w:t>
            </w:r>
          </w:p>
        </w:tc>
      </w:tr>
      <w:tr>
        <w:tc>
          <w:tcPr>
            <w:tcW w:type="dxa" w:w="2592"/>
            <w:vAlign w:val="center"/>
          </w:tcPr>
          <w:p>
            <w:r/>
            <w:r>
              <w:rPr>
                <w:b w:val="0"/>
                <w:sz w:val="17"/>
              </w:rPr>
              <w:t>One viral video</w:t>
            </w:r>
          </w:p>
        </w:tc>
        <w:tc>
          <w:tcPr>
            <w:tcW w:type="dxa" w:w="7776"/>
            <w:vAlign w:val="center"/>
          </w:tcPr>
          <w:p>
            <w:r/>
            <w:r>
              <w:rPr>
                <w:b w:val="0"/>
                <w:sz w:val="17"/>
              </w:rPr>
              <w:t>Median and consistency prevent a single outlier from dominating; still show breakout flag.</w:t>
            </w:r>
          </w:p>
        </w:tc>
      </w:tr>
      <w:tr>
        <w:tc>
          <w:tcPr>
            <w:tcW w:type="dxa" w:w="2592"/>
            <w:vAlign w:val="center"/>
            <w:shd w:fill="F6F9FC"/>
          </w:tcPr>
          <w:p>
            <w:r/>
            <w:r>
              <w:rPr>
                <w:b w:val="0"/>
                <w:sz w:val="17"/>
              </w:rPr>
              <w:t>Shorts vs long-form</w:t>
            </w:r>
          </w:p>
        </w:tc>
        <w:tc>
          <w:tcPr>
            <w:tcW w:type="dxa" w:w="7776"/>
            <w:vAlign w:val="center"/>
            <w:shd w:fill="F6F9FC"/>
          </w:tcPr>
          <w:p>
            <w:r/>
            <w:r>
              <w:rPr>
                <w:b w:val="0"/>
                <w:sz w:val="17"/>
              </w:rPr>
              <w:t>Classify and score separately.</w:t>
            </w:r>
          </w:p>
        </w:tc>
      </w:tr>
      <w:tr>
        <w:tc>
          <w:tcPr>
            <w:tcW w:type="dxa" w:w="2592"/>
            <w:vAlign w:val="center"/>
          </w:tcPr>
          <w:p>
            <w:r/>
            <w:r>
              <w:rPr>
                <w:b w:val="0"/>
                <w:sz w:val="17"/>
              </w:rPr>
              <w:t>Livestream replay</w:t>
            </w:r>
          </w:p>
        </w:tc>
        <w:tc>
          <w:tcPr>
            <w:tcW w:type="dxa" w:w="7776"/>
            <w:vAlign w:val="center"/>
          </w:tcPr>
          <w:p>
            <w:r/>
            <w:r>
              <w:rPr>
                <w:b w:val="0"/>
                <w:sz w:val="17"/>
              </w:rPr>
              <w:t>Separate cohort or exclude by default.</w:t>
            </w:r>
          </w:p>
        </w:tc>
      </w:tr>
      <w:tr>
        <w:tc>
          <w:tcPr>
            <w:tcW w:type="dxa" w:w="2592"/>
            <w:vAlign w:val="center"/>
            <w:shd w:fill="F6F9FC"/>
          </w:tcPr>
          <w:p>
            <w:r/>
            <w:r>
              <w:rPr>
                <w:b w:val="0"/>
                <w:sz w:val="17"/>
              </w:rPr>
              <w:t>Deleted/private video</w:t>
            </w:r>
          </w:p>
        </w:tc>
        <w:tc>
          <w:tcPr>
            <w:tcW w:type="dxa" w:w="7776"/>
            <w:vAlign w:val="center"/>
            <w:shd w:fill="F6F9FC"/>
          </w:tcPr>
          <w:p>
            <w:r/>
            <w:r>
              <w:rPr>
                <w:b w:val="0"/>
                <w:sz w:val="17"/>
              </w:rPr>
              <w:t>Mark unavailable; retain only policy-permitted metadata and refresh/delete according to current rules.</w:t>
            </w:r>
          </w:p>
        </w:tc>
      </w:tr>
      <w:tr>
        <w:tc>
          <w:tcPr>
            <w:tcW w:type="dxa" w:w="2592"/>
            <w:vAlign w:val="center"/>
          </w:tcPr>
          <w:p>
            <w:r/>
            <w:r>
              <w:rPr>
                <w:b w:val="0"/>
                <w:sz w:val="17"/>
              </w:rPr>
              <w:t>Channel renamed</w:t>
            </w:r>
          </w:p>
        </w:tc>
        <w:tc>
          <w:tcPr>
            <w:tcW w:type="dxa" w:w="7776"/>
            <w:vAlign w:val="center"/>
          </w:tcPr>
          <w:p>
            <w:r/>
            <w:r>
              <w:rPr>
                <w:b w:val="0"/>
                <w:sz w:val="17"/>
              </w:rPr>
              <w:t>Use immutable channel ID; update display name.</w:t>
            </w:r>
          </w:p>
        </w:tc>
      </w:tr>
      <w:tr>
        <w:tc>
          <w:tcPr>
            <w:tcW w:type="dxa" w:w="2592"/>
            <w:vAlign w:val="center"/>
            <w:shd w:fill="F6F9FC"/>
          </w:tcPr>
          <w:p>
            <w:r/>
            <w:r>
              <w:rPr>
                <w:b w:val="0"/>
                <w:sz w:val="17"/>
              </w:rPr>
              <w:t>View count correction</w:t>
            </w:r>
          </w:p>
        </w:tc>
        <w:tc>
          <w:tcPr>
            <w:tcW w:type="dxa" w:w="7776"/>
            <w:vAlign w:val="center"/>
            <w:shd w:fill="F6F9FC"/>
          </w:tcPr>
          <w:p>
            <w:r/>
            <w:r>
              <w:rPr>
                <w:b w:val="0"/>
                <w:sz w:val="17"/>
              </w:rPr>
              <w:t>Allow negative snapshot delta; label correction, never coerce to zero growth.</w:t>
            </w:r>
          </w:p>
        </w:tc>
      </w:tr>
      <w:tr>
        <w:tc>
          <w:tcPr>
            <w:tcW w:type="dxa" w:w="2592"/>
            <w:vAlign w:val="center"/>
          </w:tcPr>
          <w:p>
            <w:r/>
            <w:r>
              <w:rPr>
                <w:b w:val="0"/>
                <w:sz w:val="17"/>
              </w:rPr>
              <w:t>New channel with &lt;5 videos</w:t>
            </w:r>
          </w:p>
        </w:tc>
        <w:tc>
          <w:tcPr>
            <w:tcW w:type="dxa" w:w="7776"/>
            <w:vAlign w:val="center"/>
          </w:tcPr>
          <w:p>
            <w:r/>
            <w:r>
              <w:rPr>
                <w:b w:val="0"/>
                <w:sz w:val="17"/>
              </w:rPr>
              <w:t>Display as early-stage candidate, not ranked.</w:t>
            </w:r>
          </w:p>
        </w:tc>
      </w:tr>
      <w:tr>
        <w:tc>
          <w:tcPr>
            <w:tcW w:type="dxa" w:w="2592"/>
            <w:vAlign w:val="center"/>
            <w:shd w:fill="F6F9FC"/>
          </w:tcPr>
          <w:p>
            <w:r/>
            <w:r>
              <w:rPr>
                <w:b w:val="0"/>
                <w:sz w:val="17"/>
              </w:rPr>
              <w:t>Search bias</w:t>
            </w:r>
          </w:p>
        </w:tc>
        <w:tc>
          <w:tcPr>
            <w:tcW w:type="dxa" w:w="7776"/>
            <w:vAlign w:val="center"/>
            <w:shd w:fill="F6F9FC"/>
          </w:tcPr>
          <w:p>
            <w:r/>
            <w:r>
              <w:rPr>
                <w:b w:val="0"/>
                <w:sz w:val="17"/>
              </w:rPr>
              <w:t>Show discovery source and warn that coverage is query-bounded, not exhaustive.</w:t>
            </w:r>
          </w:p>
        </w:tc>
      </w:tr>
    </w:tbl>
    <w:p/>
    <w:p>
      <w:pPr>
        <w:pStyle w:val="Heading1"/>
      </w:pPr>
      <w:r>
        <w:t>10. Non-Functional Product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1152"/>
            <w:shd w:fill="1F4E78"/>
            <w:vAlign w:val="center"/>
          </w:tcPr>
          <w:p>
            <w:r/>
            <w:r>
              <w:rPr>
                <w:b/>
                <w:color w:val="FFFFFF"/>
                <w:sz w:val="17"/>
              </w:rPr>
              <w:t>ID</w:t>
            </w:r>
          </w:p>
        </w:tc>
        <w:tc>
          <w:tcPr>
            <w:tcW w:type="dxa" w:w="5472"/>
            <w:shd w:fill="1F4E78"/>
            <w:vAlign w:val="center"/>
          </w:tcPr>
          <w:p>
            <w:r/>
            <w:r>
              <w:rPr>
                <w:b/>
                <w:color w:val="FFFFFF"/>
                <w:sz w:val="17"/>
              </w:rPr>
              <w:t>Requirement</w:t>
            </w:r>
          </w:p>
        </w:tc>
        <w:tc>
          <w:tcPr>
            <w:tcW w:type="dxa" w:w="3744"/>
            <w:shd w:fill="1F4E78"/>
            <w:vAlign w:val="center"/>
          </w:tcPr>
          <w:p>
            <w:r/>
            <w:r>
              <w:rPr>
                <w:b/>
                <w:color w:val="FFFFFF"/>
                <w:sz w:val="17"/>
              </w:rPr>
              <w:t>Target</w:t>
            </w:r>
          </w:p>
        </w:tc>
      </w:tr>
      <w:tr>
        <w:tc>
          <w:tcPr>
            <w:tcW w:type="dxa" w:w="1152"/>
            <w:vAlign w:val="center"/>
          </w:tcPr>
          <w:p>
            <w:r/>
            <w:r>
              <w:rPr>
                <w:b w:val="0"/>
                <w:sz w:val="17"/>
              </w:rPr>
              <w:t>NFR-01</w:t>
            </w:r>
          </w:p>
        </w:tc>
        <w:tc>
          <w:tcPr>
            <w:tcW w:type="dxa" w:w="5472"/>
            <w:vAlign w:val="center"/>
          </w:tcPr>
          <w:p>
            <w:r/>
            <w:r>
              <w:rPr>
                <w:b w:val="0"/>
                <w:sz w:val="17"/>
              </w:rPr>
              <w:t>Result freshness</w:t>
            </w:r>
          </w:p>
        </w:tc>
        <w:tc>
          <w:tcPr>
            <w:tcW w:type="dxa" w:w="3744"/>
            <w:vAlign w:val="center"/>
          </w:tcPr>
          <w:p>
            <w:r/>
            <w:r>
              <w:rPr>
                <w:b w:val="0"/>
                <w:sz w:val="17"/>
              </w:rPr>
              <w:t>Scheduled watchlist refresh completes within 2 hours of planned start for 95% of jobs.</w:t>
            </w:r>
          </w:p>
        </w:tc>
      </w:tr>
      <w:tr>
        <w:tc>
          <w:tcPr>
            <w:tcW w:type="dxa" w:w="1152"/>
            <w:vAlign w:val="center"/>
            <w:shd w:fill="F6F9FC"/>
          </w:tcPr>
          <w:p>
            <w:r/>
            <w:r>
              <w:rPr>
                <w:b w:val="0"/>
                <w:sz w:val="17"/>
              </w:rPr>
              <w:t>NFR-02</w:t>
            </w:r>
          </w:p>
        </w:tc>
        <w:tc>
          <w:tcPr>
            <w:tcW w:type="dxa" w:w="5472"/>
            <w:vAlign w:val="center"/>
            <w:shd w:fill="F6F9FC"/>
          </w:tcPr>
          <w:p>
            <w:r/>
            <w:r>
              <w:rPr>
                <w:b w:val="0"/>
                <w:sz w:val="17"/>
              </w:rPr>
              <w:t>UI performance</w:t>
            </w:r>
          </w:p>
        </w:tc>
        <w:tc>
          <w:tcPr>
            <w:tcW w:type="dxa" w:w="3744"/>
            <w:vAlign w:val="center"/>
            <w:shd w:fill="F6F9FC"/>
          </w:tcPr>
          <w:p>
            <w:r/>
            <w:r>
              <w:rPr>
                <w:b w:val="0"/>
                <w:sz w:val="17"/>
              </w:rPr>
              <w:t>P95 initial dashboard load &lt;2.5 s for 1,000 displayed channels using cached aggregates.</w:t>
            </w:r>
          </w:p>
        </w:tc>
      </w:tr>
      <w:tr>
        <w:tc>
          <w:tcPr>
            <w:tcW w:type="dxa" w:w="1152"/>
            <w:vAlign w:val="center"/>
          </w:tcPr>
          <w:p>
            <w:r/>
            <w:r>
              <w:rPr>
                <w:b w:val="0"/>
                <w:sz w:val="17"/>
              </w:rPr>
              <w:t>NFR-03</w:t>
            </w:r>
          </w:p>
        </w:tc>
        <w:tc>
          <w:tcPr>
            <w:tcW w:type="dxa" w:w="5472"/>
            <w:vAlign w:val="center"/>
          </w:tcPr>
          <w:p>
            <w:r/>
            <w:r>
              <w:rPr>
                <w:b w:val="0"/>
                <w:sz w:val="17"/>
              </w:rPr>
              <w:t>Availability</w:t>
            </w:r>
          </w:p>
        </w:tc>
        <w:tc>
          <w:tcPr>
            <w:tcW w:type="dxa" w:w="3744"/>
            <w:vAlign w:val="center"/>
          </w:tcPr>
          <w:p>
            <w:r/>
            <w:r>
              <w:rPr>
                <w:b w:val="0"/>
                <w:sz w:val="17"/>
              </w:rPr>
              <w:t>99.5% monthly for MVP, excluding upstream YouTube outages.</w:t>
            </w:r>
          </w:p>
        </w:tc>
      </w:tr>
      <w:tr>
        <w:tc>
          <w:tcPr>
            <w:tcW w:type="dxa" w:w="1152"/>
            <w:vAlign w:val="center"/>
            <w:shd w:fill="F6F9FC"/>
          </w:tcPr>
          <w:p>
            <w:r/>
            <w:r>
              <w:rPr>
                <w:b w:val="0"/>
                <w:sz w:val="17"/>
              </w:rPr>
              <w:t>NFR-04</w:t>
            </w:r>
          </w:p>
        </w:tc>
        <w:tc>
          <w:tcPr>
            <w:tcW w:type="dxa" w:w="5472"/>
            <w:vAlign w:val="center"/>
            <w:shd w:fill="F6F9FC"/>
          </w:tcPr>
          <w:p>
            <w:r/>
            <w:r>
              <w:rPr>
                <w:b w:val="0"/>
                <w:sz w:val="17"/>
              </w:rPr>
              <w:t>Explainability</w:t>
            </w:r>
          </w:p>
        </w:tc>
        <w:tc>
          <w:tcPr>
            <w:tcW w:type="dxa" w:w="3744"/>
            <w:vAlign w:val="center"/>
            <w:shd w:fill="F6F9FC"/>
          </w:tcPr>
          <w:p>
            <w:r/>
            <w:r>
              <w:rPr>
                <w:b w:val="0"/>
                <w:sz w:val="17"/>
              </w:rPr>
              <w:t>100% of ranked items show component evidence and confidence.</w:t>
            </w:r>
          </w:p>
        </w:tc>
      </w:tr>
      <w:tr>
        <w:tc>
          <w:tcPr>
            <w:tcW w:type="dxa" w:w="1152"/>
            <w:vAlign w:val="center"/>
          </w:tcPr>
          <w:p>
            <w:r/>
            <w:r>
              <w:rPr>
                <w:b w:val="0"/>
                <w:sz w:val="17"/>
              </w:rPr>
              <w:t>NFR-05</w:t>
            </w:r>
          </w:p>
        </w:tc>
        <w:tc>
          <w:tcPr>
            <w:tcW w:type="dxa" w:w="5472"/>
            <w:vAlign w:val="center"/>
          </w:tcPr>
          <w:p>
            <w:r/>
            <w:r>
              <w:rPr>
                <w:b w:val="0"/>
                <w:sz w:val="17"/>
              </w:rPr>
              <w:t>Auditability</w:t>
            </w:r>
          </w:p>
        </w:tc>
        <w:tc>
          <w:tcPr>
            <w:tcW w:type="dxa" w:w="3744"/>
            <w:vAlign w:val="center"/>
          </w:tcPr>
          <w:p>
            <w:r/>
            <w:r>
              <w:rPr>
                <w:b w:val="0"/>
                <w:sz w:val="17"/>
              </w:rPr>
              <w:t>All admin, export, scoring-version and watchlist mutations are auditable.</w:t>
            </w:r>
          </w:p>
        </w:tc>
      </w:tr>
      <w:tr>
        <w:tc>
          <w:tcPr>
            <w:tcW w:type="dxa" w:w="1152"/>
            <w:vAlign w:val="center"/>
            <w:shd w:fill="F6F9FC"/>
          </w:tcPr>
          <w:p>
            <w:r/>
            <w:r>
              <w:rPr>
                <w:b w:val="0"/>
                <w:sz w:val="17"/>
              </w:rPr>
              <w:t>NFR-06</w:t>
            </w:r>
          </w:p>
        </w:tc>
        <w:tc>
          <w:tcPr>
            <w:tcW w:type="dxa" w:w="5472"/>
            <w:vAlign w:val="center"/>
            <w:shd w:fill="F6F9FC"/>
          </w:tcPr>
          <w:p>
            <w:r/>
            <w:r>
              <w:rPr>
                <w:b w:val="0"/>
                <w:sz w:val="17"/>
              </w:rPr>
              <w:t>Accessibility</w:t>
            </w:r>
          </w:p>
        </w:tc>
        <w:tc>
          <w:tcPr>
            <w:tcW w:type="dxa" w:w="3744"/>
            <w:vAlign w:val="center"/>
            <w:shd w:fill="F6F9FC"/>
          </w:tcPr>
          <w:p>
            <w:r/>
            <w:r>
              <w:rPr>
                <w:b w:val="0"/>
                <w:sz w:val="17"/>
              </w:rPr>
              <w:t>WCAG 2.2 AA target for web application.</w:t>
            </w:r>
          </w:p>
        </w:tc>
      </w:tr>
      <w:tr>
        <w:tc>
          <w:tcPr>
            <w:tcW w:type="dxa" w:w="1152"/>
            <w:vAlign w:val="center"/>
          </w:tcPr>
          <w:p>
            <w:r/>
            <w:r>
              <w:rPr>
                <w:b w:val="0"/>
                <w:sz w:val="17"/>
              </w:rPr>
              <w:t>NFR-07</w:t>
            </w:r>
          </w:p>
        </w:tc>
        <w:tc>
          <w:tcPr>
            <w:tcW w:type="dxa" w:w="5472"/>
            <w:vAlign w:val="center"/>
          </w:tcPr>
          <w:p>
            <w:r/>
            <w:r>
              <w:rPr>
                <w:b w:val="0"/>
                <w:sz w:val="17"/>
              </w:rPr>
              <w:t>Localization</w:t>
            </w:r>
          </w:p>
        </w:tc>
        <w:tc>
          <w:tcPr>
            <w:tcW w:type="dxa" w:w="3744"/>
            <w:vAlign w:val="center"/>
          </w:tcPr>
          <w:p>
            <w:r/>
            <w:r>
              <w:rPr>
                <w:b w:val="0"/>
                <w:sz w:val="17"/>
              </w:rPr>
              <w:t>Store UTC; render workspace timezone; support English first with localization-ready strings.</w:t>
            </w:r>
          </w:p>
        </w:tc>
      </w:tr>
    </w:tbl>
    <w:p/>
    <w:p>
      <w:pPr>
        <w:pStyle w:val="Heading1"/>
      </w:pPr>
      <w:r>
        <w:t>11. MVP Scope and Release Gates</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1F4E78"/>
            <w:vAlign w:val="center"/>
          </w:tcPr>
          <w:p>
            <w:r/>
            <w:r>
              <w:rPr>
                <w:b/>
                <w:color w:val="FFFFFF"/>
                <w:sz w:val="17"/>
              </w:rPr>
              <w:t>Release</w:t>
            </w:r>
          </w:p>
        </w:tc>
        <w:tc>
          <w:tcPr>
            <w:tcW w:type="dxa" w:w="5472"/>
            <w:shd w:fill="1F4E78"/>
            <w:vAlign w:val="center"/>
          </w:tcPr>
          <w:p>
            <w:r/>
            <w:r>
              <w:rPr>
                <w:b/>
                <w:color w:val="FFFFFF"/>
                <w:sz w:val="17"/>
              </w:rPr>
              <w:t>Included</w:t>
            </w:r>
          </w:p>
        </w:tc>
        <w:tc>
          <w:tcPr>
            <w:tcW w:type="dxa" w:w="3168"/>
            <w:shd w:fill="1F4E78"/>
            <w:vAlign w:val="center"/>
          </w:tcPr>
          <w:p>
            <w:r/>
            <w:r>
              <w:rPr>
                <w:b/>
                <w:color w:val="FFFFFF"/>
                <w:sz w:val="17"/>
              </w:rPr>
              <w:t>Exit gate</w:t>
            </w:r>
          </w:p>
        </w:tc>
      </w:tr>
      <w:tr>
        <w:tc>
          <w:tcPr>
            <w:tcW w:type="dxa" w:w="1728"/>
            <w:vAlign w:val="center"/>
          </w:tcPr>
          <w:p>
            <w:r/>
            <w:r>
              <w:rPr>
                <w:b w:val="0"/>
                <w:sz w:val="17"/>
              </w:rPr>
              <w:t>R0 — Technical spike</w:t>
            </w:r>
          </w:p>
        </w:tc>
        <w:tc>
          <w:tcPr>
            <w:tcW w:type="dxa" w:w="5472"/>
            <w:vAlign w:val="center"/>
          </w:tcPr>
          <w:p>
            <w:r/>
            <w:r>
              <w:rPr>
                <w:b w:val="0"/>
                <w:sz w:val="17"/>
              </w:rPr>
              <w:t>One topic, manual seed terms, channel/video enrichment, snapshot table, notebook validation.</w:t>
            </w:r>
          </w:p>
        </w:tc>
        <w:tc>
          <w:tcPr>
            <w:tcW w:type="dxa" w:w="3168"/>
            <w:vAlign w:val="center"/>
          </w:tcPr>
          <w:p>
            <w:r/>
            <w:r>
              <w:rPr>
                <w:b w:val="0"/>
                <w:sz w:val="17"/>
              </w:rPr>
              <w:t>50 manually reviewed channels; formulas and API budget validated.</w:t>
            </w:r>
          </w:p>
        </w:tc>
      </w:tr>
      <w:tr>
        <w:tc>
          <w:tcPr>
            <w:tcW w:type="dxa" w:w="1728"/>
            <w:vAlign w:val="center"/>
            <w:shd w:fill="F6F9FC"/>
          </w:tcPr>
          <w:p>
            <w:r/>
            <w:r>
              <w:rPr>
                <w:b w:val="0"/>
                <w:sz w:val="17"/>
              </w:rPr>
              <w:t>R1 — Internal MVP</w:t>
            </w:r>
          </w:p>
        </w:tc>
        <w:tc>
          <w:tcPr>
            <w:tcW w:type="dxa" w:w="5472"/>
            <w:vAlign w:val="center"/>
            <w:shd w:fill="F6F9FC"/>
          </w:tcPr>
          <w:p>
            <w:r/>
            <w:r>
              <w:rPr>
                <w:b w:val="0"/>
                <w:sz w:val="17"/>
              </w:rPr>
              <w:t>Search definitions, scheduled jobs, ranking, channel detail, watchlists, admin quota dashboard.</w:t>
            </w:r>
          </w:p>
        </w:tc>
        <w:tc>
          <w:tcPr>
            <w:tcW w:type="dxa" w:w="3168"/>
            <w:vAlign w:val="center"/>
            <w:shd w:fill="F6F9FC"/>
          </w:tcPr>
          <w:p>
            <w:r/>
            <w:r>
              <w:rPr>
                <w:b w:val="0"/>
                <w:sz w:val="17"/>
              </w:rPr>
              <w:t>Two-week stable run; no policy-blocking finding; precision@20 ≥70%.</w:t>
            </w:r>
          </w:p>
        </w:tc>
      </w:tr>
      <w:tr>
        <w:tc>
          <w:tcPr>
            <w:tcW w:type="dxa" w:w="1728"/>
            <w:vAlign w:val="center"/>
          </w:tcPr>
          <w:p>
            <w:r/>
            <w:r>
              <w:rPr>
                <w:b w:val="0"/>
                <w:sz w:val="17"/>
              </w:rPr>
              <w:t>R2 — Private beta</w:t>
            </w:r>
          </w:p>
        </w:tc>
        <w:tc>
          <w:tcPr>
            <w:tcW w:type="dxa" w:w="5472"/>
            <w:vAlign w:val="center"/>
          </w:tcPr>
          <w:p>
            <w:r/>
            <w:r>
              <w:rPr>
                <w:b w:val="0"/>
                <w:sz w:val="17"/>
              </w:rPr>
              <w:t>Multi-workspace, alerts, exports, RBAC, audit log, billing hooks.</w:t>
            </w:r>
          </w:p>
        </w:tc>
        <w:tc>
          <w:tcPr>
            <w:tcW w:type="dxa" w:w="3168"/>
            <w:vAlign w:val="center"/>
          </w:tcPr>
          <w:p>
            <w:r/>
            <w:r>
              <w:rPr>
                <w:b w:val="0"/>
                <w:sz w:val="17"/>
              </w:rPr>
              <w:t>5 design partners; ≥40% weekly active analysts; zero Sev-1 security defects.</w:t>
            </w:r>
          </w:p>
        </w:tc>
      </w:tr>
      <w:tr>
        <w:tc>
          <w:tcPr>
            <w:tcW w:type="dxa" w:w="1728"/>
            <w:vAlign w:val="center"/>
            <w:shd w:fill="F6F9FC"/>
          </w:tcPr>
          <w:p>
            <w:r/>
            <w:r>
              <w:rPr>
                <w:b w:val="0"/>
                <w:sz w:val="17"/>
              </w:rPr>
              <w:t>R3 — General availability</w:t>
            </w:r>
          </w:p>
        </w:tc>
        <w:tc>
          <w:tcPr>
            <w:tcW w:type="dxa" w:w="5472"/>
            <w:vAlign w:val="center"/>
            <w:shd w:fill="F6F9FC"/>
          </w:tcPr>
          <w:p>
            <w:r/>
            <w:r>
              <w:rPr>
                <w:b w:val="0"/>
                <w:sz w:val="17"/>
              </w:rPr>
              <w:t>Self-service onboarding, plan limits, operational tooling, DSR workflows.</w:t>
            </w:r>
          </w:p>
        </w:tc>
        <w:tc>
          <w:tcPr>
            <w:tcW w:type="dxa" w:w="3168"/>
            <w:vAlign w:val="center"/>
            <w:shd w:fill="F6F9FC"/>
          </w:tcPr>
          <w:p>
            <w:r/>
            <w:r>
              <w:rPr>
                <w:b w:val="0"/>
                <w:sz w:val="17"/>
              </w:rPr>
              <w:t>SLOs met for 30 days and quota extension/audit approvals in place where required.</w:t>
            </w:r>
          </w:p>
        </w:tc>
      </w:tr>
    </w:tbl>
    <w:p/>
    <w:p>
      <w:pPr>
        <w:pStyle w:val="Heading1"/>
      </w:pPr>
      <w:r>
        <w:t>12. Product Analytics</w:t>
      </w:r>
    </w:p>
    <w:p>
      <w:pPr>
        <w:pStyle w:val="ListBullet"/>
      </w:pPr>
      <w:r>
        <w:t>Search definitions created and rerun rate</w:t>
      </w:r>
    </w:p>
    <w:p>
      <w:pPr>
        <w:pStyle w:val="ListBullet"/>
      </w:pPr>
      <w:r>
        <w:t>Candidates discovered → qualified → shortlisted funnel</w:t>
      </w:r>
    </w:p>
    <w:p>
      <w:pPr>
        <w:pStyle w:val="ListBullet"/>
      </w:pPr>
      <w:r>
        <w:t>Precision@10 and precision@20 from analyst labels</w:t>
      </w:r>
    </w:p>
    <w:p>
      <w:pPr>
        <w:pStyle w:val="ListBullet"/>
      </w:pPr>
      <w:r>
        <w:t>Time from channel qualification to first watchlist addition</w:t>
      </w:r>
    </w:p>
    <w:p>
      <w:pPr>
        <w:pStyle w:val="ListBullet"/>
      </w:pPr>
      <w:r>
        <w:t>Alert open rate and action rate</w:t>
      </w:r>
    </w:p>
    <w:p>
      <w:pPr>
        <w:pStyle w:val="ListBullet"/>
      </w:pPr>
      <w:r>
        <w:t>Dismissal reasons distribution</w:t>
      </w:r>
    </w:p>
    <w:p>
      <w:pPr>
        <w:pStyle w:val="ListBullet"/>
      </w:pPr>
      <w:r>
        <w:t>Quota units per qualified channel</w:t>
      </w:r>
    </w:p>
    <w:p>
      <w:pPr>
        <w:pStyle w:val="ListBullet"/>
      </w:pPr>
      <w:r>
        <w:t>Stale-data rate and failed-refresh rate</w:t>
      </w:r>
    </w:p>
    <w:p>
      <w:pPr>
        <w:pStyle w:val="Heading1"/>
      </w:pPr>
      <w:r>
        <w:t>13. Open Product Decisions</w:t>
      </w:r>
    </w:p>
    <w:p>
      <w:pPr>
        <w:pStyle w:val="ListBullet"/>
      </w:pPr>
      <w:r>
        <w:t>Initial customer segment: creator research, talent scouting or brand influencer discovery.</w:t>
      </w:r>
    </w:p>
    <w:p>
      <w:pPr>
        <w:pStyle w:val="ListBullet"/>
      </w:pPr>
      <w:r>
        <w:t>Default geographic scope and languages for launch.</w:t>
      </w:r>
    </w:p>
    <w:p>
      <w:pPr>
        <w:pStyle w:val="ListBullet"/>
      </w:pPr>
      <w:r>
        <w:t>Whether comments/sentiment analysis belongs in R2 or later.</w:t>
      </w:r>
    </w:p>
    <w:p>
      <w:pPr>
        <w:pStyle w:val="ListBullet"/>
      </w:pPr>
      <w:r>
        <w:t>Commercial use and data-retention model after legal review of the current YouTube policy amendment.</w:t>
      </w:r>
    </w:p>
    <w:p>
      <w:pPr>
        <w:pStyle w:val="ListBullet"/>
      </w:pPr>
      <w:r>
        <w:t>Whether AI-generated niche classification is worth the additional cost and explainability burden in MVP.</w:t>
      </w:r>
    </w:p>
    <w:p>
      <w:pPr>
        <w:pStyle w:val="Heading1"/>
        <w:pageBreakBefore/>
      </w:pPr>
      <w:r>
        <w:t>Authoritative References</w:t>
      </w:r>
    </w:p>
    <w:p>
      <w:r>
        <w:rPr>
          <w:b/>
          <w:color w:val="1F4E78"/>
        </w:rPr>
        <w:t>S1 — YouTube Data API - Channels resource</w:t>
      </w:r>
    </w:p>
    <w:p>
      <w:r>
        <w:t>https://developers.google.com/youtube/v3/docs/channels</w:t>
      </w:r>
    </w:p>
    <w:p>
      <w:r>
        <w:t>Public channel statistics include subscriberCount, hiddenSubscriberCount, viewCount and videoCount. Subscriber count may be rounded.</w:t>
      </w:r>
    </w:p>
    <w:p>
      <w:r>
        <w:rPr>
          <w:b/>
          <w:color w:val="1F4E78"/>
        </w:rPr>
        <w:t>S2 — YouTube Data API - Videos list</w:t>
      </w:r>
    </w:p>
    <w:p>
      <w:r>
        <w:t>https://developers.google.com/youtube/v3/docs/videos/list</w:t>
      </w:r>
    </w:p>
    <w:p>
      <w:r>
        <w:t>Public video statistics can be retrieved using the official API.</w:t>
      </w:r>
    </w:p>
    <w:p>
      <w:r>
        <w:rPr>
          <w:b/>
          <w:color w:val="1F4E78"/>
        </w:rPr>
        <w:t>S3 — YouTube Data API - Search list</w:t>
      </w:r>
    </w:p>
    <w:p>
      <w:r>
        <w:t>https://developers.google.com/youtube/v3/docs/search/list</w:t>
      </w:r>
    </w:p>
    <w:p>
      <w:r>
        <w:t>Search discovery is quota-limited; current default search bucket is 100 calls/day.</w:t>
      </w:r>
    </w:p>
    <w:p>
      <w:r>
        <w:rPr>
          <w:b/>
          <w:color w:val="1F4E78"/>
        </w:rPr>
        <w:t>S4 — YouTube Data API - Quota Calculator</w:t>
      </w:r>
    </w:p>
    <w:p>
      <w:r>
        <w:t>https://developers.google.com/youtube/v3/determine_quota_cost</w:t>
      </w:r>
    </w:p>
    <w:p>
      <w:r>
        <w:t>Current default allocation includes 100 search.list calls/day and 10,000 units/day for other endpoints; quotas reset at midnight Pacific Time.</w:t>
      </w:r>
    </w:p>
    <w:p>
      <w:r>
        <w:rPr>
          <w:b/>
          <w:color w:val="1F4E78"/>
        </w:rPr>
        <w:t>S5 — YouTube Data API - videos.batchGetStats</w:t>
      </w:r>
    </w:p>
    <w:p>
      <w:r>
        <w:t>https://developers.google.com/youtube/v3/docs/videos/batchGetStats</w:t>
      </w:r>
    </w:p>
    <w:p>
      <w:r>
        <w:t>Introduced in June 2026; public video statistics can be retrieved in batches at one unit per call in its own quota bucket.</w:t>
      </w:r>
    </w:p>
    <w:p>
      <w:r>
        <w:rPr>
          <w:b/>
          <w:color w:val="1F4E78"/>
        </w:rPr>
        <w:t>S6 — YouTube Analytics and Reporting API Introduction</w:t>
      </w:r>
    </w:p>
    <w:p>
      <w:r>
        <w:t>https://developers.google.com/youtube/reporting</w:t>
      </w:r>
    </w:p>
    <w:p>
      <w:r>
        <w:t>Private analytics require authorization by the channel or content owner.</w:t>
      </w:r>
    </w:p>
    <w:p>
      <w:r>
        <w:rPr>
          <w:b/>
          <w:color w:val="1F4E78"/>
        </w:rPr>
        <w:t>S7 — YouTube API Services Developer Policies</w:t>
      </w:r>
    </w:p>
    <w:p>
      <w:r>
        <w:t>https://developers.google.com/youtube/terms/developer-policies</w:t>
      </w:r>
    </w:p>
    <w:p>
      <w:r>
        <w:t>Use only documented APIs; comply with credential, storage, display and policy requirements.</w:t>
      </w:r>
    </w:p>
    <w:p>
      <w:r>
        <w:rPr>
          <w:b/>
          <w:color w:val="1F4E78"/>
        </w:rPr>
        <w:t>S8 — Additional policies for derived metrics and data storage</w:t>
      </w:r>
    </w:p>
    <w:p>
      <w:r>
        <w:t>https://developers.google.com/youtube/terms/derived-metrics-policy</w:t>
      </w:r>
    </w:p>
    <w:p>
      <w:r>
        <w:t>Custom scores and ratios require the applicable analytics amendment/audited permission path and must be distinguished from YouTube API metrics.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Confidential working draft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YT Signal Scout |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2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88" w:right="288"/>
    </w:pPr>
    <w:rPr>
      <w:rFonts w:ascii="Aptos" w:hAnsi="Aptos"/>
      <w:color w:val="18324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