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24A"/>
          <w:sz w:val="56"/>
        </w:rPr>
        <w:t>Technical Requirements Document</w:t>
      </w:r>
    </w:p>
    <w:p>
      <w:pPr>
        <w:jc w:val="center"/>
      </w:pPr>
      <w:r>
        <w:rPr>
          <w:color w:val="666666"/>
          <w:sz w:val="26"/>
        </w:rPr>
        <w:t>YT Signal Scout — System Architecture and Engineering Specification</w:t>
      </w:r>
    </w:p>
    <w:p>
      <w:pPr>
        <w:jc w:val="center"/>
      </w:pPr>
      <w:r>
        <w:rPr>
          <w:color w:val="666666"/>
          <w:sz w:val="18"/>
        </w:rPr>
        <w:t>Version 1.0 | 19 July 2026 | Confidential Working Draft</w:t>
      </w:r>
    </w:p>
    <w:p>
      <w:r>
        <w:br/>
      </w:r>
    </w:p>
    <w:tbl>
      <w:tblPr>
        <w:tblStyle w:val="TableGrid"/>
        <w:tblW w:type="auto" w:w="0"/>
        <w:tblLook w:firstColumn="1" w:firstRow="1" w:lastColumn="0" w:lastRow="0" w:noHBand="0" w:noVBand="1" w:val="04A0"/>
      </w:tblPr>
      <w:tblGrid>
        <w:gridCol w:w="10080"/>
      </w:tblGrid>
      <w:tr>
        <w:tc>
          <w:tcPr>
            <w:tcW w:type="dxa" w:w="10080"/>
            <w:shd w:fill="D9EAF7"/>
          </w:tcPr>
          <w:p>
            <w:r>
              <w:rPr>
                <w:b/>
                <w:color w:val="1F4E78"/>
              </w:rPr>
              <w:t xml:space="preserve">PRODUCT DEFINITION: </w:t>
            </w:r>
            <w:r>
              <w:rPr>
                <w:sz w:val="18"/>
              </w:rPr>
              <w:t>A discovery and monitoring platform that identifies public YouTube channels whose recent videos consistently attract disproportionately high viewership relative to their publicly visible subscriber base, while separating official YouTube metrics from product-generated analytical scores.</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2448"/>
            <w:shd w:fill="1F4E78"/>
            <w:vAlign w:val="center"/>
          </w:tcPr>
          <w:p>
            <w:r/>
            <w:r>
              <w:rPr>
                <w:b/>
                <w:color w:val="FFFFFF"/>
                <w:sz w:val="17"/>
              </w:rPr>
              <w:t>Field</w:t>
            </w:r>
          </w:p>
        </w:tc>
        <w:tc>
          <w:tcPr>
            <w:tcW w:type="dxa" w:w="7776"/>
            <w:shd w:fill="1F4E78"/>
            <w:vAlign w:val="center"/>
          </w:tcPr>
          <w:p>
            <w:r/>
            <w:r>
              <w:rPr>
                <w:b/>
                <w:color w:val="FFFFFF"/>
                <w:sz w:val="17"/>
              </w:rPr>
              <w:t>Value</w:t>
            </w:r>
          </w:p>
        </w:tc>
      </w:tr>
      <w:tr>
        <w:tc>
          <w:tcPr>
            <w:tcW w:type="dxa" w:w="2448"/>
            <w:vAlign w:val="center"/>
          </w:tcPr>
          <w:p>
            <w:r/>
            <w:r>
              <w:rPr>
                <w:b w:val="0"/>
                <w:sz w:val="17"/>
              </w:rPr>
              <w:t>Document</w:t>
            </w:r>
          </w:p>
        </w:tc>
        <w:tc>
          <w:tcPr>
            <w:tcW w:type="dxa" w:w="7776"/>
            <w:vAlign w:val="center"/>
          </w:tcPr>
          <w:p>
            <w:r/>
            <w:r>
              <w:rPr>
                <w:b w:val="0"/>
                <w:sz w:val="17"/>
              </w:rPr>
              <w:t>Technical Requirements Document</w:t>
            </w:r>
          </w:p>
        </w:tc>
      </w:tr>
      <w:tr>
        <w:tc>
          <w:tcPr>
            <w:tcW w:type="dxa" w:w="2448"/>
            <w:vAlign w:val="center"/>
            <w:shd w:fill="F6F9FC"/>
          </w:tcPr>
          <w:p>
            <w:r/>
            <w:r>
              <w:rPr>
                <w:b w:val="0"/>
                <w:sz w:val="17"/>
              </w:rPr>
              <w:t>Owner</w:t>
            </w:r>
          </w:p>
        </w:tc>
        <w:tc>
          <w:tcPr>
            <w:tcW w:type="dxa" w:w="7776"/>
            <w:vAlign w:val="center"/>
            <w:shd w:fill="F6F9FC"/>
          </w:tcPr>
          <w:p>
            <w:r/>
            <w:r>
              <w:rPr>
                <w:b w:val="0"/>
                <w:sz w:val="17"/>
              </w:rPr>
              <w:t>Product and Engineering</w:t>
            </w:r>
          </w:p>
        </w:tc>
      </w:tr>
      <w:tr>
        <w:tc>
          <w:tcPr>
            <w:tcW w:type="dxa" w:w="2448"/>
            <w:vAlign w:val="center"/>
          </w:tcPr>
          <w:p>
            <w:r/>
            <w:r>
              <w:rPr>
                <w:b w:val="0"/>
                <w:sz w:val="17"/>
              </w:rPr>
              <w:t>Status</w:t>
            </w:r>
          </w:p>
        </w:tc>
        <w:tc>
          <w:tcPr>
            <w:tcW w:type="dxa" w:w="7776"/>
            <w:vAlign w:val="center"/>
          </w:tcPr>
          <w:p>
            <w:r/>
            <w:r>
              <w:rPr>
                <w:b w:val="0"/>
                <w:sz w:val="17"/>
              </w:rPr>
              <w:t>Baseline draft for validation</w:t>
            </w:r>
          </w:p>
        </w:tc>
      </w:tr>
      <w:tr>
        <w:tc>
          <w:tcPr>
            <w:tcW w:type="dxa" w:w="2448"/>
            <w:vAlign w:val="center"/>
            <w:shd w:fill="F6F9FC"/>
          </w:tcPr>
          <w:p>
            <w:r/>
            <w:r>
              <w:rPr>
                <w:b w:val="0"/>
                <w:sz w:val="17"/>
              </w:rPr>
              <w:t>Review cadence</w:t>
            </w:r>
          </w:p>
        </w:tc>
        <w:tc>
          <w:tcPr>
            <w:tcW w:type="dxa" w:w="7776"/>
            <w:vAlign w:val="center"/>
            <w:shd w:fill="F6F9FC"/>
          </w:tcPr>
          <w:p>
            <w:r/>
            <w:r>
              <w:rPr>
                <w:b w:val="0"/>
                <w:sz w:val="17"/>
              </w:rPr>
              <w:t>At every material API/policy or architecture change</w:t>
            </w:r>
          </w:p>
        </w:tc>
      </w:tr>
      <w:tr>
        <w:tc>
          <w:tcPr>
            <w:tcW w:type="dxa" w:w="2448"/>
            <w:vAlign w:val="center"/>
          </w:tcPr>
          <w:p>
            <w:r/>
            <w:r>
              <w:rPr>
                <w:b w:val="0"/>
                <w:sz w:val="17"/>
              </w:rPr>
              <w:t>Approvers</w:t>
            </w:r>
          </w:p>
        </w:tc>
        <w:tc>
          <w:tcPr>
            <w:tcW w:type="dxa" w:w="7776"/>
            <w:vAlign w:val="center"/>
          </w:tcPr>
          <w:p>
            <w:r/>
            <w:r>
              <w:rPr>
                <w:b w:val="0"/>
                <w:sz w:val="17"/>
              </w:rPr>
              <w:t>Founder/Product Owner, Engineering Lead, Security Lead, Legal/Compliance</w:t>
            </w:r>
          </w:p>
        </w:tc>
      </w:tr>
      <w:tr>
        <w:tc>
          <w:tcPr>
            <w:tcW w:type="dxa" w:w="2448"/>
            <w:vAlign w:val="center"/>
            <w:shd w:fill="F6F9FC"/>
          </w:tcPr>
          <w:p>
            <w:r/>
            <w:r>
              <w:rPr>
                <w:b w:val="0"/>
                <w:sz w:val="17"/>
              </w:rPr>
              <w:t>Related documents</w:t>
            </w:r>
          </w:p>
        </w:tc>
        <w:tc>
          <w:tcPr>
            <w:tcW w:type="dxa" w:w="7776"/>
            <w:vAlign w:val="center"/>
            <w:shd w:fill="F6F9FC"/>
          </w:tcPr>
          <w:p>
            <w:r/>
            <w:r>
              <w:rPr>
                <w:b w:val="0"/>
                <w:sz w:val="17"/>
              </w:rPr>
              <w:t>PRD, TRD, UI/UX Specification, Security Specification, Feature Catalogue</w:t>
            </w:r>
          </w:p>
        </w:tc>
      </w:tr>
    </w:tbl>
    <w:p/>
    <w:p>
      <w:pPr>
        <w:pStyle w:val="Heading1"/>
      </w:pPr>
      <w:r>
        <w:t>Assumptions and Non-Negotiable Constraints</w:t>
      </w:r>
    </w:p>
    <w:p>
      <w:pPr>
        <w:pStyle w:val="ListBullet"/>
      </w:pPr>
      <w:r>
        <w:t>Production collection uses documented YouTube API Services only; no HTML scraping, undocumented endpoints, CAPTCHA bypass, or credential rotation to evade quota.</w:t>
      </w:r>
    </w:p>
    <w:p>
      <w:pPr>
        <w:pStyle w:val="ListBullet"/>
      </w:pPr>
      <w:r>
        <w:t>Public discovery cannot access impressions, click-through rate, audience retention, traffic source, revenue, or exact subscriber gains unless a channel owner explicitly authorizes access.</w:t>
      </w:r>
    </w:p>
    <w:p>
      <w:pPr>
        <w:pStyle w:val="ListBullet"/>
      </w:pPr>
      <w:r>
        <w:t>Subscriber counts may be hidden or rounded. Any ratio using subscriber count must carry a data-quality indicator.</w:t>
      </w:r>
    </w:p>
    <w:p>
      <w:pPr>
        <w:pStyle w:val="ListBullet"/>
      </w:pPr>
      <w:r>
        <w:t>A product-generated score must be visibly labelled as proprietary and not presented as an official YouTube metric.</w:t>
      </w:r>
    </w:p>
    <w:p>
      <w:pPr>
        <w:pStyle w:val="ListBullet"/>
      </w:pPr>
      <w:r>
        <w:t>The product must maintain a policy kill switch capable of disabling collection, derived metrics, or display without redeployment.</w:t>
      </w:r>
    </w:p>
    <w:p>
      <w:pPr>
        <w:pStyle w:val="Heading1"/>
      </w:pPr>
      <w:r>
        <w:t>1. Architecture Decision Summary</w:t>
      </w:r>
    </w:p>
    <w:p>
      <w:r>
        <w:t>Use an event-driven modular monolith for MVP: one deployable backend with isolated modules, a relational database, a queue, a scheduler, object storage for exports, and a separate web frontend. This minimizes operational overhead while preserving migration paths to services if collection or scoring volume grows.</w:t>
      </w:r>
    </w:p>
    <w:p>
      <w:pPr>
        <w:pStyle w:val="Heading1"/>
      </w:pPr>
      <w:r>
        <w:t>2. Logical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1F4E78"/>
            <w:vAlign w:val="center"/>
          </w:tcPr>
          <w:p>
            <w:r/>
            <w:r>
              <w:rPr>
                <w:b/>
                <w:color w:val="FFFFFF"/>
                <w:sz w:val="17"/>
              </w:rPr>
              <w:t>Layer</w:t>
            </w:r>
          </w:p>
        </w:tc>
        <w:tc>
          <w:tcPr>
            <w:tcW w:type="dxa" w:w="3168"/>
            <w:shd w:fill="1F4E78"/>
            <w:vAlign w:val="center"/>
          </w:tcPr>
          <w:p>
            <w:r/>
            <w:r>
              <w:rPr>
                <w:b/>
                <w:color w:val="FFFFFF"/>
                <w:sz w:val="17"/>
              </w:rPr>
              <w:t>Components</w:t>
            </w:r>
          </w:p>
        </w:tc>
        <w:tc>
          <w:tcPr>
            <w:tcW w:type="dxa" w:w="5760"/>
            <w:shd w:fill="1F4E78"/>
            <w:vAlign w:val="center"/>
          </w:tcPr>
          <w:p>
            <w:r/>
            <w:r>
              <w:rPr>
                <w:b/>
                <w:color w:val="FFFFFF"/>
                <w:sz w:val="17"/>
              </w:rPr>
              <w:t>Responsibilities</w:t>
            </w:r>
          </w:p>
        </w:tc>
      </w:tr>
      <w:tr>
        <w:tc>
          <w:tcPr>
            <w:tcW w:type="dxa" w:w="1440"/>
            <w:vAlign w:val="center"/>
          </w:tcPr>
          <w:p>
            <w:r/>
            <w:r>
              <w:rPr>
                <w:b w:val="0"/>
                <w:sz w:val="17"/>
              </w:rPr>
              <w:t>Experience</w:t>
            </w:r>
          </w:p>
        </w:tc>
        <w:tc>
          <w:tcPr>
            <w:tcW w:type="dxa" w:w="3168"/>
            <w:vAlign w:val="center"/>
          </w:tcPr>
          <w:p>
            <w:r/>
            <w:r>
              <w:rPr>
                <w:b w:val="0"/>
                <w:sz w:val="17"/>
              </w:rPr>
              <w:t>Web SPA; admin console; email/Teams/webhook notifier</w:t>
            </w:r>
          </w:p>
        </w:tc>
        <w:tc>
          <w:tcPr>
            <w:tcW w:type="dxa" w:w="5760"/>
            <w:vAlign w:val="center"/>
          </w:tcPr>
          <w:p>
            <w:r/>
            <w:r>
              <w:rPr>
                <w:b w:val="0"/>
                <w:sz w:val="17"/>
              </w:rPr>
              <w:t>Search definition, result review, channel investigation, watchlists, configuration.</w:t>
            </w:r>
          </w:p>
        </w:tc>
      </w:tr>
      <w:tr>
        <w:tc>
          <w:tcPr>
            <w:tcW w:type="dxa" w:w="1440"/>
            <w:vAlign w:val="center"/>
            <w:shd w:fill="F6F9FC"/>
          </w:tcPr>
          <w:p>
            <w:r/>
            <w:r>
              <w:rPr>
                <w:b w:val="0"/>
                <w:sz w:val="17"/>
              </w:rPr>
              <w:t>API</w:t>
            </w:r>
          </w:p>
        </w:tc>
        <w:tc>
          <w:tcPr>
            <w:tcW w:type="dxa" w:w="3168"/>
            <w:vAlign w:val="center"/>
            <w:shd w:fill="F6F9FC"/>
          </w:tcPr>
          <w:p>
            <w:r/>
            <w:r>
              <w:rPr>
                <w:b w:val="0"/>
                <w:sz w:val="17"/>
              </w:rPr>
              <w:t>REST API; auth middleware; rate limiter; export service</w:t>
            </w:r>
          </w:p>
        </w:tc>
        <w:tc>
          <w:tcPr>
            <w:tcW w:type="dxa" w:w="5760"/>
            <w:vAlign w:val="center"/>
            <w:shd w:fill="F6F9FC"/>
          </w:tcPr>
          <w:p>
            <w:r/>
            <w:r>
              <w:rPr>
                <w:b w:val="0"/>
                <w:sz w:val="17"/>
              </w:rPr>
              <w:t>Validated workspace-scoped access; orchestration; pagination; audit emission.</w:t>
            </w:r>
          </w:p>
        </w:tc>
      </w:tr>
      <w:tr>
        <w:tc>
          <w:tcPr>
            <w:tcW w:type="dxa" w:w="1440"/>
            <w:vAlign w:val="center"/>
          </w:tcPr>
          <w:p>
            <w:r/>
            <w:r>
              <w:rPr>
                <w:b w:val="0"/>
                <w:sz w:val="17"/>
              </w:rPr>
              <w:t>Application</w:t>
            </w:r>
          </w:p>
        </w:tc>
        <w:tc>
          <w:tcPr>
            <w:tcW w:type="dxa" w:w="3168"/>
            <w:vAlign w:val="center"/>
          </w:tcPr>
          <w:p>
            <w:r/>
            <w:r>
              <w:rPr>
                <w:b w:val="0"/>
                <w:sz w:val="17"/>
              </w:rPr>
              <w:t>Discovery, Enrichment, Snapshot, Scoring, Alert, Governance modules</w:t>
            </w:r>
          </w:p>
        </w:tc>
        <w:tc>
          <w:tcPr>
            <w:tcW w:type="dxa" w:w="5760"/>
            <w:vAlign w:val="center"/>
          </w:tcPr>
          <w:p>
            <w:r/>
            <w:r>
              <w:rPr>
                <w:b w:val="0"/>
                <w:sz w:val="17"/>
              </w:rPr>
              <w:t>Business rules and state transitions.</w:t>
            </w:r>
          </w:p>
        </w:tc>
      </w:tr>
      <w:tr>
        <w:tc>
          <w:tcPr>
            <w:tcW w:type="dxa" w:w="1440"/>
            <w:vAlign w:val="center"/>
            <w:shd w:fill="F6F9FC"/>
          </w:tcPr>
          <w:p>
            <w:r/>
            <w:r>
              <w:rPr>
                <w:b w:val="0"/>
                <w:sz w:val="17"/>
              </w:rPr>
              <w:t>Workers</w:t>
            </w:r>
          </w:p>
        </w:tc>
        <w:tc>
          <w:tcPr>
            <w:tcW w:type="dxa" w:w="3168"/>
            <w:vAlign w:val="center"/>
            <w:shd w:fill="F6F9FC"/>
          </w:tcPr>
          <w:p>
            <w:r/>
            <w:r>
              <w:rPr>
                <w:b w:val="0"/>
                <w:sz w:val="17"/>
              </w:rPr>
              <w:t>Search worker, channel worker, video worker, scoring worker, alert worker</w:t>
            </w:r>
          </w:p>
        </w:tc>
        <w:tc>
          <w:tcPr>
            <w:tcW w:type="dxa" w:w="5760"/>
            <w:vAlign w:val="center"/>
            <w:shd w:fill="F6F9FC"/>
          </w:tcPr>
          <w:p>
            <w:r/>
            <w:r>
              <w:rPr>
                <w:b w:val="0"/>
                <w:sz w:val="17"/>
              </w:rPr>
              <w:t>Asynchronous quota-aware jobs with retries and idempotency.</w:t>
            </w:r>
          </w:p>
        </w:tc>
      </w:tr>
      <w:tr>
        <w:tc>
          <w:tcPr>
            <w:tcW w:type="dxa" w:w="1440"/>
            <w:vAlign w:val="center"/>
          </w:tcPr>
          <w:p>
            <w:r/>
            <w:r>
              <w:rPr>
                <w:b w:val="0"/>
                <w:sz w:val="17"/>
              </w:rPr>
              <w:t>Data</w:t>
            </w:r>
          </w:p>
        </w:tc>
        <w:tc>
          <w:tcPr>
            <w:tcW w:type="dxa" w:w="3168"/>
            <w:vAlign w:val="center"/>
          </w:tcPr>
          <w:p>
            <w:r/>
            <w:r>
              <w:rPr>
                <w:b w:val="0"/>
                <w:sz w:val="17"/>
              </w:rPr>
              <w:t>PostgreSQL; Redis/queue; object storage</w:t>
            </w:r>
          </w:p>
        </w:tc>
        <w:tc>
          <w:tcPr>
            <w:tcW w:type="dxa" w:w="5760"/>
            <w:vAlign w:val="center"/>
          </w:tcPr>
          <w:p>
            <w:r/>
            <w:r>
              <w:rPr>
                <w:b w:val="0"/>
                <w:sz w:val="17"/>
              </w:rPr>
              <w:t>Transactional state, job locks/cache, export files.</w:t>
            </w:r>
          </w:p>
        </w:tc>
      </w:tr>
      <w:tr>
        <w:tc>
          <w:tcPr>
            <w:tcW w:type="dxa" w:w="1440"/>
            <w:vAlign w:val="center"/>
            <w:shd w:fill="F6F9FC"/>
          </w:tcPr>
          <w:p>
            <w:r/>
            <w:r>
              <w:rPr>
                <w:b w:val="0"/>
                <w:sz w:val="17"/>
              </w:rPr>
              <w:t>External</w:t>
            </w:r>
          </w:p>
        </w:tc>
        <w:tc>
          <w:tcPr>
            <w:tcW w:type="dxa" w:w="3168"/>
            <w:vAlign w:val="center"/>
            <w:shd w:fill="F6F9FC"/>
          </w:tcPr>
          <w:p>
            <w:r/>
            <w:r>
              <w:rPr>
                <w:b w:val="0"/>
                <w:sz w:val="17"/>
              </w:rPr>
              <w:t>YouTube Data API; optional OAuth/Analytics API for owner-authorized mode</w:t>
            </w:r>
          </w:p>
        </w:tc>
        <w:tc>
          <w:tcPr>
            <w:tcW w:type="dxa" w:w="5760"/>
            <w:vAlign w:val="center"/>
            <w:shd w:fill="F6F9FC"/>
          </w:tcPr>
          <w:p>
            <w:r/>
            <w:r>
              <w:rPr>
                <w:b w:val="0"/>
                <w:sz w:val="17"/>
              </w:rPr>
              <w:t>Documented API access only.</w:t>
            </w:r>
          </w:p>
        </w:tc>
      </w:tr>
      <w:tr>
        <w:tc>
          <w:tcPr>
            <w:tcW w:type="dxa" w:w="1440"/>
            <w:vAlign w:val="center"/>
          </w:tcPr>
          <w:p>
            <w:r/>
            <w:r>
              <w:rPr>
                <w:b w:val="0"/>
                <w:sz w:val="17"/>
              </w:rPr>
              <w:t>Operations</w:t>
            </w:r>
          </w:p>
        </w:tc>
        <w:tc>
          <w:tcPr>
            <w:tcW w:type="dxa" w:w="3168"/>
            <w:vAlign w:val="center"/>
          </w:tcPr>
          <w:p>
            <w:r/>
            <w:r>
              <w:rPr>
                <w:b w:val="0"/>
                <w:sz w:val="17"/>
              </w:rPr>
              <w:t>Telemetry, secrets manager, CI/CD, WAF, policy switches</w:t>
            </w:r>
          </w:p>
        </w:tc>
        <w:tc>
          <w:tcPr>
            <w:tcW w:type="dxa" w:w="5760"/>
            <w:vAlign w:val="center"/>
          </w:tcPr>
          <w:p>
            <w:r/>
            <w:r>
              <w:rPr>
                <w:b w:val="0"/>
                <w:sz w:val="17"/>
              </w:rPr>
              <w:t>Secure operations, monitoring and rapid shutdown.</w:t>
            </w:r>
          </w:p>
        </w:tc>
      </w:tr>
    </w:tbl>
    <w:p/>
    <w:p>
      <w:pPr>
        <w:pStyle w:val="Heading1"/>
      </w:pPr>
      <w:r>
        <w:t>3. Recommended Technology Baseline</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1F4E78"/>
            <w:vAlign w:val="center"/>
          </w:tcPr>
          <w:p>
            <w:r/>
            <w:r>
              <w:rPr>
                <w:b/>
                <w:color w:val="FFFFFF"/>
                <w:sz w:val="17"/>
              </w:rPr>
              <w:t>Area</w:t>
            </w:r>
          </w:p>
        </w:tc>
        <w:tc>
          <w:tcPr>
            <w:tcW w:type="dxa" w:w="3600"/>
            <w:shd w:fill="1F4E78"/>
            <w:vAlign w:val="center"/>
          </w:tcPr>
          <w:p>
            <w:r/>
            <w:r>
              <w:rPr>
                <w:b/>
                <w:color w:val="FFFFFF"/>
                <w:sz w:val="17"/>
              </w:rPr>
              <w:t>Recommendation</w:t>
            </w:r>
          </w:p>
        </w:tc>
        <w:tc>
          <w:tcPr>
            <w:tcW w:type="dxa" w:w="4896"/>
            <w:shd w:fill="1F4E78"/>
            <w:vAlign w:val="center"/>
          </w:tcPr>
          <w:p>
            <w:r/>
            <w:r>
              <w:rPr>
                <w:b/>
                <w:color w:val="FFFFFF"/>
                <w:sz w:val="17"/>
              </w:rPr>
              <w:t>Rationale</w:t>
            </w:r>
          </w:p>
        </w:tc>
      </w:tr>
      <w:tr>
        <w:tc>
          <w:tcPr>
            <w:tcW w:type="dxa" w:w="1872"/>
            <w:vAlign w:val="center"/>
          </w:tcPr>
          <w:p>
            <w:r/>
            <w:r>
              <w:rPr>
                <w:b w:val="0"/>
                <w:sz w:val="17"/>
              </w:rPr>
              <w:t>Frontend</w:t>
            </w:r>
          </w:p>
        </w:tc>
        <w:tc>
          <w:tcPr>
            <w:tcW w:type="dxa" w:w="3600"/>
            <w:vAlign w:val="center"/>
          </w:tcPr>
          <w:p>
            <w:r/>
            <w:r>
              <w:rPr>
                <w:b w:val="0"/>
                <w:sz w:val="17"/>
              </w:rPr>
              <w:t>Next.js + TypeScript + component library</w:t>
            </w:r>
          </w:p>
        </w:tc>
        <w:tc>
          <w:tcPr>
            <w:tcW w:type="dxa" w:w="4896"/>
            <w:vAlign w:val="center"/>
          </w:tcPr>
          <w:p>
            <w:r/>
            <w:r>
              <w:rPr>
                <w:b w:val="0"/>
                <w:sz w:val="17"/>
              </w:rPr>
              <w:t>Fast dashboard UX, typed contracts, SSR where useful.</w:t>
            </w:r>
          </w:p>
        </w:tc>
      </w:tr>
      <w:tr>
        <w:tc>
          <w:tcPr>
            <w:tcW w:type="dxa" w:w="1872"/>
            <w:vAlign w:val="center"/>
            <w:shd w:fill="F6F9FC"/>
          </w:tcPr>
          <w:p>
            <w:r/>
            <w:r>
              <w:rPr>
                <w:b w:val="0"/>
                <w:sz w:val="17"/>
              </w:rPr>
              <w:t>Backend</w:t>
            </w:r>
          </w:p>
        </w:tc>
        <w:tc>
          <w:tcPr>
            <w:tcW w:type="dxa" w:w="3600"/>
            <w:vAlign w:val="center"/>
            <w:shd w:fill="F6F9FC"/>
          </w:tcPr>
          <w:p>
            <w:r/>
            <w:r>
              <w:rPr>
                <w:b w:val="0"/>
                <w:sz w:val="17"/>
              </w:rPr>
              <w:t>Python 3.12 + FastAPI</w:t>
            </w:r>
          </w:p>
        </w:tc>
        <w:tc>
          <w:tcPr>
            <w:tcW w:type="dxa" w:w="4896"/>
            <w:vAlign w:val="center"/>
            <w:shd w:fill="F6F9FC"/>
          </w:tcPr>
          <w:p>
            <w:r/>
            <w:r>
              <w:rPr>
                <w:b w:val="0"/>
                <w:sz w:val="17"/>
              </w:rPr>
              <w:t>Strong data-processing ecosystem and explicit OpenAPI contracts.</w:t>
            </w:r>
          </w:p>
        </w:tc>
      </w:tr>
      <w:tr>
        <w:tc>
          <w:tcPr>
            <w:tcW w:type="dxa" w:w="1872"/>
            <w:vAlign w:val="center"/>
          </w:tcPr>
          <w:p>
            <w:r/>
            <w:r>
              <w:rPr>
                <w:b w:val="0"/>
                <w:sz w:val="17"/>
              </w:rPr>
              <w:t>Jobs</w:t>
            </w:r>
          </w:p>
        </w:tc>
        <w:tc>
          <w:tcPr>
            <w:tcW w:type="dxa" w:w="3600"/>
            <w:vAlign w:val="center"/>
          </w:tcPr>
          <w:p>
            <w:r/>
            <w:r>
              <w:rPr>
                <w:b w:val="0"/>
                <w:sz w:val="17"/>
              </w:rPr>
              <w:t>Celery/RQ equivalent with Redis or managed queue</w:t>
            </w:r>
          </w:p>
        </w:tc>
        <w:tc>
          <w:tcPr>
            <w:tcW w:type="dxa" w:w="4896"/>
            <w:vAlign w:val="center"/>
          </w:tcPr>
          <w:p>
            <w:r/>
            <w:r>
              <w:rPr>
                <w:b w:val="0"/>
                <w:sz w:val="17"/>
              </w:rPr>
              <w:t>Retries, delayed execution, concurrency controls.</w:t>
            </w:r>
          </w:p>
        </w:tc>
      </w:tr>
      <w:tr>
        <w:tc>
          <w:tcPr>
            <w:tcW w:type="dxa" w:w="1872"/>
            <w:vAlign w:val="center"/>
            <w:shd w:fill="F6F9FC"/>
          </w:tcPr>
          <w:p>
            <w:r/>
            <w:r>
              <w:rPr>
                <w:b w:val="0"/>
                <w:sz w:val="17"/>
              </w:rPr>
              <w:t>Database</w:t>
            </w:r>
          </w:p>
        </w:tc>
        <w:tc>
          <w:tcPr>
            <w:tcW w:type="dxa" w:w="3600"/>
            <w:vAlign w:val="center"/>
            <w:shd w:fill="F6F9FC"/>
          </w:tcPr>
          <w:p>
            <w:r/>
            <w:r>
              <w:rPr>
                <w:b w:val="0"/>
                <w:sz w:val="17"/>
              </w:rPr>
              <w:t>PostgreSQL 16+</w:t>
            </w:r>
          </w:p>
        </w:tc>
        <w:tc>
          <w:tcPr>
            <w:tcW w:type="dxa" w:w="4896"/>
            <w:vAlign w:val="center"/>
            <w:shd w:fill="F6F9FC"/>
          </w:tcPr>
          <w:p>
            <w:r/>
            <w:r>
              <w:rPr>
                <w:b w:val="0"/>
                <w:sz w:val="17"/>
              </w:rPr>
              <w:t>Relational integrity, JSONB for raw payload fragments, time-series indexing.</w:t>
            </w:r>
          </w:p>
        </w:tc>
      </w:tr>
      <w:tr>
        <w:tc>
          <w:tcPr>
            <w:tcW w:type="dxa" w:w="1872"/>
            <w:vAlign w:val="center"/>
          </w:tcPr>
          <w:p>
            <w:r/>
            <w:r>
              <w:rPr>
                <w:b w:val="0"/>
                <w:sz w:val="17"/>
              </w:rPr>
              <w:t>Infrastructure</w:t>
            </w:r>
          </w:p>
        </w:tc>
        <w:tc>
          <w:tcPr>
            <w:tcW w:type="dxa" w:w="3600"/>
            <w:vAlign w:val="center"/>
          </w:tcPr>
          <w:p>
            <w:r/>
            <w:r>
              <w:rPr>
                <w:b w:val="0"/>
                <w:sz w:val="17"/>
              </w:rPr>
              <w:t>Managed containers/serverless containers</w:t>
            </w:r>
          </w:p>
        </w:tc>
        <w:tc>
          <w:tcPr>
            <w:tcW w:type="dxa" w:w="4896"/>
            <w:vAlign w:val="center"/>
          </w:tcPr>
          <w:p>
            <w:r/>
            <w:r>
              <w:rPr>
                <w:b w:val="0"/>
                <w:sz w:val="17"/>
              </w:rPr>
              <w:t>Scale workers independently and reduce patching.</w:t>
            </w:r>
          </w:p>
        </w:tc>
      </w:tr>
      <w:tr>
        <w:tc>
          <w:tcPr>
            <w:tcW w:type="dxa" w:w="1872"/>
            <w:vAlign w:val="center"/>
            <w:shd w:fill="F6F9FC"/>
          </w:tcPr>
          <w:p>
            <w:r/>
            <w:r>
              <w:rPr>
                <w:b w:val="0"/>
                <w:sz w:val="17"/>
              </w:rPr>
              <w:t>IaC</w:t>
            </w:r>
          </w:p>
        </w:tc>
        <w:tc>
          <w:tcPr>
            <w:tcW w:type="dxa" w:w="3600"/>
            <w:vAlign w:val="center"/>
            <w:shd w:fill="F6F9FC"/>
          </w:tcPr>
          <w:p>
            <w:r/>
            <w:r>
              <w:rPr>
                <w:b w:val="0"/>
                <w:sz w:val="17"/>
              </w:rPr>
              <w:t>Terraform or cloud-native IaC</w:t>
            </w:r>
          </w:p>
        </w:tc>
        <w:tc>
          <w:tcPr>
            <w:tcW w:type="dxa" w:w="4896"/>
            <w:vAlign w:val="center"/>
            <w:shd w:fill="F6F9FC"/>
          </w:tcPr>
          <w:p>
            <w:r/>
            <w:r>
              <w:rPr>
                <w:b w:val="0"/>
                <w:sz w:val="17"/>
              </w:rPr>
              <w:t>Repeatable environments and auditability.</w:t>
            </w:r>
          </w:p>
        </w:tc>
      </w:tr>
      <w:tr>
        <w:tc>
          <w:tcPr>
            <w:tcW w:type="dxa" w:w="1872"/>
            <w:vAlign w:val="center"/>
          </w:tcPr>
          <w:p>
            <w:r/>
            <w:r>
              <w:rPr>
                <w:b w:val="0"/>
                <w:sz w:val="17"/>
              </w:rPr>
              <w:t>Observability</w:t>
            </w:r>
          </w:p>
        </w:tc>
        <w:tc>
          <w:tcPr>
            <w:tcW w:type="dxa" w:w="3600"/>
            <w:vAlign w:val="center"/>
          </w:tcPr>
          <w:p>
            <w:r/>
            <w:r>
              <w:rPr>
                <w:b w:val="0"/>
                <w:sz w:val="17"/>
              </w:rPr>
              <w:t>OpenTelemetry + managed logs/metrics/traces</w:t>
            </w:r>
          </w:p>
        </w:tc>
        <w:tc>
          <w:tcPr>
            <w:tcW w:type="dxa" w:w="4896"/>
            <w:vAlign w:val="center"/>
          </w:tcPr>
          <w:p>
            <w:r/>
            <w:r>
              <w:rPr>
                <w:b w:val="0"/>
                <w:sz w:val="17"/>
              </w:rPr>
              <w:t>Cross-job correlation and SLO measurement.</w:t>
            </w:r>
          </w:p>
        </w:tc>
      </w:tr>
      <w:tr>
        <w:tc>
          <w:tcPr>
            <w:tcW w:type="dxa" w:w="1872"/>
            <w:vAlign w:val="center"/>
            <w:shd w:fill="F6F9FC"/>
          </w:tcPr>
          <w:p>
            <w:r/>
            <w:r>
              <w:rPr>
                <w:b w:val="0"/>
                <w:sz w:val="17"/>
              </w:rPr>
              <w:t>Secrets</w:t>
            </w:r>
          </w:p>
        </w:tc>
        <w:tc>
          <w:tcPr>
            <w:tcW w:type="dxa" w:w="3600"/>
            <w:vAlign w:val="center"/>
            <w:shd w:fill="F6F9FC"/>
          </w:tcPr>
          <w:p>
            <w:r/>
            <w:r>
              <w:rPr>
                <w:b w:val="0"/>
                <w:sz w:val="17"/>
              </w:rPr>
              <w:t>Cloud secret manager + workload identity</w:t>
            </w:r>
          </w:p>
        </w:tc>
        <w:tc>
          <w:tcPr>
            <w:tcW w:type="dxa" w:w="4896"/>
            <w:vAlign w:val="center"/>
            <w:shd w:fill="F6F9FC"/>
          </w:tcPr>
          <w:p>
            <w:r/>
            <w:r>
              <w:rPr>
                <w:b w:val="0"/>
                <w:sz w:val="17"/>
              </w:rPr>
              <w:t>No credentials in code or environment files.</w:t>
            </w:r>
          </w:p>
        </w:tc>
      </w:tr>
    </w:tbl>
    <w:p/>
    <w:p>
      <w:pPr>
        <w:pStyle w:val="Heading1"/>
      </w:pPr>
      <w:r>
        <w:t>4. External API Strategy</w:t>
      </w:r>
    </w:p>
    <w:p>
      <w:pPr>
        <w:pStyle w:val="Heading2"/>
      </w:pPr>
      <w:r>
        <w:t>4.1 Discovery</w:t>
      </w:r>
    </w:p>
    <w:p>
      <w:r>
        <w:t>Use search.list only to discover recent public videos for explicit query definitions. Because the current default Search Queries bucket is 100 calls/day, do not use search.list to enumerate every channel or paginate indiscriminately. Each search page consumes one call. Maintain a daily search budget allocator by workspace and query priority.</w:t>
      </w:r>
    </w:p>
    <w:p>
      <w:pPr>
        <w:pStyle w:val="Heading2"/>
      </w:pPr>
      <w:r>
        <w:t>4.2 Channel enrichment</w:t>
      </w:r>
    </w:p>
    <w:p>
      <w:r>
        <w:t>Batch channel IDs into channels.list requests using parts snippet, statistics and contentDetails. Persist subscriberCount, hiddenSubscriberCount, viewCount, videoCount, uploads playlist ID, etag and fetched_at. Subscriber values are approximate where YouTube rounds them.</w:t>
      </w:r>
    </w:p>
    <w:p>
      <w:pPr>
        <w:pStyle w:val="Heading2"/>
      </w:pPr>
      <w:r>
        <w:t>4.3 Upload inventory</w:t>
      </w:r>
    </w:p>
    <w:p>
      <w:r>
        <w:t>Prefer the channel uploads playlist plus playlistItems.list for known channels instead of repeated search by channel. Stop paging once the oldest item is outside the configured maximum age and enough eligible videos have been collected.</w:t>
      </w:r>
    </w:p>
    <w:p>
      <w:pPr>
        <w:pStyle w:val="Heading2"/>
      </w:pPr>
      <w:r>
        <w:t>4.4 Video statistics</w:t>
      </w:r>
    </w:p>
    <w:p>
      <w:r>
        <w:t>Use videos.batchGetStats where available for public statistics and videos.list as a compatibility fallback. Implement capability flags because API revisions may differ across environments or future versions.</w:t>
      </w:r>
    </w:p>
    <w:p>
      <w:pPr>
        <w:pStyle w:val="Heading2"/>
      </w:pPr>
      <w:r>
        <w:t>4.5 Owner-authorized analytics</w:t>
      </w:r>
    </w:p>
    <w:p>
      <w:r>
        <w:t>Treat OAuth-based YouTube Analytics as a separate connector mode. It is not used to inspect arbitrary third-party channels. Tokens and analytics data must be isolated from public discovery data and subject to stricter consent, revocation and deletion workflows.</w:t>
      </w:r>
    </w:p>
    <w:p>
      <w:pPr>
        <w:pStyle w:val="Heading1"/>
      </w:pPr>
      <w:r>
        <w:t>5. Quota Budgeting Model</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4E78"/>
            <w:vAlign w:val="center"/>
          </w:tcPr>
          <w:p>
            <w:r/>
            <w:r>
              <w:rPr>
                <w:b/>
                <w:color w:val="FFFFFF"/>
                <w:sz w:val="17"/>
              </w:rPr>
              <w:t>Budget</w:t>
            </w:r>
          </w:p>
        </w:tc>
        <w:tc>
          <w:tcPr>
            <w:tcW w:type="dxa" w:w="4608"/>
            <w:shd w:fill="1F4E78"/>
            <w:vAlign w:val="center"/>
          </w:tcPr>
          <w:p>
            <w:r/>
            <w:r>
              <w:rPr>
                <w:b/>
                <w:color w:val="FFFFFF"/>
                <w:sz w:val="17"/>
              </w:rPr>
              <w:t>Default control</w:t>
            </w:r>
          </w:p>
        </w:tc>
        <w:tc>
          <w:tcPr>
            <w:tcW w:type="dxa" w:w="3744"/>
            <w:shd w:fill="1F4E78"/>
            <w:vAlign w:val="center"/>
          </w:tcPr>
          <w:p>
            <w:r/>
            <w:r>
              <w:rPr>
                <w:b/>
                <w:color w:val="FFFFFF"/>
                <w:sz w:val="17"/>
              </w:rPr>
              <w:t>Failure behaviour</w:t>
            </w:r>
          </w:p>
        </w:tc>
      </w:tr>
      <w:tr>
        <w:tc>
          <w:tcPr>
            <w:tcW w:type="dxa" w:w="2160"/>
            <w:vAlign w:val="center"/>
          </w:tcPr>
          <w:p>
            <w:r/>
            <w:r>
              <w:rPr>
                <w:b w:val="0"/>
                <w:sz w:val="17"/>
              </w:rPr>
              <w:t>Search calls</w:t>
            </w:r>
          </w:p>
        </w:tc>
        <w:tc>
          <w:tcPr>
            <w:tcW w:type="dxa" w:w="4608"/>
            <w:vAlign w:val="center"/>
          </w:tcPr>
          <w:p>
            <w:r/>
            <w:r>
              <w:rPr>
                <w:b w:val="0"/>
                <w:sz w:val="17"/>
              </w:rPr>
              <w:t>Hard daily allocator; reserve 10% for interactive runs.</w:t>
            </w:r>
          </w:p>
        </w:tc>
        <w:tc>
          <w:tcPr>
            <w:tcW w:type="dxa" w:w="3744"/>
            <w:vAlign w:val="center"/>
          </w:tcPr>
          <w:p>
            <w:r/>
            <w:r>
              <w:rPr>
                <w:b w:val="0"/>
                <w:sz w:val="17"/>
              </w:rPr>
              <w:t>Queue lower-priority discovery until reset; never rotate projects to evade limits.</w:t>
            </w:r>
          </w:p>
        </w:tc>
      </w:tr>
      <w:tr>
        <w:tc>
          <w:tcPr>
            <w:tcW w:type="dxa" w:w="2160"/>
            <w:vAlign w:val="center"/>
            <w:shd w:fill="F6F9FC"/>
          </w:tcPr>
          <w:p>
            <w:r/>
            <w:r>
              <w:rPr>
                <w:b w:val="0"/>
                <w:sz w:val="17"/>
              </w:rPr>
              <w:t>General units</w:t>
            </w:r>
          </w:p>
        </w:tc>
        <w:tc>
          <w:tcPr>
            <w:tcW w:type="dxa" w:w="4608"/>
            <w:vAlign w:val="center"/>
            <w:shd w:fill="F6F9FC"/>
          </w:tcPr>
          <w:p>
            <w:r/>
            <w:r>
              <w:rPr>
                <w:b w:val="0"/>
                <w:sz w:val="17"/>
              </w:rPr>
              <w:t>Forecast before run; cap per workspace and per job.</w:t>
            </w:r>
          </w:p>
        </w:tc>
        <w:tc>
          <w:tcPr>
            <w:tcW w:type="dxa" w:w="3744"/>
            <w:vAlign w:val="center"/>
            <w:shd w:fill="F6F9FC"/>
          </w:tcPr>
          <w:p>
            <w:r/>
            <w:r>
              <w:rPr>
                <w:b w:val="0"/>
                <w:sz w:val="17"/>
              </w:rPr>
              <w:t>Pause enrichment gracefully and resume after reset.</w:t>
            </w:r>
          </w:p>
        </w:tc>
      </w:tr>
      <w:tr>
        <w:tc>
          <w:tcPr>
            <w:tcW w:type="dxa" w:w="2160"/>
            <w:vAlign w:val="center"/>
          </w:tcPr>
          <w:p>
            <w:r/>
            <w:r>
              <w:rPr>
                <w:b w:val="0"/>
                <w:sz w:val="17"/>
              </w:rPr>
              <w:t>Batch stats bucket</w:t>
            </w:r>
          </w:p>
        </w:tc>
        <w:tc>
          <w:tcPr>
            <w:tcW w:type="dxa" w:w="4608"/>
            <w:vAlign w:val="center"/>
          </w:tcPr>
          <w:p>
            <w:r/>
            <w:r>
              <w:rPr>
                <w:b w:val="0"/>
                <w:sz w:val="17"/>
              </w:rPr>
              <w:t>Track separately from general quota.</w:t>
            </w:r>
          </w:p>
        </w:tc>
        <w:tc>
          <w:tcPr>
            <w:tcW w:type="dxa" w:w="3744"/>
            <w:vAlign w:val="center"/>
          </w:tcPr>
          <w:p>
            <w:r/>
            <w:r>
              <w:rPr>
                <w:b w:val="0"/>
                <w:sz w:val="17"/>
              </w:rPr>
              <w:t>Fall back only if policy and quota budget allow.</w:t>
            </w:r>
          </w:p>
        </w:tc>
      </w:tr>
      <w:tr>
        <w:tc>
          <w:tcPr>
            <w:tcW w:type="dxa" w:w="2160"/>
            <w:vAlign w:val="center"/>
            <w:shd w:fill="F6F9FC"/>
          </w:tcPr>
          <w:p>
            <w:r/>
            <w:r>
              <w:rPr>
                <w:b w:val="0"/>
                <w:sz w:val="17"/>
              </w:rPr>
              <w:t>Interactive request</w:t>
            </w:r>
          </w:p>
        </w:tc>
        <w:tc>
          <w:tcPr>
            <w:tcW w:type="dxa" w:w="4608"/>
            <w:vAlign w:val="center"/>
            <w:shd w:fill="F6F9FC"/>
          </w:tcPr>
          <w:p>
            <w:r/>
            <w:r>
              <w:rPr>
                <w:b w:val="0"/>
                <w:sz w:val="17"/>
              </w:rPr>
              <w:t>Maximum bounded candidate set; no unbounded pagination.</w:t>
            </w:r>
          </w:p>
        </w:tc>
        <w:tc>
          <w:tcPr>
            <w:tcW w:type="dxa" w:w="3744"/>
            <w:vAlign w:val="center"/>
            <w:shd w:fill="F6F9FC"/>
          </w:tcPr>
          <w:p>
            <w:r/>
            <w:r>
              <w:rPr>
                <w:b w:val="0"/>
                <w:sz w:val="17"/>
              </w:rPr>
              <w:t>Return partial result with budget explanation.</w:t>
            </w:r>
          </w:p>
        </w:tc>
      </w:tr>
    </w:tbl>
    <w:p/>
    <w:p>
      <w:r>
        <w:t>Quota estimator per discovery run: search_calls = keyword_count × date_slices × requested_pages. General calls ≈ ceil(unique_channels/50) + upload_playlist_pages + video-stat batches. Store estimated and actual cost for tuning.</w:t>
      </w:r>
    </w:p>
    <w:p>
      <w:pPr>
        <w:pStyle w:val="Heading1"/>
      </w:pPr>
      <w:r>
        <w:t>6. Core Data Model</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F4E78"/>
            <w:vAlign w:val="center"/>
          </w:tcPr>
          <w:p>
            <w:r/>
            <w:r>
              <w:rPr>
                <w:b/>
                <w:color w:val="FFFFFF"/>
                <w:sz w:val="14"/>
              </w:rPr>
              <w:t>Entity</w:t>
            </w:r>
          </w:p>
        </w:tc>
        <w:tc>
          <w:tcPr>
            <w:tcW w:type="dxa" w:w="5328"/>
            <w:shd w:fill="1F4E78"/>
            <w:vAlign w:val="center"/>
          </w:tcPr>
          <w:p>
            <w:r/>
            <w:r>
              <w:rPr>
                <w:b/>
                <w:color w:val="FFFFFF"/>
                <w:sz w:val="14"/>
              </w:rPr>
              <w:t>Key fields</w:t>
            </w:r>
          </w:p>
        </w:tc>
        <w:tc>
          <w:tcPr>
            <w:tcW w:type="dxa" w:w="3168"/>
            <w:shd w:fill="1F4E78"/>
            <w:vAlign w:val="center"/>
          </w:tcPr>
          <w:p>
            <w:r/>
            <w:r>
              <w:rPr>
                <w:b/>
                <w:color w:val="FFFFFF"/>
                <w:sz w:val="14"/>
              </w:rPr>
              <w:t>Purpose</w:t>
            </w:r>
          </w:p>
        </w:tc>
      </w:tr>
      <w:tr>
        <w:tc>
          <w:tcPr>
            <w:tcW w:type="dxa" w:w="1944"/>
            <w:vAlign w:val="center"/>
          </w:tcPr>
          <w:p>
            <w:r/>
            <w:r>
              <w:rPr>
                <w:b w:val="0"/>
                <w:sz w:val="14"/>
              </w:rPr>
              <w:t>workspace</w:t>
            </w:r>
          </w:p>
        </w:tc>
        <w:tc>
          <w:tcPr>
            <w:tcW w:type="dxa" w:w="5328"/>
            <w:vAlign w:val="center"/>
          </w:tcPr>
          <w:p>
            <w:r/>
            <w:r>
              <w:rPr>
                <w:b w:val="0"/>
                <w:sz w:val="14"/>
              </w:rPr>
              <w:t>id, name, timezone, plan, status, created_at</w:t>
            </w:r>
          </w:p>
        </w:tc>
        <w:tc>
          <w:tcPr>
            <w:tcW w:type="dxa" w:w="3168"/>
            <w:vAlign w:val="center"/>
          </w:tcPr>
          <w:p>
            <w:r/>
            <w:r>
              <w:rPr>
                <w:b w:val="0"/>
                <w:sz w:val="14"/>
              </w:rPr>
              <w:t>Tenant boundary.</w:t>
            </w:r>
          </w:p>
        </w:tc>
      </w:tr>
      <w:tr>
        <w:tc>
          <w:tcPr>
            <w:tcW w:type="dxa" w:w="1944"/>
            <w:vAlign w:val="center"/>
            <w:shd w:fill="F6F9FC"/>
          </w:tcPr>
          <w:p>
            <w:r/>
            <w:r>
              <w:rPr>
                <w:b w:val="0"/>
                <w:sz w:val="14"/>
              </w:rPr>
              <w:t>user</w:t>
            </w:r>
          </w:p>
        </w:tc>
        <w:tc>
          <w:tcPr>
            <w:tcW w:type="dxa" w:w="5328"/>
            <w:vAlign w:val="center"/>
            <w:shd w:fill="F6F9FC"/>
          </w:tcPr>
          <w:p>
            <w:r/>
            <w:r>
              <w:rPr>
                <w:b w:val="0"/>
                <w:sz w:val="14"/>
              </w:rPr>
              <w:t>id, identity_subject, email, status</w:t>
            </w:r>
          </w:p>
        </w:tc>
        <w:tc>
          <w:tcPr>
            <w:tcW w:type="dxa" w:w="3168"/>
            <w:vAlign w:val="center"/>
            <w:shd w:fill="F6F9FC"/>
          </w:tcPr>
          <w:p>
            <w:r/>
            <w:r>
              <w:rPr>
                <w:b w:val="0"/>
                <w:sz w:val="14"/>
              </w:rPr>
              <w:t>Global identity.</w:t>
            </w:r>
          </w:p>
        </w:tc>
      </w:tr>
      <w:tr>
        <w:tc>
          <w:tcPr>
            <w:tcW w:type="dxa" w:w="1944"/>
            <w:vAlign w:val="center"/>
          </w:tcPr>
          <w:p>
            <w:r/>
            <w:r>
              <w:rPr>
                <w:b w:val="0"/>
                <w:sz w:val="14"/>
              </w:rPr>
              <w:t>workspace_membership</w:t>
            </w:r>
          </w:p>
        </w:tc>
        <w:tc>
          <w:tcPr>
            <w:tcW w:type="dxa" w:w="5328"/>
            <w:vAlign w:val="center"/>
          </w:tcPr>
          <w:p>
            <w:r/>
            <w:r>
              <w:rPr>
                <w:b w:val="0"/>
                <w:sz w:val="14"/>
              </w:rPr>
              <w:t>workspace_id, user_id, role</w:t>
            </w:r>
          </w:p>
        </w:tc>
        <w:tc>
          <w:tcPr>
            <w:tcW w:type="dxa" w:w="3168"/>
            <w:vAlign w:val="center"/>
          </w:tcPr>
          <w:p>
            <w:r/>
            <w:r>
              <w:rPr>
                <w:b w:val="0"/>
                <w:sz w:val="14"/>
              </w:rPr>
              <w:t>RBAC mapping.</w:t>
            </w:r>
          </w:p>
        </w:tc>
      </w:tr>
      <w:tr>
        <w:tc>
          <w:tcPr>
            <w:tcW w:type="dxa" w:w="1944"/>
            <w:vAlign w:val="center"/>
            <w:shd w:fill="F6F9FC"/>
          </w:tcPr>
          <w:p>
            <w:r/>
            <w:r>
              <w:rPr>
                <w:b w:val="0"/>
                <w:sz w:val="14"/>
              </w:rPr>
              <w:t>search_definition</w:t>
            </w:r>
          </w:p>
        </w:tc>
        <w:tc>
          <w:tcPr>
            <w:tcW w:type="dxa" w:w="5328"/>
            <w:vAlign w:val="center"/>
            <w:shd w:fill="F6F9FC"/>
          </w:tcPr>
          <w:p>
            <w:r/>
            <w:r>
              <w:rPr>
                <w:b w:val="0"/>
                <w:sz w:val="14"/>
              </w:rPr>
              <w:t>id, workspace_id, name, keywords_json, exclusions_json, region, language, formats, age_window, schedule, status</w:t>
            </w:r>
          </w:p>
        </w:tc>
        <w:tc>
          <w:tcPr>
            <w:tcW w:type="dxa" w:w="3168"/>
            <w:vAlign w:val="center"/>
            <w:shd w:fill="F6F9FC"/>
          </w:tcPr>
          <w:p>
            <w:r/>
            <w:r>
              <w:rPr>
                <w:b w:val="0"/>
                <w:sz w:val="14"/>
              </w:rPr>
              <w:t>Reusable market definition.</w:t>
            </w:r>
          </w:p>
        </w:tc>
      </w:tr>
      <w:tr>
        <w:tc>
          <w:tcPr>
            <w:tcW w:type="dxa" w:w="1944"/>
            <w:vAlign w:val="center"/>
          </w:tcPr>
          <w:p>
            <w:r/>
            <w:r>
              <w:rPr>
                <w:b w:val="0"/>
                <w:sz w:val="14"/>
              </w:rPr>
              <w:t>discovery_run</w:t>
            </w:r>
          </w:p>
        </w:tc>
        <w:tc>
          <w:tcPr>
            <w:tcW w:type="dxa" w:w="5328"/>
            <w:vAlign w:val="center"/>
          </w:tcPr>
          <w:p>
            <w:r/>
            <w:r>
              <w:rPr>
                <w:b w:val="0"/>
                <w:sz w:val="14"/>
              </w:rPr>
              <w:t>id, search_definition_id, status, budget_estimate, quota_actual, started_at, ended_at, error_code</w:t>
            </w:r>
          </w:p>
        </w:tc>
        <w:tc>
          <w:tcPr>
            <w:tcW w:type="dxa" w:w="3168"/>
            <w:vAlign w:val="center"/>
          </w:tcPr>
          <w:p>
            <w:r/>
            <w:r>
              <w:rPr>
                <w:b w:val="0"/>
                <w:sz w:val="14"/>
              </w:rPr>
              <w:t>One execution.</w:t>
            </w:r>
          </w:p>
        </w:tc>
      </w:tr>
      <w:tr>
        <w:tc>
          <w:tcPr>
            <w:tcW w:type="dxa" w:w="1944"/>
            <w:vAlign w:val="center"/>
            <w:shd w:fill="F6F9FC"/>
          </w:tcPr>
          <w:p>
            <w:r/>
            <w:r>
              <w:rPr>
                <w:b w:val="0"/>
                <w:sz w:val="14"/>
              </w:rPr>
              <w:t>discovery_hit</w:t>
            </w:r>
          </w:p>
        </w:tc>
        <w:tc>
          <w:tcPr>
            <w:tcW w:type="dxa" w:w="5328"/>
            <w:vAlign w:val="center"/>
            <w:shd w:fill="F6F9FC"/>
          </w:tcPr>
          <w:p>
            <w:r/>
            <w:r>
              <w:rPr>
                <w:b w:val="0"/>
                <w:sz w:val="14"/>
              </w:rPr>
              <w:t>run_id, video_id, channel_id, query_term, rank, discovered_at</w:t>
            </w:r>
          </w:p>
        </w:tc>
        <w:tc>
          <w:tcPr>
            <w:tcW w:type="dxa" w:w="3168"/>
            <w:vAlign w:val="center"/>
            <w:shd w:fill="F6F9FC"/>
          </w:tcPr>
          <w:p>
            <w:r/>
            <w:r>
              <w:rPr>
                <w:b w:val="0"/>
                <w:sz w:val="14"/>
              </w:rPr>
              <w:t>Provenance.</w:t>
            </w:r>
          </w:p>
        </w:tc>
      </w:tr>
      <w:tr>
        <w:tc>
          <w:tcPr>
            <w:tcW w:type="dxa" w:w="1944"/>
            <w:vAlign w:val="center"/>
          </w:tcPr>
          <w:p>
            <w:r/>
            <w:r>
              <w:rPr>
                <w:b w:val="0"/>
                <w:sz w:val="14"/>
              </w:rPr>
              <w:t>channel</w:t>
            </w:r>
          </w:p>
        </w:tc>
        <w:tc>
          <w:tcPr>
            <w:tcW w:type="dxa" w:w="5328"/>
            <w:vAlign w:val="center"/>
          </w:tcPr>
          <w:p>
            <w:r/>
            <w:r>
              <w:rPr>
                <w:b w:val="0"/>
                <w:sz w:val="14"/>
              </w:rPr>
              <w:t>channel_id, title, handle, country, published_at, uploads_playlist_id, current fields, source_etag</w:t>
            </w:r>
          </w:p>
        </w:tc>
        <w:tc>
          <w:tcPr>
            <w:tcW w:type="dxa" w:w="3168"/>
            <w:vAlign w:val="center"/>
          </w:tcPr>
          <w:p>
            <w:r/>
            <w:r>
              <w:rPr>
                <w:b w:val="0"/>
                <w:sz w:val="14"/>
              </w:rPr>
              <w:t>Canonical public channel.</w:t>
            </w:r>
          </w:p>
        </w:tc>
      </w:tr>
      <w:tr>
        <w:tc>
          <w:tcPr>
            <w:tcW w:type="dxa" w:w="1944"/>
            <w:vAlign w:val="center"/>
            <w:shd w:fill="F6F9FC"/>
          </w:tcPr>
          <w:p>
            <w:r/>
            <w:r>
              <w:rPr>
                <w:b w:val="0"/>
                <w:sz w:val="14"/>
              </w:rPr>
              <w:t>channel_snapshot</w:t>
            </w:r>
          </w:p>
        </w:tc>
        <w:tc>
          <w:tcPr>
            <w:tcW w:type="dxa" w:w="5328"/>
            <w:vAlign w:val="center"/>
            <w:shd w:fill="F6F9FC"/>
          </w:tcPr>
          <w:p>
            <w:r/>
            <w:r>
              <w:rPr>
                <w:b w:val="0"/>
                <w:sz w:val="14"/>
              </w:rPr>
              <w:t>channel_id, captured_at, subscriber_count, subscriber_hidden, view_count, video_count, raw_hash</w:t>
            </w:r>
          </w:p>
        </w:tc>
        <w:tc>
          <w:tcPr>
            <w:tcW w:type="dxa" w:w="3168"/>
            <w:vAlign w:val="center"/>
            <w:shd w:fill="F6F9FC"/>
          </w:tcPr>
          <w:p>
            <w:r/>
            <w:r>
              <w:rPr>
                <w:b w:val="0"/>
                <w:sz w:val="14"/>
              </w:rPr>
              <w:t>Immutable observation.</w:t>
            </w:r>
          </w:p>
        </w:tc>
      </w:tr>
      <w:tr>
        <w:tc>
          <w:tcPr>
            <w:tcW w:type="dxa" w:w="1944"/>
            <w:vAlign w:val="center"/>
          </w:tcPr>
          <w:p>
            <w:r/>
            <w:r>
              <w:rPr>
                <w:b w:val="0"/>
                <w:sz w:val="14"/>
              </w:rPr>
              <w:t>video</w:t>
            </w:r>
          </w:p>
        </w:tc>
        <w:tc>
          <w:tcPr>
            <w:tcW w:type="dxa" w:w="5328"/>
            <w:vAlign w:val="center"/>
          </w:tcPr>
          <w:p>
            <w:r/>
            <w:r>
              <w:rPr>
                <w:b w:val="0"/>
                <w:sz w:val="14"/>
              </w:rPr>
              <w:t>video_id, channel_id, title, published_at, duration_sec, live_state, format_class, availability</w:t>
            </w:r>
          </w:p>
        </w:tc>
        <w:tc>
          <w:tcPr>
            <w:tcW w:type="dxa" w:w="3168"/>
            <w:vAlign w:val="center"/>
          </w:tcPr>
          <w:p>
            <w:r/>
            <w:r>
              <w:rPr>
                <w:b w:val="0"/>
                <w:sz w:val="14"/>
              </w:rPr>
              <w:t>Canonical public video.</w:t>
            </w:r>
          </w:p>
        </w:tc>
      </w:tr>
      <w:tr>
        <w:tc>
          <w:tcPr>
            <w:tcW w:type="dxa" w:w="1944"/>
            <w:vAlign w:val="center"/>
            <w:shd w:fill="F6F9FC"/>
          </w:tcPr>
          <w:p>
            <w:r/>
            <w:r>
              <w:rPr>
                <w:b w:val="0"/>
                <w:sz w:val="14"/>
              </w:rPr>
              <w:t>video_snapshot</w:t>
            </w:r>
          </w:p>
        </w:tc>
        <w:tc>
          <w:tcPr>
            <w:tcW w:type="dxa" w:w="5328"/>
            <w:vAlign w:val="center"/>
            <w:shd w:fill="F6F9FC"/>
          </w:tcPr>
          <w:p>
            <w:r/>
            <w:r>
              <w:rPr>
                <w:b w:val="0"/>
                <w:sz w:val="14"/>
              </w:rPr>
              <w:t>video_id, captured_at, view_count, like_count, comment_count, raw_hash</w:t>
            </w:r>
          </w:p>
        </w:tc>
        <w:tc>
          <w:tcPr>
            <w:tcW w:type="dxa" w:w="3168"/>
            <w:vAlign w:val="center"/>
            <w:shd w:fill="F6F9FC"/>
          </w:tcPr>
          <w:p>
            <w:r/>
            <w:r>
              <w:rPr>
                <w:b w:val="0"/>
                <w:sz w:val="14"/>
              </w:rPr>
              <w:t>Immutable observation.</w:t>
            </w:r>
          </w:p>
        </w:tc>
      </w:tr>
      <w:tr>
        <w:tc>
          <w:tcPr>
            <w:tcW w:type="dxa" w:w="1944"/>
            <w:vAlign w:val="center"/>
          </w:tcPr>
          <w:p>
            <w:r/>
            <w:r>
              <w:rPr>
                <w:b w:val="0"/>
                <w:sz w:val="14"/>
              </w:rPr>
              <w:t>channel_score</w:t>
            </w:r>
          </w:p>
        </w:tc>
        <w:tc>
          <w:tcPr>
            <w:tcW w:type="dxa" w:w="5328"/>
            <w:vAlign w:val="center"/>
          </w:tcPr>
          <w:p>
            <w:r/>
            <w:r>
              <w:rPr>
                <w:b w:val="0"/>
                <w:sz w:val="14"/>
              </w:rPr>
              <w:t>channel_id, cohort_id, score_version, calculated_at, score, confidence, component_json, reason_codes</w:t>
            </w:r>
          </w:p>
        </w:tc>
        <w:tc>
          <w:tcPr>
            <w:tcW w:type="dxa" w:w="3168"/>
            <w:vAlign w:val="center"/>
          </w:tcPr>
          <w:p>
            <w:r/>
            <w:r>
              <w:rPr>
                <w:b w:val="0"/>
                <w:sz w:val="14"/>
              </w:rPr>
              <w:t>Reproducible derived result.</w:t>
            </w:r>
          </w:p>
        </w:tc>
      </w:tr>
      <w:tr>
        <w:tc>
          <w:tcPr>
            <w:tcW w:type="dxa" w:w="1944"/>
            <w:vAlign w:val="center"/>
            <w:shd w:fill="F6F9FC"/>
          </w:tcPr>
          <w:p>
            <w:r/>
            <w:r>
              <w:rPr>
                <w:b w:val="0"/>
                <w:sz w:val="14"/>
              </w:rPr>
              <w:t>watchlist</w:t>
            </w:r>
          </w:p>
        </w:tc>
        <w:tc>
          <w:tcPr>
            <w:tcW w:type="dxa" w:w="5328"/>
            <w:vAlign w:val="center"/>
            <w:shd w:fill="F6F9FC"/>
          </w:tcPr>
          <w:p>
            <w:r/>
            <w:r>
              <w:rPr>
                <w:b w:val="0"/>
                <w:sz w:val="14"/>
              </w:rPr>
              <w:t>id, workspace_id, name</w:t>
            </w:r>
          </w:p>
        </w:tc>
        <w:tc>
          <w:tcPr>
            <w:tcW w:type="dxa" w:w="3168"/>
            <w:vAlign w:val="center"/>
            <w:shd w:fill="F6F9FC"/>
          </w:tcPr>
          <w:p>
            <w:r/>
            <w:r>
              <w:rPr>
                <w:b w:val="0"/>
                <w:sz w:val="14"/>
              </w:rPr>
              <w:t>Workspace collection.</w:t>
            </w:r>
          </w:p>
        </w:tc>
      </w:tr>
      <w:tr>
        <w:tc>
          <w:tcPr>
            <w:tcW w:type="dxa" w:w="1944"/>
            <w:vAlign w:val="center"/>
          </w:tcPr>
          <w:p>
            <w:r/>
            <w:r>
              <w:rPr>
                <w:b w:val="0"/>
                <w:sz w:val="14"/>
              </w:rPr>
              <w:t>watchlist_channel</w:t>
            </w:r>
          </w:p>
        </w:tc>
        <w:tc>
          <w:tcPr>
            <w:tcW w:type="dxa" w:w="5328"/>
            <w:vAlign w:val="center"/>
          </w:tcPr>
          <w:p>
            <w:r/>
            <w:r>
              <w:rPr>
                <w:b w:val="0"/>
                <w:sz w:val="14"/>
              </w:rPr>
              <w:t>watchlist_id, channel_id, state, owner_user_id, notes, added_at</w:t>
            </w:r>
          </w:p>
        </w:tc>
        <w:tc>
          <w:tcPr>
            <w:tcW w:type="dxa" w:w="3168"/>
            <w:vAlign w:val="center"/>
          </w:tcPr>
          <w:p>
            <w:r/>
            <w:r>
              <w:rPr>
                <w:b w:val="0"/>
                <w:sz w:val="14"/>
              </w:rPr>
              <w:t>Analyst workflow.</w:t>
            </w:r>
          </w:p>
        </w:tc>
      </w:tr>
      <w:tr>
        <w:tc>
          <w:tcPr>
            <w:tcW w:type="dxa" w:w="1944"/>
            <w:vAlign w:val="center"/>
            <w:shd w:fill="F6F9FC"/>
          </w:tcPr>
          <w:p>
            <w:r/>
            <w:r>
              <w:rPr>
                <w:b w:val="0"/>
                <w:sz w:val="14"/>
              </w:rPr>
              <w:t>alert_rule</w:t>
            </w:r>
          </w:p>
        </w:tc>
        <w:tc>
          <w:tcPr>
            <w:tcW w:type="dxa" w:w="5328"/>
            <w:vAlign w:val="center"/>
            <w:shd w:fill="F6F9FC"/>
          </w:tcPr>
          <w:p>
            <w:r/>
            <w:r>
              <w:rPr>
                <w:b w:val="0"/>
                <w:sz w:val="14"/>
              </w:rPr>
              <w:t>id, workspace_id, scope, condition_json, cooldown, status</w:t>
            </w:r>
          </w:p>
        </w:tc>
        <w:tc>
          <w:tcPr>
            <w:tcW w:type="dxa" w:w="3168"/>
            <w:vAlign w:val="center"/>
            <w:shd w:fill="F6F9FC"/>
          </w:tcPr>
          <w:p>
            <w:r/>
            <w:r>
              <w:rPr>
                <w:b w:val="0"/>
                <w:sz w:val="14"/>
              </w:rPr>
              <w:t>Notification logic.</w:t>
            </w:r>
          </w:p>
        </w:tc>
      </w:tr>
      <w:tr>
        <w:tc>
          <w:tcPr>
            <w:tcW w:type="dxa" w:w="1944"/>
            <w:vAlign w:val="center"/>
          </w:tcPr>
          <w:p>
            <w:r/>
            <w:r>
              <w:rPr>
                <w:b w:val="0"/>
                <w:sz w:val="14"/>
              </w:rPr>
              <w:t>audit_event</w:t>
            </w:r>
          </w:p>
        </w:tc>
        <w:tc>
          <w:tcPr>
            <w:tcW w:type="dxa" w:w="5328"/>
            <w:vAlign w:val="center"/>
          </w:tcPr>
          <w:p>
            <w:r/>
            <w:r>
              <w:rPr>
                <w:b w:val="0"/>
                <w:sz w:val="14"/>
              </w:rPr>
              <w:t>id, workspace_id, actor, action, target, timestamp, metadata_json</w:t>
            </w:r>
          </w:p>
        </w:tc>
        <w:tc>
          <w:tcPr>
            <w:tcW w:type="dxa" w:w="3168"/>
            <w:vAlign w:val="center"/>
          </w:tcPr>
          <w:p>
            <w:r/>
            <w:r>
              <w:rPr>
                <w:b w:val="0"/>
                <w:sz w:val="14"/>
              </w:rPr>
              <w:t>Immutable governance trail.</w:t>
            </w:r>
          </w:p>
        </w:tc>
      </w:tr>
      <w:tr>
        <w:tc>
          <w:tcPr>
            <w:tcW w:type="dxa" w:w="1944"/>
            <w:vAlign w:val="center"/>
            <w:shd w:fill="F6F9FC"/>
          </w:tcPr>
          <w:p>
            <w:r/>
            <w:r>
              <w:rPr>
                <w:b w:val="0"/>
                <w:sz w:val="14"/>
              </w:rPr>
              <w:t>api_call_log</w:t>
            </w:r>
          </w:p>
        </w:tc>
        <w:tc>
          <w:tcPr>
            <w:tcW w:type="dxa" w:w="5328"/>
            <w:vAlign w:val="center"/>
            <w:shd w:fill="F6F9FC"/>
          </w:tcPr>
          <w:p>
            <w:r/>
            <w:r>
              <w:rPr>
                <w:b w:val="0"/>
                <w:sz w:val="14"/>
              </w:rPr>
              <w:t>request_id, endpoint, quota_bucket, units, status, latency_ms, attempted_at</w:t>
            </w:r>
          </w:p>
        </w:tc>
        <w:tc>
          <w:tcPr>
            <w:tcW w:type="dxa" w:w="3168"/>
            <w:vAlign w:val="center"/>
            <w:shd w:fill="F6F9FC"/>
          </w:tcPr>
          <w:p>
            <w:r/>
            <w:r>
              <w:rPr>
                <w:b w:val="0"/>
                <w:sz w:val="14"/>
              </w:rPr>
              <w:t>Operational/quota record.</w:t>
            </w:r>
          </w:p>
        </w:tc>
      </w:tr>
    </w:tbl>
    <w:p/>
    <w:p>
      <w:pPr>
        <w:pStyle w:val="Heading1"/>
      </w:pPr>
      <w:r>
        <w:t>7. State Machines</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4E78"/>
            <w:vAlign w:val="center"/>
          </w:tcPr>
          <w:p>
            <w:r/>
            <w:r>
              <w:rPr>
                <w:b/>
                <w:color w:val="FFFFFF"/>
                <w:sz w:val="17"/>
              </w:rPr>
              <w:t>Object</w:t>
            </w:r>
          </w:p>
        </w:tc>
        <w:tc>
          <w:tcPr>
            <w:tcW w:type="dxa" w:w="3312"/>
            <w:shd w:fill="1F4E78"/>
            <w:vAlign w:val="center"/>
          </w:tcPr>
          <w:p>
            <w:r/>
            <w:r>
              <w:rPr>
                <w:b/>
                <w:color w:val="FFFFFF"/>
                <w:sz w:val="17"/>
              </w:rPr>
              <w:t>States</w:t>
            </w:r>
          </w:p>
        </w:tc>
        <w:tc>
          <w:tcPr>
            <w:tcW w:type="dxa" w:w="5472"/>
            <w:shd w:fill="1F4E78"/>
            <w:vAlign w:val="center"/>
          </w:tcPr>
          <w:p>
            <w:r/>
            <w:r>
              <w:rPr>
                <w:b/>
                <w:color w:val="FFFFFF"/>
                <w:sz w:val="17"/>
              </w:rPr>
              <w:t>Transitions</w:t>
            </w:r>
          </w:p>
        </w:tc>
      </w:tr>
      <w:tr>
        <w:tc>
          <w:tcPr>
            <w:tcW w:type="dxa" w:w="1728"/>
            <w:vAlign w:val="center"/>
          </w:tcPr>
          <w:p>
            <w:r/>
            <w:r>
              <w:rPr>
                <w:b w:val="0"/>
                <w:sz w:val="17"/>
              </w:rPr>
              <w:t>Discovery run</w:t>
            </w:r>
          </w:p>
        </w:tc>
        <w:tc>
          <w:tcPr>
            <w:tcW w:type="dxa" w:w="3312"/>
            <w:vAlign w:val="center"/>
          </w:tcPr>
          <w:p>
            <w:r/>
            <w:r>
              <w:rPr>
                <w:b w:val="0"/>
                <w:sz w:val="17"/>
              </w:rPr>
              <w:t>queued → budget_checked → running → partial/succeeded/failed/cancelled</w:t>
            </w:r>
          </w:p>
        </w:tc>
        <w:tc>
          <w:tcPr>
            <w:tcW w:type="dxa" w:w="5472"/>
            <w:vAlign w:val="center"/>
          </w:tcPr>
          <w:p>
            <w:r/>
            <w:r>
              <w:rPr>
                <w:b w:val="0"/>
                <w:sz w:val="17"/>
              </w:rPr>
              <w:t>Only budget_checked can enter running; partial retains usable results.</w:t>
            </w:r>
          </w:p>
        </w:tc>
      </w:tr>
      <w:tr>
        <w:tc>
          <w:tcPr>
            <w:tcW w:type="dxa" w:w="1728"/>
            <w:vAlign w:val="center"/>
            <w:shd w:fill="F6F9FC"/>
          </w:tcPr>
          <w:p>
            <w:r/>
            <w:r>
              <w:rPr>
                <w:b w:val="0"/>
                <w:sz w:val="17"/>
              </w:rPr>
              <w:t>Candidate channel</w:t>
            </w:r>
          </w:p>
        </w:tc>
        <w:tc>
          <w:tcPr>
            <w:tcW w:type="dxa" w:w="3312"/>
            <w:vAlign w:val="center"/>
            <w:shd w:fill="F6F9FC"/>
          </w:tcPr>
          <w:p>
            <w:r/>
            <w:r>
              <w:rPr>
                <w:b w:val="0"/>
                <w:sz w:val="17"/>
              </w:rPr>
              <w:t>discovered → enriching → qualified/insufficient_data/excluded/error</w:t>
            </w:r>
          </w:p>
        </w:tc>
        <w:tc>
          <w:tcPr>
            <w:tcW w:type="dxa" w:w="5472"/>
            <w:vAlign w:val="center"/>
            <w:shd w:fill="F6F9FC"/>
          </w:tcPr>
          <w:p>
            <w:r/>
            <w:r>
              <w:rPr>
                <w:b w:val="0"/>
                <w:sz w:val="17"/>
              </w:rPr>
              <w:t>Qualified channels may be scored; error is retryable.</w:t>
            </w:r>
          </w:p>
        </w:tc>
      </w:tr>
      <w:tr>
        <w:tc>
          <w:tcPr>
            <w:tcW w:type="dxa" w:w="1728"/>
            <w:vAlign w:val="center"/>
          </w:tcPr>
          <w:p>
            <w:r/>
            <w:r>
              <w:rPr>
                <w:b w:val="0"/>
                <w:sz w:val="17"/>
              </w:rPr>
              <w:t>Alert</w:t>
            </w:r>
          </w:p>
        </w:tc>
        <w:tc>
          <w:tcPr>
            <w:tcW w:type="dxa" w:w="3312"/>
            <w:vAlign w:val="center"/>
          </w:tcPr>
          <w:p>
            <w:r/>
            <w:r>
              <w:rPr>
                <w:b w:val="0"/>
                <w:sz w:val="17"/>
              </w:rPr>
              <w:t>candidate → suppressed/queued → sent/failed</w:t>
            </w:r>
          </w:p>
        </w:tc>
        <w:tc>
          <w:tcPr>
            <w:tcW w:type="dxa" w:w="5472"/>
            <w:vAlign w:val="center"/>
          </w:tcPr>
          <w:p>
            <w:r/>
            <w:r>
              <w:rPr>
                <w:b w:val="0"/>
                <w:sz w:val="17"/>
              </w:rPr>
              <w:t>Cooldown and deduplication precede queueing.</w:t>
            </w:r>
          </w:p>
        </w:tc>
      </w:tr>
      <w:tr>
        <w:tc>
          <w:tcPr>
            <w:tcW w:type="dxa" w:w="1728"/>
            <w:vAlign w:val="center"/>
            <w:shd w:fill="F6F9FC"/>
          </w:tcPr>
          <w:p>
            <w:r/>
            <w:r>
              <w:rPr>
                <w:b w:val="0"/>
                <w:sz w:val="17"/>
              </w:rPr>
              <w:t>Export</w:t>
            </w:r>
          </w:p>
        </w:tc>
        <w:tc>
          <w:tcPr>
            <w:tcW w:type="dxa" w:w="3312"/>
            <w:vAlign w:val="center"/>
            <w:shd w:fill="F6F9FC"/>
          </w:tcPr>
          <w:p>
            <w:r/>
            <w:r>
              <w:rPr>
                <w:b w:val="0"/>
                <w:sz w:val="17"/>
              </w:rPr>
              <w:t>requested → generating → ready/failed/expired</w:t>
            </w:r>
          </w:p>
        </w:tc>
        <w:tc>
          <w:tcPr>
            <w:tcW w:type="dxa" w:w="5472"/>
            <w:vAlign w:val="center"/>
            <w:shd w:fill="F6F9FC"/>
          </w:tcPr>
          <w:p>
            <w:r/>
            <w:r>
              <w:rPr>
                <w:b w:val="0"/>
                <w:sz w:val="17"/>
              </w:rPr>
              <w:t>Signed download link only in ready state.</w:t>
            </w:r>
          </w:p>
        </w:tc>
      </w:tr>
    </w:tbl>
    <w:p/>
    <w:p>
      <w:pPr>
        <w:pStyle w:val="Heading1"/>
      </w:pPr>
      <w:r>
        <w:t>8. API Contract Catalogue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shd w:fill="1F4E78"/>
            <w:vAlign w:val="center"/>
          </w:tcPr>
          <w:p>
            <w:r/>
            <w:r>
              <w:rPr>
                <w:b/>
                <w:color w:val="FFFFFF"/>
                <w:sz w:val="15"/>
              </w:rPr>
              <w:t>Method</w:t>
            </w:r>
          </w:p>
        </w:tc>
        <w:tc>
          <w:tcPr>
            <w:tcW w:type="dxa" w:w="3456"/>
            <w:shd w:fill="1F4E78"/>
            <w:vAlign w:val="center"/>
          </w:tcPr>
          <w:p>
            <w:r/>
            <w:r>
              <w:rPr>
                <w:b/>
                <w:color w:val="FFFFFF"/>
                <w:sz w:val="15"/>
              </w:rPr>
              <w:t>Endpoint</w:t>
            </w:r>
          </w:p>
        </w:tc>
        <w:tc>
          <w:tcPr>
            <w:tcW w:type="dxa" w:w="3024"/>
            <w:shd w:fill="1F4E78"/>
            <w:vAlign w:val="center"/>
          </w:tcPr>
          <w:p>
            <w:r/>
            <w:r>
              <w:rPr>
                <w:b/>
                <w:color w:val="FFFFFF"/>
                <w:sz w:val="15"/>
              </w:rPr>
              <w:t>Purpose</w:t>
            </w:r>
          </w:p>
        </w:tc>
        <w:tc>
          <w:tcPr>
            <w:tcW w:type="dxa" w:w="3168"/>
            <w:shd w:fill="1F4E78"/>
            <w:vAlign w:val="center"/>
          </w:tcPr>
          <w:p>
            <w:r/>
            <w:r>
              <w:rPr>
                <w:b/>
                <w:color w:val="FFFFFF"/>
                <w:sz w:val="15"/>
              </w:rPr>
              <w:t>Key controls</w:t>
            </w:r>
          </w:p>
        </w:tc>
      </w:tr>
      <w:tr>
        <w:tc>
          <w:tcPr>
            <w:tcW w:type="dxa" w:w="1008"/>
            <w:vAlign w:val="center"/>
          </w:tcPr>
          <w:p>
            <w:r/>
            <w:r>
              <w:rPr>
                <w:b w:val="0"/>
                <w:sz w:val="15"/>
              </w:rPr>
              <w:t>POST</w:t>
            </w:r>
          </w:p>
        </w:tc>
        <w:tc>
          <w:tcPr>
            <w:tcW w:type="dxa" w:w="3456"/>
            <w:vAlign w:val="center"/>
          </w:tcPr>
          <w:p>
            <w:r/>
            <w:r>
              <w:rPr>
                <w:b w:val="0"/>
                <w:sz w:val="15"/>
              </w:rPr>
              <w:t>/v1/search-definitions</w:t>
            </w:r>
          </w:p>
        </w:tc>
        <w:tc>
          <w:tcPr>
            <w:tcW w:type="dxa" w:w="3024"/>
            <w:vAlign w:val="center"/>
          </w:tcPr>
          <w:p>
            <w:r/>
            <w:r>
              <w:rPr>
                <w:b w:val="0"/>
                <w:sz w:val="15"/>
              </w:rPr>
              <w:t>Create definition</w:t>
            </w:r>
          </w:p>
        </w:tc>
        <w:tc>
          <w:tcPr>
            <w:tcW w:type="dxa" w:w="3168"/>
            <w:vAlign w:val="center"/>
          </w:tcPr>
          <w:p>
            <w:r/>
            <w:r>
              <w:rPr>
                <w:b w:val="0"/>
                <w:sz w:val="15"/>
              </w:rPr>
              <w:t>RBAC, schema validation, estimated budget.</w:t>
            </w:r>
          </w:p>
        </w:tc>
      </w:tr>
      <w:tr>
        <w:tc>
          <w:tcPr>
            <w:tcW w:type="dxa" w:w="1008"/>
            <w:vAlign w:val="center"/>
            <w:shd w:fill="F6F9FC"/>
          </w:tcPr>
          <w:p>
            <w:r/>
            <w:r>
              <w:rPr>
                <w:b w:val="0"/>
                <w:sz w:val="15"/>
              </w:rPr>
              <w:t>POST</w:t>
            </w:r>
          </w:p>
        </w:tc>
        <w:tc>
          <w:tcPr>
            <w:tcW w:type="dxa" w:w="3456"/>
            <w:vAlign w:val="center"/>
            <w:shd w:fill="F6F9FC"/>
          </w:tcPr>
          <w:p>
            <w:r/>
            <w:r>
              <w:rPr>
                <w:b w:val="0"/>
                <w:sz w:val="15"/>
              </w:rPr>
              <w:t>/v1/search-definitions/{id}/runs</w:t>
            </w:r>
          </w:p>
        </w:tc>
        <w:tc>
          <w:tcPr>
            <w:tcW w:type="dxa" w:w="3024"/>
            <w:vAlign w:val="center"/>
            <w:shd w:fill="F6F9FC"/>
          </w:tcPr>
          <w:p>
            <w:r/>
            <w:r>
              <w:rPr>
                <w:b w:val="0"/>
                <w:sz w:val="15"/>
              </w:rPr>
              <w:t>Start run</w:t>
            </w:r>
          </w:p>
        </w:tc>
        <w:tc>
          <w:tcPr>
            <w:tcW w:type="dxa" w:w="3168"/>
            <w:vAlign w:val="center"/>
            <w:shd w:fill="F6F9FC"/>
          </w:tcPr>
          <w:p>
            <w:r/>
            <w:r>
              <w:rPr>
                <w:b w:val="0"/>
                <w:sz w:val="15"/>
              </w:rPr>
              <w:t>Idempotency-Key; budget gate.</w:t>
            </w:r>
          </w:p>
        </w:tc>
      </w:tr>
      <w:tr>
        <w:tc>
          <w:tcPr>
            <w:tcW w:type="dxa" w:w="1008"/>
            <w:vAlign w:val="center"/>
          </w:tcPr>
          <w:p>
            <w:r/>
            <w:r>
              <w:rPr>
                <w:b w:val="0"/>
                <w:sz w:val="15"/>
              </w:rPr>
              <w:t>GET</w:t>
            </w:r>
          </w:p>
        </w:tc>
        <w:tc>
          <w:tcPr>
            <w:tcW w:type="dxa" w:w="3456"/>
            <w:vAlign w:val="center"/>
          </w:tcPr>
          <w:p>
            <w:r/>
            <w:r>
              <w:rPr>
                <w:b w:val="0"/>
                <w:sz w:val="15"/>
              </w:rPr>
              <w:t>/v1/runs/{id}</w:t>
            </w:r>
          </w:p>
        </w:tc>
        <w:tc>
          <w:tcPr>
            <w:tcW w:type="dxa" w:w="3024"/>
            <w:vAlign w:val="center"/>
          </w:tcPr>
          <w:p>
            <w:r/>
            <w:r>
              <w:rPr>
                <w:b w:val="0"/>
                <w:sz w:val="15"/>
              </w:rPr>
              <w:t>Run status</w:t>
            </w:r>
          </w:p>
        </w:tc>
        <w:tc>
          <w:tcPr>
            <w:tcW w:type="dxa" w:w="3168"/>
            <w:vAlign w:val="center"/>
          </w:tcPr>
          <w:p>
            <w:r/>
            <w:r>
              <w:rPr>
                <w:b w:val="0"/>
                <w:sz w:val="15"/>
              </w:rPr>
              <w:t>Workspace scope.</w:t>
            </w:r>
          </w:p>
        </w:tc>
      </w:tr>
      <w:tr>
        <w:tc>
          <w:tcPr>
            <w:tcW w:type="dxa" w:w="1008"/>
            <w:vAlign w:val="center"/>
            <w:shd w:fill="F6F9FC"/>
          </w:tcPr>
          <w:p>
            <w:r/>
            <w:r>
              <w:rPr>
                <w:b w:val="0"/>
                <w:sz w:val="15"/>
              </w:rPr>
              <w:t>GET</w:t>
            </w:r>
          </w:p>
        </w:tc>
        <w:tc>
          <w:tcPr>
            <w:tcW w:type="dxa" w:w="3456"/>
            <w:vAlign w:val="center"/>
            <w:shd w:fill="F6F9FC"/>
          </w:tcPr>
          <w:p>
            <w:r/>
            <w:r>
              <w:rPr>
                <w:b w:val="0"/>
                <w:sz w:val="15"/>
              </w:rPr>
              <w:t>/v1/channels</w:t>
            </w:r>
          </w:p>
        </w:tc>
        <w:tc>
          <w:tcPr>
            <w:tcW w:type="dxa" w:w="3024"/>
            <w:vAlign w:val="center"/>
            <w:shd w:fill="F6F9FC"/>
          </w:tcPr>
          <w:p>
            <w:r/>
            <w:r>
              <w:rPr>
                <w:b w:val="0"/>
                <w:sz w:val="15"/>
              </w:rPr>
              <w:t>Filter/sort ranked channels</w:t>
            </w:r>
          </w:p>
        </w:tc>
        <w:tc>
          <w:tcPr>
            <w:tcW w:type="dxa" w:w="3168"/>
            <w:vAlign w:val="center"/>
            <w:shd w:fill="F6F9FC"/>
          </w:tcPr>
          <w:p>
            <w:r/>
            <w:r>
              <w:rPr>
                <w:b w:val="0"/>
                <w:sz w:val="15"/>
              </w:rPr>
              <w:t>Cursor pagination; allowed sort fields.</w:t>
            </w:r>
          </w:p>
        </w:tc>
      </w:tr>
      <w:tr>
        <w:tc>
          <w:tcPr>
            <w:tcW w:type="dxa" w:w="1008"/>
            <w:vAlign w:val="center"/>
          </w:tcPr>
          <w:p>
            <w:r/>
            <w:r>
              <w:rPr>
                <w:b w:val="0"/>
                <w:sz w:val="15"/>
              </w:rPr>
              <w:t>GET</w:t>
            </w:r>
          </w:p>
        </w:tc>
        <w:tc>
          <w:tcPr>
            <w:tcW w:type="dxa" w:w="3456"/>
            <w:vAlign w:val="center"/>
          </w:tcPr>
          <w:p>
            <w:r/>
            <w:r>
              <w:rPr>
                <w:b w:val="0"/>
                <w:sz w:val="15"/>
              </w:rPr>
              <w:t>/v1/channels/{channelId}</w:t>
            </w:r>
          </w:p>
        </w:tc>
        <w:tc>
          <w:tcPr>
            <w:tcW w:type="dxa" w:w="3024"/>
            <w:vAlign w:val="center"/>
          </w:tcPr>
          <w:p>
            <w:r/>
            <w:r>
              <w:rPr>
                <w:b w:val="0"/>
                <w:sz w:val="15"/>
              </w:rPr>
              <w:t>Channel detail and evidence</w:t>
            </w:r>
          </w:p>
        </w:tc>
        <w:tc>
          <w:tcPr>
            <w:tcW w:type="dxa" w:w="3168"/>
            <w:vAlign w:val="center"/>
          </w:tcPr>
          <w:p>
            <w:r/>
            <w:r>
              <w:rPr>
                <w:b w:val="0"/>
                <w:sz w:val="15"/>
              </w:rPr>
              <w:t>Freshness metadata; redaction rules.</w:t>
            </w:r>
          </w:p>
        </w:tc>
      </w:tr>
      <w:tr>
        <w:tc>
          <w:tcPr>
            <w:tcW w:type="dxa" w:w="1008"/>
            <w:vAlign w:val="center"/>
            <w:shd w:fill="F6F9FC"/>
          </w:tcPr>
          <w:p>
            <w:r/>
            <w:r>
              <w:rPr>
                <w:b w:val="0"/>
                <w:sz w:val="15"/>
              </w:rPr>
              <w:t>POST</w:t>
            </w:r>
          </w:p>
        </w:tc>
        <w:tc>
          <w:tcPr>
            <w:tcW w:type="dxa" w:w="3456"/>
            <w:vAlign w:val="center"/>
            <w:shd w:fill="F6F9FC"/>
          </w:tcPr>
          <w:p>
            <w:r/>
            <w:r>
              <w:rPr>
                <w:b w:val="0"/>
                <w:sz w:val="15"/>
              </w:rPr>
              <w:t>/v1/watchlists/{id}/channels</w:t>
            </w:r>
          </w:p>
        </w:tc>
        <w:tc>
          <w:tcPr>
            <w:tcW w:type="dxa" w:w="3024"/>
            <w:vAlign w:val="center"/>
            <w:shd w:fill="F6F9FC"/>
          </w:tcPr>
          <w:p>
            <w:r/>
            <w:r>
              <w:rPr>
                <w:b w:val="0"/>
                <w:sz w:val="15"/>
              </w:rPr>
              <w:t>Add channel</w:t>
            </w:r>
          </w:p>
        </w:tc>
        <w:tc>
          <w:tcPr>
            <w:tcW w:type="dxa" w:w="3168"/>
            <w:vAlign w:val="center"/>
            <w:shd w:fill="F6F9FC"/>
          </w:tcPr>
          <w:p>
            <w:r/>
            <w:r>
              <w:rPr>
                <w:b w:val="0"/>
                <w:sz w:val="15"/>
              </w:rPr>
              <w:t>Idempotency; audit.</w:t>
            </w:r>
          </w:p>
        </w:tc>
      </w:tr>
      <w:tr>
        <w:tc>
          <w:tcPr>
            <w:tcW w:type="dxa" w:w="1008"/>
            <w:vAlign w:val="center"/>
          </w:tcPr>
          <w:p>
            <w:r/>
            <w:r>
              <w:rPr>
                <w:b w:val="0"/>
                <w:sz w:val="15"/>
              </w:rPr>
              <w:t>DELETE</w:t>
            </w:r>
          </w:p>
        </w:tc>
        <w:tc>
          <w:tcPr>
            <w:tcW w:type="dxa" w:w="3456"/>
            <w:vAlign w:val="center"/>
          </w:tcPr>
          <w:p>
            <w:r/>
            <w:r>
              <w:rPr>
                <w:b w:val="0"/>
                <w:sz w:val="15"/>
              </w:rPr>
              <w:t>/v1/watchlists/{id}/channels/{channelId}</w:t>
            </w:r>
          </w:p>
        </w:tc>
        <w:tc>
          <w:tcPr>
            <w:tcW w:type="dxa" w:w="3024"/>
            <w:vAlign w:val="center"/>
          </w:tcPr>
          <w:p>
            <w:r/>
            <w:r>
              <w:rPr>
                <w:b w:val="0"/>
                <w:sz w:val="15"/>
              </w:rPr>
              <w:t>Remove channel</w:t>
            </w:r>
          </w:p>
        </w:tc>
        <w:tc>
          <w:tcPr>
            <w:tcW w:type="dxa" w:w="3168"/>
            <w:vAlign w:val="center"/>
          </w:tcPr>
          <w:p>
            <w:r/>
            <w:r>
              <w:rPr>
                <w:b w:val="0"/>
                <w:sz w:val="15"/>
              </w:rPr>
              <w:t>Soft history/audit.</w:t>
            </w:r>
          </w:p>
        </w:tc>
      </w:tr>
      <w:tr>
        <w:tc>
          <w:tcPr>
            <w:tcW w:type="dxa" w:w="1008"/>
            <w:vAlign w:val="center"/>
            <w:shd w:fill="F6F9FC"/>
          </w:tcPr>
          <w:p>
            <w:r/>
            <w:r>
              <w:rPr>
                <w:b w:val="0"/>
                <w:sz w:val="15"/>
              </w:rPr>
              <w:t>POST</w:t>
            </w:r>
          </w:p>
        </w:tc>
        <w:tc>
          <w:tcPr>
            <w:tcW w:type="dxa" w:w="3456"/>
            <w:vAlign w:val="center"/>
            <w:shd w:fill="F6F9FC"/>
          </w:tcPr>
          <w:p>
            <w:r/>
            <w:r>
              <w:rPr>
                <w:b w:val="0"/>
                <w:sz w:val="15"/>
              </w:rPr>
              <w:t>/v1/exports</w:t>
            </w:r>
          </w:p>
        </w:tc>
        <w:tc>
          <w:tcPr>
            <w:tcW w:type="dxa" w:w="3024"/>
            <w:vAlign w:val="center"/>
            <w:shd w:fill="F6F9FC"/>
          </w:tcPr>
          <w:p>
            <w:r/>
            <w:r>
              <w:rPr>
                <w:b w:val="0"/>
                <w:sz w:val="15"/>
              </w:rPr>
              <w:t>Generate export</w:t>
            </w:r>
          </w:p>
        </w:tc>
        <w:tc>
          <w:tcPr>
            <w:tcW w:type="dxa" w:w="3168"/>
            <w:vAlign w:val="center"/>
            <w:shd w:fill="F6F9FC"/>
          </w:tcPr>
          <w:p>
            <w:r/>
            <w:r>
              <w:rPr>
                <w:b w:val="0"/>
                <w:sz w:val="15"/>
              </w:rPr>
              <w:t>Field allowlist; size limit.</w:t>
            </w:r>
          </w:p>
        </w:tc>
      </w:tr>
      <w:tr>
        <w:tc>
          <w:tcPr>
            <w:tcW w:type="dxa" w:w="1008"/>
            <w:vAlign w:val="center"/>
          </w:tcPr>
          <w:p>
            <w:r/>
            <w:r>
              <w:rPr>
                <w:b w:val="0"/>
                <w:sz w:val="15"/>
              </w:rPr>
              <w:t>GET</w:t>
            </w:r>
          </w:p>
        </w:tc>
        <w:tc>
          <w:tcPr>
            <w:tcW w:type="dxa" w:w="3456"/>
            <w:vAlign w:val="center"/>
          </w:tcPr>
          <w:p>
            <w:r/>
            <w:r>
              <w:rPr>
                <w:b w:val="0"/>
                <w:sz w:val="15"/>
              </w:rPr>
              <w:t>/v1/admin/quota</w:t>
            </w:r>
          </w:p>
        </w:tc>
        <w:tc>
          <w:tcPr>
            <w:tcW w:type="dxa" w:w="3024"/>
            <w:vAlign w:val="center"/>
          </w:tcPr>
          <w:p>
            <w:r/>
            <w:r>
              <w:rPr>
                <w:b w:val="0"/>
                <w:sz w:val="15"/>
              </w:rPr>
              <w:t>Quota health</w:t>
            </w:r>
          </w:p>
        </w:tc>
        <w:tc>
          <w:tcPr>
            <w:tcW w:type="dxa" w:w="3168"/>
            <w:vAlign w:val="center"/>
          </w:tcPr>
          <w:p>
            <w:r/>
            <w:r>
              <w:rPr>
                <w:b w:val="0"/>
                <w:sz w:val="15"/>
              </w:rPr>
              <w:t>Admin only.</w:t>
            </w:r>
          </w:p>
        </w:tc>
      </w:tr>
      <w:tr>
        <w:tc>
          <w:tcPr>
            <w:tcW w:type="dxa" w:w="1008"/>
            <w:vAlign w:val="center"/>
            <w:shd w:fill="F6F9FC"/>
          </w:tcPr>
          <w:p>
            <w:r/>
            <w:r>
              <w:rPr>
                <w:b w:val="0"/>
                <w:sz w:val="15"/>
              </w:rPr>
              <w:t>POST</w:t>
            </w:r>
          </w:p>
        </w:tc>
        <w:tc>
          <w:tcPr>
            <w:tcW w:type="dxa" w:w="3456"/>
            <w:vAlign w:val="center"/>
            <w:shd w:fill="F6F9FC"/>
          </w:tcPr>
          <w:p>
            <w:r/>
            <w:r>
              <w:rPr>
                <w:b w:val="0"/>
                <w:sz w:val="15"/>
              </w:rPr>
              <w:t>/v1/admin/policy-switches/{key}</w:t>
            </w:r>
          </w:p>
        </w:tc>
        <w:tc>
          <w:tcPr>
            <w:tcW w:type="dxa" w:w="3024"/>
            <w:vAlign w:val="center"/>
            <w:shd w:fill="F6F9FC"/>
          </w:tcPr>
          <w:p>
            <w:r/>
            <w:r>
              <w:rPr>
                <w:b w:val="0"/>
                <w:sz w:val="15"/>
              </w:rPr>
              <w:t>Change switch</w:t>
            </w:r>
          </w:p>
        </w:tc>
        <w:tc>
          <w:tcPr>
            <w:tcW w:type="dxa" w:w="3168"/>
            <w:vAlign w:val="center"/>
            <w:shd w:fill="F6F9FC"/>
          </w:tcPr>
          <w:p>
            <w:r/>
            <w:r>
              <w:rPr>
                <w:b w:val="0"/>
                <w:sz w:val="15"/>
              </w:rPr>
              <w:t>Step-up auth and reason required.</w:t>
            </w:r>
          </w:p>
        </w:tc>
      </w:tr>
    </w:tbl>
    <w:p/>
    <w:p>
      <w:pPr>
        <w:pStyle w:val="Heading1"/>
      </w:pPr>
      <w:r>
        <w:t>9. Job Algorithms</w:t>
      </w:r>
    </w:p>
    <w:p>
      <w:pPr>
        <w:pStyle w:val="Heading2"/>
      </w:pPr>
      <w:r>
        <w:t>9.1 Discovery worker pseudocode</w:t>
      </w:r>
    </w:p>
    <w:p>
      <w:pPr>
        <w:pStyle w:val="ListNumber"/>
      </w:pPr>
      <w:r>
        <w:t>Load immutable run configuration snapshot.</w:t>
      </w:r>
    </w:p>
    <w:p>
      <w:pPr>
        <w:pStyle w:val="ListNumber"/>
      </w:pPr>
      <w:r>
        <w:t>Reserve quota atomically.</w:t>
      </w:r>
    </w:p>
    <w:p>
      <w:pPr>
        <w:pStyle w:val="ListNumber"/>
      </w:pPr>
      <w:r>
        <w:t>For each keyword/date slice, call documented search endpoint with bounded page count.</w:t>
      </w:r>
    </w:p>
    <w:p>
      <w:pPr>
        <w:pStyle w:val="ListNumber"/>
      </w:pPr>
      <w:r>
        <w:t>Normalize video/channel IDs and upsert discovery provenance.</w:t>
      </w:r>
    </w:p>
    <w:p>
      <w:pPr>
        <w:pStyle w:val="ListNumber"/>
      </w:pPr>
      <w:r>
        <w:t>Enqueue unique channel enrichment jobs with deterministic job keys.</w:t>
      </w:r>
    </w:p>
    <w:p>
      <w:pPr>
        <w:pStyle w:val="ListNumber"/>
      </w:pPr>
      <w:r>
        <w:t>Reconcile actual quota; release unused reservation.</w:t>
      </w:r>
    </w:p>
    <w:p>
      <w:pPr>
        <w:pStyle w:val="ListNumber"/>
      </w:pPr>
      <w:r>
        <w:t>Mark run partial if any bounded slice failed after retries.</w:t>
      </w:r>
    </w:p>
    <w:p>
      <w:pPr>
        <w:pStyle w:val="Heading2"/>
      </w:pPr>
      <w:r>
        <w:t>9.2 Scoring worker pseudocode</w:t>
      </w:r>
    </w:p>
    <w:p>
      <w:pPr>
        <w:pStyle w:val="ListNumber"/>
      </w:pPr>
      <w:r>
        <w:t>Load latest channel snapshot, eligible videos and required video snapshots.</w:t>
      </w:r>
    </w:p>
    <w:p>
      <w:pPr>
        <w:pStyle w:val="ListNumber"/>
      </w:pPr>
      <w:r>
        <w:t>Apply content-format classifier and exclusion rules.</w:t>
      </w:r>
    </w:p>
    <w:p>
      <w:pPr>
        <w:pStyle w:val="ListNumber"/>
      </w:pPr>
      <w:r>
        <w:t>Apply minimum data-quality gates.</w:t>
      </w:r>
    </w:p>
    <w:p>
      <w:pPr>
        <w:pStyle w:val="ListNumber"/>
      </w:pPr>
      <w:r>
        <w:t>Calculate raw metrics using decimal arithmetic and explicit null handling.</w:t>
      </w:r>
    </w:p>
    <w:p>
      <w:pPr>
        <w:pStyle w:val="ListNumber"/>
      </w:pPr>
      <w:r>
        <w:t>Resolve peer cohort and normalization statistics for a fixed as-of timestamp.</w:t>
      </w:r>
    </w:p>
    <w:p>
      <w:pPr>
        <w:pStyle w:val="ListNumber"/>
      </w:pPr>
      <w:r>
        <w:t>Calculate score components and confidence.</w:t>
      </w:r>
    </w:p>
    <w:p>
      <w:pPr>
        <w:pStyle w:val="ListNumber"/>
      </w:pPr>
      <w:r>
        <w:t>Persist score, formula version, input snapshot IDs and reason codes in one transaction.</w:t>
      </w:r>
    </w:p>
    <w:p>
      <w:pPr>
        <w:pStyle w:val="ListNumber"/>
      </w:pPr>
      <w:r>
        <w:t>Emit score_changed event only when threshold or reason-code state changes.</w:t>
      </w:r>
    </w:p>
    <w:p>
      <w:pPr>
        <w:pStyle w:val="Heading1"/>
      </w:pPr>
      <w:r>
        <w:t>10. Idempotency, Retries and Consistency</w:t>
      </w:r>
    </w:p>
    <w:tbl>
      <w:tblPr>
        <w:tblStyle w:val="TableGrid"/>
        <w:tblW w:type="auto" w:w="0"/>
        <w:jc w:val="center"/>
        <w:tblLook w:firstColumn="1" w:firstRow="1" w:lastColumn="0" w:lastRow="0" w:noHBand="0" w:noVBand="1" w:val="04A0"/>
      </w:tblPr>
      <w:tblGrid>
        <w:gridCol w:w="5040"/>
        <w:gridCol w:w="5040"/>
      </w:tblGrid>
      <w:tr>
        <w:tc>
          <w:tcPr>
            <w:tcW w:type="dxa" w:w="2304"/>
            <w:shd w:fill="1F4E78"/>
            <w:vAlign w:val="center"/>
          </w:tcPr>
          <w:p>
            <w:r/>
            <w:r>
              <w:rPr>
                <w:b/>
                <w:color w:val="FFFFFF"/>
                <w:sz w:val="17"/>
              </w:rPr>
              <w:t>Concern</w:t>
            </w:r>
          </w:p>
        </w:tc>
        <w:tc>
          <w:tcPr>
            <w:tcW w:type="dxa" w:w="8064"/>
            <w:shd w:fill="1F4E78"/>
            <w:vAlign w:val="center"/>
          </w:tcPr>
          <w:p>
            <w:r/>
            <w:r>
              <w:rPr>
                <w:b/>
                <w:color w:val="FFFFFF"/>
                <w:sz w:val="17"/>
              </w:rPr>
              <w:t>Rule</w:t>
            </w:r>
          </w:p>
        </w:tc>
      </w:tr>
      <w:tr>
        <w:tc>
          <w:tcPr>
            <w:tcW w:type="dxa" w:w="2304"/>
            <w:vAlign w:val="center"/>
          </w:tcPr>
          <w:p>
            <w:r/>
            <w:r>
              <w:rPr>
                <w:b w:val="0"/>
                <w:sz w:val="17"/>
              </w:rPr>
              <w:t>Duplicate jobs</w:t>
            </w:r>
          </w:p>
        </w:tc>
        <w:tc>
          <w:tcPr>
            <w:tcW w:type="dxa" w:w="8064"/>
            <w:vAlign w:val="center"/>
          </w:tcPr>
          <w:p>
            <w:r/>
            <w:r>
              <w:rPr>
                <w:b w:val="0"/>
                <w:sz w:val="17"/>
              </w:rPr>
              <w:t>Unique key = job_type + entity_id + target_snapshot_window.</w:t>
            </w:r>
          </w:p>
        </w:tc>
      </w:tr>
      <w:tr>
        <w:tc>
          <w:tcPr>
            <w:tcW w:type="dxa" w:w="2304"/>
            <w:vAlign w:val="center"/>
            <w:shd w:fill="F6F9FC"/>
          </w:tcPr>
          <w:p>
            <w:r/>
            <w:r>
              <w:rPr>
                <w:b w:val="0"/>
                <w:sz w:val="17"/>
              </w:rPr>
              <w:t>API retry</w:t>
            </w:r>
          </w:p>
        </w:tc>
        <w:tc>
          <w:tcPr>
            <w:tcW w:type="dxa" w:w="8064"/>
            <w:vAlign w:val="center"/>
            <w:shd w:fill="F6F9FC"/>
          </w:tcPr>
          <w:p>
            <w:r/>
            <w:r>
              <w:rPr>
                <w:b w:val="0"/>
                <w:sz w:val="17"/>
              </w:rPr>
              <w:t>Retry 429/5xx with exponential backoff and jitter; respect Retry-After; cap attempts.</w:t>
            </w:r>
          </w:p>
        </w:tc>
      </w:tr>
      <w:tr>
        <w:tc>
          <w:tcPr>
            <w:tcW w:type="dxa" w:w="2304"/>
            <w:vAlign w:val="center"/>
          </w:tcPr>
          <w:p>
            <w:r/>
            <w:r>
              <w:rPr>
                <w:b w:val="0"/>
                <w:sz w:val="17"/>
              </w:rPr>
              <w:t>Permanent errors</w:t>
            </w:r>
          </w:p>
        </w:tc>
        <w:tc>
          <w:tcPr>
            <w:tcW w:type="dxa" w:w="8064"/>
            <w:vAlign w:val="center"/>
          </w:tcPr>
          <w:p>
            <w:r/>
            <w:r>
              <w:rPr>
                <w:b w:val="0"/>
                <w:sz w:val="17"/>
              </w:rPr>
              <w:t>Do not retry 400/403 blindly; map reason codes and escalate configuration/policy errors.</w:t>
            </w:r>
          </w:p>
        </w:tc>
      </w:tr>
      <w:tr>
        <w:tc>
          <w:tcPr>
            <w:tcW w:type="dxa" w:w="2304"/>
            <w:vAlign w:val="center"/>
            <w:shd w:fill="F6F9FC"/>
          </w:tcPr>
          <w:p>
            <w:r/>
            <w:r>
              <w:rPr>
                <w:b w:val="0"/>
                <w:sz w:val="17"/>
              </w:rPr>
              <w:t>Snapshot uniqueness</w:t>
            </w:r>
          </w:p>
        </w:tc>
        <w:tc>
          <w:tcPr>
            <w:tcW w:type="dxa" w:w="8064"/>
            <w:vAlign w:val="center"/>
            <w:shd w:fill="F6F9FC"/>
          </w:tcPr>
          <w:p>
            <w:r/>
            <w:r>
              <w:rPr>
                <w:b w:val="0"/>
                <w:sz w:val="17"/>
              </w:rPr>
              <w:t>Unique(entity_id, captured_at_bucket, source) to prevent duplicates.</w:t>
            </w:r>
          </w:p>
        </w:tc>
      </w:tr>
      <w:tr>
        <w:tc>
          <w:tcPr>
            <w:tcW w:type="dxa" w:w="2304"/>
            <w:vAlign w:val="center"/>
          </w:tcPr>
          <w:p>
            <w:r/>
            <w:r>
              <w:rPr>
                <w:b w:val="0"/>
                <w:sz w:val="17"/>
              </w:rPr>
              <w:t>Score reproducibility</w:t>
            </w:r>
          </w:p>
        </w:tc>
        <w:tc>
          <w:tcPr>
            <w:tcW w:type="dxa" w:w="8064"/>
            <w:vAlign w:val="center"/>
          </w:tcPr>
          <w:p>
            <w:r/>
            <w:r>
              <w:rPr>
                <w:b w:val="0"/>
                <w:sz w:val="17"/>
              </w:rPr>
              <w:t>Persist score_version, cohort_version and exact input snapshot IDs.</w:t>
            </w:r>
          </w:p>
        </w:tc>
      </w:tr>
      <w:tr>
        <w:tc>
          <w:tcPr>
            <w:tcW w:type="dxa" w:w="2304"/>
            <w:vAlign w:val="center"/>
            <w:shd w:fill="F6F9FC"/>
          </w:tcPr>
          <w:p>
            <w:r/>
            <w:r>
              <w:rPr>
                <w:b w:val="0"/>
                <w:sz w:val="17"/>
              </w:rPr>
              <w:t>Partial collection</w:t>
            </w:r>
          </w:p>
        </w:tc>
        <w:tc>
          <w:tcPr>
            <w:tcW w:type="dxa" w:w="8064"/>
            <w:vAlign w:val="center"/>
            <w:shd w:fill="F6F9FC"/>
          </w:tcPr>
          <w:p>
            <w:r/>
            <w:r>
              <w:rPr>
                <w:b w:val="0"/>
                <w:sz w:val="17"/>
              </w:rPr>
              <w:t>Never overwrite last known good value with null due to transient failure.</w:t>
            </w:r>
          </w:p>
        </w:tc>
      </w:tr>
      <w:tr>
        <w:tc>
          <w:tcPr>
            <w:tcW w:type="dxa" w:w="2304"/>
            <w:vAlign w:val="center"/>
          </w:tcPr>
          <w:p>
            <w:r/>
            <w:r>
              <w:rPr>
                <w:b w:val="0"/>
                <w:sz w:val="17"/>
              </w:rPr>
              <w:t>Time</w:t>
            </w:r>
          </w:p>
        </w:tc>
        <w:tc>
          <w:tcPr>
            <w:tcW w:type="dxa" w:w="8064"/>
            <w:vAlign w:val="center"/>
          </w:tcPr>
          <w:p>
            <w:r/>
            <w:r>
              <w:rPr>
                <w:b w:val="0"/>
                <w:sz w:val="17"/>
              </w:rPr>
              <w:t>Store UTC with server-side timestamps; calculate elapsed time from snapshot timestamps.</w:t>
            </w:r>
          </w:p>
        </w:tc>
      </w:tr>
    </w:tbl>
    <w:p/>
    <w:p>
      <w:pPr>
        <w:pStyle w:val="Heading1"/>
      </w:pPr>
      <w:r>
        <w:t>11. Observability and SLOs</w:t>
      </w:r>
    </w:p>
    <w:tbl>
      <w:tblPr>
        <w:tblStyle w:val="TableGrid"/>
        <w:tblW w:type="auto" w:w="0"/>
        <w:jc w:val="center"/>
        <w:tblLook w:firstColumn="1" w:firstRow="1" w:lastColumn="0" w:lastRow="0" w:noHBand="0" w:noVBand="1" w:val="04A0"/>
      </w:tblPr>
      <w:tblGrid>
        <w:gridCol w:w="5040"/>
        <w:gridCol w:w="5040"/>
      </w:tblGrid>
      <w:tr>
        <w:tc>
          <w:tcPr>
            <w:tcW w:type="dxa" w:w="2160"/>
            <w:shd w:fill="1F4E78"/>
            <w:vAlign w:val="center"/>
          </w:tcPr>
          <w:p>
            <w:r/>
            <w:r>
              <w:rPr>
                <w:b/>
                <w:color w:val="FFFFFF"/>
                <w:sz w:val="17"/>
              </w:rPr>
              <w:t>Signal</w:t>
            </w:r>
          </w:p>
        </w:tc>
        <w:tc>
          <w:tcPr>
            <w:tcW w:type="dxa" w:w="8208"/>
            <w:shd w:fill="1F4E78"/>
            <w:vAlign w:val="center"/>
          </w:tcPr>
          <w:p>
            <w:r/>
            <w:r>
              <w:rPr>
                <w:b/>
                <w:color w:val="FFFFFF"/>
                <w:sz w:val="17"/>
              </w:rPr>
              <w:t>Metric / alert</w:t>
            </w:r>
          </w:p>
        </w:tc>
      </w:tr>
      <w:tr>
        <w:tc>
          <w:tcPr>
            <w:tcW w:type="dxa" w:w="2160"/>
            <w:vAlign w:val="center"/>
          </w:tcPr>
          <w:p>
            <w:r/>
            <w:r>
              <w:rPr>
                <w:b w:val="0"/>
                <w:sz w:val="17"/>
              </w:rPr>
              <w:t>Availability</w:t>
            </w:r>
          </w:p>
        </w:tc>
        <w:tc>
          <w:tcPr>
            <w:tcW w:type="dxa" w:w="8208"/>
            <w:vAlign w:val="center"/>
          </w:tcPr>
          <w:p>
            <w:r/>
            <w:r>
              <w:rPr>
                <w:b w:val="0"/>
                <w:sz w:val="17"/>
              </w:rPr>
              <w:t>API request success rate, worker heartbeat, queue age.</w:t>
            </w:r>
          </w:p>
        </w:tc>
      </w:tr>
      <w:tr>
        <w:tc>
          <w:tcPr>
            <w:tcW w:type="dxa" w:w="2160"/>
            <w:vAlign w:val="center"/>
            <w:shd w:fill="F6F9FC"/>
          </w:tcPr>
          <w:p>
            <w:r/>
            <w:r>
              <w:rPr>
                <w:b w:val="0"/>
                <w:sz w:val="17"/>
              </w:rPr>
              <w:t>Quota</w:t>
            </w:r>
          </w:p>
        </w:tc>
        <w:tc>
          <w:tcPr>
            <w:tcW w:type="dxa" w:w="8208"/>
            <w:vAlign w:val="center"/>
            <w:shd w:fill="F6F9FC"/>
          </w:tcPr>
          <w:p>
            <w:r/>
            <w:r>
              <w:rPr>
                <w:b w:val="0"/>
                <w:sz w:val="17"/>
              </w:rPr>
              <w:t>Remaining search/general/batch quota, forecast exhaustion time, reservation drift.</w:t>
            </w:r>
          </w:p>
        </w:tc>
      </w:tr>
      <w:tr>
        <w:tc>
          <w:tcPr>
            <w:tcW w:type="dxa" w:w="2160"/>
            <w:vAlign w:val="center"/>
          </w:tcPr>
          <w:p>
            <w:r/>
            <w:r>
              <w:rPr>
                <w:b w:val="0"/>
                <w:sz w:val="17"/>
              </w:rPr>
              <w:t>Collection</w:t>
            </w:r>
          </w:p>
        </w:tc>
        <w:tc>
          <w:tcPr>
            <w:tcW w:type="dxa" w:w="8208"/>
            <w:vAlign w:val="center"/>
          </w:tcPr>
          <w:p>
            <w:r/>
            <w:r>
              <w:rPr>
                <w:b w:val="0"/>
                <w:sz w:val="17"/>
              </w:rPr>
              <w:t>Candidates/run, qualification rate, stale snapshots, API errors by reason.</w:t>
            </w:r>
          </w:p>
        </w:tc>
      </w:tr>
      <w:tr>
        <w:tc>
          <w:tcPr>
            <w:tcW w:type="dxa" w:w="2160"/>
            <w:vAlign w:val="center"/>
            <w:shd w:fill="F6F9FC"/>
          </w:tcPr>
          <w:p>
            <w:r/>
            <w:r>
              <w:rPr>
                <w:b w:val="0"/>
                <w:sz w:val="17"/>
              </w:rPr>
              <w:t>Scoring</w:t>
            </w:r>
          </w:p>
        </w:tc>
        <w:tc>
          <w:tcPr>
            <w:tcW w:type="dxa" w:w="8208"/>
            <w:vAlign w:val="center"/>
            <w:shd w:fill="F6F9FC"/>
          </w:tcPr>
          <w:p>
            <w:r/>
            <w:r>
              <w:rPr>
                <w:b w:val="0"/>
                <w:sz w:val="17"/>
              </w:rPr>
              <w:t>Score jobs/min, insufficient-data reasons, cohort size, score distribution drift.</w:t>
            </w:r>
          </w:p>
        </w:tc>
      </w:tr>
      <w:tr>
        <w:tc>
          <w:tcPr>
            <w:tcW w:type="dxa" w:w="2160"/>
            <w:vAlign w:val="center"/>
          </w:tcPr>
          <w:p>
            <w:r/>
            <w:r>
              <w:rPr>
                <w:b w:val="0"/>
                <w:sz w:val="17"/>
              </w:rPr>
              <w:t>UX</w:t>
            </w:r>
          </w:p>
        </w:tc>
        <w:tc>
          <w:tcPr>
            <w:tcW w:type="dxa" w:w="8208"/>
            <w:vAlign w:val="center"/>
          </w:tcPr>
          <w:p>
            <w:r/>
            <w:r>
              <w:rPr>
                <w:b w:val="0"/>
                <w:sz w:val="17"/>
              </w:rPr>
              <w:t>P50/P95 latency by endpoint, frontend error rate.</w:t>
            </w:r>
          </w:p>
        </w:tc>
      </w:tr>
      <w:tr>
        <w:tc>
          <w:tcPr>
            <w:tcW w:type="dxa" w:w="2160"/>
            <w:vAlign w:val="center"/>
            <w:shd w:fill="F6F9FC"/>
          </w:tcPr>
          <w:p>
            <w:r/>
            <w:r>
              <w:rPr>
                <w:b w:val="0"/>
                <w:sz w:val="17"/>
              </w:rPr>
              <w:t>Security</w:t>
            </w:r>
          </w:p>
        </w:tc>
        <w:tc>
          <w:tcPr>
            <w:tcW w:type="dxa" w:w="8208"/>
            <w:vAlign w:val="center"/>
            <w:shd w:fill="F6F9FC"/>
          </w:tcPr>
          <w:p>
            <w:r/>
            <w:r>
              <w:rPr>
                <w:b w:val="0"/>
                <w:sz w:val="17"/>
              </w:rPr>
              <w:t>Auth failures, denied cross-workspace access, secret access anomalies, export spikes.</w:t>
            </w:r>
          </w:p>
        </w:tc>
      </w:tr>
    </w:tbl>
    <w:p/>
    <w:p>
      <w:pPr>
        <w:pStyle w:val="Heading1"/>
      </w:pPr>
      <w:r>
        <w:t>12. Testing Strategy</w:t>
      </w:r>
    </w:p>
    <w:tbl>
      <w:tblPr>
        <w:tblStyle w:val="TableGrid"/>
        <w:tblW w:type="auto" w:w="0"/>
        <w:jc w:val="center"/>
        <w:tblLook w:firstColumn="1" w:firstRow="1" w:lastColumn="0" w:lastRow="0" w:noHBand="0" w:noVBand="1" w:val="04A0"/>
      </w:tblPr>
      <w:tblGrid>
        <w:gridCol w:w="5040"/>
        <w:gridCol w:w="5040"/>
      </w:tblGrid>
      <w:tr>
        <w:tc>
          <w:tcPr>
            <w:tcW w:type="dxa" w:w="2016"/>
            <w:shd w:fill="1F4E78"/>
            <w:vAlign w:val="center"/>
          </w:tcPr>
          <w:p>
            <w:r/>
            <w:r>
              <w:rPr>
                <w:b/>
                <w:color w:val="FFFFFF"/>
                <w:sz w:val="17"/>
              </w:rPr>
              <w:t>Test level</w:t>
            </w:r>
          </w:p>
        </w:tc>
        <w:tc>
          <w:tcPr>
            <w:tcW w:type="dxa" w:w="8352"/>
            <w:shd w:fill="1F4E78"/>
            <w:vAlign w:val="center"/>
          </w:tcPr>
          <w:p>
            <w:r/>
            <w:r>
              <w:rPr>
                <w:b/>
                <w:color w:val="FFFFFF"/>
                <w:sz w:val="17"/>
              </w:rPr>
              <w:t>Required coverage</w:t>
            </w:r>
          </w:p>
        </w:tc>
      </w:tr>
      <w:tr>
        <w:tc>
          <w:tcPr>
            <w:tcW w:type="dxa" w:w="2016"/>
            <w:vAlign w:val="center"/>
          </w:tcPr>
          <w:p>
            <w:r/>
            <w:r>
              <w:rPr>
                <w:b w:val="0"/>
                <w:sz w:val="17"/>
              </w:rPr>
              <w:t>Unit</w:t>
            </w:r>
          </w:p>
        </w:tc>
        <w:tc>
          <w:tcPr>
            <w:tcW w:type="dxa" w:w="8352"/>
            <w:vAlign w:val="center"/>
          </w:tcPr>
          <w:p>
            <w:r/>
            <w:r>
              <w:rPr>
                <w:b w:val="0"/>
                <w:sz w:val="17"/>
              </w:rPr>
              <w:t>Qualification gates, format separation, null/zero handling, ratio math, confidence, reason codes.</w:t>
            </w:r>
          </w:p>
        </w:tc>
      </w:tr>
      <w:tr>
        <w:tc>
          <w:tcPr>
            <w:tcW w:type="dxa" w:w="2016"/>
            <w:vAlign w:val="center"/>
            <w:shd w:fill="F6F9FC"/>
          </w:tcPr>
          <w:p>
            <w:r/>
            <w:r>
              <w:rPr>
                <w:b w:val="0"/>
                <w:sz w:val="17"/>
              </w:rPr>
              <w:t>Contract</w:t>
            </w:r>
          </w:p>
        </w:tc>
        <w:tc>
          <w:tcPr>
            <w:tcW w:type="dxa" w:w="8352"/>
            <w:vAlign w:val="center"/>
            <w:shd w:fill="F6F9FC"/>
          </w:tcPr>
          <w:p>
            <w:r/>
            <w:r>
              <w:rPr>
                <w:b w:val="0"/>
                <w:sz w:val="17"/>
              </w:rPr>
              <w:t>Recorded official API schemas; unknown fields tolerated; required-field removal detected.</w:t>
            </w:r>
          </w:p>
        </w:tc>
      </w:tr>
      <w:tr>
        <w:tc>
          <w:tcPr>
            <w:tcW w:type="dxa" w:w="2016"/>
            <w:vAlign w:val="center"/>
          </w:tcPr>
          <w:p>
            <w:r/>
            <w:r>
              <w:rPr>
                <w:b w:val="0"/>
                <w:sz w:val="17"/>
              </w:rPr>
              <w:t>Integration</w:t>
            </w:r>
          </w:p>
        </w:tc>
        <w:tc>
          <w:tcPr>
            <w:tcW w:type="dxa" w:w="8352"/>
            <w:vAlign w:val="center"/>
          </w:tcPr>
          <w:p>
            <w:r/>
            <w:r>
              <w:rPr>
                <w:b w:val="0"/>
                <w:sz w:val="17"/>
              </w:rPr>
              <w:t>Quota reservations, retries, idempotency, DB constraints, job recovery.</w:t>
            </w:r>
          </w:p>
        </w:tc>
      </w:tr>
      <w:tr>
        <w:tc>
          <w:tcPr>
            <w:tcW w:type="dxa" w:w="2016"/>
            <w:vAlign w:val="center"/>
            <w:shd w:fill="F6F9FC"/>
          </w:tcPr>
          <w:p>
            <w:r/>
            <w:r>
              <w:rPr>
                <w:b w:val="0"/>
                <w:sz w:val="17"/>
              </w:rPr>
              <w:t>Golden dataset</w:t>
            </w:r>
          </w:p>
        </w:tc>
        <w:tc>
          <w:tcPr>
            <w:tcW w:type="dxa" w:w="8352"/>
            <w:vAlign w:val="center"/>
            <w:shd w:fill="F6F9FC"/>
          </w:tcPr>
          <w:p>
            <w:r/>
            <w:r>
              <w:rPr>
                <w:b w:val="0"/>
                <w:sz w:val="17"/>
              </w:rPr>
              <w:t>Fixed channels/snapshots with expected rankings per score version.</w:t>
            </w:r>
          </w:p>
        </w:tc>
      </w:tr>
      <w:tr>
        <w:tc>
          <w:tcPr>
            <w:tcW w:type="dxa" w:w="2016"/>
            <w:vAlign w:val="center"/>
          </w:tcPr>
          <w:p>
            <w:r/>
            <w:r>
              <w:rPr>
                <w:b w:val="0"/>
                <w:sz w:val="17"/>
              </w:rPr>
              <w:t>Property-based</w:t>
            </w:r>
          </w:p>
        </w:tc>
        <w:tc>
          <w:tcPr>
            <w:tcW w:type="dxa" w:w="8352"/>
            <w:vAlign w:val="center"/>
          </w:tcPr>
          <w:p>
            <w:r/>
            <w:r>
              <w:rPr>
                <w:b w:val="0"/>
                <w:sz w:val="17"/>
              </w:rPr>
              <w:t>Score remains bounded 0–100; monotonicity for controlled component increases.</w:t>
            </w:r>
          </w:p>
        </w:tc>
      </w:tr>
      <w:tr>
        <w:tc>
          <w:tcPr>
            <w:tcW w:type="dxa" w:w="2016"/>
            <w:vAlign w:val="center"/>
            <w:shd w:fill="F6F9FC"/>
          </w:tcPr>
          <w:p>
            <w:r/>
            <w:r>
              <w:rPr>
                <w:b w:val="0"/>
                <w:sz w:val="17"/>
              </w:rPr>
              <w:t>Load</w:t>
            </w:r>
          </w:p>
        </w:tc>
        <w:tc>
          <w:tcPr>
            <w:tcW w:type="dxa" w:w="8352"/>
            <w:vAlign w:val="center"/>
            <w:shd w:fill="F6F9FC"/>
          </w:tcPr>
          <w:p>
            <w:r/>
            <w:r>
              <w:rPr>
                <w:b w:val="0"/>
                <w:sz w:val="17"/>
              </w:rPr>
              <w:t>1M video snapshots, 100k channels, concurrent refresh and dashboard reads.</w:t>
            </w:r>
          </w:p>
        </w:tc>
      </w:tr>
      <w:tr>
        <w:tc>
          <w:tcPr>
            <w:tcW w:type="dxa" w:w="2016"/>
            <w:vAlign w:val="center"/>
          </w:tcPr>
          <w:p>
            <w:r/>
            <w:r>
              <w:rPr>
                <w:b w:val="0"/>
                <w:sz w:val="17"/>
              </w:rPr>
              <w:t>Security</w:t>
            </w:r>
          </w:p>
        </w:tc>
        <w:tc>
          <w:tcPr>
            <w:tcW w:type="dxa" w:w="8352"/>
            <w:vAlign w:val="center"/>
          </w:tcPr>
          <w:p>
            <w:r/>
            <w:r>
              <w:rPr>
                <w:b w:val="0"/>
                <w:sz w:val="17"/>
              </w:rPr>
              <w:t>Tenant isolation, authorization matrix, token leakage, export abuse, SSRF/input fuzzing.</w:t>
            </w:r>
          </w:p>
        </w:tc>
      </w:tr>
      <w:tr>
        <w:tc>
          <w:tcPr>
            <w:tcW w:type="dxa" w:w="2016"/>
            <w:vAlign w:val="center"/>
            <w:shd w:fill="F6F9FC"/>
          </w:tcPr>
          <w:p>
            <w:r/>
            <w:r>
              <w:rPr>
                <w:b w:val="0"/>
                <w:sz w:val="17"/>
              </w:rPr>
              <w:t>Policy regression</w:t>
            </w:r>
          </w:p>
        </w:tc>
        <w:tc>
          <w:tcPr>
            <w:tcW w:type="dxa" w:w="8352"/>
            <w:vAlign w:val="center"/>
            <w:shd w:fill="F6F9FC"/>
          </w:tcPr>
          <w:p>
            <w:r/>
            <w:r>
              <w:rPr>
                <w:b w:val="0"/>
                <w:sz w:val="17"/>
              </w:rPr>
              <w:t>Automated checks that API calls use allowlisted endpoints and display labels remain present.</w:t>
            </w:r>
          </w:p>
        </w:tc>
      </w:tr>
    </w:tbl>
    <w:p/>
    <w:p>
      <w:pPr>
        <w:pStyle w:val="Heading1"/>
      </w:pPr>
      <w:r>
        <w:t>13. Deployment and Environments</w:t>
      </w:r>
    </w:p>
    <w:p>
      <w:pPr>
        <w:pStyle w:val="ListBullet"/>
      </w:pPr>
      <w:r>
        <w:t>Separate cloud projects/accounts for development, staging and production.</w:t>
      </w:r>
    </w:p>
    <w:p>
      <w:pPr>
        <w:pStyle w:val="ListBullet"/>
      </w:pPr>
      <w:r>
        <w:t>Separate YouTube API project/credentials per API client and environment as permitted; never share production keys with local development.</w:t>
      </w:r>
    </w:p>
    <w:p>
      <w:pPr>
        <w:pStyle w:val="ListBullet"/>
      </w:pPr>
      <w:r>
        <w:t>Production deployment uses rolling or blue-green release with database migration compatibility.</w:t>
      </w:r>
    </w:p>
    <w:p>
      <w:pPr>
        <w:pStyle w:val="ListBullet"/>
      </w:pPr>
      <w:r>
        <w:t>Policy switches and scoring version flags are configuration-controlled and audited.</w:t>
      </w:r>
    </w:p>
    <w:p>
      <w:pPr>
        <w:pStyle w:val="ListBullet"/>
      </w:pPr>
      <w:r>
        <w:t>Daily database backups; point-in-time recovery; quarterly restore test.</w:t>
      </w:r>
    </w:p>
    <w:p>
      <w:pPr>
        <w:pStyle w:val="ListBullet"/>
      </w:pPr>
      <w:r>
        <w:t>Runbook includes upstream quota exhaustion, credential revocation, API schema change, and derived-metric shutdown.</w:t>
      </w:r>
    </w:p>
    <w:p>
      <w:pPr>
        <w:pStyle w:val="Heading1"/>
      </w:pPr>
      <w:r>
        <w:t>14. Engineering Acceptance Gates</w:t>
      </w:r>
    </w:p>
    <w:p>
      <w:pPr>
        <w:pStyle w:val="ListBullet"/>
      </w:pPr>
      <w:r>
        <w:t>No undocumented YouTube endpoint or HTML scraping dependency.</w:t>
      </w:r>
    </w:p>
    <w:p>
      <w:pPr>
        <w:pStyle w:val="ListBullet"/>
      </w:pPr>
      <w:r>
        <w:t>A full run can resume safely after worker termination.</w:t>
      </w:r>
    </w:p>
    <w:p>
      <w:pPr>
        <w:pStyle w:val="ListBullet"/>
      </w:pPr>
      <w:r>
        <w:t>Cross-workspace automated tests pass for every data-bearing endpoint.</w:t>
      </w:r>
    </w:p>
    <w:p>
      <w:pPr>
        <w:pStyle w:val="ListBullet"/>
      </w:pPr>
      <w:r>
        <w:t>Every score can be reconstructed from persisted inputs.</w:t>
      </w:r>
    </w:p>
    <w:p>
      <w:pPr>
        <w:pStyle w:val="ListBullet"/>
      </w:pPr>
      <w:r>
        <w:t>Quota forecasts differ from actual consumption by less than 15% over a representative two-week test.</w:t>
      </w:r>
    </w:p>
    <w:p>
      <w:pPr>
        <w:pStyle w:val="ListBullet"/>
      </w:pPr>
      <w:r>
        <w:t>Feature switch disables discovery and/or proprietary scoring within five minutes without deployment.</w:t>
      </w:r>
    </w:p>
    <w:p>
      <w:pPr>
        <w:pStyle w:val="Heading1"/>
        <w:pageBreakBefore/>
      </w:pPr>
      <w:r>
        <w:t>Authoritative References</w:t>
      </w:r>
    </w:p>
    <w:p>
      <w:r>
        <w:rPr>
          <w:b/>
          <w:color w:val="1F4E78"/>
        </w:rPr>
        <w:t>S1 — YouTube Data API - Channels resource</w:t>
      </w:r>
    </w:p>
    <w:p>
      <w:r>
        <w:t>https://developers.google.com/youtube/v3/docs/channels</w:t>
      </w:r>
    </w:p>
    <w:p>
      <w:r>
        <w:t>Public channel statistics include subscriberCount, hiddenSubscriberCount, viewCount and videoCount. Subscriber count may be rounded.</w:t>
      </w:r>
    </w:p>
    <w:p>
      <w:r>
        <w:rPr>
          <w:b/>
          <w:color w:val="1F4E78"/>
        </w:rPr>
        <w:t>S2 — YouTube Data API - Videos list</w:t>
      </w:r>
    </w:p>
    <w:p>
      <w:r>
        <w:t>https://developers.google.com/youtube/v3/docs/videos/list</w:t>
      </w:r>
    </w:p>
    <w:p>
      <w:r>
        <w:t>Public video statistics can be retrieved using the official API.</w:t>
      </w:r>
    </w:p>
    <w:p>
      <w:r>
        <w:rPr>
          <w:b/>
          <w:color w:val="1F4E78"/>
        </w:rPr>
        <w:t>S3 — YouTube Data API - Search list</w:t>
      </w:r>
    </w:p>
    <w:p>
      <w:r>
        <w:t>https://developers.google.com/youtube/v3/docs/search/list</w:t>
      </w:r>
    </w:p>
    <w:p>
      <w:r>
        <w:t>Search discovery is quota-limited; current default search bucket is 100 calls/day.</w:t>
      </w:r>
    </w:p>
    <w:p>
      <w:r>
        <w:rPr>
          <w:b/>
          <w:color w:val="1F4E78"/>
        </w:rPr>
        <w:t>S4 — YouTube Data API - Quota Calculator</w:t>
      </w:r>
    </w:p>
    <w:p>
      <w:r>
        <w:t>https://developers.google.com/youtube/v3/determine_quota_cost</w:t>
      </w:r>
    </w:p>
    <w:p>
      <w:r>
        <w:t>Current default allocation includes 100 search.list calls/day and 10,000 units/day for other endpoints; quotas reset at midnight Pacific Time.</w:t>
      </w:r>
    </w:p>
    <w:p>
      <w:r>
        <w:rPr>
          <w:b/>
          <w:color w:val="1F4E78"/>
        </w:rPr>
        <w:t>S5 — YouTube Data API - videos.batchGetStats</w:t>
      </w:r>
    </w:p>
    <w:p>
      <w:r>
        <w:t>https://developers.google.com/youtube/v3/docs/videos/batchGetStats</w:t>
      </w:r>
    </w:p>
    <w:p>
      <w:r>
        <w:t>Introduced in June 2026; public video statistics can be retrieved in batches at one unit per call in its own quota bucket.</w:t>
      </w:r>
    </w:p>
    <w:p>
      <w:r>
        <w:rPr>
          <w:b/>
          <w:color w:val="1F4E78"/>
        </w:rPr>
        <w:t>S6 — YouTube Analytics and Reporting API Introduction</w:t>
      </w:r>
    </w:p>
    <w:p>
      <w:r>
        <w:t>https://developers.google.com/youtube/reporting</w:t>
      </w:r>
    </w:p>
    <w:p>
      <w:r>
        <w:t>Private analytics require authorization by the channel or content owner.</w:t>
      </w:r>
    </w:p>
    <w:p>
      <w:r>
        <w:rPr>
          <w:b/>
          <w:color w:val="1F4E78"/>
        </w:rPr>
        <w:t>S7 — YouTube API Services Developer Policies</w:t>
      </w:r>
    </w:p>
    <w:p>
      <w:r>
        <w:t>https://developers.google.com/youtube/terms/developer-policies</w:t>
      </w:r>
    </w:p>
    <w:p>
      <w:r>
        <w:t>Use only documented APIs; comply with credential, storage, display and policy requirements.</w:t>
      </w:r>
    </w:p>
    <w:p>
      <w:r>
        <w:rPr>
          <w:b/>
          <w:color w:val="1F4E78"/>
        </w:rPr>
        <w:t>S8 — Additional policies for derived metrics and data storage</w:t>
      </w:r>
    </w:p>
    <w:p>
      <w:r>
        <w:t>https://developers.google.com/youtube/terms/derived-metrics-policy</w:t>
      </w:r>
    </w:p>
    <w:p>
      <w:r>
        <w:t>Custom scores and ratios require the applicable analytics amendment/audited permission path and must be distinguished from YouTube API metrics.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working draft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YT Signal Scout | TRD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2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88" w:right="288"/>
    </w:pPr>
    <w:rPr>
      <w:rFonts w:ascii="Aptos" w:hAnsi="Aptos"/>
      <w:color w:val="18324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