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8324A"/>
          <w:sz w:val="56"/>
        </w:rPr>
        <w:t>UI/UX Specification</w:t>
      </w:r>
    </w:p>
    <w:p>
      <w:pPr>
        <w:jc w:val="center"/>
      </w:pPr>
      <w:r>
        <w:rPr>
          <w:color w:val="666666"/>
          <w:sz w:val="26"/>
        </w:rPr>
        <w:t>YT Signal Scout — Interaction, Information Architecture and Screen Requirements</w:t>
      </w:r>
    </w:p>
    <w:p>
      <w:pPr>
        <w:jc w:val="center"/>
      </w:pPr>
      <w:r>
        <w:rPr>
          <w:color w:val="666666"/>
          <w:sz w:val="18"/>
        </w:rPr>
        <w:t>Version 1.0 | 19 July 2026 | Confidential Working Draft</w:t>
      </w:r>
    </w:p>
    <w:p>
      <w:r>
        <w:br/>
      </w:r>
    </w:p>
    <w:tbl>
      <w:tblPr>
        <w:tblStyle w:val="TableGrid"/>
        <w:tblW w:type="auto" w:w="0"/>
        <w:tblLook w:firstColumn="1" w:firstRow="1" w:lastColumn="0" w:lastRow="0" w:noHBand="0" w:noVBand="1" w:val="04A0"/>
      </w:tblPr>
      <w:tblGrid>
        <w:gridCol w:w="10080"/>
      </w:tblGrid>
      <w:tr>
        <w:tc>
          <w:tcPr>
            <w:tcW w:type="dxa" w:w="10080"/>
            <w:shd w:fill="D9EAF7"/>
          </w:tcPr>
          <w:p>
            <w:r>
              <w:rPr>
                <w:b/>
                <w:color w:val="1F4E78"/>
              </w:rPr>
              <w:t xml:space="preserve">PRODUCT DEFINITION: </w:t>
            </w:r>
            <w:r>
              <w:rPr>
                <w:sz w:val="18"/>
              </w:rPr>
              <w:t>A discovery and monitoring platform that identifies public YouTube channels whose recent videos consistently attract disproportionately high viewership relative to their publicly visible subscriber base, while separating official YouTube metrics from product-generated analytical scores.</w:t>
            </w:r>
          </w:p>
        </w:tc>
      </w:tr>
    </w:tbl>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40"/>
        <w:gridCol w:w="5040"/>
      </w:tblGrid>
      <w:tr>
        <w:tc>
          <w:tcPr>
            <w:tcW w:type="dxa" w:w="2448"/>
            <w:shd w:fill="1F4E78"/>
            <w:vAlign w:val="center"/>
          </w:tcPr>
          <w:p>
            <w:r/>
            <w:r>
              <w:rPr>
                <w:b/>
                <w:color w:val="FFFFFF"/>
                <w:sz w:val="17"/>
              </w:rPr>
              <w:t>Field</w:t>
            </w:r>
          </w:p>
        </w:tc>
        <w:tc>
          <w:tcPr>
            <w:tcW w:type="dxa" w:w="7776"/>
            <w:shd w:fill="1F4E78"/>
            <w:vAlign w:val="center"/>
          </w:tcPr>
          <w:p>
            <w:r/>
            <w:r>
              <w:rPr>
                <w:b/>
                <w:color w:val="FFFFFF"/>
                <w:sz w:val="17"/>
              </w:rPr>
              <w:t>Value</w:t>
            </w:r>
          </w:p>
        </w:tc>
      </w:tr>
      <w:tr>
        <w:tc>
          <w:tcPr>
            <w:tcW w:type="dxa" w:w="2448"/>
            <w:vAlign w:val="center"/>
          </w:tcPr>
          <w:p>
            <w:r/>
            <w:r>
              <w:rPr>
                <w:b w:val="0"/>
                <w:sz w:val="17"/>
              </w:rPr>
              <w:t>Document</w:t>
            </w:r>
          </w:p>
        </w:tc>
        <w:tc>
          <w:tcPr>
            <w:tcW w:type="dxa" w:w="7776"/>
            <w:vAlign w:val="center"/>
          </w:tcPr>
          <w:p>
            <w:r/>
            <w:r>
              <w:rPr>
                <w:b w:val="0"/>
                <w:sz w:val="17"/>
              </w:rPr>
              <w:t>UI/UX Specification</w:t>
            </w:r>
          </w:p>
        </w:tc>
      </w:tr>
      <w:tr>
        <w:tc>
          <w:tcPr>
            <w:tcW w:type="dxa" w:w="2448"/>
            <w:vAlign w:val="center"/>
            <w:shd w:fill="F6F9FC"/>
          </w:tcPr>
          <w:p>
            <w:r/>
            <w:r>
              <w:rPr>
                <w:b w:val="0"/>
                <w:sz w:val="17"/>
              </w:rPr>
              <w:t>Owner</w:t>
            </w:r>
          </w:p>
        </w:tc>
        <w:tc>
          <w:tcPr>
            <w:tcW w:type="dxa" w:w="7776"/>
            <w:vAlign w:val="center"/>
            <w:shd w:fill="F6F9FC"/>
          </w:tcPr>
          <w:p>
            <w:r/>
            <w:r>
              <w:rPr>
                <w:b w:val="0"/>
                <w:sz w:val="17"/>
              </w:rPr>
              <w:t>Product and Engineering</w:t>
            </w:r>
          </w:p>
        </w:tc>
      </w:tr>
      <w:tr>
        <w:tc>
          <w:tcPr>
            <w:tcW w:type="dxa" w:w="2448"/>
            <w:vAlign w:val="center"/>
          </w:tcPr>
          <w:p>
            <w:r/>
            <w:r>
              <w:rPr>
                <w:b w:val="0"/>
                <w:sz w:val="17"/>
              </w:rPr>
              <w:t>Status</w:t>
            </w:r>
          </w:p>
        </w:tc>
        <w:tc>
          <w:tcPr>
            <w:tcW w:type="dxa" w:w="7776"/>
            <w:vAlign w:val="center"/>
          </w:tcPr>
          <w:p>
            <w:r/>
            <w:r>
              <w:rPr>
                <w:b w:val="0"/>
                <w:sz w:val="17"/>
              </w:rPr>
              <w:t>Baseline draft for validation</w:t>
            </w:r>
          </w:p>
        </w:tc>
      </w:tr>
      <w:tr>
        <w:tc>
          <w:tcPr>
            <w:tcW w:type="dxa" w:w="2448"/>
            <w:vAlign w:val="center"/>
            <w:shd w:fill="F6F9FC"/>
          </w:tcPr>
          <w:p>
            <w:r/>
            <w:r>
              <w:rPr>
                <w:b w:val="0"/>
                <w:sz w:val="17"/>
              </w:rPr>
              <w:t>Review cadence</w:t>
            </w:r>
          </w:p>
        </w:tc>
        <w:tc>
          <w:tcPr>
            <w:tcW w:type="dxa" w:w="7776"/>
            <w:vAlign w:val="center"/>
            <w:shd w:fill="F6F9FC"/>
          </w:tcPr>
          <w:p>
            <w:r/>
            <w:r>
              <w:rPr>
                <w:b w:val="0"/>
                <w:sz w:val="17"/>
              </w:rPr>
              <w:t>At every material API/policy or architecture change</w:t>
            </w:r>
          </w:p>
        </w:tc>
      </w:tr>
      <w:tr>
        <w:tc>
          <w:tcPr>
            <w:tcW w:type="dxa" w:w="2448"/>
            <w:vAlign w:val="center"/>
          </w:tcPr>
          <w:p>
            <w:r/>
            <w:r>
              <w:rPr>
                <w:b w:val="0"/>
                <w:sz w:val="17"/>
              </w:rPr>
              <w:t>Approvers</w:t>
            </w:r>
          </w:p>
        </w:tc>
        <w:tc>
          <w:tcPr>
            <w:tcW w:type="dxa" w:w="7776"/>
            <w:vAlign w:val="center"/>
          </w:tcPr>
          <w:p>
            <w:r/>
            <w:r>
              <w:rPr>
                <w:b w:val="0"/>
                <w:sz w:val="17"/>
              </w:rPr>
              <w:t>Founder/Product Owner, Engineering Lead, Security Lead, Legal/Compliance</w:t>
            </w:r>
          </w:p>
        </w:tc>
      </w:tr>
      <w:tr>
        <w:tc>
          <w:tcPr>
            <w:tcW w:type="dxa" w:w="2448"/>
            <w:vAlign w:val="center"/>
            <w:shd w:fill="F6F9FC"/>
          </w:tcPr>
          <w:p>
            <w:r/>
            <w:r>
              <w:rPr>
                <w:b w:val="0"/>
                <w:sz w:val="17"/>
              </w:rPr>
              <w:t>Related documents</w:t>
            </w:r>
          </w:p>
        </w:tc>
        <w:tc>
          <w:tcPr>
            <w:tcW w:type="dxa" w:w="7776"/>
            <w:vAlign w:val="center"/>
            <w:shd w:fill="F6F9FC"/>
          </w:tcPr>
          <w:p>
            <w:r/>
            <w:r>
              <w:rPr>
                <w:b w:val="0"/>
                <w:sz w:val="17"/>
              </w:rPr>
              <w:t>PRD, TRD, UI/UX Specification, Security Specification, Feature Catalogue</w:t>
            </w:r>
          </w:p>
        </w:tc>
      </w:tr>
    </w:tbl>
    <w:p/>
    <w:p>
      <w:pPr>
        <w:pStyle w:val="Heading1"/>
      </w:pPr>
      <w:r>
        <w:t>Assumptions and Non-Negotiable Constraints</w:t>
      </w:r>
    </w:p>
    <w:p>
      <w:pPr>
        <w:pStyle w:val="ListBullet"/>
      </w:pPr>
      <w:r>
        <w:t>Production collection uses documented YouTube API Services only; no HTML scraping, undocumented endpoints, CAPTCHA bypass, or credential rotation to evade quota.</w:t>
      </w:r>
    </w:p>
    <w:p>
      <w:pPr>
        <w:pStyle w:val="ListBullet"/>
      </w:pPr>
      <w:r>
        <w:t>Public discovery cannot access impressions, click-through rate, audience retention, traffic source, revenue, or exact subscriber gains unless a channel owner explicitly authorizes access.</w:t>
      </w:r>
    </w:p>
    <w:p>
      <w:pPr>
        <w:pStyle w:val="ListBullet"/>
      </w:pPr>
      <w:r>
        <w:t>Subscriber counts may be hidden or rounded. Any ratio using subscriber count must carry a data-quality indicator.</w:t>
      </w:r>
    </w:p>
    <w:p>
      <w:pPr>
        <w:pStyle w:val="ListBullet"/>
      </w:pPr>
      <w:r>
        <w:t>A product-generated score must be visibly labelled as proprietary and not presented as an official YouTube metric.</w:t>
      </w:r>
    </w:p>
    <w:p>
      <w:pPr>
        <w:pStyle w:val="ListBullet"/>
      </w:pPr>
      <w:r>
        <w:t>The product must maintain a policy kill switch capable of disabling collection, derived metrics, or display without redeployment.</w:t>
      </w:r>
    </w:p>
    <w:p>
      <w:pPr>
        <w:pStyle w:val="Heading1"/>
      </w:pPr>
      <w:r>
        <w:t>1. Experience Principles</w:t>
      </w:r>
    </w:p>
    <w:p>
      <w:pPr>
        <w:pStyle w:val="ListBullet"/>
      </w:pPr>
      <w:r>
        <w:t>Evidence before excitement: show why a channel ranks, not just a score.</w:t>
      </w:r>
    </w:p>
    <w:p>
      <w:pPr>
        <w:pStyle w:val="ListBullet"/>
      </w:pPr>
      <w:r>
        <w:t>Never hide uncertainty: expose approximate subscriber data, collection age and confidence.</w:t>
      </w:r>
    </w:p>
    <w:p>
      <w:pPr>
        <w:pStyle w:val="ListBullet"/>
      </w:pPr>
      <w:r>
        <w:t>Progressive disclosure: overview first; raw video evidence on demand.</w:t>
      </w:r>
    </w:p>
    <w:p>
      <w:pPr>
        <w:pStyle w:val="ListBullet"/>
      </w:pPr>
      <w:r>
        <w:t>Quota-aware interaction: users see cost and boundaries before running discovery.</w:t>
      </w:r>
    </w:p>
    <w:p>
      <w:pPr>
        <w:pStyle w:val="ListBullet"/>
      </w:pPr>
      <w:r>
        <w:t>Analyst workflow over vanity dashboard: shortlist, dismiss, annotate and compare.</w:t>
      </w:r>
    </w:p>
    <w:p>
      <w:pPr>
        <w:pStyle w:val="ListBullet"/>
      </w:pPr>
      <w:r>
        <w:t>YouTube identity remains clear: outbound links and source attribution are visible.</w:t>
      </w:r>
    </w:p>
    <w:p>
      <w:pPr>
        <w:pStyle w:val="Heading1"/>
      </w:pPr>
      <w:r>
        <w:t>2. Information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1728"/>
            <w:shd w:fill="1F4E78"/>
            <w:vAlign w:val="center"/>
          </w:tcPr>
          <w:p>
            <w:r/>
            <w:r>
              <w:rPr>
                <w:b/>
                <w:color w:val="FFFFFF"/>
                <w:sz w:val="17"/>
              </w:rPr>
              <w:t>Navigation item</w:t>
            </w:r>
          </w:p>
        </w:tc>
        <w:tc>
          <w:tcPr>
            <w:tcW w:type="dxa" w:w="3600"/>
            <w:shd w:fill="1F4E78"/>
            <w:vAlign w:val="center"/>
          </w:tcPr>
          <w:p>
            <w:r/>
            <w:r>
              <w:rPr>
                <w:b/>
                <w:color w:val="FFFFFF"/>
                <w:sz w:val="17"/>
              </w:rPr>
              <w:t>Purpose</w:t>
            </w:r>
          </w:p>
        </w:tc>
        <w:tc>
          <w:tcPr>
            <w:tcW w:type="dxa" w:w="5040"/>
            <w:shd w:fill="1F4E78"/>
            <w:vAlign w:val="center"/>
          </w:tcPr>
          <w:p>
            <w:r/>
            <w:r>
              <w:rPr>
                <w:b/>
                <w:color w:val="FFFFFF"/>
                <w:sz w:val="17"/>
              </w:rPr>
              <w:t>Primary objects</w:t>
            </w:r>
          </w:p>
        </w:tc>
      </w:tr>
      <w:tr>
        <w:tc>
          <w:tcPr>
            <w:tcW w:type="dxa" w:w="1728"/>
            <w:vAlign w:val="center"/>
          </w:tcPr>
          <w:p>
            <w:r/>
            <w:r>
              <w:rPr>
                <w:b w:val="0"/>
                <w:sz w:val="17"/>
              </w:rPr>
              <w:t>Overview</w:t>
            </w:r>
          </w:p>
        </w:tc>
        <w:tc>
          <w:tcPr>
            <w:tcW w:type="dxa" w:w="3600"/>
            <w:vAlign w:val="center"/>
          </w:tcPr>
          <w:p>
            <w:r/>
            <w:r>
              <w:rPr>
                <w:b w:val="0"/>
                <w:sz w:val="17"/>
              </w:rPr>
              <w:t>Workspace health and recent signals</w:t>
            </w:r>
          </w:p>
        </w:tc>
        <w:tc>
          <w:tcPr>
            <w:tcW w:type="dxa" w:w="5040"/>
            <w:vAlign w:val="center"/>
          </w:tcPr>
          <w:p>
            <w:r/>
            <w:r>
              <w:rPr>
                <w:b w:val="0"/>
                <w:sz w:val="17"/>
              </w:rPr>
              <w:t>Runs, alerts, quota, shortlist</w:t>
            </w:r>
          </w:p>
        </w:tc>
      </w:tr>
      <w:tr>
        <w:tc>
          <w:tcPr>
            <w:tcW w:type="dxa" w:w="1728"/>
            <w:vAlign w:val="center"/>
            <w:shd w:fill="F6F9FC"/>
          </w:tcPr>
          <w:p>
            <w:r/>
            <w:r>
              <w:rPr>
                <w:b w:val="0"/>
                <w:sz w:val="17"/>
              </w:rPr>
              <w:t>Discover</w:t>
            </w:r>
          </w:p>
        </w:tc>
        <w:tc>
          <w:tcPr>
            <w:tcW w:type="dxa" w:w="3600"/>
            <w:vAlign w:val="center"/>
            <w:shd w:fill="F6F9FC"/>
          </w:tcPr>
          <w:p>
            <w:r/>
            <w:r>
              <w:rPr>
                <w:b w:val="0"/>
                <w:sz w:val="17"/>
              </w:rPr>
              <w:t>Create and execute market searches</w:t>
            </w:r>
          </w:p>
        </w:tc>
        <w:tc>
          <w:tcPr>
            <w:tcW w:type="dxa" w:w="5040"/>
            <w:vAlign w:val="center"/>
            <w:shd w:fill="F6F9FC"/>
          </w:tcPr>
          <w:p>
            <w:r/>
            <w:r>
              <w:rPr>
                <w:b w:val="0"/>
                <w:sz w:val="17"/>
              </w:rPr>
              <w:t>Search definitions, runs</w:t>
            </w:r>
          </w:p>
        </w:tc>
      </w:tr>
      <w:tr>
        <w:tc>
          <w:tcPr>
            <w:tcW w:type="dxa" w:w="1728"/>
            <w:vAlign w:val="center"/>
          </w:tcPr>
          <w:p>
            <w:r/>
            <w:r>
              <w:rPr>
                <w:b w:val="0"/>
                <w:sz w:val="17"/>
              </w:rPr>
              <w:t>Channels</w:t>
            </w:r>
          </w:p>
        </w:tc>
        <w:tc>
          <w:tcPr>
            <w:tcW w:type="dxa" w:w="3600"/>
            <w:vAlign w:val="center"/>
          </w:tcPr>
          <w:p>
            <w:r/>
            <w:r>
              <w:rPr>
                <w:b w:val="0"/>
                <w:sz w:val="17"/>
              </w:rPr>
              <w:t>Explore qualified results</w:t>
            </w:r>
          </w:p>
        </w:tc>
        <w:tc>
          <w:tcPr>
            <w:tcW w:type="dxa" w:w="5040"/>
            <w:vAlign w:val="center"/>
          </w:tcPr>
          <w:p>
            <w:r/>
            <w:r>
              <w:rPr>
                <w:b w:val="0"/>
                <w:sz w:val="17"/>
              </w:rPr>
              <w:t>Channels, scores, filters</w:t>
            </w:r>
          </w:p>
        </w:tc>
      </w:tr>
      <w:tr>
        <w:tc>
          <w:tcPr>
            <w:tcW w:type="dxa" w:w="1728"/>
            <w:vAlign w:val="center"/>
            <w:shd w:fill="F6F9FC"/>
          </w:tcPr>
          <w:p>
            <w:r/>
            <w:r>
              <w:rPr>
                <w:b w:val="0"/>
                <w:sz w:val="17"/>
              </w:rPr>
              <w:t>Watchlists</w:t>
            </w:r>
          </w:p>
        </w:tc>
        <w:tc>
          <w:tcPr>
            <w:tcW w:type="dxa" w:w="3600"/>
            <w:vAlign w:val="center"/>
            <w:shd w:fill="F6F9FC"/>
          </w:tcPr>
          <w:p>
            <w:r/>
            <w:r>
              <w:rPr>
                <w:b w:val="0"/>
                <w:sz w:val="17"/>
              </w:rPr>
              <w:t>Manage analyst shortlists</w:t>
            </w:r>
          </w:p>
        </w:tc>
        <w:tc>
          <w:tcPr>
            <w:tcW w:type="dxa" w:w="5040"/>
            <w:vAlign w:val="center"/>
            <w:shd w:fill="F6F9FC"/>
          </w:tcPr>
          <w:p>
            <w:r/>
            <w:r>
              <w:rPr>
                <w:b w:val="0"/>
                <w:sz w:val="17"/>
              </w:rPr>
              <w:t>Watchlists, notes, owners</w:t>
            </w:r>
          </w:p>
        </w:tc>
      </w:tr>
      <w:tr>
        <w:tc>
          <w:tcPr>
            <w:tcW w:type="dxa" w:w="1728"/>
            <w:vAlign w:val="center"/>
          </w:tcPr>
          <w:p>
            <w:r/>
            <w:r>
              <w:rPr>
                <w:b w:val="0"/>
                <w:sz w:val="17"/>
              </w:rPr>
              <w:t>Alerts</w:t>
            </w:r>
          </w:p>
        </w:tc>
        <w:tc>
          <w:tcPr>
            <w:tcW w:type="dxa" w:w="3600"/>
            <w:vAlign w:val="center"/>
          </w:tcPr>
          <w:p>
            <w:r/>
            <w:r>
              <w:rPr>
                <w:b w:val="0"/>
                <w:sz w:val="17"/>
              </w:rPr>
              <w:t>Configure and review notifications</w:t>
            </w:r>
          </w:p>
        </w:tc>
        <w:tc>
          <w:tcPr>
            <w:tcW w:type="dxa" w:w="5040"/>
            <w:vAlign w:val="center"/>
          </w:tcPr>
          <w:p>
            <w:r/>
            <w:r>
              <w:rPr>
                <w:b w:val="0"/>
                <w:sz w:val="17"/>
              </w:rPr>
              <w:t>Rules, alert events</w:t>
            </w:r>
          </w:p>
        </w:tc>
      </w:tr>
      <w:tr>
        <w:tc>
          <w:tcPr>
            <w:tcW w:type="dxa" w:w="1728"/>
            <w:vAlign w:val="center"/>
            <w:shd w:fill="F6F9FC"/>
          </w:tcPr>
          <w:p>
            <w:r/>
            <w:r>
              <w:rPr>
                <w:b w:val="0"/>
                <w:sz w:val="17"/>
              </w:rPr>
              <w:t>Exports</w:t>
            </w:r>
          </w:p>
        </w:tc>
        <w:tc>
          <w:tcPr>
            <w:tcW w:type="dxa" w:w="3600"/>
            <w:vAlign w:val="center"/>
            <w:shd w:fill="F6F9FC"/>
          </w:tcPr>
          <w:p>
            <w:r/>
            <w:r>
              <w:rPr>
                <w:b w:val="0"/>
                <w:sz w:val="17"/>
              </w:rPr>
              <w:t>Review generated files</w:t>
            </w:r>
          </w:p>
        </w:tc>
        <w:tc>
          <w:tcPr>
            <w:tcW w:type="dxa" w:w="5040"/>
            <w:vAlign w:val="center"/>
            <w:shd w:fill="F6F9FC"/>
          </w:tcPr>
          <w:p>
            <w:r/>
            <w:r>
              <w:rPr>
                <w:b w:val="0"/>
                <w:sz w:val="17"/>
              </w:rPr>
              <w:t>Exports, expiry</w:t>
            </w:r>
          </w:p>
        </w:tc>
      </w:tr>
      <w:tr>
        <w:tc>
          <w:tcPr>
            <w:tcW w:type="dxa" w:w="1728"/>
            <w:vAlign w:val="center"/>
          </w:tcPr>
          <w:p>
            <w:r/>
            <w:r>
              <w:rPr>
                <w:b w:val="0"/>
                <w:sz w:val="17"/>
              </w:rPr>
              <w:t>Admin</w:t>
            </w:r>
          </w:p>
        </w:tc>
        <w:tc>
          <w:tcPr>
            <w:tcW w:type="dxa" w:w="3600"/>
            <w:vAlign w:val="center"/>
          </w:tcPr>
          <w:p>
            <w:r/>
            <w:r>
              <w:rPr>
                <w:b w:val="0"/>
                <w:sz w:val="17"/>
              </w:rPr>
              <w:t>Workspace, roles, API health and policy controls</w:t>
            </w:r>
          </w:p>
        </w:tc>
        <w:tc>
          <w:tcPr>
            <w:tcW w:type="dxa" w:w="5040"/>
            <w:vAlign w:val="center"/>
          </w:tcPr>
          <w:p>
            <w:r/>
            <w:r>
              <w:rPr>
                <w:b w:val="0"/>
                <w:sz w:val="17"/>
              </w:rPr>
              <w:t>Users, audit, quota, switches</w:t>
            </w:r>
          </w:p>
        </w:tc>
      </w:tr>
    </w:tbl>
    <w:p/>
    <w:p>
      <w:pPr>
        <w:pStyle w:val="Heading1"/>
      </w:pPr>
      <w:r>
        <w:t>3. Global Layout</w:t>
      </w:r>
    </w:p>
    <w:tbl>
      <w:tblPr>
        <w:tblStyle w:val="TableGrid"/>
        <w:tblW w:type="auto" w:w="0"/>
        <w:jc w:val="center"/>
        <w:tblLook w:firstColumn="1" w:firstRow="1" w:lastColumn="0" w:lastRow="0" w:noHBand="0" w:noVBand="1" w:val="04A0"/>
      </w:tblPr>
      <w:tblGrid>
        <w:gridCol w:w="5040"/>
        <w:gridCol w:w="5040"/>
      </w:tblGrid>
      <w:tr>
        <w:tc>
          <w:tcPr>
            <w:tcW w:type="dxa" w:w="2160"/>
            <w:shd w:fill="1F4E78"/>
            <w:vAlign w:val="center"/>
          </w:tcPr>
          <w:p>
            <w:r/>
            <w:r>
              <w:rPr>
                <w:b/>
                <w:color w:val="FFFFFF"/>
                <w:sz w:val="17"/>
              </w:rPr>
              <w:t>Region</w:t>
            </w:r>
          </w:p>
        </w:tc>
        <w:tc>
          <w:tcPr>
            <w:tcW w:type="dxa" w:w="8064"/>
            <w:shd w:fill="1F4E78"/>
            <w:vAlign w:val="center"/>
          </w:tcPr>
          <w:p>
            <w:r/>
            <w:r>
              <w:rPr>
                <w:b/>
                <w:color w:val="FFFFFF"/>
                <w:sz w:val="17"/>
              </w:rPr>
              <w:t>Requirement</w:t>
            </w:r>
          </w:p>
        </w:tc>
      </w:tr>
      <w:tr>
        <w:tc>
          <w:tcPr>
            <w:tcW w:type="dxa" w:w="2160"/>
            <w:vAlign w:val="center"/>
          </w:tcPr>
          <w:p>
            <w:r/>
            <w:r>
              <w:rPr>
                <w:b w:val="0"/>
                <w:sz w:val="17"/>
              </w:rPr>
              <w:t>Left navigation</w:t>
            </w:r>
          </w:p>
        </w:tc>
        <w:tc>
          <w:tcPr>
            <w:tcW w:type="dxa" w:w="8064"/>
            <w:vAlign w:val="center"/>
          </w:tcPr>
          <w:p>
            <w:r/>
            <w:r>
              <w:rPr>
                <w:b w:val="0"/>
                <w:sz w:val="17"/>
              </w:rPr>
              <w:t>240 px expanded; collapsible; persistent active state; admin hidden without permission.</w:t>
            </w:r>
          </w:p>
        </w:tc>
      </w:tr>
      <w:tr>
        <w:tc>
          <w:tcPr>
            <w:tcW w:type="dxa" w:w="2160"/>
            <w:vAlign w:val="center"/>
            <w:shd w:fill="F6F9FC"/>
          </w:tcPr>
          <w:p>
            <w:r/>
            <w:r>
              <w:rPr>
                <w:b w:val="0"/>
                <w:sz w:val="17"/>
              </w:rPr>
              <w:t>Top bar</w:t>
            </w:r>
          </w:p>
        </w:tc>
        <w:tc>
          <w:tcPr>
            <w:tcW w:type="dxa" w:w="8064"/>
            <w:vAlign w:val="center"/>
            <w:shd w:fill="F6F9FC"/>
          </w:tcPr>
          <w:p>
            <w:r/>
            <w:r>
              <w:rPr>
                <w:b w:val="0"/>
                <w:sz w:val="17"/>
              </w:rPr>
              <w:t>Workspace selector, global search, quota status, help, user menu.</w:t>
            </w:r>
          </w:p>
        </w:tc>
      </w:tr>
      <w:tr>
        <w:tc>
          <w:tcPr>
            <w:tcW w:type="dxa" w:w="2160"/>
            <w:vAlign w:val="center"/>
          </w:tcPr>
          <w:p>
            <w:r/>
            <w:r>
              <w:rPr>
                <w:b w:val="0"/>
                <w:sz w:val="17"/>
              </w:rPr>
              <w:t>Content canvas</w:t>
            </w:r>
          </w:p>
        </w:tc>
        <w:tc>
          <w:tcPr>
            <w:tcW w:type="dxa" w:w="8064"/>
            <w:vAlign w:val="center"/>
          </w:tcPr>
          <w:p>
            <w:r/>
            <w:r>
              <w:rPr>
                <w:b w:val="0"/>
                <w:sz w:val="17"/>
              </w:rPr>
              <w:t>Maximum 1440 px; 24 px desktop gutters; 16 px tablet.</w:t>
            </w:r>
          </w:p>
        </w:tc>
      </w:tr>
      <w:tr>
        <w:tc>
          <w:tcPr>
            <w:tcW w:type="dxa" w:w="2160"/>
            <w:vAlign w:val="center"/>
            <w:shd w:fill="F6F9FC"/>
          </w:tcPr>
          <w:p>
            <w:r/>
            <w:r>
              <w:rPr>
                <w:b w:val="0"/>
                <w:sz w:val="17"/>
              </w:rPr>
              <w:t>Context header</w:t>
            </w:r>
          </w:p>
        </w:tc>
        <w:tc>
          <w:tcPr>
            <w:tcW w:type="dxa" w:w="8064"/>
            <w:vAlign w:val="center"/>
            <w:shd w:fill="F6F9FC"/>
          </w:tcPr>
          <w:p>
            <w:r/>
            <w:r>
              <w:rPr>
                <w:b w:val="0"/>
                <w:sz w:val="17"/>
              </w:rPr>
              <w:t>Page title, description, freshness, primary action and overflow actions.</w:t>
            </w:r>
          </w:p>
        </w:tc>
      </w:tr>
      <w:tr>
        <w:tc>
          <w:tcPr>
            <w:tcW w:type="dxa" w:w="2160"/>
            <w:vAlign w:val="center"/>
          </w:tcPr>
          <w:p>
            <w:r/>
            <w:r>
              <w:rPr>
                <w:b w:val="0"/>
                <w:sz w:val="17"/>
              </w:rPr>
              <w:t>Status layer</w:t>
            </w:r>
          </w:p>
        </w:tc>
        <w:tc>
          <w:tcPr>
            <w:tcW w:type="dxa" w:w="8064"/>
            <w:vAlign w:val="center"/>
          </w:tcPr>
          <w:p>
            <w:r/>
            <w:r>
              <w:rPr>
                <w:b w:val="0"/>
                <w:sz w:val="17"/>
              </w:rPr>
              <w:t>Toast for transient success; inline banner for quota/policy/system state; modal only for destructive confirmation.</w:t>
            </w:r>
          </w:p>
        </w:tc>
      </w:tr>
    </w:tbl>
    <w:p/>
    <w:p>
      <w:pPr>
        <w:pStyle w:val="Heading1"/>
      </w:pPr>
      <w:r>
        <w:t>4. Screen Catalogue</w:t>
      </w:r>
    </w:p>
    <w:tbl>
      <w:tblPr>
        <w:tblStyle w:val="TableGrid"/>
        <w:tblW w:type="auto" w:w="0"/>
        <w:jc w:val="center"/>
        <w:tblLook w:firstColumn="1" w:firstRow="1" w:lastColumn="0" w:lastRow="0" w:noHBand="0" w:noVBand="1" w:val="04A0"/>
      </w:tblPr>
      <w:tblGrid>
        <w:gridCol w:w="3360"/>
        <w:gridCol w:w="3360"/>
        <w:gridCol w:w="3360"/>
      </w:tblGrid>
      <w:tr>
        <w:tc>
          <w:tcPr>
            <w:tcW w:type="dxa" w:w="1008"/>
            <w:shd w:fill="1F4E78"/>
            <w:vAlign w:val="center"/>
          </w:tcPr>
          <w:p>
            <w:r/>
            <w:r>
              <w:rPr>
                <w:b/>
                <w:color w:val="FFFFFF"/>
                <w:sz w:val="17"/>
              </w:rPr>
              <w:t>ID</w:t>
            </w:r>
          </w:p>
        </w:tc>
        <w:tc>
          <w:tcPr>
            <w:tcW w:type="dxa" w:w="2880"/>
            <w:shd w:fill="1F4E78"/>
            <w:vAlign w:val="center"/>
          </w:tcPr>
          <w:p>
            <w:r/>
            <w:r>
              <w:rPr>
                <w:b/>
                <w:color w:val="FFFFFF"/>
                <w:sz w:val="17"/>
              </w:rPr>
              <w:t>Screen</w:t>
            </w:r>
          </w:p>
        </w:tc>
        <w:tc>
          <w:tcPr>
            <w:tcW w:type="dxa" w:w="6048"/>
            <w:shd w:fill="1F4E78"/>
            <w:vAlign w:val="center"/>
          </w:tcPr>
          <w:p>
            <w:r/>
            <w:r>
              <w:rPr>
                <w:b/>
                <w:color w:val="FFFFFF"/>
                <w:sz w:val="17"/>
              </w:rPr>
              <w:t>Purpose</w:t>
            </w:r>
          </w:p>
        </w:tc>
      </w:tr>
      <w:tr>
        <w:tc>
          <w:tcPr>
            <w:tcW w:type="dxa" w:w="1008"/>
            <w:vAlign w:val="center"/>
          </w:tcPr>
          <w:p>
            <w:r/>
            <w:r>
              <w:rPr>
                <w:b w:val="0"/>
                <w:sz w:val="17"/>
              </w:rPr>
              <w:t>UX-01</w:t>
            </w:r>
          </w:p>
        </w:tc>
        <w:tc>
          <w:tcPr>
            <w:tcW w:type="dxa" w:w="2880"/>
            <w:vAlign w:val="center"/>
          </w:tcPr>
          <w:p>
            <w:r/>
            <w:r>
              <w:rPr>
                <w:b w:val="0"/>
                <w:sz w:val="17"/>
              </w:rPr>
              <w:t>Sign in / workspace selection</w:t>
            </w:r>
          </w:p>
        </w:tc>
        <w:tc>
          <w:tcPr>
            <w:tcW w:type="dxa" w:w="6048"/>
            <w:vAlign w:val="center"/>
          </w:tcPr>
          <w:p>
            <w:r/>
            <w:r>
              <w:rPr>
                <w:b w:val="0"/>
                <w:sz w:val="17"/>
              </w:rPr>
              <w:t>Authenticate and choose permitted workspace.</w:t>
            </w:r>
          </w:p>
        </w:tc>
      </w:tr>
      <w:tr>
        <w:tc>
          <w:tcPr>
            <w:tcW w:type="dxa" w:w="1008"/>
            <w:vAlign w:val="center"/>
            <w:shd w:fill="F6F9FC"/>
          </w:tcPr>
          <w:p>
            <w:r/>
            <w:r>
              <w:rPr>
                <w:b w:val="0"/>
                <w:sz w:val="17"/>
              </w:rPr>
              <w:t>UX-02</w:t>
            </w:r>
          </w:p>
        </w:tc>
        <w:tc>
          <w:tcPr>
            <w:tcW w:type="dxa" w:w="2880"/>
            <w:vAlign w:val="center"/>
            <w:shd w:fill="F6F9FC"/>
          </w:tcPr>
          <w:p>
            <w:r/>
            <w:r>
              <w:rPr>
                <w:b w:val="0"/>
                <w:sz w:val="17"/>
              </w:rPr>
              <w:t>Overview</w:t>
            </w:r>
          </w:p>
        </w:tc>
        <w:tc>
          <w:tcPr>
            <w:tcW w:type="dxa" w:w="6048"/>
            <w:vAlign w:val="center"/>
            <w:shd w:fill="F6F9FC"/>
          </w:tcPr>
          <w:p>
            <w:r/>
            <w:r>
              <w:rPr>
                <w:b w:val="0"/>
                <w:sz w:val="17"/>
              </w:rPr>
              <w:t>Show recent runs, emerging channels, alerts, quota and stale-data warnings.</w:t>
            </w:r>
          </w:p>
        </w:tc>
      </w:tr>
      <w:tr>
        <w:tc>
          <w:tcPr>
            <w:tcW w:type="dxa" w:w="1008"/>
            <w:vAlign w:val="center"/>
          </w:tcPr>
          <w:p>
            <w:r/>
            <w:r>
              <w:rPr>
                <w:b w:val="0"/>
                <w:sz w:val="17"/>
              </w:rPr>
              <w:t>UX-03</w:t>
            </w:r>
          </w:p>
        </w:tc>
        <w:tc>
          <w:tcPr>
            <w:tcW w:type="dxa" w:w="2880"/>
            <w:vAlign w:val="center"/>
          </w:tcPr>
          <w:p>
            <w:r/>
            <w:r>
              <w:rPr>
                <w:b w:val="0"/>
                <w:sz w:val="17"/>
              </w:rPr>
              <w:t>Search definition list</w:t>
            </w:r>
          </w:p>
        </w:tc>
        <w:tc>
          <w:tcPr>
            <w:tcW w:type="dxa" w:w="6048"/>
            <w:vAlign w:val="center"/>
          </w:tcPr>
          <w:p>
            <w:r/>
            <w:r>
              <w:rPr>
                <w:b w:val="0"/>
                <w:sz w:val="17"/>
              </w:rPr>
              <w:t>Create, duplicate, schedule, pause and run definitions.</w:t>
            </w:r>
          </w:p>
        </w:tc>
      </w:tr>
      <w:tr>
        <w:tc>
          <w:tcPr>
            <w:tcW w:type="dxa" w:w="1008"/>
            <w:vAlign w:val="center"/>
            <w:shd w:fill="F6F9FC"/>
          </w:tcPr>
          <w:p>
            <w:r/>
            <w:r>
              <w:rPr>
                <w:b w:val="0"/>
                <w:sz w:val="17"/>
              </w:rPr>
              <w:t>UX-04</w:t>
            </w:r>
          </w:p>
        </w:tc>
        <w:tc>
          <w:tcPr>
            <w:tcW w:type="dxa" w:w="2880"/>
            <w:vAlign w:val="center"/>
            <w:shd w:fill="F6F9FC"/>
          </w:tcPr>
          <w:p>
            <w:r/>
            <w:r>
              <w:rPr>
                <w:b w:val="0"/>
                <w:sz w:val="17"/>
              </w:rPr>
              <w:t>Search definition builder</w:t>
            </w:r>
          </w:p>
        </w:tc>
        <w:tc>
          <w:tcPr>
            <w:tcW w:type="dxa" w:w="6048"/>
            <w:vAlign w:val="center"/>
            <w:shd w:fill="F6F9FC"/>
          </w:tcPr>
          <w:p>
            <w:r/>
            <w:r>
              <w:rPr>
                <w:b w:val="0"/>
                <w:sz w:val="17"/>
              </w:rPr>
              <w:t>Configure topic, geography, language, age, format, channel bands and exclusions.</w:t>
            </w:r>
          </w:p>
        </w:tc>
      </w:tr>
      <w:tr>
        <w:tc>
          <w:tcPr>
            <w:tcW w:type="dxa" w:w="1008"/>
            <w:vAlign w:val="center"/>
          </w:tcPr>
          <w:p>
            <w:r/>
            <w:r>
              <w:rPr>
                <w:b w:val="0"/>
                <w:sz w:val="17"/>
              </w:rPr>
              <w:t>UX-05</w:t>
            </w:r>
          </w:p>
        </w:tc>
        <w:tc>
          <w:tcPr>
            <w:tcW w:type="dxa" w:w="2880"/>
            <w:vAlign w:val="center"/>
          </w:tcPr>
          <w:p>
            <w:r/>
            <w:r>
              <w:rPr>
                <w:b w:val="0"/>
                <w:sz w:val="17"/>
              </w:rPr>
              <w:t>Run progress</w:t>
            </w:r>
          </w:p>
        </w:tc>
        <w:tc>
          <w:tcPr>
            <w:tcW w:type="dxa" w:w="6048"/>
            <w:vAlign w:val="center"/>
          </w:tcPr>
          <w:p>
            <w:r/>
            <w:r>
              <w:rPr>
                <w:b w:val="0"/>
                <w:sz w:val="17"/>
              </w:rPr>
              <w:t>Show stages, candidates, quota consumed, partial failures and cancellation.</w:t>
            </w:r>
          </w:p>
        </w:tc>
      </w:tr>
      <w:tr>
        <w:tc>
          <w:tcPr>
            <w:tcW w:type="dxa" w:w="1008"/>
            <w:vAlign w:val="center"/>
            <w:shd w:fill="F6F9FC"/>
          </w:tcPr>
          <w:p>
            <w:r/>
            <w:r>
              <w:rPr>
                <w:b w:val="0"/>
                <w:sz w:val="17"/>
              </w:rPr>
              <w:t>UX-06</w:t>
            </w:r>
          </w:p>
        </w:tc>
        <w:tc>
          <w:tcPr>
            <w:tcW w:type="dxa" w:w="2880"/>
            <w:vAlign w:val="center"/>
            <w:shd w:fill="F6F9FC"/>
          </w:tcPr>
          <w:p>
            <w:r/>
            <w:r>
              <w:rPr>
                <w:b w:val="0"/>
                <w:sz w:val="17"/>
              </w:rPr>
              <w:t>Channel results</w:t>
            </w:r>
          </w:p>
        </w:tc>
        <w:tc>
          <w:tcPr>
            <w:tcW w:type="dxa" w:w="6048"/>
            <w:vAlign w:val="center"/>
            <w:shd w:fill="F6F9FC"/>
          </w:tcPr>
          <w:p>
            <w:r/>
            <w:r>
              <w:rPr>
                <w:b w:val="0"/>
                <w:sz w:val="17"/>
              </w:rPr>
              <w:t>Filter, sort, compare, shortlist and dismiss ranked channels.</w:t>
            </w:r>
          </w:p>
        </w:tc>
      </w:tr>
      <w:tr>
        <w:tc>
          <w:tcPr>
            <w:tcW w:type="dxa" w:w="1008"/>
            <w:vAlign w:val="center"/>
          </w:tcPr>
          <w:p>
            <w:r/>
            <w:r>
              <w:rPr>
                <w:b w:val="0"/>
                <w:sz w:val="17"/>
              </w:rPr>
              <w:t>UX-07</w:t>
            </w:r>
          </w:p>
        </w:tc>
        <w:tc>
          <w:tcPr>
            <w:tcW w:type="dxa" w:w="2880"/>
            <w:vAlign w:val="center"/>
          </w:tcPr>
          <w:p>
            <w:r/>
            <w:r>
              <w:rPr>
                <w:b w:val="0"/>
                <w:sz w:val="17"/>
              </w:rPr>
              <w:t>Channel detail</w:t>
            </w:r>
          </w:p>
        </w:tc>
        <w:tc>
          <w:tcPr>
            <w:tcW w:type="dxa" w:w="6048"/>
            <w:vAlign w:val="center"/>
          </w:tcPr>
          <w:p>
            <w:r/>
            <w:r>
              <w:rPr>
                <w:b w:val="0"/>
                <w:sz w:val="17"/>
              </w:rPr>
              <w:t>Explain channel metrics, score components, video evidence and snapshots.</w:t>
            </w:r>
          </w:p>
        </w:tc>
      </w:tr>
      <w:tr>
        <w:tc>
          <w:tcPr>
            <w:tcW w:type="dxa" w:w="1008"/>
            <w:vAlign w:val="center"/>
            <w:shd w:fill="F6F9FC"/>
          </w:tcPr>
          <w:p>
            <w:r/>
            <w:r>
              <w:rPr>
                <w:b w:val="0"/>
                <w:sz w:val="17"/>
              </w:rPr>
              <w:t>UX-08</w:t>
            </w:r>
          </w:p>
        </w:tc>
        <w:tc>
          <w:tcPr>
            <w:tcW w:type="dxa" w:w="2880"/>
            <w:vAlign w:val="center"/>
            <w:shd w:fill="F6F9FC"/>
          </w:tcPr>
          <w:p>
            <w:r/>
            <w:r>
              <w:rPr>
                <w:b w:val="0"/>
                <w:sz w:val="17"/>
              </w:rPr>
              <w:t>Watchlist detail</w:t>
            </w:r>
          </w:p>
        </w:tc>
        <w:tc>
          <w:tcPr>
            <w:tcW w:type="dxa" w:w="6048"/>
            <w:vAlign w:val="center"/>
            <w:shd w:fill="F6F9FC"/>
          </w:tcPr>
          <w:p>
            <w:r/>
            <w:r>
              <w:rPr>
                <w:b w:val="0"/>
                <w:sz w:val="17"/>
              </w:rPr>
              <w:t>Assign owner, status, notes, tags and bulk actions.</w:t>
            </w:r>
          </w:p>
        </w:tc>
      </w:tr>
      <w:tr>
        <w:tc>
          <w:tcPr>
            <w:tcW w:type="dxa" w:w="1008"/>
            <w:vAlign w:val="center"/>
          </w:tcPr>
          <w:p>
            <w:r/>
            <w:r>
              <w:rPr>
                <w:b w:val="0"/>
                <w:sz w:val="17"/>
              </w:rPr>
              <w:t>UX-09</w:t>
            </w:r>
          </w:p>
        </w:tc>
        <w:tc>
          <w:tcPr>
            <w:tcW w:type="dxa" w:w="2880"/>
            <w:vAlign w:val="center"/>
          </w:tcPr>
          <w:p>
            <w:r/>
            <w:r>
              <w:rPr>
                <w:b w:val="0"/>
                <w:sz w:val="17"/>
              </w:rPr>
              <w:t>Alert rules and event feed</w:t>
            </w:r>
          </w:p>
        </w:tc>
        <w:tc>
          <w:tcPr>
            <w:tcW w:type="dxa" w:w="6048"/>
            <w:vAlign w:val="center"/>
          </w:tcPr>
          <w:p>
            <w:r/>
            <w:r>
              <w:rPr>
                <w:b w:val="0"/>
                <w:sz w:val="17"/>
              </w:rPr>
              <w:t>Create conditions and inspect delivered/suppressed alerts.</w:t>
            </w:r>
          </w:p>
        </w:tc>
      </w:tr>
      <w:tr>
        <w:tc>
          <w:tcPr>
            <w:tcW w:type="dxa" w:w="1008"/>
            <w:vAlign w:val="center"/>
            <w:shd w:fill="F6F9FC"/>
          </w:tcPr>
          <w:p>
            <w:r/>
            <w:r>
              <w:rPr>
                <w:b w:val="0"/>
                <w:sz w:val="17"/>
              </w:rPr>
              <w:t>UX-10</w:t>
            </w:r>
          </w:p>
        </w:tc>
        <w:tc>
          <w:tcPr>
            <w:tcW w:type="dxa" w:w="2880"/>
            <w:vAlign w:val="center"/>
            <w:shd w:fill="F6F9FC"/>
          </w:tcPr>
          <w:p>
            <w:r/>
            <w:r>
              <w:rPr>
                <w:b w:val="0"/>
                <w:sz w:val="17"/>
              </w:rPr>
              <w:t>Admin quota and jobs</w:t>
            </w:r>
          </w:p>
        </w:tc>
        <w:tc>
          <w:tcPr>
            <w:tcW w:type="dxa" w:w="6048"/>
            <w:vAlign w:val="center"/>
            <w:shd w:fill="F6F9FC"/>
          </w:tcPr>
          <w:p>
            <w:r/>
            <w:r>
              <w:rPr>
                <w:b w:val="0"/>
                <w:sz w:val="17"/>
              </w:rPr>
              <w:t>Observe quota, queues, API errors and pause controls.</w:t>
            </w:r>
          </w:p>
        </w:tc>
      </w:tr>
      <w:tr>
        <w:tc>
          <w:tcPr>
            <w:tcW w:type="dxa" w:w="1008"/>
            <w:vAlign w:val="center"/>
          </w:tcPr>
          <w:p>
            <w:r/>
            <w:r>
              <w:rPr>
                <w:b w:val="0"/>
                <w:sz w:val="17"/>
              </w:rPr>
              <w:t>UX-11</w:t>
            </w:r>
          </w:p>
        </w:tc>
        <w:tc>
          <w:tcPr>
            <w:tcW w:type="dxa" w:w="2880"/>
            <w:vAlign w:val="center"/>
          </w:tcPr>
          <w:p>
            <w:r/>
            <w:r>
              <w:rPr>
                <w:b w:val="0"/>
                <w:sz w:val="17"/>
              </w:rPr>
              <w:t>Admin users and roles</w:t>
            </w:r>
          </w:p>
        </w:tc>
        <w:tc>
          <w:tcPr>
            <w:tcW w:type="dxa" w:w="6048"/>
            <w:vAlign w:val="center"/>
          </w:tcPr>
          <w:p>
            <w:r/>
            <w:r>
              <w:rPr>
                <w:b w:val="0"/>
                <w:sz w:val="17"/>
              </w:rPr>
              <w:t>Manage memberships and review audit trail.</w:t>
            </w:r>
          </w:p>
        </w:tc>
      </w:tr>
      <w:tr>
        <w:tc>
          <w:tcPr>
            <w:tcW w:type="dxa" w:w="1008"/>
            <w:vAlign w:val="center"/>
            <w:shd w:fill="F6F9FC"/>
          </w:tcPr>
          <w:p>
            <w:r/>
            <w:r>
              <w:rPr>
                <w:b w:val="0"/>
                <w:sz w:val="17"/>
              </w:rPr>
              <w:t>UX-12</w:t>
            </w:r>
          </w:p>
        </w:tc>
        <w:tc>
          <w:tcPr>
            <w:tcW w:type="dxa" w:w="2880"/>
            <w:vAlign w:val="center"/>
            <w:shd w:fill="F6F9FC"/>
          </w:tcPr>
          <w:p>
            <w:r/>
            <w:r>
              <w:rPr>
                <w:b w:val="0"/>
                <w:sz w:val="17"/>
              </w:rPr>
              <w:t>Export centre</w:t>
            </w:r>
          </w:p>
        </w:tc>
        <w:tc>
          <w:tcPr>
            <w:tcW w:type="dxa" w:w="6048"/>
            <w:vAlign w:val="center"/>
            <w:shd w:fill="F6F9FC"/>
          </w:tcPr>
          <w:p>
            <w:r/>
            <w:r>
              <w:rPr>
                <w:b w:val="0"/>
                <w:sz w:val="17"/>
              </w:rPr>
              <w:t>Generate, download and expire governed exports.</w:t>
            </w:r>
          </w:p>
        </w:tc>
      </w:tr>
    </w:tbl>
    <w:p/>
    <w:p>
      <w:pPr>
        <w:pStyle w:val="Heading1"/>
      </w:pPr>
      <w:r>
        <w:t>5. Search Definition Builder — Field-Level Specification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944"/>
            <w:shd w:fill="1F4E78"/>
            <w:vAlign w:val="center"/>
          </w:tcPr>
          <w:p>
            <w:r/>
            <w:r>
              <w:rPr>
                <w:b/>
                <w:color w:val="FFFFFF"/>
                <w:sz w:val="14"/>
              </w:rPr>
              <w:t>Field</w:t>
            </w:r>
          </w:p>
        </w:tc>
        <w:tc>
          <w:tcPr>
            <w:tcW w:type="dxa" w:w="1800"/>
            <w:shd w:fill="1F4E78"/>
            <w:vAlign w:val="center"/>
          </w:tcPr>
          <w:p>
            <w:r/>
            <w:r>
              <w:rPr>
                <w:b/>
                <w:color w:val="FFFFFF"/>
                <w:sz w:val="14"/>
              </w:rPr>
              <w:t>Control</w:t>
            </w:r>
          </w:p>
        </w:tc>
        <w:tc>
          <w:tcPr>
            <w:tcW w:type="dxa" w:w="4680"/>
            <w:shd w:fill="1F4E78"/>
            <w:vAlign w:val="center"/>
          </w:tcPr>
          <w:p>
            <w:r/>
            <w:r>
              <w:rPr>
                <w:b/>
                <w:color w:val="FFFFFF"/>
                <w:sz w:val="14"/>
              </w:rPr>
              <w:t>Validation / behaviour</w:t>
            </w:r>
          </w:p>
        </w:tc>
        <w:tc>
          <w:tcPr>
            <w:tcW w:type="dxa" w:w="1872"/>
            <w:shd w:fill="1F4E78"/>
            <w:vAlign w:val="center"/>
          </w:tcPr>
          <w:p>
            <w:r/>
            <w:r>
              <w:rPr>
                <w:b/>
                <w:color w:val="FFFFFF"/>
                <w:sz w:val="14"/>
              </w:rPr>
              <w:t>Example</w:t>
            </w:r>
          </w:p>
        </w:tc>
      </w:tr>
      <w:tr>
        <w:tc>
          <w:tcPr>
            <w:tcW w:type="dxa" w:w="1944"/>
            <w:vAlign w:val="center"/>
          </w:tcPr>
          <w:p>
            <w:r/>
            <w:r>
              <w:rPr>
                <w:b w:val="0"/>
                <w:sz w:val="14"/>
              </w:rPr>
              <w:t>Name</w:t>
            </w:r>
          </w:p>
        </w:tc>
        <w:tc>
          <w:tcPr>
            <w:tcW w:type="dxa" w:w="1800"/>
            <w:vAlign w:val="center"/>
          </w:tcPr>
          <w:p>
            <w:r/>
            <w:r>
              <w:rPr>
                <w:b w:val="0"/>
                <w:sz w:val="14"/>
              </w:rPr>
              <w:t>Text, 3–80 chars</w:t>
            </w:r>
          </w:p>
        </w:tc>
        <w:tc>
          <w:tcPr>
            <w:tcW w:type="dxa" w:w="4680"/>
            <w:vAlign w:val="center"/>
          </w:tcPr>
          <w:p>
            <w:r/>
            <w:r>
              <w:rPr>
                <w:b w:val="0"/>
                <w:sz w:val="14"/>
              </w:rPr>
              <w:t>Required; unique within workspace.</w:t>
            </w:r>
          </w:p>
        </w:tc>
        <w:tc>
          <w:tcPr>
            <w:tcW w:type="dxa" w:w="1872"/>
            <w:vAlign w:val="center"/>
          </w:tcPr>
          <w:p>
            <w:r/>
            <w:r>
              <w:rPr>
                <w:b w:val="0"/>
                <w:sz w:val="14"/>
              </w:rPr>
              <w:t>“India AI filmmaking — emerging”</w:t>
            </w:r>
          </w:p>
        </w:tc>
      </w:tr>
      <w:tr>
        <w:tc>
          <w:tcPr>
            <w:tcW w:type="dxa" w:w="1944"/>
            <w:vAlign w:val="center"/>
            <w:shd w:fill="F6F9FC"/>
          </w:tcPr>
          <w:p>
            <w:r/>
            <w:r>
              <w:rPr>
                <w:b w:val="0"/>
                <w:sz w:val="14"/>
              </w:rPr>
              <w:t>Include keywords</w:t>
            </w:r>
          </w:p>
        </w:tc>
        <w:tc>
          <w:tcPr>
            <w:tcW w:type="dxa" w:w="1800"/>
            <w:vAlign w:val="center"/>
            <w:shd w:fill="F6F9FC"/>
          </w:tcPr>
          <w:p>
            <w:r/>
            <w:r>
              <w:rPr>
                <w:b w:val="0"/>
                <w:sz w:val="14"/>
              </w:rPr>
              <w:t>Token input, max 20</w:t>
            </w:r>
          </w:p>
        </w:tc>
        <w:tc>
          <w:tcPr>
            <w:tcW w:type="dxa" w:w="4680"/>
            <w:vAlign w:val="center"/>
            <w:shd w:fill="F6F9FC"/>
          </w:tcPr>
          <w:p>
            <w:r/>
            <w:r>
              <w:rPr>
                <w:b w:val="0"/>
                <w:sz w:val="14"/>
              </w:rPr>
              <w:t>At least one; trim and de-duplicate.</w:t>
            </w:r>
          </w:p>
        </w:tc>
        <w:tc>
          <w:tcPr>
            <w:tcW w:type="dxa" w:w="1872"/>
            <w:vAlign w:val="center"/>
            <w:shd w:fill="F6F9FC"/>
          </w:tcPr>
          <w:p>
            <w:r/>
            <w:r>
              <w:rPr>
                <w:b w:val="0"/>
                <w:sz w:val="14"/>
              </w:rPr>
              <w:t>AI filmmaking, text-to-video</w:t>
            </w:r>
          </w:p>
        </w:tc>
      </w:tr>
      <w:tr>
        <w:tc>
          <w:tcPr>
            <w:tcW w:type="dxa" w:w="1944"/>
            <w:vAlign w:val="center"/>
          </w:tcPr>
          <w:p>
            <w:r/>
            <w:r>
              <w:rPr>
                <w:b w:val="0"/>
                <w:sz w:val="14"/>
              </w:rPr>
              <w:t>Exclude terms</w:t>
            </w:r>
          </w:p>
        </w:tc>
        <w:tc>
          <w:tcPr>
            <w:tcW w:type="dxa" w:w="1800"/>
            <w:vAlign w:val="center"/>
          </w:tcPr>
          <w:p>
            <w:r/>
            <w:r>
              <w:rPr>
                <w:b w:val="0"/>
                <w:sz w:val="14"/>
              </w:rPr>
              <w:t>Token input, max 50</w:t>
            </w:r>
          </w:p>
        </w:tc>
        <w:tc>
          <w:tcPr>
            <w:tcW w:type="dxa" w:w="4680"/>
            <w:vAlign w:val="center"/>
          </w:tcPr>
          <w:p>
            <w:r/>
            <w:r>
              <w:rPr>
                <w:b w:val="0"/>
                <w:sz w:val="14"/>
              </w:rPr>
              <w:t>Applied to discovered metadata locally; clearly labelled.</w:t>
            </w:r>
          </w:p>
        </w:tc>
        <w:tc>
          <w:tcPr>
            <w:tcW w:type="dxa" w:w="1872"/>
            <w:vAlign w:val="center"/>
          </w:tcPr>
          <w:p>
            <w:r/>
            <w:r>
              <w:rPr>
                <w:b w:val="0"/>
                <w:sz w:val="14"/>
              </w:rPr>
              <w:t>music video, trailer</w:t>
            </w:r>
          </w:p>
        </w:tc>
      </w:tr>
      <w:tr>
        <w:tc>
          <w:tcPr>
            <w:tcW w:type="dxa" w:w="1944"/>
            <w:vAlign w:val="center"/>
            <w:shd w:fill="F6F9FC"/>
          </w:tcPr>
          <w:p>
            <w:r/>
            <w:r>
              <w:rPr>
                <w:b w:val="0"/>
                <w:sz w:val="14"/>
              </w:rPr>
              <w:t>Region</w:t>
            </w:r>
          </w:p>
        </w:tc>
        <w:tc>
          <w:tcPr>
            <w:tcW w:type="dxa" w:w="1800"/>
            <w:vAlign w:val="center"/>
            <w:shd w:fill="F6F9FC"/>
          </w:tcPr>
          <w:p>
            <w:r/>
            <w:r>
              <w:rPr>
                <w:b w:val="0"/>
                <w:sz w:val="14"/>
              </w:rPr>
              <w:t>Single select</w:t>
            </w:r>
          </w:p>
        </w:tc>
        <w:tc>
          <w:tcPr>
            <w:tcW w:type="dxa" w:w="4680"/>
            <w:vAlign w:val="center"/>
            <w:shd w:fill="F6F9FC"/>
          </w:tcPr>
          <w:p>
            <w:r/>
            <w:r>
              <w:rPr>
                <w:b w:val="0"/>
                <w:sz w:val="14"/>
              </w:rPr>
              <w:t>ISO region supported by API; default workspace region.</w:t>
            </w:r>
          </w:p>
        </w:tc>
        <w:tc>
          <w:tcPr>
            <w:tcW w:type="dxa" w:w="1872"/>
            <w:vAlign w:val="center"/>
            <w:shd w:fill="F6F9FC"/>
          </w:tcPr>
          <w:p>
            <w:r/>
            <w:r>
              <w:rPr>
                <w:b w:val="0"/>
                <w:sz w:val="14"/>
              </w:rPr>
              <w:t>IN</w:t>
            </w:r>
          </w:p>
        </w:tc>
      </w:tr>
      <w:tr>
        <w:tc>
          <w:tcPr>
            <w:tcW w:type="dxa" w:w="1944"/>
            <w:vAlign w:val="center"/>
          </w:tcPr>
          <w:p>
            <w:r/>
            <w:r>
              <w:rPr>
                <w:b w:val="0"/>
                <w:sz w:val="14"/>
              </w:rPr>
              <w:t>Relevance language</w:t>
            </w:r>
          </w:p>
        </w:tc>
        <w:tc>
          <w:tcPr>
            <w:tcW w:type="dxa" w:w="1800"/>
            <w:vAlign w:val="center"/>
          </w:tcPr>
          <w:p>
            <w:r/>
            <w:r>
              <w:rPr>
                <w:b w:val="0"/>
                <w:sz w:val="14"/>
              </w:rPr>
              <w:t>Single select</w:t>
            </w:r>
          </w:p>
        </w:tc>
        <w:tc>
          <w:tcPr>
            <w:tcW w:type="dxa" w:w="4680"/>
            <w:vAlign w:val="center"/>
          </w:tcPr>
          <w:p>
            <w:r/>
            <w:r>
              <w:rPr>
                <w:b w:val="0"/>
                <w:sz w:val="14"/>
              </w:rPr>
              <w:t>Language relevance, not a strict exclusion.</w:t>
            </w:r>
          </w:p>
        </w:tc>
        <w:tc>
          <w:tcPr>
            <w:tcW w:type="dxa" w:w="1872"/>
            <w:vAlign w:val="center"/>
          </w:tcPr>
          <w:p>
            <w:r/>
            <w:r>
              <w:rPr>
                <w:b w:val="0"/>
                <w:sz w:val="14"/>
              </w:rPr>
              <w:t>English / Hindi</w:t>
            </w:r>
          </w:p>
        </w:tc>
      </w:tr>
      <w:tr>
        <w:tc>
          <w:tcPr>
            <w:tcW w:type="dxa" w:w="1944"/>
            <w:vAlign w:val="center"/>
            <w:shd w:fill="F6F9FC"/>
          </w:tcPr>
          <w:p>
            <w:r/>
            <w:r>
              <w:rPr>
                <w:b w:val="0"/>
                <w:sz w:val="14"/>
              </w:rPr>
              <w:t>Publication window</w:t>
            </w:r>
          </w:p>
        </w:tc>
        <w:tc>
          <w:tcPr>
            <w:tcW w:type="dxa" w:w="1800"/>
            <w:vAlign w:val="center"/>
            <w:shd w:fill="F6F9FC"/>
          </w:tcPr>
          <w:p>
            <w:r/>
            <w:r>
              <w:rPr>
                <w:b w:val="0"/>
                <w:sz w:val="14"/>
              </w:rPr>
              <w:t>Preset/custom</w:t>
            </w:r>
          </w:p>
        </w:tc>
        <w:tc>
          <w:tcPr>
            <w:tcW w:type="dxa" w:w="4680"/>
            <w:vAlign w:val="center"/>
            <w:shd w:fill="F6F9FC"/>
          </w:tcPr>
          <w:p>
            <w:r/>
            <w:r>
              <w:rPr>
                <w:b w:val="0"/>
                <w:sz w:val="14"/>
              </w:rPr>
              <w:t>Default last 30 days; maximum policy/config bound.</w:t>
            </w:r>
          </w:p>
        </w:tc>
        <w:tc>
          <w:tcPr>
            <w:tcW w:type="dxa" w:w="1872"/>
            <w:vAlign w:val="center"/>
            <w:shd w:fill="F6F9FC"/>
          </w:tcPr>
          <w:p>
            <w:r/>
            <w:r>
              <w:rPr>
                <w:b w:val="0"/>
                <w:sz w:val="14"/>
              </w:rPr>
              <w:t>7/30/90 days</w:t>
            </w:r>
          </w:p>
        </w:tc>
      </w:tr>
      <w:tr>
        <w:tc>
          <w:tcPr>
            <w:tcW w:type="dxa" w:w="1944"/>
            <w:vAlign w:val="center"/>
          </w:tcPr>
          <w:p>
            <w:r/>
            <w:r>
              <w:rPr>
                <w:b w:val="0"/>
                <w:sz w:val="14"/>
              </w:rPr>
              <w:t>Video format</w:t>
            </w:r>
          </w:p>
        </w:tc>
        <w:tc>
          <w:tcPr>
            <w:tcW w:type="dxa" w:w="1800"/>
            <w:vAlign w:val="center"/>
          </w:tcPr>
          <w:p>
            <w:r/>
            <w:r>
              <w:rPr>
                <w:b w:val="0"/>
                <w:sz w:val="14"/>
              </w:rPr>
              <w:t>Multi-select</w:t>
            </w:r>
          </w:p>
        </w:tc>
        <w:tc>
          <w:tcPr>
            <w:tcW w:type="dxa" w:w="4680"/>
            <w:vAlign w:val="center"/>
          </w:tcPr>
          <w:p>
            <w:r/>
            <w:r>
              <w:rPr>
                <w:b w:val="0"/>
                <w:sz w:val="14"/>
              </w:rPr>
              <w:t>Shorts, standard, live replay; separate scoring.</w:t>
            </w:r>
          </w:p>
        </w:tc>
        <w:tc>
          <w:tcPr>
            <w:tcW w:type="dxa" w:w="1872"/>
            <w:vAlign w:val="center"/>
          </w:tcPr>
          <w:p>
            <w:r/>
            <w:r>
              <w:rPr>
                <w:b w:val="0"/>
                <w:sz w:val="14"/>
              </w:rPr>
              <w:t>Standard + Shorts</w:t>
            </w:r>
          </w:p>
        </w:tc>
      </w:tr>
      <w:tr>
        <w:tc>
          <w:tcPr>
            <w:tcW w:type="dxa" w:w="1944"/>
            <w:vAlign w:val="center"/>
            <w:shd w:fill="F6F9FC"/>
          </w:tcPr>
          <w:p>
            <w:r/>
            <w:r>
              <w:rPr>
                <w:b w:val="0"/>
                <w:sz w:val="14"/>
              </w:rPr>
              <w:t>Subscriber band</w:t>
            </w:r>
          </w:p>
        </w:tc>
        <w:tc>
          <w:tcPr>
            <w:tcW w:type="dxa" w:w="1800"/>
            <w:vAlign w:val="center"/>
            <w:shd w:fill="F6F9FC"/>
          </w:tcPr>
          <w:p>
            <w:r/>
            <w:r>
              <w:rPr>
                <w:b w:val="0"/>
                <w:sz w:val="14"/>
              </w:rPr>
              <w:t>Min/max numeric</w:t>
            </w:r>
          </w:p>
        </w:tc>
        <w:tc>
          <w:tcPr>
            <w:tcW w:type="dxa" w:w="4680"/>
            <w:vAlign w:val="center"/>
            <w:shd w:fill="F6F9FC"/>
          </w:tcPr>
          <w:p>
            <w:r/>
            <w:r>
              <w:rPr>
                <w:b w:val="0"/>
                <w:sz w:val="14"/>
              </w:rPr>
              <w:t>Filter after channel enrichment; approximate warning.</w:t>
            </w:r>
          </w:p>
        </w:tc>
        <w:tc>
          <w:tcPr>
            <w:tcW w:type="dxa" w:w="1872"/>
            <w:vAlign w:val="center"/>
            <w:shd w:fill="F6F9FC"/>
          </w:tcPr>
          <w:p>
            <w:r/>
            <w:r>
              <w:rPr>
                <w:b w:val="0"/>
                <w:sz w:val="14"/>
              </w:rPr>
              <w:t>1,000–100,000</w:t>
            </w:r>
          </w:p>
        </w:tc>
      </w:tr>
      <w:tr>
        <w:tc>
          <w:tcPr>
            <w:tcW w:type="dxa" w:w="1944"/>
            <w:vAlign w:val="center"/>
          </w:tcPr>
          <w:p>
            <w:r/>
            <w:r>
              <w:rPr>
                <w:b w:val="0"/>
                <w:sz w:val="14"/>
              </w:rPr>
              <w:t>Minimum recent videos</w:t>
            </w:r>
          </w:p>
        </w:tc>
        <w:tc>
          <w:tcPr>
            <w:tcW w:type="dxa" w:w="1800"/>
            <w:vAlign w:val="center"/>
          </w:tcPr>
          <w:p>
            <w:r/>
            <w:r>
              <w:rPr>
                <w:b w:val="0"/>
                <w:sz w:val="14"/>
              </w:rPr>
              <w:t>Integer 5–20</w:t>
            </w:r>
          </w:p>
        </w:tc>
        <w:tc>
          <w:tcPr>
            <w:tcW w:type="dxa" w:w="4680"/>
            <w:vAlign w:val="center"/>
          </w:tcPr>
          <w:p>
            <w:r/>
            <w:r>
              <w:rPr>
                <w:b w:val="0"/>
                <w:sz w:val="14"/>
              </w:rPr>
              <w:t>Default 5; affects qualification.</w:t>
            </w:r>
          </w:p>
        </w:tc>
        <w:tc>
          <w:tcPr>
            <w:tcW w:type="dxa" w:w="1872"/>
            <w:vAlign w:val="center"/>
          </w:tcPr>
          <w:p>
            <w:r/>
            <w:r>
              <w:rPr>
                <w:b w:val="0"/>
                <w:sz w:val="14"/>
              </w:rPr>
              <w:t>5</w:t>
            </w:r>
          </w:p>
        </w:tc>
      </w:tr>
      <w:tr>
        <w:tc>
          <w:tcPr>
            <w:tcW w:type="dxa" w:w="1944"/>
            <w:vAlign w:val="center"/>
            <w:shd w:fill="F6F9FC"/>
          </w:tcPr>
          <w:p>
            <w:r/>
            <w:r>
              <w:rPr>
                <w:b w:val="0"/>
                <w:sz w:val="14"/>
              </w:rPr>
              <w:t>Search pages/keyword</w:t>
            </w:r>
          </w:p>
        </w:tc>
        <w:tc>
          <w:tcPr>
            <w:tcW w:type="dxa" w:w="1800"/>
            <w:vAlign w:val="center"/>
            <w:shd w:fill="F6F9FC"/>
          </w:tcPr>
          <w:p>
            <w:r/>
            <w:r>
              <w:rPr>
                <w:b w:val="0"/>
                <w:sz w:val="14"/>
              </w:rPr>
              <w:t>Integer bounded</w:t>
            </w:r>
          </w:p>
        </w:tc>
        <w:tc>
          <w:tcPr>
            <w:tcW w:type="dxa" w:w="4680"/>
            <w:vAlign w:val="center"/>
            <w:shd w:fill="F6F9FC"/>
          </w:tcPr>
          <w:p>
            <w:r/>
            <w:r>
              <w:rPr>
                <w:b w:val="0"/>
                <w:sz w:val="14"/>
              </w:rPr>
              <w:t>Show direct quota impact.</w:t>
            </w:r>
          </w:p>
        </w:tc>
        <w:tc>
          <w:tcPr>
            <w:tcW w:type="dxa" w:w="1872"/>
            <w:vAlign w:val="center"/>
            <w:shd w:fill="F6F9FC"/>
          </w:tcPr>
          <w:p>
            <w:r/>
            <w:r>
              <w:rPr>
                <w:b w:val="0"/>
                <w:sz w:val="14"/>
              </w:rPr>
              <w:t>1</w:t>
            </w:r>
          </w:p>
        </w:tc>
      </w:tr>
      <w:tr>
        <w:tc>
          <w:tcPr>
            <w:tcW w:type="dxa" w:w="1944"/>
            <w:vAlign w:val="center"/>
          </w:tcPr>
          <w:p>
            <w:r/>
            <w:r>
              <w:rPr>
                <w:b w:val="0"/>
                <w:sz w:val="14"/>
              </w:rPr>
              <w:t>Schedule</w:t>
            </w:r>
          </w:p>
        </w:tc>
        <w:tc>
          <w:tcPr>
            <w:tcW w:type="dxa" w:w="1800"/>
            <w:vAlign w:val="center"/>
          </w:tcPr>
          <w:p>
            <w:r/>
            <w:r>
              <w:rPr>
                <w:b w:val="0"/>
                <w:sz w:val="14"/>
              </w:rPr>
              <w:t>Off/daily/weekly</w:t>
            </w:r>
          </w:p>
        </w:tc>
        <w:tc>
          <w:tcPr>
            <w:tcW w:type="dxa" w:w="4680"/>
            <w:vAlign w:val="center"/>
          </w:tcPr>
          <w:p>
            <w:r/>
            <w:r>
              <w:rPr>
                <w:b w:val="0"/>
                <w:sz w:val="14"/>
              </w:rPr>
              <w:t>Timezone explicit.</w:t>
            </w:r>
          </w:p>
        </w:tc>
        <w:tc>
          <w:tcPr>
            <w:tcW w:type="dxa" w:w="1872"/>
            <w:vAlign w:val="center"/>
          </w:tcPr>
          <w:p>
            <w:r/>
            <w:r>
              <w:rPr>
                <w:b w:val="0"/>
                <w:sz w:val="14"/>
              </w:rPr>
              <w:t>Daily 08:00 IST</w:t>
            </w:r>
          </w:p>
        </w:tc>
      </w:tr>
      <w:tr>
        <w:tc>
          <w:tcPr>
            <w:tcW w:type="dxa" w:w="1944"/>
            <w:vAlign w:val="center"/>
            <w:shd w:fill="F6F9FC"/>
          </w:tcPr>
          <w:p>
            <w:r/>
            <w:r>
              <w:rPr>
                <w:b w:val="0"/>
                <w:sz w:val="14"/>
              </w:rPr>
              <w:t>Alert preset</w:t>
            </w:r>
          </w:p>
        </w:tc>
        <w:tc>
          <w:tcPr>
            <w:tcW w:type="dxa" w:w="1800"/>
            <w:vAlign w:val="center"/>
            <w:shd w:fill="F6F9FC"/>
          </w:tcPr>
          <w:p>
            <w:r/>
            <w:r>
              <w:rPr>
                <w:b w:val="0"/>
                <w:sz w:val="14"/>
              </w:rPr>
              <w:t>Optional select</w:t>
            </w:r>
          </w:p>
        </w:tc>
        <w:tc>
          <w:tcPr>
            <w:tcW w:type="dxa" w:w="4680"/>
            <w:vAlign w:val="center"/>
            <w:shd w:fill="F6F9FC"/>
          </w:tcPr>
          <w:p>
            <w:r/>
            <w:r>
              <w:rPr>
                <w:b w:val="0"/>
                <w:sz w:val="14"/>
              </w:rPr>
              <w:t>Can be added after initial run.</w:t>
            </w:r>
          </w:p>
        </w:tc>
        <w:tc>
          <w:tcPr>
            <w:tcW w:type="dxa" w:w="1872"/>
            <w:vAlign w:val="center"/>
            <w:shd w:fill="F6F9FC"/>
          </w:tcPr>
          <w:p>
            <w:r/>
            <w:r>
              <w:rPr>
                <w:b w:val="0"/>
                <w:sz w:val="14"/>
              </w:rPr>
              <w:t>Score ≥75</w:t>
            </w:r>
          </w:p>
        </w:tc>
      </w:tr>
    </w:tbl>
    <w:p/>
    <w:p>
      <w:pPr>
        <w:pStyle w:val="Heading1"/>
      </w:pPr>
      <w:r>
        <w:t>6. Channel Results Grid</w:t>
      </w:r>
    </w:p>
    <w:p>
      <w:pPr>
        <w:pStyle w:val="Heading2"/>
      </w:pPr>
      <w:r>
        <w:t>6.1 Default columns</w:t>
      </w:r>
    </w:p>
    <w:tbl>
      <w:tblPr>
        <w:tblStyle w:val="TableGrid"/>
        <w:tblW w:type="auto" w:w="0"/>
        <w:jc w:val="center"/>
        <w:tblLook w:firstColumn="1" w:firstRow="1" w:lastColumn="0" w:lastRow="0" w:noHBand="0" w:noVBand="1" w:val="04A0"/>
      </w:tblPr>
      <w:tblGrid>
        <w:gridCol w:w="3360"/>
        <w:gridCol w:w="3360"/>
        <w:gridCol w:w="3360"/>
      </w:tblGrid>
      <w:tr>
        <w:tc>
          <w:tcPr>
            <w:tcW w:type="dxa" w:w="1872"/>
            <w:shd w:fill="1F4E78"/>
            <w:vAlign w:val="center"/>
          </w:tcPr>
          <w:p>
            <w:r/>
            <w:r>
              <w:rPr>
                <w:b/>
                <w:color w:val="FFFFFF"/>
                <w:sz w:val="17"/>
              </w:rPr>
              <w:t>Column</w:t>
            </w:r>
          </w:p>
        </w:tc>
        <w:tc>
          <w:tcPr>
            <w:tcW w:type="dxa" w:w="4032"/>
            <w:shd w:fill="1F4E78"/>
            <w:vAlign w:val="center"/>
          </w:tcPr>
          <w:p>
            <w:r/>
            <w:r>
              <w:rPr>
                <w:b/>
                <w:color w:val="FFFFFF"/>
                <w:sz w:val="17"/>
              </w:rPr>
              <w:t>Display</w:t>
            </w:r>
          </w:p>
        </w:tc>
        <w:tc>
          <w:tcPr>
            <w:tcW w:type="dxa" w:w="4320"/>
            <w:shd w:fill="1F4E78"/>
            <w:vAlign w:val="center"/>
          </w:tcPr>
          <w:p>
            <w:r/>
            <w:r>
              <w:rPr>
                <w:b/>
                <w:color w:val="FFFFFF"/>
                <w:sz w:val="17"/>
              </w:rPr>
              <w:t>Interaction</w:t>
            </w:r>
          </w:p>
        </w:tc>
      </w:tr>
      <w:tr>
        <w:tc>
          <w:tcPr>
            <w:tcW w:type="dxa" w:w="1872"/>
            <w:vAlign w:val="center"/>
          </w:tcPr>
          <w:p>
            <w:r/>
            <w:r>
              <w:rPr>
                <w:b w:val="0"/>
                <w:sz w:val="17"/>
              </w:rPr>
              <w:t>Channel</w:t>
            </w:r>
          </w:p>
        </w:tc>
        <w:tc>
          <w:tcPr>
            <w:tcW w:type="dxa" w:w="4032"/>
            <w:vAlign w:val="center"/>
          </w:tcPr>
          <w:p>
            <w:r/>
            <w:r>
              <w:rPr>
                <w:b w:val="0"/>
                <w:sz w:val="17"/>
              </w:rPr>
              <w:t>Thumbnail, title, handle, outbound YouTube icon</w:t>
            </w:r>
          </w:p>
        </w:tc>
        <w:tc>
          <w:tcPr>
            <w:tcW w:type="dxa" w:w="4320"/>
            <w:vAlign w:val="center"/>
          </w:tcPr>
          <w:p>
            <w:r/>
            <w:r>
              <w:rPr>
                <w:b w:val="0"/>
                <w:sz w:val="17"/>
              </w:rPr>
              <w:t>Open detail; external link opens new tab.</w:t>
            </w:r>
          </w:p>
        </w:tc>
      </w:tr>
      <w:tr>
        <w:tc>
          <w:tcPr>
            <w:tcW w:type="dxa" w:w="1872"/>
            <w:vAlign w:val="center"/>
            <w:shd w:fill="F6F9FC"/>
          </w:tcPr>
          <w:p>
            <w:r/>
            <w:r>
              <w:rPr>
                <w:b w:val="0"/>
                <w:sz w:val="17"/>
              </w:rPr>
              <w:t>Momentum score</w:t>
            </w:r>
          </w:p>
        </w:tc>
        <w:tc>
          <w:tcPr>
            <w:tcW w:type="dxa" w:w="4032"/>
            <w:vAlign w:val="center"/>
            <w:shd w:fill="F6F9FC"/>
          </w:tcPr>
          <w:p>
            <w:r/>
            <w:r>
              <w:rPr>
                <w:b w:val="0"/>
                <w:sz w:val="17"/>
              </w:rPr>
              <w:t>0–100 with “Proprietary” label</w:t>
            </w:r>
          </w:p>
        </w:tc>
        <w:tc>
          <w:tcPr>
            <w:tcW w:type="dxa" w:w="4320"/>
            <w:vAlign w:val="center"/>
            <w:shd w:fill="F6F9FC"/>
          </w:tcPr>
          <w:p>
            <w:r/>
            <w:r>
              <w:rPr>
                <w:b w:val="0"/>
                <w:sz w:val="17"/>
              </w:rPr>
              <w:t>Sort; hover shows version and calculated time.</w:t>
            </w:r>
          </w:p>
        </w:tc>
      </w:tr>
      <w:tr>
        <w:tc>
          <w:tcPr>
            <w:tcW w:type="dxa" w:w="1872"/>
            <w:vAlign w:val="center"/>
          </w:tcPr>
          <w:p>
            <w:r/>
            <w:r>
              <w:rPr>
                <w:b w:val="0"/>
                <w:sz w:val="17"/>
              </w:rPr>
              <w:t>Confidence</w:t>
            </w:r>
          </w:p>
        </w:tc>
        <w:tc>
          <w:tcPr>
            <w:tcW w:type="dxa" w:w="4032"/>
            <w:vAlign w:val="center"/>
          </w:tcPr>
          <w:p>
            <w:r/>
            <w:r>
              <w:rPr>
                <w:b w:val="0"/>
                <w:sz w:val="17"/>
              </w:rPr>
              <w:t>High/Medium/Low</w:t>
            </w:r>
          </w:p>
        </w:tc>
        <w:tc>
          <w:tcPr>
            <w:tcW w:type="dxa" w:w="4320"/>
            <w:vAlign w:val="center"/>
          </w:tcPr>
          <w:p>
            <w:r/>
            <w:r>
              <w:rPr>
                <w:b w:val="0"/>
                <w:sz w:val="17"/>
              </w:rPr>
              <w:t>Filter; click opens quality explanation.</w:t>
            </w:r>
          </w:p>
        </w:tc>
      </w:tr>
      <w:tr>
        <w:tc>
          <w:tcPr>
            <w:tcW w:type="dxa" w:w="1872"/>
            <w:vAlign w:val="center"/>
            <w:shd w:fill="F6F9FC"/>
          </w:tcPr>
          <w:p>
            <w:r/>
            <w:r>
              <w:rPr>
                <w:b w:val="0"/>
                <w:sz w:val="17"/>
              </w:rPr>
              <w:t>Subscribers</w:t>
            </w:r>
          </w:p>
        </w:tc>
        <w:tc>
          <w:tcPr>
            <w:tcW w:type="dxa" w:w="4032"/>
            <w:vAlign w:val="center"/>
            <w:shd w:fill="F6F9FC"/>
          </w:tcPr>
          <w:p>
            <w:r/>
            <w:r>
              <w:rPr>
                <w:b w:val="0"/>
                <w:sz w:val="17"/>
              </w:rPr>
              <w:t>Compact count with ≈ indicator when rounded</w:t>
            </w:r>
          </w:p>
        </w:tc>
        <w:tc>
          <w:tcPr>
            <w:tcW w:type="dxa" w:w="4320"/>
            <w:vAlign w:val="center"/>
            <w:shd w:fill="F6F9FC"/>
          </w:tcPr>
          <w:p>
            <w:r/>
            <w:r>
              <w:rPr>
                <w:b w:val="0"/>
                <w:sz w:val="17"/>
              </w:rPr>
              <w:t>Sort with boundary warning.</w:t>
            </w:r>
          </w:p>
        </w:tc>
      </w:tr>
      <w:tr>
        <w:tc>
          <w:tcPr>
            <w:tcW w:type="dxa" w:w="1872"/>
            <w:vAlign w:val="center"/>
          </w:tcPr>
          <w:p>
            <w:r/>
            <w:r>
              <w:rPr>
                <w:b w:val="0"/>
                <w:sz w:val="17"/>
              </w:rPr>
              <w:t>Median recent views</w:t>
            </w:r>
          </w:p>
        </w:tc>
        <w:tc>
          <w:tcPr>
            <w:tcW w:type="dxa" w:w="4032"/>
            <w:vAlign w:val="center"/>
          </w:tcPr>
          <w:p>
            <w:r/>
            <w:r>
              <w:rPr>
                <w:b w:val="0"/>
                <w:sz w:val="17"/>
              </w:rPr>
              <w:t>Compact count</w:t>
            </w:r>
          </w:p>
        </w:tc>
        <w:tc>
          <w:tcPr>
            <w:tcW w:type="dxa" w:w="4320"/>
            <w:vAlign w:val="center"/>
          </w:tcPr>
          <w:p>
            <w:r/>
            <w:r>
              <w:rPr>
                <w:b w:val="0"/>
                <w:sz w:val="17"/>
              </w:rPr>
              <w:t>Shows eligible-video sample size.</w:t>
            </w:r>
          </w:p>
        </w:tc>
      </w:tr>
      <w:tr>
        <w:tc>
          <w:tcPr>
            <w:tcW w:type="dxa" w:w="1872"/>
            <w:vAlign w:val="center"/>
            <w:shd w:fill="F6F9FC"/>
          </w:tcPr>
          <w:p>
            <w:r/>
            <w:r>
              <w:rPr>
                <w:b w:val="0"/>
                <w:sz w:val="17"/>
              </w:rPr>
              <w:t>Median VSR</w:t>
            </w:r>
          </w:p>
        </w:tc>
        <w:tc>
          <w:tcPr>
            <w:tcW w:type="dxa" w:w="4032"/>
            <w:vAlign w:val="center"/>
            <w:shd w:fill="F6F9FC"/>
          </w:tcPr>
          <w:p>
            <w:r/>
            <w:r>
              <w:rPr>
                <w:b w:val="0"/>
                <w:sz w:val="17"/>
              </w:rPr>
              <w:t>e.g., 3.4×</w:t>
            </w:r>
          </w:p>
        </w:tc>
        <w:tc>
          <w:tcPr>
            <w:tcW w:type="dxa" w:w="4320"/>
            <w:vAlign w:val="center"/>
            <w:shd w:fill="F6F9FC"/>
          </w:tcPr>
          <w:p>
            <w:r/>
            <w:r>
              <w:rPr>
                <w:b w:val="0"/>
                <w:sz w:val="17"/>
              </w:rPr>
              <w:t>Tooltip: product-calculated ratio.</w:t>
            </w:r>
          </w:p>
        </w:tc>
      </w:tr>
      <w:tr>
        <w:tc>
          <w:tcPr>
            <w:tcW w:type="dxa" w:w="1872"/>
            <w:vAlign w:val="center"/>
          </w:tcPr>
          <w:p>
            <w:r/>
            <w:r>
              <w:rPr>
                <w:b w:val="0"/>
                <w:sz w:val="17"/>
              </w:rPr>
              <w:t>Consistency</w:t>
            </w:r>
          </w:p>
        </w:tc>
        <w:tc>
          <w:tcPr>
            <w:tcW w:type="dxa" w:w="4032"/>
            <w:vAlign w:val="center"/>
          </w:tcPr>
          <w:p>
            <w:r/>
            <w:r>
              <w:rPr>
                <w:b w:val="0"/>
                <w:sz w:val="17"/>
              </w:rPr>
              <w:t>e.g., 8/10 videos ≥1× subscribers</w:t>
            </w:r>
          </w:p>
        </w:tc>
        <w:tc>
          <w:tcPr>
            <w:tcW w:type="dxa" w:w="4320"/>
            <w:vAlign w:val="center"/>
          </w:tcPr>
          <w:p>
            <w:r/>
            <w:r>
              <w:rPr>
                <w:b w:val="0"/>
                <w:sz w:val="17"/>
              </w:rPr>
              <w:t>Open filtered video evidence.</w:t>
            </w:r>
          </w:p>
        </w:tc>
      </w:tr>
      <w:tr>
        <w:tc>
          <w:tcPr>
            <w:tcW w:type="dxa" w:w="1872"/>
            <w:vAlign w:val="center"/>
            <w:shd w:fill="F6F9FC"/>
          </w:tcPr>
          <w:p>
            <w:r/>
            <w:r>
              <w:rPr>
                <w:b w:val="0"/>
                <w:sz w:val="17"/>
              </w:rPr>
              <w:t>Observed velocity</w:t>
            </w:r>
          </w:p>
        </w:tc>
        <w:tc>
          <w:tcPr>
            <w:tcW w:type="dxa" w:w="4032"/>
            <w:vAlign w:val="center"/>
            <w:shd w:fill="F6F9FC"/>
          </w:tcPr>
          <w:p>
            <w:r/>
            <w:r>
              <w:rPr>
                <w:b w:val="0"/>
                <w:sz w:val="17"/>
              </w:rPr>
              <w:t>Views/hour trend or unavailable</w:t>
            </w:r>
          </w:p>
        </w:tc>
        <w:tc>
          <w:tcPr>
            <w:tcW w:type="dxa" w:w="4320"/>
            <w:vAlign w:val="center"/>
            <w:shd w:fill="F6F9FC"/>
          </w:tcPr>
          <w:p>
            <w:r/>
            <w:r>
              <w:rPr>
                <w:b w:val="0"/>
                <w:sz w:val="17"/>
              </w:rPr>
              <w:t>Only after repeat snapshots.</w:t>
            </w:r>
          </w:p>
        </w:tc>
      </w:tr>
      <w:tr>
        <w:tc>
          <w:tcPr>
            <w:tcW w:type="dxa" w:w="1872"/>
            <w:vAlign w:val="center"/>
          </w:tcPr>
          <w:p>
            <w:r/>
            <w:r>
              <w:rPr>
                <w:b w:val="0"/>
                <w:sz w:val="17"/>
              </w:rPr>
              <w:t>Latest upload</w:t>
            </w:r>
          </w:p>
        </w:tc>
        <w:tc>
          <w:tcPr>
            <w:tcW w:type="dxa" w:w="4032"/>
            <w:vAlign w:val="center"/>
          </w:tcPr>
          <w:p>
            <w:r/>
            <w:r>
              <w:rPr>
                <w:b w:val="0"/>
                <w:sz w:val="17"/>
              </w:rPr>
              <w:t>Relative date + exact tooltip</w:t>
            </w:r>
          </w:p>
        </w:tc>
        <w:tc>
          <w:tcPr>
            <w:tcW w:type="dxa" w:w="4320"/>
            <w:vAlign w:val="center"/>
          </w:tcPr>
          <w:p>
            <w:r/>
            <w:r>
              <w:rPr>
                <w:b w:val="0"/>
                <w:sz w:val="17"/>
              </w:rPr>
              <w:t>Filter by recency.</w:t>
            </w:r>
          </w:p>
        </w:tc>
      </w:tr>
      <w:tr>
        <w:tc>
          <w:tcPr>
            <w:tcW w:type="dxa" w:w="1872"/>
            <w:vAlign w:val="center"/>
            <w:shd w:fill="F6F9FC"/>
          </w:tcPr>
          <w:p>
            <w:r/>
            <w:r>
              <w:rPr>
                <w:b w:val="0"/>
                <w:sz w:val="17"/>
              </w:rPr>
              <w:t>Reason</w:t>
            </w:r>
          </w:p>
        </w:tc>
        <w:tc>
          <w:tcPr>
            <w:tcW w:type="dxa" w:w="4032"/>
            <w:vAlign w:val="center"/>
            <w:shd w:fill="F6F9FC"/>
          </w:tcPr>
          <w:p>
            <w:r/>
            <w:r>
              <w:rPr>
                <w:b w:val="0"/>
                <w:sz w:val="17"/>
              </w:rPr>
              <w:t>Top 1–2 reason chips</w:t>
            </w:r>
          </w:p>
        </w:tc>
        <w:tc>
          <w:tcPr>
            <w:tcW w:type="dxa" w:w="4320"/>
            <w:vAlign w:val="center"/>
            <w:shd w:fill="F6F9FC"/>
          </w:tcPr>
          <w:p>
            <w:r/>
            <w:r>
              <w:rPr>
                <w:b w:val="0"/>
                <w:sz w:val="17"/>
              </w:rPr>
              <w:t>Expand all reasons.</w:t>
            </w:r>
          </w:p>
        </w:tc>
      </w:tr>
      <w:tr>
        <w:tc>
          <w:tcPr>
            <w:tcW w:type="dxa" w:w="1872"/>
            <w:vAlign w:val="center"/>
          </w:tcPr>
          <w:p>
            <w:r/>
            <w:r>
              <w:rPr>
                <w:b w:val="0"/>
                <w:sz w:val="17"/>
              </w:rPr>
              <w:t>Action</w:t>
            </w:r>
          </w:p>
        </w:tc>
        <w:tc>
          <w:tcPr>
            <w:tcW w:type="dxa" w:w="4032"/>
            <w:vAlign w:val="center"/>
          </w:tcPr>
          <w:p>
            <w:r/>
            <w:r>
              <w:rPr>
                <w:b w:val="0"/>
                <w:sz w:val="17"/>
              </w:rPr>
              <w:t>Watchlist, dismiss, more</w:t>
            </w:r>
          </w:p>
        </w:tc>
        <w:tc>
          <w:tcPr>
            <w:tcW w:type="dxa" w:w="4320"/>
            <w:vAlign w:val="center"/>
          </w:tcPr>
          <w:p>
            <w:r/>
            <w:r>
              <w:rPr>
                <w:b w:val="0"/>
                <w:sz w:val="17"/>
              </w:rPr>
              <w:t>Keyboard accessible.</w:t>
            </w:r>
          </w:p>
        </w:tc>
      </w:tr>
    </w:tbl>
    <w:p/>
    <w:p>
      <w:pPr>
        <w:pStyle w:val="Heading2"/>
      </w:pPr>
      <w:r>
        <w:t>6.2 Filters</w:t>
      </w:r>
    </w:p>
    <w:p>
      <w:r>
        <w:t>Sticky filter bar: search text, score range, confidence, subscriber band, country, language, format, median VSR, consistency, latest upload age, watchlist state and reason code. Active filters appear as removable chips. “Reset” restores saved view defaults, not necessarily all filters.</w:t>
      </w:r>
    </w:p>
    <w:p>
      <w:pPr>
        <w:pStyle w:val="Heading1"/>
      </w:pPr>
      <w:r>
        <w:t>7. Channel Detail Screen</w:t>
      </w:r>
    </w:p>
    <w:tbl>
      <w:tblPr>
        <w:tblStyle w:val="TableGrid"/>
        <w:tblW w:type="auto" w:w="0"/>
        <w:jc w:val="center"/>
        <w:tblLook w:firstColumn="1" w:firstRow="1" w:lastColumn="0" w:lastRow="0" w:noHBand="0" w:noVBand="1" w:val="04A0"/>
      </w:tblPr>
      <w:tblGrid>
        <w:gridCol w:w="5040"/>
        <w:gridCol w:w="5040"/>
      </w:tblGrid>
      <w:tr>
        <w:tc>
          <w:tcPr>
            <w:tcW w:type="dxa" w:w="2448"/>
            <w:shd w:fill="1F4E78"/>
            <w:vAlign w:val="center"/>
          </w:tcPr>
          <w:p>
            <w:r/>
            <w:r>
              <w:rPr>
                <w:b/>
                <w:color w:val="FFFFFF"/>
                <w:sz w:val="17"/>
              </w:rPr>
              <w:t>Section</w:t>
            </w:r>
          </w:p>
        </w:tc>
        <w:tc>
          <w:tcPr>
            <w:tcW w:type="dxa" w:w="7920"/>
            <w:shd w:fill="1F4E78"/>
            <w:vAlign w:val="center"/>
          </w:tcPr>
          <w:p>
            <w:r/>
            <w:r>
              <w:rPr>
                <w:b/>
                <w:color w:val="FFFFFF"/>
                <w:sz w:val="17"/>
              </w:rPr>
              <w:t>Content</w:t>
            </w:r>
          </w:p>
        </w:tc>
      </w:tr>
      <w:tr>
        <w:tc>
          <w:tcPr>
            <w:tcW w:type="dxa" w:w="2448"/>
            <w:vAlign w:val="center"/>
          </w:tcPr>
          <w:p>
            <w:r/>
            <w:r>
              <w:rPr>
                <w:b w:val="0"/>
                <w:sz w:val="17"/>
              </w:rPr>
              <w:t>Identity header</w:t>
            </w:r>
          </w:p>
        </w:tc>
        <w:tc>
          <w:tcPr>
            <w:tcW w:type="dxa" w:w="7920"/>
            <w:vAlign w:val="center"/>
          </w:tcPr>
          <w:p>
            <w:r/>
            <w:r>
              <w:rPr>
                <w:b w:val="0"/>
                <w:sz w:val="17"/>
              </w:rPr>
              <w:t>Channel title/handle, thumbnail, YouTube link, country, creation date if available, last refreshed.</w:t>
            </w:r>
          </w:p>
        </w:tc>
      </w:tr>
      <w:tr>
        <w:tc>
          <w:tcPr>
            <w:tcW w:type="dxa" w:w="2448"/>
            <w:vAlign w:val="center"/>
            <w:shd w:fill="F6F9FC"/>
          </w:tcPr>
          <w:p>
            <w:r/>
            <w:r>
              <w:rPr>
                <w:b w:val="0"/>
                <w:sz w:val="17"/>
              </w:rPr>
              <w:t>Decision strip</w:t>
            </w:r>
          </w:p>
        </w:tc>
        <w:tc>
          <w:tcPr>
            <w:tcW w:type="dxa" w:w="7920"/>
            <w:vAlign w:val="center"/>
            <w:shd w:fill="F6F9FC"/>
          </w:tcPr>
          <w:p>
            <w:r/>
            <w:r>
              <w:rPr>
                <w:b w:val="0"/>
                <w:sz w:val="17"/>
              </w:rPr>
              <w:t>Momentum score, confidence, top reasons, watchlist action, dismissal action.</w:t>
            </w:r>
          </w:p>
        </w:tc>
      </w:tr>
      <w:tr>
        <w:tc>
          <w:tcPr>
            <w:tcW w:type="dxa" w:w="2448"/>
            <w:vAlign w:val="center"/>
          </w:tcPr>
          <w:p>
            <w:r/>
            <w:r>
              <w:rPr>
                <w:b w:val="0"/>
                <w:sz w:val="17"/>
              </w:rPr>
              <w:t>Metric cards</w:t>
            </w:r>
          </w:p>
        </w:tc>
        <w:tc>
          <w:tcPr>
            <w:tcW w:type="dxa" w:w="7920"/>
            <w:vAlign w:val="center"/>
          </w:tcPr>
          <w:p>
            <w:r/>
            <w:r>
              <w:rPr>
                <w:b w:val="0"/>
                <w:sz w:val="17"/>
              </w:rPr>
              <w:t>Public subscribers, recent median views, median VSR, consistency, observed velocity; each with source timestamp.</w:t>
            </w:r>
          </w:p>
        </w:tc>
      </w:tr>
      <w:tr>
        <w:tc>
          <w:tcPr>
            <w:tcW w:type="dxa" w:w="2448"/>
            <w:vAlign w:val="center"/>
            <w:shd w:fill="F6F9FC"/>
          </w:tcPr>
          <w:p>
            <w:r/>
            <w:r>
              <w:rPr>
                <w:b w:val="0"/>
                <w:sz w:val="17"/>
              </w:rPr>
              <w:t>Score explanation</w:t>
            </w:r>
          </w:p>
        </w:tc>
        <w:tc>
          <w:tcPr>
            <w:tcW w:type="dxa" w:w="7920"/>
            <w:vAlign w:val="center"/>
            <w:shd w:fill="F6F9FC"/>
          </w:tcPr>
          <w:p>
            <w:r/>
            <w:r>
              <w:rPr>
                <w:b w:val="0"/>
                <w:sz w:val="17"/>
              </w:rPr>
              <w:t>Stacked component list with contribution, cohort percentile, missing component handling and score version.</w:t>
            </w:r>
          </w:p>
        </w:tc>
      </w:tr>
      <w:tr>
        <w:tc>
          <w:tcPr>
            <w:tcW w:type="dxa" w:w="2448"/>
            <w:vAlign w:val="center"/>
          </w:tcPr>
          <w:p>
            <w:r/>
            <w:r>
              <w:rPr>
                <w:b w:val="0"/>
                <w:sz w:val="17"/>
              </w:rPr>
              <w:t>Recent video evidence</w:t>
            </w:r>
          </w:p>
        </w:tc>
        <w:tc>
          <w:tcPr>
            <w:tcW w:type="dxa" w:w="7920"/>
            <w:vAlign w:val="center"/>
          </w:tcPr>
          <w:p>
            <w:r/>
            <w:r>
              <w:rPr>
                <w:b w:val="0"/>
                <w:sz w:val="17"/>
              </w:rPr>
              <w:t>Table of eligible videos: title, format, age, views, VSR, velocity, inclusion/exclusion reason.</w:t>
            </w:r>
          </w:p>
        </w:tc>
      </w:tr>
      <w:tr>
        <w:tc>
          <w:tcPr>
            <w:tcW w:type="dxa" w:w="2448"/>
            <w:vAlign w:val="center"/>
            <w:shd w:fill="F6F9FC"/>
          </w:tcPr>
          <w:p>
            <w:r/>
            <w:r>
              <w:rPr>
                <w:b w:val="0"/>
                <w:sz w:val="17"/>
              </w:rPr>
              <w:t>Trend</w:t>
            </w:r>
          </w:p>
        </w:tc>
        <w:tc>
          <w:tcPr>
            <w:tcW w:type="dxa" w:w="7920"/>
            <w:vAlign w:val="center"/>
            <w:shd w:fill="F6F9FC"/>
          </w:tcPr>
          <w:p>
            <w:r/>
            <w:r>
              <w:rPr>
                <w:b w:val="0"/>
                <w:sz w:val="17"/>
              </w:rPr>
              <w:t>Subscriber/view/video snapshots and score history; no invented interpolation.</w:t>
            </w:r>
          </w:p>
        </w:tc>
      </w:tr>
      <w:tr>
        <w:tc>
          <w:tcPr>
            <w:tcW w:type="dxa" w:w="2448"/>
            <w:vAlign w:val="center"/>
          </w:tcPr>
          <w:p>
            <w:r/>
            <w:r>
              <w:rPr>
                <w:b w:val="0"/>
                <w:sz w:val="17"/>
              </w:rPr>
              <w:t>Data-quality panel</w:t>
            </w:r>
          </w:p>
        </w:tc>
        <w:tc>
          <w:tcPr>
            <w:tcW w:type="dxa" w:w="7920"/>
            <w:vAlign w:val="center"/>
          </w:tcPr>
          <w:p>
            <w:r/>
            <w:r>
              <w:rPr>
                <w:b w:val="0"/>
                <w:sz w:val="17"/>
              </w:rPr>
              <w:t>Rounded/hidden data, sample size, API failures, mixed formats, suspected anomalies.</w:t>
            </w:r>
          </w:p>
        </w:tc>
      </w:tr>
      <w:tr>
        <w:tc>
          <w:tcPr>
            <w:tcW w:type="dxa" w:w="2448"/>
            <w:vAlign w:val="center"/>
            <w:shd w:fill="F6F9FC"/>
          </w:tcPr>
          <w:p>
            <w:r/>
            <w:r>
              <w:rPr>
                <w:b w:val="0"/>
                <w:sz w:val="17"/>
              </w:rPr>
              <w:t>Analyst panel</w:t>
            </w:r>
          </w:p>
        </w:tc>
        <w:tc>
          <w:tcPr>
            <w:tcW w:type="dxa" w:w="7920"/>
            <w:vAlign w:val="center"/>
            <w:shd w:fill="F6F9FC"/>
          </w:tcPr>
          <w:p>
            <w:r/>
            <w:r>
              <w:rPr>
                <w:b w:val="0"/>
                <w:sz w:val="17"/>
              </w:rPr>
              <w:t>Tags, owner, status, notes and activity history.</w:t>
            </w:r>
          </w:p>
        </w:tc>
      </w:tr>
    </w:tbl>
    <w:p/>
    <w:p>
      <w:pPr>
        <w:pStyle w:val="Heading1"/>
      </w:pPr>
      <w:r>
        <w:t>8. Interaction States</w:t>
      </w:r>
    </w:p>
    <w:tbl>
      <w:tblPr>
        <w:tblStyle w:val="TableGrid"/>
        <w:tblW w:type="auto" w:w="0"/>
        <w:jc w:val="center"/>
        <w:tblLook w:firstColumn="1" w:firstRow="1" w:lastColumn="0" w:lastRow="0" w:noHBand="0" w:noVBand="1" w:val="04A0"/>
      </w:tblPr>
      <w:tblGrid>
        <w:gridCol w:w="5040"/>
        <w:gridCol w:w="5040"/>
      </w:tblGrid>
      <w:tr>
        <w:tc>
          <w:tcPr>
            <w:tcW w:type="dxa" w:w="2160"/>
            <w:shd w:fill="1F4E78"/>
            <w:vAlign w:val="center"/>
          </w:tcPr>
          <w:p>
            <w:r/>
            <w:r>
              <w:rPr>
                <w:b/>
                <w:color w:val="FFFFFF"/>
                <w:sz w:val="17"/>
              </w:rPr>
              <w:t>State</w:t>
            </w:r>
          </w:p>
        </w:tc>
        <w:tc>
          <w:tcPr>
            <w:tcW w:type="dxa" w:w="8208"/>
            <w:shd w:fill="1F4E78"/>
            <w:vAlign w:val="center"/>
          </w:tcPr>
          <w:p>
            <w:r/>
            <w:r>
              <w:rPr>
                <w:b/>
                <w:color w:val="FFFFFF"/>
                <w:sz w:val="17"/>
              </w:rPr>
              <w:t>Required presentation</w:t>
            </w:r>
          </w:p>
        </w:tc>
      </w:tr>
      <w:tr>
        <w:tc>
          <w:tcPr>
            <w:tcW w:type="dxa" w:w="2160"/>
            <w:vAlign w:val="center"/>
          </w:tcPr>
          <w:p>
            <w:r/>
            <w:r>
              <w:rPr>
                <w:b w:val="0"/>
                <w:sz w:val="17"/>
              </w:rPr>
              <w:t>Loading</w:t>
            </w:r>
          </w:p>
        </w:tc>
        <w:tc>
          <w:tcPr>
            <w:tcW w:type="dxa" w:w="8208"/>
            <w:vAlign w:val="center"/>
          </w:tcPr>
          <w:p>
            <w:r/>
            <w:r>
              <w:rPr>
                <w:b w:val="0"/>
                <w:sz w:val="17"/>
              </w:rPr>
              <w:t>Skeleton matching final layout; no fake numbers.</w:t>
            </w:r>
          </w:p>
        </w:tc>
      </w:tr>
      <w:tr>
        <w:tc>
          <w:tcPr>
            <w:tcW w:type="dxa" w:w="2160"/>
            <w:vAlign w:val="center"/>
            <w:shd w:fill="F6F9FC"/>
          </w:tcPr>
          <w:p>
            <w:r/>
            <w:r>
              <w:rPr>
                <w:b w:val="0"/>
                <w:sz w:val="17"/>
              </w:rPr>
              <w:t>Empty—no run</w:t>
            </w:r>
          </w:p>
        </w:tc>
        <w:tc>
          <w:tcPr>
            <w:tcW w:type="dxa" w:w="8208"/>
            <w:vAlign w:val="center"/>
            <w:shd w:fill="F6F9FC"/>
          </w:tcPr>
          <w:p>
            <w:r/>
            <w:r>
              <w:rPr>
                <w:b w:val="0"/>
                <w:sz w:val="17"/>
              </w:rPr>
              <w:t>Explain how to create the first search; primary CTA.</w:t>
            </w:r>
          </w:p>
        </w:tc>
      </w:tr>
      <w:tr>
        <w:tc>
          <w:tcPr>
            <w:tcW w:type="dxa" w:w="2160"/>
            <w:vAlign w:val="center"/>
          </w:tcPr>
          <w:p>
            <w:r/>
            <w:r>
              <w:rPr>
                <w:b w:val="0"/>
                <w:sz w:val="17"/>
              </w:rPr>
              <w:t>Empty—no qualified channels</w:t>
            </w:r>
          </w:p>
        </w:tc>
        <w:tc>
          <w:tcPr>
            <w:tcW w:type="dxa" w:w="8208"/>
            <w:vAlign w:val="center"/>
          </w:tcPr>
          <w:p>
            <w:r/>
            <w:r>
              <w:rPr>
                <w:b w:val="0"/>
                <w:sz w:val="17"/>
              </w:rPr>
              <w:t>Show discovered count and rejection reasons; suggest safe filter adjustments.</w:t>
            </w:r>
          </w:p>
        </w:tc>
      </w:tr>
      <w:tr>
        <w:tc>
          <w:tcPr>
            <w:tcW w:type="dxa" w:w="2160"/>
            <w:vAlign w:val="center"/>
            <w:shd w:fill="F6F9FC"/>
          </w:tcPr>
          <w:p>
            <w:r/>
            <w:r>
              <w:rPr>
                <w:b w:val="0"/>
                <w:sz w:val="17"/>
              </w:rPr>
              <w:t>Partial run</w:t>
            </w:r>
          </w:p>
        </w:tc>
        <w:tc>
          <w:tcPr>
            <w:tcW w:type="dxa" w:w="8208"/>
            <w:vAlign w:val="center"/>
            <w:shd w:fill="F6F9FC"/>
          </w:tcPr>
          <w:p>
            <w:r/>
            <w:r>
              <w:rPr>
                <w:b w:val="0"/>
                <w:sz w:val="17"/>
              </w:rPr>
              <w:t>Amber banner; usable results remain; list failed slices and retry action.</w:t>
            </w:r>
          </w:p>
        </w:tc>
      </w:tr>
      <w:tr>
        <w:tc>
          <w:tcPr>
            <w:tcW w:type="dxa" w:w="2160"/>
            <w:vAlign w:val="center"/>
          </w:tcPr>
          <w:p>
            <w:r/>
            <w:r>
              <w:rPr>
                <w:b w:val="0"/>
                <w:sz w:val="17"/>
              </w:rPr>
              <w:t>Quota exhausted</w:t>
            </w:r>
          </w:p>
        </w:tc>
        <w:tc>
          <w:tcPr>
            <w:tcW w:type="dxa" w:w="8208"/>
            <w:vAlign w:val="center"/>
          </w:tcPr>
          <w:p>
            <w:r/>
            <w:r>
              <w:rPr>
                <w:b w:val="0"/>
                <w:sz w:val="17"/>
              </w:rPr>
              <w:t>Exact bucket, reset timing and queued action; disable only affected actions.</w:t>
            </w:r>
          </w:p>
        </w:tc>
      </w:tr>
      <w:tr>
        <w:tc>
          <w:tcPr>
            <w:tcW w:type="dxa" w:w="2160"/>
            <w:vAlign w:val="center"/>
            <w:shd w:fill="F6F9FC"/>
          </w:tcPr>
          <w:p>
            <w:r/>
            <w:r>
              <w:rPr>
                <w:b w:val="0"/>
                <w:sz w:val="17"/>
              </w:rPr>
              <w:t>Stale data</w:t>
            </w:r>
          </w:p>
        </w:tc>
        <w:tc>
          <w:tcPr>
            <w:tcW w:type="dxa" w:w="8208"/>
            <w:vAlign w:val="center"/>
            <w:shd w:fill="F6F9FC"/>
          </w:tcPr>
          <w:p>
            <w:r/>
            <w:r>
              <w:rPr>
                <w:b w:val="0"/>
                <w:sz w:val="17"/>
              </w:rPr>
              <w:t>Show last successful refresh and cause; avoid “live” language.</w:t>
            </w:r>
          </w:p>
        </w:tc>
      </w:tr>
      <w:tr>
        <w:tc>
          <w:tcPr>
            <w:tcW w:type="dxa" w:w="2160"/>
            <w:vAlign w:val="center"/>
          </w:tcPr>
          <w:p>
            <w:r/>
            <w:r>
              <w:rPr>
                <w:b w:val="0"/>
                <w:sz w:val="17"/>
              </w:rPr>
              <w:t>Permission denied</w:t>
            </w:r>
          </w:p>
        </w:tc>
        <w:tc>
          <w:tcPr>
            <w:tcW w:type="dxa" w:w="8208"/>
            <w:vAlign w:val="center"/>
          </w:tcPr>
          <w:p>
            <w:r/>
            <w:r>
              <w:rPr>
                <w:b w:val="0"/>
                <w:sz w:val="17"/>
              </w:rPr>
              <w:t>State required permission; do not reveal existence of inaccessible objects.</w:t>
            </w:r>
          </w:p>
        </w:tc>
      </w:tr>
      <w:tr>
        <w:tc>
          <w:tcPr>
            <w:tcW w:type="dxa" w:w="2160"/>
            <w:vAlign w:val="center"/>
            <w:shd w:fill="F6F9FC"/>
          </w:tcPr>
          <w:p>
            <w:r/>
            <w:r>
              <w:rPr>
                <w:b w:val="0"/>
                <w:sz w:val="17"/>
              </w:rPr>
              <w:t>Policy disabled</w:t>
            </w:r>
          </w:p>
        </w:tc>
        <w:tc>
          <w:tcPr>
            <w:tcW w:type="dxa" w:w="8208"/>
            <w:vAlign w:val="center"/>
            <w:shd w:fill="F6F9FC"/>
          </w:tcPr>
          <w:p>
            <w:r/>
            <w:r>
              <w:rPr>
                <w:b w:val="0"/>
                <w:sz w:val="17"/>
              </w:rPr>
              <w:t>Explain feature temporarily unavailable; hide stale derived score if required by switch.</w:t>
            </w:r>
          </w:p>
        </w:tc>
      </w:tr>
      <w:tr>
        <w:tc>
          <w:tcPr>
            <w:tcW w:type="dxa" w:w="2160"/>
            <w:vAlign w:val="center"/>
          </w:tcPr>
          <w:p>
            <w:r/>
            <w:r>
              <w:rPr>
                <w:b w:val="0"/>
                <w:sz w:val="17"/>
              </w:rPr>
              <w:t>Error</w:t>
            </w:r>
          </w:p>
        </w:tc>
        <w:tc>
          <w:tcPr>
            <w:tcW w:type="dxa" w:w="8208"/>
            <w:vAlign w:val="center"/>
          </w:tcPr>
          <w:p>
            <w:r/>
            <w:r>
              <w:rPr>
                <w:b w:val="0"/>
                <w:sz w:val="17"/>
              </w:rPr>
              <w:t>Human-readable message plus correlation ID; retry where safe.</w:t>
            </w:r>
          </w:p>
        </w:tc>
      </w:tr>
    </w:tbl>
    <w:p/>
    <w:p>
      <w:pPr>
        <w:pStyle w:val="Heading1"/>
      </w:pPr>
      <w:r>
        <w:t>9. Visual Semantics</w:t>
      </w:r>
    </w:p>
    <w:tbl>
      <w:tblPr>
        <w:tblStyle w:val="TableGrid"/>
        <w:tblW w:type="auto" w:w="0"/>
        <w:jc w:val="center"/>
        <w:tblLook w:firstColumn="1" w:firstRow="1" w:lastColumn="0" w:lastRow="0" w:noHBand="0" w:noVBand="1" w:val="04A0"/>
      </w:tblPr>
      <w:tblGrid>
        <w:gridCol w:w="5040"/>
        <w:gridCol w:w="5040"/>
      </w:tblGrid>
      <w:tr>
        <w:tc>
          <w:tcPr>
            <w:tcW w:type="dxa" w:w="2304"/>
            <w:shd w:fill="1F4E78"/>
            <w:vAlign w:val="center"/>
          </w:tcPr>
          <w:p>
            <w:r/>
            <w:r>
              <w:rPr>
                <w:b/>
                <w:color w:val="FFFFFF"/>
                <w:sz w:val="17"/>
              </w:rPr>
              <w:t>Element</w:t>
            </w:r>
          </w:p>
        </w:tc>
        <w:tc>
          <w:tcPr>
            <w:tcW w:type="dxa" w:w="8064"/>
            <w:shd w:fill="1F4E78"/>
            <w:vAlign w:val="center"/>
          </w:tcPr>
          <w:p>
            <w:r/>
            <w:r>
              <w:rPr>
                <w:b/>
                <w:color w:val="FFFFFF"/>
                <w:sz w:val="17"/>
              </w:rPr>
              <w:t>Rule</w:t>
            </w:r>
          </w:p>
        </w:tc>
      </w:tr>
      <w:tr>
        <w:tc>
          <w:tcPr>
            <w:tcW w:type="dxa" w:w="2304"/>
            <w:vAlign w:val="center"/>
          </w:tcPr>
          <w:p>
            <w:r/>
            <w:r>
              <w:rPr>
                <w:b w:val="0"/>
                <w:sz w:val="17"/>
              </w:rPr>
              <w:t>Score</w:t>
            </w:r>
          </w:p>
        </w:tc>
        <w:tc>
          <w:tcPr>
            <w:tcW w:type="dxa" w:w="8064"/>
            <w:vAlign w:val="center"/>
          </w:tcPr>
          <w:p>
            <w:r/>
            <w:r>
              <w:rPr>
                <w:b w:val="0"/>
                <w:sz w:val="17"/>
              </w:rPr>
              <w:t>Do not use green/red alone. Pair number with label and confidence.</w:t>
            </w:r>
          </w:p>
        </w:tc>
      </w:tr>
      <w:tr>
        <w:tc>
          <w:tcPr>
            <w:tcW w:type="dxa" w:w="2304"/>
            <w:vAlign w:val="center"/>
            <w:shd w:fill="F6F9FC"/>
          </w:tcPr>
          <w:p>
            <w:r/>
            <w:r>
              <w:rPr>
                <w:b w:val="0"/>
                <w:sz w:val="17"/>
              </w:rPr>
              <w:t>Confidence</w:t>
            </w:r>
          </w:p>
        </w:tc>
        <w:tc>
          <w:tcPr>
            <w:tcW w:type="dxa" w:w="8064"/>
            <w:vAlign w:val="center"/>
            <w:shd w:fill="F6F9FC"/>
          </w:tcPr>
          <w:p>
            <w:r/>
            <w:r>
              <w:rPr>
                <w:b w:val="0"/>
                <w:sz w:val="17"/>
              </w:rPr>
              <w:t>High = shield/check icon; Medium = half-filled; Low = warning; text always visible.</w:t>
            </w:r>
          </w:p>
        </w:tc>
      </w:tr>
      <w:tr>
        <w:tc>
          <w:tcPr>
            <w:tcW w:type="dxa" w:w="2304"/>
            <w:vAlign w:val="center"/>
          </w:tcPr>
          <w:p>
            <w:r/>
            <w:r>
              <w:rPr>
                <w:b w:val="0"/>
                <w:sz w:val="17"/>
              </w:rPr>
              <w:t>Reason chips</w:t>
            </w:r>
          </w:p>
        </w:tc>
        <w:tc>
          <w:tcPr>
            <w:tcW w:type="dxa" w:w="8064"/>
            <w:vAlign w:val="center"/>
          </w:tcPr>
          <w:p>
            <w:r/>
            <w:r>
              <w:rPr>
                <w:b w:val="0"/>
                <w:sz w:val="17"/>
              </w:rPr>
              <w:t>Neutral blue for evidence; amber for caveats; red only for errors/security.</w:t>
            </w:r>
          </w:p>
        </w:tc>
      </w:tr>
      <w:tr>
        <w:tc>
          <w:tcPr>
            <w:tcW w:type="dxa" w:w="2304"/>
            <w:vAlign w:val="center"/>
            <w:shd w:fill="F6F9FC"/>
          </w:tcPr>
          <w:p>
            <w:r/>
            <w:r>
              <w:rPr>
                <w:b w:val="0"/>
                <w:sz w:val="17"/>
              </w:rPr>
              <w:t>Trend</w:t>
            </w:r>
          </w:p>
        </w:tc>
        <w:tc>
          <w:tcPr>
            <w:tcW w:type="dxa" w:w="8064"/>
            <w:vAlign w:val="center"/>
            <w:shd w:fill="F6F9FC"/>
          </w:tcPr>
          <w:p>
            <w:r/>
            <w:r>
              <w:rPr>
                <w:b w:val="0"/>
                <w:sz w:val="17"/>
              </w:rPr>
              <w:t>Show observed points and line; gaps remain gaps.</w:t>
            </w:r>
          </w:p>
        </w:tc>
      </w:tr>
      <w:tr>
        <w:tc>
          <w:tcPr>
            <w:tcW w:type="dxa" w:w="2304"/>
            <w:vAlign w:val="center"/>
          </w:tcPr>
          <w:p>
            <w:r/>
            <w:r>
              <w:rPr>
                <w:b w:val="0"/>
                <w:sz w:val="17"/>
              </w:rPr>
              <w:t>Approximate values</w:t>
            </w:r>
          </w:p>
        </w:tc>
        <w:tc>
          <w:tcPr>
            <w:tcW w:type="dxa" w:w="8064"/>
            <w:vAlign w:val="center"/>
          </w:tcPr>
          <w:p>
            <w:r/>
            <w:r>
              <w:rPr>
                <w:b w:val="0"/>
                <w:sz w:val="17"/>
              </w:rPr>
              <w:t>Prefix ≈ and tooltip describing public rounding.</w:t>
            </w:r>
          </w:p>
        </w:tc>
      </w:tr>
      <w:tr>
        <w:tc>
          <w:tcPr>
            <w:tcW w:type="dxa" w:w="2304"/>
            <w:vAlign w:val="center"/>
            <w:shd w:fill="F6F9FC"/>
          </w:tcPr>
          <w:p>
            <w:r/>
            <w:r>
              <w:rPr>
                <w:b w:val="0"/>
                <w:sz w:val="17"/>
              </w:rPr>
              <w:t>Proprietary metric</w:t>
            </w:r>
          </w:p>
        </w:tc>
        <w:tc>
          <w:tcPr>
            <w:tcW w:type="dxa" w:w="8064"/>
            <w:vAlign w:val="center"/>
            <w:shd w:fill="F6F9FC"/>
          </w:tcPr>
          <w:p>
            <w:r/>
            <w:r>
              <w:rPr>
                <w:b w:val="0"/>
                <w:sz w:val="17"/>
              </w:rPr>
              <w:t>Persistent “Product-generated” or “Proprietary” badge.</w:t>
            </w:r>
          </w:p>
        </w:tc>
      </w:tr>
      <w:tr>
        <w:tc>
          <w:tcPr>
            <w:tcW w:type="dxa" w:w="2304"/>
            <w:vAlign w:val="center"/>
          </w:tcPr>
          <w:p>
            <w:r/>
            <w:r>
              <w:rPr>
                <w:b w:val="0"/>
                <w:sz w:val="17"/>
              </w:rPr>
              <w:t>YouTube source</w:t>
            </w:r>
          </w:p>
        </w:tc>
        <w:tc>
          <w:tcPr>
            <w:tcW w:type="dxa" w:w="8064"/>
            <w:vAlign w:val="center"/>
          </w:tcPr>
          <w:p>
            <w:r/>
            <w:r>
              <w:rPr>
                <w:b w:val="0"/>
                <w:sz w:val="17"/>
              </w:rPr>
              <w:t>Use compliant attribution and direct links without implying endorsement.</w:t>
            </w:r>
          </w:p>
        </w:tc>
      </w:tr>
    </w:tbl>
    <w:p/>
    <w:p>
      <w:pPr>
        <w:pStyle w:val="Heading1"/>
      </w:pPr>
      <w:r>
        <w:t>10. Accessibility Requirements</w:t>
      </w:r>
    </w:p>
    <w:p>
      <w:pPr>
        <w:pStyle w:val="ListBullet"/>
      </w:pPr>
      <w:r>
        <w:t>All functionality keyboard operable; visible focus ring; logical focus order.</w:t>
      </w:r>
    </w:p>
    <w:p>
      <w:pPr>
        <w:pStyle w:val="ListBullet"/>
      </w:pPr>
      <w:r>
        <w:t>Charts have text summaries and tabular alternatives.</w:t>
      </w:r>
    </w:p>
    <w:p>
      <w:pPr>
        <w:pStyle w:val="ListBullet"/>
      </w:pPr>
      <w:r>
        <w:t>Color contrast meets WCAG 2.2 AA.</w:t>
      </w:r>
    </w:p>
    <w:p>
      <w:pPr>
        <w:pStyle w:val="ListBullet"/>
      </w:pPr>
      <w:r>
        <w:t>Tables use semantic headers and announce sort state.</w:t>
      </w:r>
    </w:p>
    <w:p>
      <w:pPr>
        <w:pStyle w:val="ListBullet"/>
      </w:pPr>
      <w:r>
        <w:t>Icon-only controls have accessible names.</w:t>
      </w:r>
    </w:p>
    <w:p>
      <w:pPr>
        <w:pStyle w:val="ListBullet"/>
      </w:pPr>
      <w:r>
        <w:t>Dynamic run progress and alerts use non-disruptive live regions.</w:t>
      </w:r>
    </w:p>
    <w:p>
      <w:pPr>
        <w:pStyle w:val="ListBullet"/>
      </w:pPr>
      <w:r>
        <w:t>Touch targets at least 44 × 44 CSS pixels where practical.</w:t>
      </w:r>
    </w:p>
    <w:p>
      <w:pPr>
        <w:pStyle w:val="ListBullet"/>
      </w:pPr>
      <w:r>
        <w:t>Do not place critical definitions only in hover tooltips; tooltips must also be focusable.</w:t>
      </w:r>
    </w:p>
    <w:p>
      <w:pPr>
        <w:pStyle w:val="Heading1"/>
      </w:pPr>
      <w:r>
        <w:t>11. Responsive Behaviour</w:t>
      </w:r>
    </w:p>
    <w:tbl>
      <w:tblPr>
        <w:tblStyle w:val="TableGrid"/>
        <w:tblW w:type="auto" w:w="0"/>
        <w:jc w:val="center"/>
        <w:tblLook w:firstColumn="1" w:firstRow="1" w:lastColumn="0" w:lastRow="0" w:noHBand="0" w:noVBand="1" w:val="04A0"/>
      </w:tblPr>
      <w:tblGrid>
        <w:gridCol w:w="5040"/>
        <w:gridCol w:w="5040"/>
      </w:tblGrid>
      <w:tr>
        <w:tc>
          <w:tcPr>
            <w:tcW w:type="dxa" w:w="1728"/>
            <w:shd w:fill="1F4E78"/>
            <w:vAlign w:val="center"/>
          </w:tcPr>
          <w:p>
            <w:r/>
            <w:r>
              <w:rPr>
                <w:b/>
                <w:color w:val="FFFFFF"/>
                <w:sz w:val="17"/>
              </w:rPr>
              <w:t>Viewport</w:t>
            </w:r>
          </w:p>
        </w:tc>
        <w:tc>
          <w:tcPr>
            <w:tcW w:type="dxa" w:w="8640"/>
            <w:shd w:fill="1F4E78"/>
            <w:vAlign w:val="center"/>
          </w:tcPr>
          <w:p>
            <w:r/>
            <w:r>
              <w:rPr>
                <w:b/>
                <w:color w:val="FFFFFF"/>
                <w:sz w:val="17"/>
              </w:rPr>
              <w:t>Behaviour</w:t>
            </w:r>
          </w:p>
        </w:tc>
      </w:tr>
      <w:tr>
        <w:tc>
          <w:tcPr>
            <w:tcW w:type="dxa" w:w="1728"/>
            <w:vAlign w:val="center"/>
          </w:tcPr>
          <w:p>
            <w:r/>
            <w:r>
              <w:rPr>
                <w:b w:val="0"/>
                <w:sz w:val="17"/>
              </w:rPr>
              <w:t>≥1280 px</w:t>
            </w:r>
          </w:p>
        </w:tc>
        <w:tc>
          <w:tcPr>
            <w:tcW w:type="dxa" w:w="8640"/>
            <w:vAlign w:val="center"/>
          </w:tcPr>
          <w:p>
            <w:r/>
            <w:r>
              <w:rPr>
                <w:b w:val="0"/>
                <w:sz w:val="17"/>
              </w:rPr>
              <w:t>Full navigation; results table; side analyst panel.</w:t>
            </w:r>
          </w:p>
        </w:tc>
      </w:tr>
      <w:tr>
        <w:tc>
          <w:tcPr>
            <w:tcW w:type="dxa" w:w="1728"/>
            <w:vAlign w:val="center"/>
            <w:shd w:fill="F6F9FC"/>
          </w:tcPr>
          <w:p>
            <w:r/>
            <w:r>
              <w:rPr>
                <w:b w:val="0"/>
                <w:sz w:val="17"/>
              </w:rPr>
              <w:t>768–1279 px</w:t>
            </w:r>
          </w:p>
        </w:tc>
        <w:tc>
          <w:tcPr>
            <w:tcW w:type="dxa" w:w="8640"/>
            <w:vAlign w:val="center"/>
            <w:shd w:fill="F6F9FC"/>
          </w:tcPr>
          <w:p>
            <w:r/>
            <w:r>
              <w:rPr>
                <w:b w:val="0"/>
                <w:sz w:val="17"/>
              </w:rPr>
              <w:t>Collapsible navigation; table columns prioritized; filters in drawer.</w:t>
            </w:r>
          </w:p>
        </w:tc>
      </w:tr>
      <w:tr>
        <w:tc>
          <w:tcPr>
            <w:tcW w:type="dxa" w:w="1728"/>
            <w:vAlign w:val="center"/>
          </w:tcPr>
          <w:p>
            <w:r/>
            <w:r>
              <w:rPr>
                <w:b w:val="0"/>
                <w:sz w:val="17"/>
              </w:rPr>
              <w:t>&lt;768 px</w:t>
            </w:r>
          </w:p>
        </w:tc>
        <w:tc>
          <w:tcPr>
            <w:tcW w:type="dxa" w:w="8640"/>
            <w:vAlign w:val="center"/>
          </w:tcPr>
          <w:p>
            <w:r/>
            <w:r>
              <w:rPr>
                <w:b w:val="0"/>
                <w:sz w:val="17"/>
              </w:rPr>
              <w:t>Read/review support only in MVP; cards replace wide table; search builder uses stepper.</w:t>
            </w:r>
          </w:p>
        </w:tc>
      </w:tr>
      <w:tr>
        <w:tc>
          <w:tcPr>
            <w:tcW w:type="dxa" w:w="1728"/>
            <w:vAlign w:val="center"/>
            <w:shd w:fill="F6F9FC"/>
          </w:tcPr>
          <w:p>
            <w:r/>
            <w:r>
              <w:rPr>
                <w:b w:val="0"/>
                <w:sz w:val="17"/>
              </w:rPr>
              <w:t>Export/print</w:t>
            </w:r>
          </w:p>
        </w:tc>
        <w:tc>
          <w:tcPr>
            <w:tcW w:type="dxa" w:w="8640"/>
            <w:vAlign w:val="center"/>
            <w:shd w:fill="F6F9FC"/>
          </w:tcPr>
          <w:p>
            <w:r/>
            <w:r>
              <w:rPr>
                <w:b w:val="0"/>
                <w:sz w:val="17"/>
              </w:rPr>
              <w:t>Dedicated clean report view; no navigation; timestamps and source labels retained.</w:t>
            </w:r>
          </w:p>
        </w:tc>
      </w:tr>
    </w:tbl>
    <w:p/>
    <w:p>
      <w:pPr>
        <w:pStyle w:val="Heading1"/>
      </w:pPr>
      <w:r>
        <w:t>12. UX Copy Standards</w:t>
      </w:r>
    </w:p>
    <w:tbl>
      <w:tblPr>
        <w:tblStyle w:val="TableGrid"/>
        <w:tblW w:type="auto" w:w="0"/>
        <w:jc w:val="center"/>
        <w:tblLook w:firstColumn="1" w:firstRow="1" w:lastColumn="0" w:lastRow="0" w:noHBand="0" w:noVBand="1" w:val="04A0"/>
      </w:tblPr>
      <w:tblGrid>
        <w:gridCol w:w="5040"/>
        <w:gridCol w:w="5040"/>
      </w:tblGrid>
      <w:tr>
        <w:tc>
          <w:tcPr>
            <w:tcW w:type="dxa" w:w="4896"/>
            <w:shd w:fill="1F4E78"/>
            <w:vAlign w:val="center"/>
          </w:tcPr>
          <w:p>
            <w:r/>
            <w:r>
              <w:rPr>
                <w:b/>
                <w:color w:val="FFFFFF"/>
                <w:sz w:val="17"/>
              </w:rPr>
              <w:t>Avoid</w:t>
            </w:r>
          </w:p>
        </w:tc>
        <w:tc>
          <w:tcPr>
            <w:tcW w:type="dxa" w:w="5472"/>
            <w:shd w:fill="1F4E78"/>
            <w:vAlign w:val="center"/>
          </w:tcPr>
          <w:p>
            <w:r/>
            <w:r>
              <w:rPr>
                <w:b/>
                <w:color w:val="FFFFFF"/>
                <w:sz w:val="17"/>
              </w:rPr>
              <w:t>Use</w:t>
            </w:r>
          </w:p>
        </w:tc>
      </w:tr>
      <w:tr>
        <w:tc>
          <w:tcPr>
            <w:tcW w:type="dxa" w:w="4896"/>
            <w:vAlign w:val="center"/>
          </w:tcPr>
          <w:p>
            <w:r/>
            <w:r>
              <w:rPr>
                <w:b w:val="0"/>
                <w:sz w:val="17"/>
              </w:rPr>
              <w:t>“This channel is guaranteed to explode.”</w:t>
            </w:r>
          </w:p>
        </w:tc>
        <w:tc>
          <w:tcPr>
            <w:tcW w:type="dxa" w:w="5472"/>
            <w:vAlign w:val="center"/>
          </w:tcPr>
          <w:p>
            <w:r/>
            <w:r>
              <w:rPr>
                <w:b w:val="0"/>
                <w:sz w:val="17"/>
              </w:rPr>
              <w:t>“Strong recent public reach relative to current subscriber scale.”</w:t>
            </w:r>
          </w:p>
        </w:tc>
      </w:tr>
      <w:tr>
        <w:tc>
          <w:tcPr>
            <w:tcW w:type="dxa" w:w="4896"/>
            <w:vAlign w:val="center"/>
            <w:shd w:fill="F6F9FC"/>
          </w:tcPr>
          <w:p>
            <w:r/>
            <w:r>
              <w:rPr>
                <w:b w:val="0"/>
                <w:sz w:val="17"/>
              </w:rPr>
              <w:t>“Live subscribers”</w:t>
            </w:r>
          </w:p>
        </w:tc>
        <w:tc>
          <w:tcPr>
            <w:tcW w:type="dxa" w:w="5472"/>
            <w:vAlign w:val="center"/>
            <w:shd w:fill="F6F9FC"/>
          </w:tcPr>
          <w:p>
            <w:r/>
            <w:r>
              <w:rPr>
                <w:b w:val="0"/>
                <w:sz w:val="17"/>
              </w:rPr>
              <w:t>“Public subscribers collected 18 minutes ago.”</w:t>
            </w:r>
          </w:p>
        </w:tc>
      </w:tr>
      <w:tr>
        <w:tc>
          <w:tcPr>
            <w:tcW w:type="dxa" w:w="4896"/>
            <w:vAlign w:val="center"/>
          </w:tcPr>
          <w:p>
            <w:r/>
            <w:r>
              <w:rPr>
                <w:b w:val="0"/>
                <w:sz w:val="17"/>
              </w:rPr>
              <w:t>“YouTube growth score”</w:t>
            </w:r>
          </w:p>
        </w:tc>
        <w:tc>
          <w:tcPr>
            <w:tcW w:type="dxa" w:w="5472"/>
            <w:vAlign w:val="center"/>
          </w:tcPr>
          <w:p>
            <w:r/>
            <w:r>
              <w:rPr>
                <w:b w:val="0"/>
                <w:sz w:val="17"/>
              </w:rPr>
              <w:t>“Momentum Score — product-generated.”</w:t>
            </w:r>
          </w:p>
        </w:tc>
      </w:tr>
      <w:tr>
        <w:tc>
          <w:tcPr>
            <w:tcW w:type="dxa" w:w="4896"/>
            <w:vAlign w:val="center"/>
            <w:shd w:fill="F6F9FC"/>
          </w:tcPr>
          <w:p>
            <w:r/>
            <w:r>
              <w:rPr>
                <w:b w:val="0"/>
                <w:sz w:val="17"/>
              </w:rPr>
              <w:t>“Scanned all of YouTube”</w:t>
            </w:r>
          </w:p>
        </w:tc>
        <w:tc>
          <w:tcPr>
            <w:tcW w:type="dxa" w:w="5472"/>
            <w:vAlign w:val="center"/>
            <w:shd w:fill="F6F9FC"/>
          </w:tcPr>
          <w:p>
            <w:r/>
            <w:r>
              <w:rPr>
                <w:b w:val="0"/>
                <w:sz w:val="17"/>
              </w:rPr>
              <w:t>“Searched the configured topics and market.”</w:t>
            </w:r>
          </w:p>
        </w:tc>
      </w:tr>
      <w:tr>
        <w:tc>
          <w:tcPr>
            <w:tcW w:type="dxa" w:w="4896"/>
            <w:vAlign w:val="center"/>
          </w:tcPr>
          <w:p>
            <w:r/>
            <w:r>
              <w:rPr>
                <w:b w:val="0"/>
                <w:sz w:val="17"/>
              </w:rPr>
              <w:t>“No results”</w:t>
            </w:r>
          </w:p>
        </w:tc>
        <w:tc>
          <w:tcPr>
            <w:tcW w:type="dxa" w:w="5472"/>
            <w:vAlign w:val="center"/>
          </w:tcPr>
          <w:p>
            <w:r/>
            <w:r>
              <w:rPr>
                <w:b w:val="0"/>
                <w:sz w:val="17"/>
              </w:rPr>
              <w:t>“42 channels discovered; none met the current qualification rules.”</w:t>
            </w:r>
          </w:p>
        </w:tc>
      </w:tr>
    </w:tbl>
    <w:p/>
    <w:p>
      <w:pPr>
        <w:pStyle w:val="Heading1"/>
      </w:pPr>
      <w:r>
        <w:t>13. Wireframe-Level Layouts</w:t>
      </w:r>
    </w:p>
    <w:p>
      <w:pPr>
        <w:pStyle w:val="Heading2"/>
      </w:pPr>
      <w:r>
        <w:t>Overview</w:t>
      </w:r>
    </w:p>
    <w:p>
      <w:r>
        <w:t>Header → quota/policy banner → four KPI cards → emerging channel table → recent alerts → run health panel.</w:t>
      </w:r>
    </w:p>
    <w:p>
      <w:pPr>
        <w:pStyle w:val="Heading2"/>
      </w:pPr>
      <w:r>
        <w:t>Discover builder</w:t>
      </w:r>
    </w:p>
    <w:p>
      <w:r>
        <w:t>Step 1 Market → Step 2 Content → Step 3 Qualification → Step 4 Schedule &amp; budget → Review and run.</w:t>
      </w:r>
    </w:p>
    <w:p>
      <w:pPr>
        <w:pStyle w:val="Heading2"/>
      </w:pPr>
      <w:r>
        <w:t>Channel detail</w:t>
      </w:r>
    </w:p>
    <w:p>
      <w:r>
        <w:t>Identity header → decision strip → metrics → score explanation → video evidence → trends → analyst activity.</w:t>
      </w:r>
    </w:p>
    <w:p>
      <w:pPr>
        <w:pStyle w:val="Heading2"/>
      </w:pPr>
      <w:r>
        <w:t>Admin quota</w:t>
      </w:r>
    </w:p>
    <w:p>
      <w:r>
        <w:t>Three quota cards → 7-day usage chart → active reservations → jobs table → policy switches with step-up control.</w:t>
      </w:r>
    </w:p>
    <w:p>
      <w:pPr>
        <w:pStyle w:val="Heading1"/>
      </w:pPr>
      <w:r>
        <w:t>14. Usability Acceptance Tests</w:t>
      </w:r>
    </w:p>
    <w:p>
      <w:pPr>
        <w:pStyle w:val="ListBullet"/>
      </w:pPr>
      <w:r>
        <w:t>A first-time analyst creates a valid search definition without assistance in under five minutes.</w:t>
      </w:r>
    </w:p>
    <w:p>
      <w:pPr>
        <w:pStyle w:val="ListBullet"/>
      </w:pPr>
      <w:r>
        <w:t>A reviewer can explain why a top-ranked channel appears in under 60 seconds.</w:t>
      </w:r>
    </w:p>
    <w:p>
      <w:pPr>
        <w:pStyle w:val="ListBullet"/>
      </w:pPr>
      <w:r>
        <w:t>A user can distinguish official source metrics from proprietary metrics in every results/detail view.</w:t>
      </w:r>
    </w:p>
    <w:p>
      <w:pPr>
        <w:pStyle w:val="ListBullet"/>
      </w:pPr>
      <w:r>
        <w:t>A keyboard-only user can create a watchlist and add a channel.</w:t>
      </w:r>
    </w:p>
    <w:p>
      <w:pPr>
        <w:pStyle w:val="ListBullet"/>
      </w:pPr>
      <w:r>
        <w:t>When quota is exhausted, the user understands which actions still work and when collection can resume.</w:t>
      </w:r>
    </w:p>
    <w:p>
      <w:pPr>
        <w:pStyle w:val="ListBullet"/>
      </w:pPr>
      <w:r>
        <w:t>No screen claims completeness, certainty or real-time freshness when the data does not support it.</w:t>
      </w:r>
    </w:p>
    <w:p>
      <w:pPr>
        <w:pStyle w:val="Heading1"/>
        <w:pageBreakBefore/>
      </w:pPr>
      <w:r>
        <w:t>Authoritative References</w:t>
      </w:r>
    </w:p>
    <w:p>
      <w:r>
        <w:rPr>
          <w:b/>
          <w:color w:val="1F4E78"/>
        </w:rPr>
        <w:t>S1 — YouTube Data API - Channels resource</w:t>
      </w:r>
    </w:p>
    <w:p>
      <w:r>
        <w:t>https://developers.google.com/youtube/v3/docs/channels</w:t>
      </w:r>
    </w:p>
    <w:p>
      <w:r>
        <w:t>Public channel statistics include subscriberCount, hiddenSubscriberCount, viewCount and videoCount. Subscriber count may be rounded.</w:t>
      </w:r>
    </w:p>
    <w:p>
      <w:r>
        <w:rPr>
          <w:b/>
          <w:color w:val="1F4E78"/>
        </w:rPr>
        <w:t>S2 — YouTube Data API - Videos list</w:t>
      </w:r>
    </w:p>
    <w:p>
      <w:r>
        <w:t>https://developers.google.com/youtube/v3/docs/videos/list</w:t>
      </w:r>
    </w:p>
    <w:p>
      <w:r>
        <w:t>Public video statistics can be retrieved using the official API.</w:t>
      </w:r>
    </w:p>
    <w:p>
      <w:r>
        <w:rPr>
          <w:b/>
          <w:color w:val="1F4E78"/>
        </w:rPr>
        <w:t>S3 — YouTube Data API - Search list</w:t>
      </w:r>
    </w:p>
    <w:p>
      <w:r>
        <w:t>https://developers.google.com/youtube/v3/docs/search/list</w:t>
      </w:r>
    </w:p>
    <w:p>
      <w:r>
        <w:t>Search discovery is quota-limited; current default search bucket is 100 calls/day.</w:t>
      </w:r>
    </w:p>
    <w:p>
      <w:r>
        <w:rPr>
          <w:b/>
          <w:color w:val="1F4E78"/>
        </w:rPr>
        <w:t>S4 — YouTube Data API - Quota Calculator</w:t>
      </w:r>
    </w:p>
    <w:p>
      <w:r>
        <w:t>https://developers.google.com/youtube/v3/determine_quota_cost</w:t>
      </w:r>
    </w:p>
    <w:p>
      <w:r>
        <w:t>Current default allocation includes 100 search.list calls/day and 10,000 units/day for other endpoints; quotas reset at midnight Pacific Time.</w:t>
      </w:r>
    </w:p>
    <w:p>
      <w:r>
        <w:rPr>
          <w:b/>
          <w:color w:val="1F4E78"/>
        </w:rPr>
        <w:t>S5 — YouTube Data API - videos.batchGetStats</w:t>
      </w:r>
    </w:p>
    <w:p>
      <w:r>
        <w:t>https://developers.google.com/youtube/v3/docs/videos/batchGetStats</w:t>
      </w:r>
    </w:p>
    <w:p>
      <w:r>
        <w:t>Introduced in June 2026; public video statistics can be retrieved in batches at one unit per call in its own quota bucket.</w:t>
      </w:r>
    </w:p>
    <w:p>
      <w:r>
        <w:rPr>
          <w:b/>
          <w:color w:val="1F4E78"/>
        </w:rPr>
        <w:t>S6 — YouTube Analytics and Reporting API Introduction</w:t>
      </w:r>
    </w:p>
    <w:p>
      <w:r>
        <w:t>https://developers.google.com/youtube/reporting</w:t>
      </w:r>
    </w:p>
    <w:p>
      <w:r>
        <w:t>Private analytics require authorization by the channel or content owner.</w:t>
      </w:r>
    </w:p>
    <w:p>
      <w:r>
        <w:rPr>
          <w:b/>
          <w:color w:val="1F4E78"/>
        </w:rPr>
        <w:t>S7 — YouTube API Services Developer Policies</w:t>
      </w:r>
    </w:p>
    <w:p>
      <w:r>
        <w:t>https://developers.google.com/youtube/terms/developer-policies</w:t>
      </w:r>
    </w:p>
    <w:p>
      <w:r>
        <w:t>Use only documented APIs; comply with credential, storage, display and policy requirements.</w:t>
      </w:r>
    </w:p>
    <w:p>
      <w:r>
        <w:rPr>
          <w:b/>
          <w:color w:val="1F4E78"/>
        </w:rPr>
        <w:t>S8 — Additional policies for derived metrics and data storage</w:t>
      </w:r>
    </w:p>
    <w:p>
      <w:r>
        <w:t>https://developers.google.com/youtube/terms/derived-metrics-policy</w:t>
      </w:r>
    </w:p>
    <w:p>
      <w:r>
        <w:t>Custom scores and ratios require the applicable analytics amendment/audited permission path and must be distinguished from YouTube API metrics.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Confidential working draft | Version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YT Signal Scout | UI/UX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832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2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00"/>
      <w:ind w:left="288" w:right="288"/>
    </w:pPr>
    <w:rPr>
      <w:rFonts w:ascii="Aptos" w:hAnsi="Aptos"/>
      <w:color w:val="18324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