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4A"/>
          <w:sz w:val="56"/>
        </w:rPr>
        <w:t>Security and Privacy Specification</w:t>
      </w:r>
    </w:p>
    <w:p>
      <w:pPr>
        <w:jc w:val="center"/>
      </w:pPr>
      <w:r>
        <w:rPr>
          <w:color w:val="666666"/>
          <w:sz w:val="26"/>
        </w:rPr>
        <w:t>YT Signal Scout — Security Architecture, Controls and Compliance Requirements</w:t>
      </w:r>
    </w:p>
    <w:p>
      <w:pPr>
        <w:jc w:val="center"/>
      </w:pPr>
      <w:r>
        <w:rPr>
          <w:color w:val="666666"/>
          <w:sz w:val="18"/>
        </w:rPr>
        <w:t>Version 1.0 | 19 July 2026 | Confidential Working Draft</w:t>
      </w:r>
    </w:p>
    <w:p>
      <w:r>
        <w:br/>
      </w:r>
    </w:p>
    <w:tbl>
      <w:tblPr>
        <w:tblStyle w:val="TableGrid"/>
        <w:tblW w:type="auto" w:w="0"/>
        <w:tblLook w:firstColumn="1" w:firstRow="1" w:lastColumn="0" w:lastRow="0" w:noHBand="0" w:noVBand="1" w:val="04A0"/>
      </w:tblPr>
      <w:tblGrid>
        <w:gridCol w:w="10080"/>
      </w:tblGrid>
      <w:tr>
        <w:tc>
          <w:tcPr>
            <w:tcW w:type="dxa" w:w="10080"/>
            <w:shd w:fill="D9EAF7"/>
          </w:tcPr>
          <w:p>
            <w:r>
              <w:rPr>
                <w:b/>
                <w:color w:val="1F4E78"/>
              </w:rPr>
              <w:t xml:space="preserve">PRODUCT DEFINITION: </w:t>
            </w:r>
            <w:r>
              <w:rPr>
                <w:sz w:val="18"/>
              </w:rPr>
              <w:t>A discovery and monitoring platform that identifies public YouTube channels whose recent videos consistently attract disproportionately high viewership relative to their publicly visible subscriber base, while separating official YouTube metrics from product-generated analytical scores.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448"/>
            <w:shd w:fill="1F4E78"/>
            <w:vAlign w:val="center"/>
          </w:tcPr>
          <w:p>
            <w:r/>
            <w:r>
              <w:rPr>
                <w:b/>
                <w:color w:val="FFFFFF"/>
                <w:sz w:val="17"/>
              </w:rPr>
              <w:t>Field</w:t>
            </w:r>
          </w:p>
        </w:tc>
        <w:tc>
          <w:tcPr>
            <w:tcW w:type="dxa" w:w="7776"/>
            <w:shd w:fill="1F4E78"/>
            <w:vAlign w:val="center"/>
          </w:tcPr>
          <w:p>
            <w:r/>
            <w:r>
              <w:rPr>
                <w:b/>
                <w:color w:val="FFFFFF"/>
                <w:sz w:val="17"/>
              </w:rPr>
              <w:t>Value</w:t>
            </w:r>
          </w:p>
        </w:tc>
      </w:tr>
      <w:tr>
        <w:tc>
          <w:tcPr>
            <w:tcW w:type="dxa" w:w="2448"/>
            <w:vAlign w:val="center"/>
          </w:tcPr>
          <w:p>
            <w:r/>
            <w:r>
              <w:rPr>
                <w:b w:val="0"/>
                <w:sz w:val="17"/>
              </w:rPr>
              <w:t>Document</w:t>
            </w:r>
          </w:p>
        </w:tc>
        <w:tc>
          <w:tcPr>
            <w:tcW w:type="dxa" w:w="7776"/>
            <w:vAlign w:val="center"/>
          </w:tcPr>
          <w:p>
            <w:r/>
            <w:r>
              <w:rPr>
                <w:b w:val="0"/>
                <w:sz w:val="17"/>
              </w:rPr>
              <w:t>Security and Privacy Specification</w:t>
            </w:r>
          </w:p>
        </w:tc>
      </w:tr>
      <w:tr>
        <w:tc>
          <w:tcPr>
            <w:tcW w:type="dxa" w:w="2448"/>
            <w:vAlign w:val="center"/>
            <w:shd w:fill="F6F9FC"/>
          </w:tcPr>
          <w:p>
            <w:r/>
            <w:r>
              <w:rPr>
                <w:b w:val="0"/>
                <w:sz w:val="17"/>
              </w:rPr>
              <w:t>Owner</w:t>
            </w:r>
          </w:p>
        </w:tc>
        <w:tc>
          <w:tcPr>
            <w:tcW w:type="dxa" w:w="7776"/>
            <w:vAlign w:val="center"/>
            <w:shd w:fill="F6F9FC"/>
          </w:tcPr>
          <w:p>
            <w:r/>
            <w:r>
              <w:rPr>
                <w:b w:val="0"/>
                <w:sz w:val="17"/>
              </w:rPr>
              <w:t>Product and Engineering</w:t>
            </w:r>
          </w:p>
        </w:tc>
      </w:tr>
      <w:tr>
        <w:tc>
          <w:tcPr>
            <w:tcW w:type="dxa" w:w="2448"/>
            <w:vAlign w:val="center"/>
          </w:tcPr>
          <w:p>
            <w:r/>
            <w:r>
              <w:rPr>
                <w:b w:val="0"/>
                <w:sz w:val="17"/>
              </w:rPr>
              <w:t>Status</w:t>
            </w:r>
          </w:p>
        </w:tc>
        <w:tc>
          <w:tcPr>
            <w:tcW w:type="dxa" w:w="7776"/>
            <w:vAlign w:val="center"/>
          </w:tcPr>
          <w:p>
            <w:r/>
            <w:r>
              <w:rPr>
                <w:b w:val="0"/>
                <w:sz w:val="17"/>
              </w:rPr>
              <w:t>Baseline draft for validation</w:t>
            </w:r>
          </w:p>
        </w:tc>
      </w:tr>
      <w:tr>
        <w:tc>
          <w:tcPr>
            <w:tcW w:type="dxa" w:w="2448"/>
            <w:vAlign w:val="center"/>
            <w:shd w:fill="F6F9FC"/>
          </w:tcPr>
          <w:p>
            <w:r/>
            <w:r>
              <w:rPr>
                <w:b w:val="0"/>
                <w:sz w:val="17"/>
              </w:rPr>
              <w:t>Review cadence</w:t>
            </w:r>
          </w:p>
        </w:tc>
        <w:tc>
          <w:tcPr>
            <w:tcW w:type="dxa" w:w="7776"/>
            <w:vAlign w:val="center"/>
            <w:shd w:fill="F6F9FC"/>
          </w:tcPr>
          <w:p>
            <w:r/>
            <w:r>
              <w:rPr>
                <w:b w:val="0"/>
                <w:sz w:val="17"/>
              </w:rPr>
              <w:t>At every material API/policy or architecture change</w:t>
            </w:r>
          </w:p>
        </w:tc>
      </w:tr>
      <w:tr>
        <w:tc>
          <w:tcPr>
            <w:tcW w:type="dxa" w:w="2448"/>
            <w:vAlign w:val="center"/>
          </w:tcPr>
          <w:p>
            <w:r/>
            <w:r>
              <w:rPr>
                <w:b w:val="0"/>
                <w:sz w:val="17"/>
              </w:rPr>
              <w:t>Approvers</w:t>
            </w:r>
          </w:p>
        </w:tc>
        <w:tc>
          <w:tcPr>
            <w:tcW w:type="dxa" w:w="7776"/>
            <w:vAlign w:val="center"/>
          </w:tcPr>
          <w:p>
            <w:r/>
            <w:r>
              <w:rPr>
                <w:b w:val="0"/>
                <w:sz w:val="17"/>
              </w:rPr>
              <w:t>Founder/Product Owner, Engineering Lead, Security Lead, Legal/Compliance</w:t>
            </w:r>
          </w:p>
        </w:tc>
      </w:tr>
      <w:tr>
        <w:tc>
          <w:tcPr>
            <w:tcW w:type="dxa" w:w="2448"/>
            <w:vAlign w:val="center"/>
            <w:shd w:fill="F6F9FC"/>
          </w:tcPr>
          <w:p>
            <w:r/>
            <w:r>
              <w:rPr>
                <w:b w:val="0"/>
                <w:sz w:val="17"/>
              </w:rPr>
              <w:t>Related documents</w:t>
            </w:r>
          </w:p>
        </w:tc>
        <w:tc>
          <w:tcPr>
            <w:tcW w:type="dxa" w:w="7776"/>
            <w:vAlign w:val="center"/>
            <w:shd w:fill="F6F9FC"/>
          </w:tcPr>
          <w:p>
            <w:r/>
            <w:r>
              <w:rPr>
                <w:b w:val="0"/>
                <w:sz w:val="17"/>
              </w:rPr>
              <w:t>PRD, TRD, UI/UX Specification, Security Specification, Feature Catalogue</w:t>
            </w:r>
          </w:p>
        </w:tc>
      </w:tr>
    </w:tbl>
    <w:p/>
    <w:p>
      <w:pPr>
        <w:pStyle w:val="Heading1"/>
      </w:pPr>
      <w:r>
        <w:t>Assumptions and Non-Negotiable Constraints</w:t>
      </w:r>
    </w:p>
    <w:p>
      <w:pPr>
        <w:pStyle w:val="ListBullet"/>
      </w:pPr>
      <w:r>
        <w:t>Production collection uses documented YouTube API Services only; no HTML scraping, undocumented endpoints, CAPTCHA bypass, or credential rotation to evade quota.</w:t>
      </w:r>
    </w:p>
    <w:p>
      <w:pPr>
        <w:pStyle w:val="ListBullet"/>
      </w:pPr>
      <w:r>
        <w:t>Public discovery cannot access impressions, click-through rate, audience retention, traffic source, revenue, or exact subscriber gains unless a channel owner explicitly authorizes access.</w:t>
      </w:r>
    </w:p>
    <w:p>
      <w:pPr>
        <w:pStyle w:val="ListBullet"/>
      </w:pPr>
      <w:r>
        <w:t>Subscriber counts may be hidden or rounded. Any ratio using subscriber count must carry a data-quality indicator.</w:t>
      </w:r>
    </w:p>
    <w:p>
      <w:pPr>
        <w:pStyle w:val="ListBullet"/>
      </w:pPr>
      <w:r>
        <w:t>A product-generated score must be visibly labelled as proprietary and not presented as an official YouTube metric.</w:t>
      </w:r>
    </w:p>
    <w:p>
      <w:pPr>
        <w:pStyle w:val="ListBullet"/>
      </w:pPr>
      <w:r>
        <w:t>The product must maintain a policy kill switch capable of disabling collection, derived metrics, or display without redeployment.</w:t>
      </w:r>
    </w:p>
    <w:p>
      <w:pPr>
        <w:pStyle w:val="Heading1"/>
      </w:pPr>
      <w:r>
        <w:t>1. Security Objectives</w:t>
      </w:r>
    </w:p>
    <w:p>
      <w:pPr>
        <w:pStyle w:val="ListBullet"/>
      </w:pPr>
      <w:r>
        <w:t>Prevent cross-workspace data disclosure.</w:t>
      </w:r>
    </w:p>
    <w:p>
      <w:pPr>
        <w:pStyle w:val="ListBullet"/>
      </w:pPr>
      <w:r>
        <w:t>Protect API credentials, OAuth tokens, user identities and exports.</w:t>
      </w:r>
    </w:p>
    <w:p>
      <w:pPr>
        <w:pStyle w:val="ListBullet"/>
      </w:pPr>
      <w:r>
        <w:t>Ensure collection uses only approved documented endpoints and permitted use cases.</w:t>
      </w:r>
    </w:p>
    <w:p>
      <w:pPr>
        <w:pStyle w:val="ListBullet"/>
      </w:pPr>
      <w:r>
        <w:t>Make administrative and high-risk actions attributable and reviewable.</w:t>
      </w:r>
    </w:p>
    <w:p>
      <w:pPr>
        <w:pStyle w:val="ListBullet"/>
      </w:pPr>
      <w:r>
        <w:t>Limit blast radius of quota abuse, compromised credentials and malicious inputs.</w:t>
      </w:r>
    </w:p>
    <w:p>
      <w:pPr>
        <w:pStyle w:val="ListBullet"/>
      </w:pPr>
      <w:r>
        <w:t>Support rapid disablement and deletion when policy, consent or legal requirements change.</w:t>
      </w:r>
    </w:p>
    <w:p>
      <w:pPr>
        <w:pStyle w:val="Heading1"/>
      </w:pPr>
      <w:r>
        <w:t>2. Data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8"/>
            <w:vAlign w:val="center"/>
          </w:tcPr>
          <w:p>
            <w:r/>
            <w:r>
              <w:rPr>
                <w:b/>
                <w:color w:val="FFFFFF"/>
                <w:sz w:val="17"/>
              </w:rPr>
              <w:t>Class</w:t>
            </w:r>
          </w:p>
        </w:tc>
        <w:tc>
          <w:tcPr>
            <w:tcW w:type="dxa" w:w="3168"/>
            <w:shd w:fill="1F4E78"/>
            <w:vAlign w:val="center"/>
          </w:tcPr>
          <w:p>
            <w:r/>
            <w:r>
              <w:rPr>
                <w:b/>
                <w:color w:val="FFFFFF"/>
                <w:sz w:val="17"/>
              </w:rPr>
              <w:t>Examples</w:t>
            </w:r>
          </w:p>
        </w:tc>
        <w:tc>
          <w:tcPr>
            <w:tcW w:type="dxa" w:w="5184"/>
            <w:shd w:fill="1F4E78"/>
            <w:vAlign w:val="center"/>
          </w:tcPr>
          <w:p>
            <w:r/>
            <w:r>
              <w:rPr>
                <w:b/>
                <w:color w:val="FFFFFF"/>
                <w:sz w:val="17"/>
              </w:rPr>
              <w:t>Handling</w:t>
            </w:r>
          </w:p>
        </w:tc>
      </w:tr>
      <w:tr>
        <w:tc>
          <w:tcPr>
            <w:tcW w:type="dxa" w:w="2016"/>
            <w:vAlign w:val="center"/>
          </w:tcPr>
          <w:p>
            <w:r/>
            <w:r>
              <w:rPr>
                <w:b w:val="0"/>
                <w:sz w:val="17"/>
              </w:rPr>
              <w:t>Public source data</w:t>
            </w:r>
          </w:p>
        </w:tc>
        <w:tc>
          <w:tcPr>
            <w:tcW w:type="dxa" w:w="3168"/>
            <w:vAlign w:val="center"/>
          </w:tcPr>
          <w:p>
            <w:r/>
            <w:r>
              <w:rPr>
                <w:b w:val="0"/>
                <w:sz w:val="17"/>
              </w:rPr>
              <w:t>Channel/video IDs, public titles, public statistics, thumbnails/URLs</w:t>
            </w:r>
          </w:p>
        </w:tc>
        <w:tc>
          <w:tcPr>
            <w:tcW w:type="dxa" w:w="5184"/>
            <w:vAlign w:val="center"/>
          </w:tcPr>
          <w:p>
            <w:r/>
            <w:r>
              <w:rPr>
                <w:b w:val="0"/>
                <w:sz w:val="17"/>
              </w:rPr>
              <w:t>Workspace-visible according to product entitlements; freshness and policy controls apply.</w:t>
            </w:r>
          </w:p>
        </w:tc>
      </w:tr>
      <w:tr>
        <w:tc>
          <w:tcPr>
            <w:tcW w:type="dxa" w:w="2016"/>
            <w:vAlign w:val="center"/>
            <w:shd w:fill="F6F9FC"/>
          </w:tcPr>
          <w:p>
            <w:r/>
            <w:r>
              <w:rPr>
                <w:b w:val="0"/>
                <w:sz w:val="17"/>
              </w:rPr>
              <w:t>Derived analytical data</w:t>
            </w:r>
          </w:p>
        </w:tc>
        <w:tc>
          <w:tcPr>
            <w:tcW w:type="dxa" w:w="3168"/>
            <w:vAlign w:val="center"/>
            <w:shd w:fill="F6F9FC"/>
          </w:tcPr>
          <w:p>
            <w:r/>
            <w:r>
              <w:rPr>
                <w:b w:val="0"/>
                <w:sz w:val="17"/>
              </w:rPr>
              <w:t>VSR, cohorts, scores, reason codes, analyst labels</w:t>
            </w:r>
          </w:p>
        </w:tc>
        <w:tc>
          <w:tcPr>
            <w:tcW w:type="dxa" w:w="5184"/>
            <w:vAlign w:val="center"/>
            <w:shd w:fill="F6F9FC"/>
          </w:tcPr>
          <w:p>
            <w:r/>
            <w:r>
              <w:rPr>
                <w:b w:val="0"/>
                <w:sz w:val="17"/>
              </w:rPr>
              <w:t>Confidential product data; label as proprietary; access-controlled and versioned.</w:t>
            </w:r>
          </w:p>
        </w:tc>
      </w:tr>
      <w:tr>
        <w:tc>
          <w:tcPr>
            <w:tcW w:type="dxa" w:w="2016"/>
            <w:vAlign w:val="center"/>
          </w:tcPr>
          <w:p>
            <w:r/>
            <w:r>
              <w:rPr>
                <w:b w:val="0"/>
                <w:sz w:val="17"/>
              </w:rPr>
              <w:t>Customer confidential</w:t>
            </w:r>
          </w:p>
        </w:tc>
        <w:tc>
          <w:tcPr>
            <w:tcW w:type="dxa" w:w="3168"/>
            <w:vAlign w:val="center"/>
          </w:tcPr>
          <w:p>
            <w:r/>
            <w:r>
              <w:rPr>
                <w:b w:val="0"/>
                <w:sz w:val="17"/>
              </w:rPr>
              <w:t>Watchlists, notes, search strategies, exports</w:t>
            </w:r>
          </w:p>
        </w:tc>
        <w:tc>
          <w:tcPr>
            <w:tcW w:type="dxa" w:w="5184"/>
            <w:vAlign w:val="center"/>
          </w:tcPr>
          <w:p>
            <w:r/>
            <w:r>
              <w:rPr>
                <w:b w:val="0"/>
                <w:sz w:val="17"/>
              </w:rPr>
              <w:t>Strict tenant isolation; encrypted; audited export.</w:t>
            </w:r>
          </w:p>
        </w:tc>
      </w:tr>
      <w:tr>
        <w:tc>
          <w:tcPr>
            <w:tcW w:type="dxa" w:w="2016"/>
            <w:vAlign w:val="center"/>
            <w:shd w:fill="F6F9FC"/>
          </w:tcPr>
          <w:p>
            <w:r/>
            <w:r>
              <w:rPr>
                <w:b w:val="0"/>
                <w:sz w:val="17"/>
              </w:rPr>
              <w:t>Personal data</w:t>
            </w:r>
          </w:p>
        </w:tc>
        <w:tc>
          <w:tcPr>
            <w:tcW w:type="dxa" w:w="3168"/>
            <w:vAlign w:val="center"/>
            <w:shd w:fill="F6F9FC"/>
          </w:tcPr>
          <w:p>
            <w:r/>
            <w:r>
              <w:rPr>
                <w:b w:val="0"/>
                <w:sz w:val="17"/>
              </w:rPr>
              <w:t>User name, email, IP/security telemetry</w:t>
            </w:r>
          </w:p>
        </w:tc>
        <w:tc>
          <w:tcPr>
            <w:tcW w:type="dxa" w:w="5184"/>
            <w:vAlign w:val="center"/>
            <w:shd w:fill="F6F9FC"/>
          </w:tcPr>
          <w:p>
            <w:r/>
            <w:r>
              <w:rPr>
                <w:b w:val="0"/>
                <w:sz w:val="17"/>
              </w:rPr>
              <w:t>Minimize; privacy notice; retention schedule; DSR support.</w:t>
            </w:r>
          </w:p>
        </w:tc>
      </w:tr>
      <w:tr>
        <w:tc>
          <w:tcPr>
            <w:tcW w:type="dxa" w:w="2016"/>
            <w:vAlign w:val="center"/>
          </w:tcPr>
          <w:p>
            <w:r/>
            <w:r>
              <w:rPr>
                <w:b w:val="0"/>
                <w:sz w:val="17"/>
              </w:rPr>
              <w:t>Secrets</w:t>
            </w:r>
          </w:p>
        </w:tc>
        <w:tc>
          <w:tcPr>
            <w:tcW w:type="dxa" w:w="3168"/>
            <w:vAlign w:val="center"/>
          </w:tcPr>
          <w:p>
            <w:r/>
            <w:r>
              <w:rPr>
                <w:b w:val="0"/>
                <w:sz w:val="17"/>
              </w:rPr>
              <w:t>YouTube API keys, OAuth client secrets, refresh tokens, signing keys</w:t>
            </w:r>
          </w:p>
        </w:tc>
        <w:tc>
          <w:tcPr>
            <w:tcW w:type="dxa" w:w="5184"/>
            <w:vAlign w:val="center"/>
          </w:tcPr>
          <w:p>
            <w:r/>
            <w:r>
              <w:rPr>
                <w:b w:val="0"/>
                <w:sz w:val="17"/>
              </w:rPr>
              <w:t>Restricted secret manager/HSM; never logged or exposed to browser.</w:t>
            </w:r>
          </w:p>
        </w:tc>
      </w:tr>
      <w:tr>
        <w:tc>
          <w:tcPr>
            <w:tcW w:type="dxa" w:w="2016"/>
            <w:vAlign w:val="center"/>
            <w:shd w:fill="F6F9FC"/>
          </w:tcPr>
          <w:p>
            <w:r/>
            <w:r>
              <w:rPr>
                <w:b w:val="0"/>
                <w:sz w:val="17"/>
              </w:rPr>
              <w:t>Security data</w:t>
            </w:r>
          </w:p>
        </w:tc>
        <w:tc>
          <w:tcPr>
            <w:tcW w:type="dxa" w:w="3168"/>
            <w:vAlign w:val="center"/>
            <w:shd w:fill="F6F9FC"/>
          </w:tcPr>
          <w:p>
            <w:r/>
            <w:r>
              <w:rPr>
                <w:b w:val="0"/>
                <w:sz w:val="17"/>
              </w:rPr>
              <w:t>Audit logs, auth events, detections</w:t>
            </w:r>
          </w:p>
        </w:tc>
        <w:tc>
          <w:tcPr>
            <w:tcW w:type="dxa" w:w="5184"/>
            <w:vAlign w:val="center"/>
            <w:shd w:fill="F6F9FC"/>
          </w:tcPr>
          <w:p>
            <w:r/>
            <w:r>
              <w:rPr>
                <w:b w:val="0"/>
                <w:sz w:val="17"/>
              </w:rPr>
              <w:t>Restricted to security/admin roles; tamper-evident retention.</w:t>
            </w:r>
          </w:p>
        </w:tc>
      </w:tr>
    </w:tbl>
    <w:p/>
    <w:p>
      <w:pPr>
        <w:pStyle w:val="Heading1"/>
      </w:pPr>
      <w:r>
        <w:t>3. Threat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shd w:fill="1F4E78"/>
            <w:vAlign w:val="center"/>
          </w:tcPr>
          <w:p>
            <w:r/>
            <w:r>
              <w:rPr>
                <w:b/>
                <w:color w:val="FFFFFF"/>
                <w:sz w:val="14"/>
              </w:rPr>
              <w:t>ID</w:t>
            </w:r>
          </w:p>
        </w:tc>
        <w:tc>
          <w:tcPr>
            <w:tcW w:type="dxa" w:w="1872"/>
            <w:shd w:fill="1F4E78"/>
            <w:vAlign w:val="center"/>
          </w:tcPr>
          <w:p>
            <w:r/>
            <w:r>
              <w:rPr>
                <w:b/>
                <w:color w:val="FFFFFF"/>
                <w:sz w:val="14"/>
              </w:rPr>
              <w:t>Threat</w:t>
            </w:r>
          </w:p>
        </w:tc>
        <w:tc>
          <w:tcPr>
            <w:tcW w:type="dxa" w:w="3456"/>
            <w:shd w:fill="1F4E78"/>
            <w:vAlign w:val="center"/>
          </w:tcPr>
          <w:p>
            <w:r/>
            <w:r>
              <w:rPr>
                <w:b/>
                <w:color w:val="FFFFFF"/>
                <w:sz w:val="14"/>
              </w:rPr>
              <w:t>Scenario</w:t>
            </w:r>
          </w:p>
        </w:tc>
        <w:tc>
          <w:tcPr>
            <w:tcW w:type="dxa" w:w="4320"/>
            <w:shd w:fill="1F4E78"/>
            <w:vAlign w:val="center"/>
          </w:tcPr>
          <w:p>
            <w:r/>
            <w:r>
              <w:rPr>
                <w:b/>
                <w:color w:val="FFFFFF"/>
                <w:sz w:val="14"/>
              </w:rPr>
              <w:t>Primary controls</w:t>
            </w:r>
          </w:p>
        </w:tc>
      </w:tr>
      <w:tr>
        <w:tc>
          <w:tcPr>
            <w:tcW w:type="dxa" w:w="864"/>
            <w:vAlign w:val="center"/>
          </w:tcPr>
          <w:p>
            <w:r/>
            <w:r>
              <w:rPr>
                <w:b w:val="0"/>
                <w:sz w:val="14"/>
              </w:rPr>
              <w:t>T-01</w:t>
            </w:r>
          </w:p>
        </w:tc>
        <w:tc>
          <w:tcPr>
            <w:tcW w:type="dxa" w:w="1872"/>
            <w:vAlign w:val="center"/>
          </w:tcPr>
          <w:p>
            <w:r/>
            <w:r>
              <w:rPr>
                <w:b w:val="0"/>
                <w:sz w:val="14"/>
              </w:rPr>
              <w:t>Cross-tenant IDOR</w:t>
            </w:r>
          </w:p>
        </w:tc>
        <w:tc>
          <w:tcPr>
            <w:tcW w:type="dxa" w:w="3456"/>
            <w:vAlign w:val="center"/>
          </w:tcPr>
          <w:p>
            <w:r/>
            <w:r>
              <w:rPr>
                <w:b w:val="0"/>
                <w:sz w:val="14"/>
              </w:rPr>
              <w:t>User changes channel/watchlist/run ID to access another workspace.</w:t>
            </w:r>
          </w:p>
        </w:tc>
        <w:tc>
          <w:tcPr>
            <w:tcW w:type="dxa" w:w="4320"/>
            <w:vAlign w:val="center"/>
          </w:tcPr>
          <w:p>
            <w:r/>
            <w:r>
              <w:rPr>
                <w:b w:val="0"/>
                <w:sz w:val="14"/>
              </w:rPr>
              <w:t>Server-side workspace scoping on every query; opaque IDs; authorization tests.</w:t>
            </w:r>
          </w:p>
        </w:tc>
      </w:tr>
      <w:tr>
        <w:tc>
          <w:tcPr>
            <w:tcW w:type="dxa" w:w="864"/>
            <w:vAlign w:val="center"/>
            <w:shd w:fill="F6F9FC"/>
          </w:tcPr>
          <w:p>
            <w:r/>
            <w:r>
              <w:rPr>
                <w:b w:val="0"/>
                <w:sz w:val="14"/>
              </w:rPr>
              <w:t>T-02</w:t>
            </w:r>
          </w:p>
        </w:tc>
        <w:tc>
          <w:tcPr>
            <w:tcW w:type="dxa" w:w="1872"/>
            <w:vAlign w:val="center"/>
            <w:shd w:fill="F6F9FC"/>
          </w:tcPr>
          <w:p>
            <w:r/>
            <w:r>
              <w:rPr>
                <w:b w:val="0"/>
                <w:sz w:val="14"/>
              </w:rPr>
              <w:t>API key theft</w:t>
            </w:r>
          </w:p>
        </w:tc>
        <w:tc>
          <w:tcPr>
            <w:tcW w:type="dxa" w:w="3456"/>
            <w:vAlign w:val="center"/>
            <w:shd w:fill="F6F9FC"/>
          </w:tcPr>
          <w:p>
            <w:r/>
            <w:r>
              <w:rPr>
                <w:b w:val="0"/>
                <w:sz w:val="14"/>
              </w:rPr>
              <w:t>Key leaked through frontend bundle, logs or repository.</w:t>
            </w:r>
          </w:p>
        </w:tc>
        <w:tc>
          <w:tcPr>
            <w:tcW w:type="dxa" w:w="4320"/>
            <w:vAlign w:val="center"/>
            <w:shd w:fill="F6F9FC"/>
          </w:tcPr>
          <w:p>
            <w:r/>
            <w:r>
              <w:rPr>
                <w:b w:val="0"/>
                <w:sz w:val="14"/>
              </w:rPr>
              <w:t>Backend-only key; secret manager; scanning; rotation; egress restrictions.</w:t>
            </w:r>
          </w:p>
        </w:tc>
      </w:tr>
      <w:tr>
        <w:tc>
          <w:tcPr>
            <w:tcW w:type="dxa" w:w="864"/>
            <w:vAlign w:val="center"/>
          </w:tcPr>
          <w:p>
            <w:r/>
            <w:r>
              <w:rPr>
                <w:b w:val="0"/>
                <w:sz w:val="14"/>
              </w:rPr>
              <w:t>T-03</w:t>
            </w:r>
          </w:p>
        </w:tc>
        <w:tc>
          <w:tcPr>
            <w:tcW w:type="dxa" w:w="1872"/>
            <w:vAlign w:val="center"/>
          </w:tcPr>
          <w:p>
            <w:r/>
            <w:r>
              <w:rPr>
                <w:b w:val="0"/>
                <w:sz w:val="14"/>
              </w:rPr>
              <w:t>Quota exhaustion</w:t>
            </w:r>
          </w:p>
        </w:tc>
        <w:tc>
          <w:tcPr>
            <w:tcW w:type="dxa" w:w="3456"/>
            <w:vAlign w:val="center"/>
          </w:tcPr>
          <w:p>
            <w:r/>
            <w:r>
              <w:rPr>
                <w:b w:val="0"/>
                <w:sz w:val="14"/>
              </w:rPr>
              <w:t>Malicious or buggy user creates broad repeated searches.</w:t>
            </w:r>
          </w:p>
        </w:tc>
        <w:tc>
          <w:tcPr>
            <w:tcW w:type="dxa" w:w="4320"/>
            <w:vAlign w:val="center"/>
          </w:tcPr>
          <w:p>
            <w:r/>
            <w:r>
              <w:rPr>
                <w:b w:val="0"/>
                <w:sz w:val="14"/>
              </w:rPr>
              <w:t>Per-user/workspace limits, reservation ledger, concurrency caps, anomaly alerting.</w:t>
            </w:r>
          </w:p>
        </w:tc>
      </w:tr>
      <w:tr>
        <w:tc>
          <w:tcPr>
            <w:tcW w:type="dxa" w:w="864"/>
            <w:vAlign w:val="center"/>
            <w:shd w:fill="F6F9FC"/>
          </w:tcPr>
          <w:p>
            <w:r/>
            <w:r>
              <w:rPr>
                <w:b w:val="0"/>
                <w:sz w:val="14"/>
              </w:rPr>
              <w:t>T-04</w:t>
            </w:r>
          </w:p>
        </w:tc>
        <w:tc>
          <w:tcPr>
            <w:tcW w:type="dxa" w:w="1872"/>
            <w:vAlign w:val="center"/>
            <w:shd w:fill="F6F9FC"/>
          </w:tcPr>
          <w:p>
            <w:r/>
            <w:r>
              <w:rPr>
                <w:b w:val="0"/>
                <w:sz w:val="14"/>
              </w:rPr>
              <w:t>Credential evasion</w:t>
            </w:r>
          </w:p>
        </w:tc>
        <w:tc>
          <w:tcPr>
            <w:tcW w:type="dxa" w:w="3456"/>
            <w:vAlign w:val="center"/>
            <w:shd w:fill="F6F9FC"/>
          </w:tcPr>
          <w:p>
            <w:r/>
            <w:r>
              <w:rPr>
                <w:b w:val="0"/>
                <w:sz w:val="14"/>
              </w:rPr>
              <w:t>Operator creates multiple projects/keys to bypass limits.</w:t>
            </w:r>
          </w:p>
        </w:tc>
        <w:tc>
          <w:tcPr>
            <w:tcW w:type="dxa" w:w="4320"/>
            <w:vAlign w:val="center"/>
            <w:shd w:fill="F6F9FC"/>
          </w:tcPr>
          <w:p>
            <w:r/>
            <w:r>
              <w:rPr>
                <w:b w:val="0"/>
                <w:sz w:val="14"/>
              </w:rPr>
              <w:t>Governance policy; single approved project per client; inventory and review.</w:t>
            </w:r>
          </w:p>
        </w:tc>
      </w:tr>
      <w:tr>
        <w:tc>
          <w:tcPr>
            <w:tcW w:type="dxa" w:w="864"/>
            <w:vAlign w:val="center"/>
          </w:tcPr>
          <w:p>
            <w:r/>
            <w:r>
              <w:rPr>
                <w:b w:val="0"/>
                <w:sz w:val="14"/>
              </w:rPr>
              <w:t>T-05</w:t>
            </w:r>
          </w:p>
        </w:tc>
        <w:tc>
          <w:tcPr>
            <w:tcW w:type="dxa" w:w="1872"/>
            <w:vAlign w:val="center"/>
          </w:tcPr>
          <w:p>
            <w:r/>
            <w:r>
              <w:rPr>
                <w:b w:val="0"/>
                <w:sz w:val="14"/>
              </w:rPr>
              <w:t>Stored XSS</w:t>
            </w:r>
          </w:p>
        </w:tc>
        <w:tc>
          <w:tcPr>
            <w:tcW w:type="dxa" w:w="3456"/>
            <w:vAlign w:val="center"/>
          </w:tcPr>
          <w:p>
            <w:r/>
            <w:r>
              <w:rPr>
                <w:b w:val="0"/>
                <w:sz w:val="14"/>
              </w:rPr>
              <w:t>Malicious channel title or analyst note rendered unsafely.</w:t>
            </w:r>
          </w:p>
        </w:tc>
        <w:tc>
          <w:tcPr>
            <w:tcW w:type="dxa" w:w="4320"/>
            <w:vAlign w:val="center"/>
          </w:tcPr>
          <w:p>
            <w:r/>
            <w:r>
              <w:rPr>
                <w:b w:val="0"/>
                <w:sz w:val="14"/>
              </w:rPr>
              <w:t>Contextual output encoding; sanitization; CSP; no raw HTML.</w:t>
            </w:r>
          </w:p>
        </w:tc>
      </w:tr>
      <w:tr>
        <w:tc>
          <w:tcPr>
            <w:tcW w:type="dxa" w:w="864"/>
            <w:vAlign w:val="center"/>
            <w:shd w:fill="F6F9FC"/>
          </w:tcPr>
          <w:p>
            <w:r/>
            <w:r>
              <w:rPr>
                <w:b w:val="0"/>
                <w:sz w:val="14"/>
              </w:rPr>
              <w:t>T-06</w:t>
            </w:r>
          </w:p>
        </w:tc>
        <w:tc>
          <w:tcPr>
            <w:tcW w:type="dxa" w:w="1872"/>
            <w:vAlign w:val="center"/>
            <w:shd w:fill="F6F9FC"/>
          </w:tcPr>
          <w:p>
            <w:r/>
            <w:r>
              <w:rPr>
                <w:b w:val="0"/>
                <w:sz w:val="14"/>
              </w:rPr>
              <w:t>SSRF / unsafe URL</w:t>
            </w:r>
          </w:p>
        </w:tc>
        <w:tc>
          <w:tcPr>
            <w:tcW w:type="dxa" w:w="3456"/>
            <w:vAlign w:val="center"/>
            <w:shd w:fill="F6F9FC"/>
          </w:tcPr>
          <w:p>
            <w:r/>
            <w:r>
              <w:rPr>
                <w:b w:val="0"/>
                <w:sz w:val="14"/>
              </w:rPr>
              <w:t>User provides arbitrary URL for discovery/import.</w:t>
            </w:r>
          </w:p>
        </w:tc>
        <w:tc>
          <w:tcPr>
            <w:tcW w:type="dxa" w:w="4320"/>
            <w:vAlign w:val="center"/>
            <w:shd w:fill="F6F9FC"/>
          </w:tcPr>
          <w:p>
            <w:r/>
            <w:r>
              <w:rPr>
                <w:b w:val="0"/>
                <w:sz w:val="14"/>
              </w:rPr>
              <w:t>Parse allowed YouTube identifiers; no generic server fetch; egress allowlist.</w:t>
            </w:r>
          </w:p>
        </w:tc>
      </w:tr>
      <w:tr>
        <w:tc>
          <w:tcPr>
            <w:tcW w:type="dxa" w:w="864"/>
            <w:vAlign w:val="center"/>
          </w:tcPr>
          <w:p>
            <w:r/>
            <w:r>
              <w:rPr>
                <w:b w:val="0"/>
                <w:sz w:val="14"/>
              </w:rPr>
              <w:t>T-07</w:t>
            </w:r>
          </w:p>
        </w:tc>
        <w:tc>
          <w:tcPr>
            <w:tcW w:type="dxa" w:w="1872"/>
            <w:vAlign w:val="center"/>
          </w:tcPr>
          <w:p>
            <w:r/>
            <w:r>
              <w:rPr>
                <w:b w:val="0"/>
                <w:sz w:val="14"/>
              </w:rPr>
              <w:t>OAuth token compromise</w:t>
            </w:r>
          </w:p>
        </w:tc>
        <w:tc>
          <w:tcPr>
            <w:tcW w:type="dxa" w:w="3456"/>
            <w:vAlign w:val="center"/>
          </w:tcPr>
          <w:p>
            <w:r/>
            <w:r>
              <w:rPr>
                <w:b w:val="0"/>
                <w:sz w:val="14"/>
              </w:rPr>
              <w:t>Authorized channel token stolen.</w:t>
            </w:r>
          </w:p>
        </w:tc>
        <w:tc>
          <w:tcPr>
            <w:tcW w:type="dxa" w:w="4320"/>
            <w:vAlign w:val="center"/>
          </w:tcPr>
          <w:p>
            <w:r/>
            <w:r>
              <w:rPr>
                <w:b w:val="0"/>
                <w:sz w:val="14"/>
              </w:rPr>
              <w:t>Encrypted token vault, least scopes, rotation/revocation, isolated worker path.</w:t>
            </w:r>
          </w:p>
        </w:tc>
      </w:tr>
      <w:tr>
        <w:tc>
          <w:tcPr>
            <w:tcW w:type="dxa" w:w="864"/>
            <w:vAlign w:val="center"/>
            <w:shd w:fill="F6F9FC"/>
          </w:tcPr>
          <w:p>
            <w:r/>
            <w:r>
              <w:rPr>
                <w:b w:val="0"/>
                <w:sz w:val="14"/>
              </w:rPr>
              <w:t>T-08</w:t>
            </w:r>
          </w:p>
        </w:tc>
        <w:tc>
          <w:tcPr>
            <w:tcW w:type="dxa" w:w="1872"/>
            <w:vAlign w:val="center"/>
            <w:shd w:fill="F6F9FC"/>
          </w:tcPr>
          <w:p>
            <w:r/>
            <w:r>
              <w:rPr>
                <w:b w:val="0"/>
                <w:sz w:val="14"/>
              </w:rPr>
              <w:t>Export leakage</w:t>
            </w:r>
          </w:p>
        </w:tc>
        <w:tc>
          <w:tcPr>
            <w:tcW w:type="dxa" w:w="3456"/>
            <w:vAlign w:val="center"/>
            <w:shd w:fill="F6F9FC"/>
          </w:tcPr>
          <w:p>
            <w:r/>
            <w:r>
              <w:rPr>
                <w:b w:val="0"/>
                <w:sz w:val="14"/>
              </w:rPr>
              <w:t>Sensitive watchlist exported and shared indefinitely.</w:t>
            </w:r>
          </w:p>
        </w:tc>
        <w:tc>
          <w:tcPr>
            <w:tcW w:type="dxa" w:w="4320"/>
            <w:vAlign w:val="center"/>
            <w:shd w:fill="F6F9FC"/>
          </w:tcPr>
          <w:p>
            <w:r/>
            <w:r>
              <w:rPr>
                <w:b w:val="0"/>
                <w:sz w:val="14"/>
              </w:rPr>
              <w:t>Field allowlist, short-lived signed URLs, watermark/metadata, audit, expiry.</w:t>
            </w:r>
          </w:p>
        </w:tc>
      </w:tr>
      <w:tr>
        <w:tc>
          <w:tcPr>
            <w:tcW w:type="dxa" w:w="864"/>
            <w:vAlign w:val="center"/>
          </w:tcPr>
          <w:p>
            <w:r/>
            <w:r>
              <w:rPr>
                <w:b w:val="0"/>
                <w:sz w:val="14"/>
              </w:rPr>
              <w:t>T-09</w:t>
            </w:r>
          </w:p>
        </w:tc>
        <w:tc>
          <w:tcPr>
            <w:tcW w:type="dxa" w:w="1872"/>
            <w:vAlign w:val="center"/>
          </w:tcPr>
          <w:p>
            <w:r/>
            <w:r>
              <w:rPr>
                <w:b w:val="0"/>
                <w:sz w:val="14"/>
              </w:rPr>
              <w:t>Supply-chain compromise</w:t>
            </w:r>
          </w:p>
        </w:tc>
        <w:tc>
          <w:tcPr>
            <w:tcW w:type="dxa" w:w="3456"/>
            <w:vAlign w:val="center"/>
          </w:tcPr>
          <w:p>
            <w:r/>
            <w:r>
              <w:rPr>
                <w:b w:val="0"/>
                <w:sz w:val="14"/>
              </w:rPr>
              <w:t>Malicious package or CI credential exfiltration.</w:t>
            </w:r>
          </w:p>
        </w:tc>
        <w:tc>
          <w:tcPr>
            <w:tcW w:type="dxa" w:w="4320"/>
            <w:vAlign w:val="center"/>
          </w:tcPr>
          <w:p>
            <w:r/>
            <w:r>
              <w:rPr>
                <w:b w:val="0"/>
                <w:sz w:val="14"/>
              </w:rPr>
              <w:t>Lockfiles, SBOM, dependency scanning, signed builds, protected CI secrets.</w:t>
            </w:r>
          </w:p>
        </w:tc>
      </w:tr>
      <w:tr>
        <w:tc>
          <w:tcPr>
            <w:tcW w:type="dxa" w:w="864"/>
            <w:vAlign w:val="center"/>
            <w:shd w:fill="F6F9FC"/>
          </w:tcPr>
          <w:p>
            <w:r/>
            <w:r>
              <w:rPr>
                <w:b w:val="0"/>
                <w:sz w:val="14"/>
              </w:rPr>
              <w:t>T-10</w:t>
            </w:r>
          </w:p>
        </w:tc>
        <w:tc>
          <w:tcPr>
            <w:tcW w:type="dxa" w:w="1872"/>
            <w:vAlign w:val="center"/>
            <w:shd w:fill="F6F9FC"/>
          </w:tcPr>
          <w:p>
            <w:r/>
            <w:r>
              <w:rPr>
                <w:b w:val="0"/>
                <w:sz w:val="14"/>
              </w:rPr>
              <w:t>Policy non-compliance</w:t>
            </w:r>
          </w:p>
        </w:tc>
        <w:tc>
          <w:tcPr>
            <w:tcW w:type="dxa" w:w="3456"/>
            <w:vAlign w:val="center"/>
            <w:shd w:fill="F6F9FC"/>
          </w:tcPr>
          <w:p>
            <w:r/>
            <w:r>
              <w:rPr>
                <w:b w:val="0"/>
                <w:sz w:val="14"/>
              </w:rPr>
              <w:t>Undocumented collection or prohibited derived metric use.</w:t>
            </w:r>
          </w:p>
        </w:tc>
        <w:tc>
          <w:tcPr>
            <w:tcW w:type="dxa" w:w="4320"/>
            <w:vAlign w:val="center"/>
            <w:shd w:fill="F6F9FC"/>
          </w:tcPr>
          <w:p>
            <w:r/>
            <w:r>
              <w:rPr>
                <w:b w:val="0"/>
                <w:sz w:val="14"/>
              </w:rPr>
              <w:t>Endpoint allowlist, policy review gate, kill switch, legal approval records.</w:t>
            </w:r>
          </w:p>
        </w:tc>
      </w:tr>
    </w:tbl>
    <w:p/>
    <w:p>
      <w:pPr>
        <w:pStyle w:val="Heading1"/>
      </w:pPr>
      <w:r>
        <w:t>4. Identity and Access Management</w:t>
      </w:r>
    </w:p>
    <w:tbl>
      <w:tblPr>
        <w:tblStyle w:val="TableGrid"/>
        <w:tblW w:type="auto" w:w="0"/>
        <w:jc w:val="center"/>
        <w:tblLook w:firstColumn="1" w:firstRow="1" w:lastColumn="0" w:lastRow="0" w:noHBand="0" w:noVBand="1" w:val="04A0"/>
      </w:tblPr>
      <w:tblGrid>
        <w:gridCol w:w="5040"/>
        <w:gridCol w:w="5040"/>
      </w:tblGrid>
      <w:tr>
        <w:tc>
          <w:tcPr>
            <w:tcW w:type="dxa" w:w="2304"/>
            <w:shd w:fill="1F4E78"/>
            <w:vAlign w:val="center"/>
          </w:tcPr>
          <w:p>
            <w:r/>
            <w:r>
              <w:rPr>
                <w:b/>
                <w:color w:val="FFFFFF"/>
                <w:sz w:val="17"/>
              </w:rPr>
              <w:t>Role</w:t>
            </w:r>
          </w:p>
        </w:tc>
        <w:tc>
          <w:tcPr>
            <w:tcW w:type="dxa" w:w="8064"/>
            <w:shd w:fill="1F4E78"/>
            <w:vAlign w:val="center"/>
          </w:tcPr>
          <w:p>
            <w:r/>
            <w:r>
              <w:rPr>
                <w:b/>
                <w:color w:val="FFFFFF"/>
                <w:sz w:val="17"/>
              </w:rPr>
              <w:t>Permissions</w:t>
            </w:r>
          </w:p>
        </w:tc>
      </w:tr>
      <w:tr>
        <w:tc>
          <w:tcPr>
            <w:tcW w:type="dxa" w:w="2304"/>
            <w:vAlign w:val="center"/>
          </w:tcPr>
          <w:p>
            <w:r/>
            <w:r>
              <w:rPr>
                <w:b w:val="0"/>
                <w:sz w:val="17"/>
              </w:rPr>
              <w:t>Viewer</w:t>
            </w:r>
          </w:p>
        </w:tc>
        <w:tc>
          <w:tcPr>
            <w:tcW w:type="dxa" w:w="8064"/>
            <w:vAlign w:val="center"/>
          </w:tcPr>
          <w:p>
            <w:r/>
            <w:r>
              <w:rPr>
                <w:b w:val="0"/>
                <w:sz w:val="17"/>
              </w:rPr>
              <w:t>View permitted channels, scores and watchlists; no exports by default.</w:t>
            </w:r>
          </w:p>
        </w:tc>
      </w:tr>
      <w:tr>
        <w:tc>
          <w:tcPr>
            <w:tcW w:type="dxa" w:w="2304"/>
            <w:vAlign w:val="center"/>
            <w:shd w:fill="F6F9FC"/>
          </w:tcPr>
          <w:p>
            <w:r/>
            <w:r>
              <w:rPr>
                <w:b w:val="0"/>
                <w:sz w:val="17"/>
              </w:rPr>
              <w:t>Analyst</w:t>
            </w:r>
          </w:p>
        </w:tc>
        <w:tc>
          <w:tcPr>
            <w:tcW w:type="dxa" w:w="8064"/>
            <w:vAlign w:val="center"/>
            <w:shd w:fill="F6F9FC"/>
          </w:tcPr>
          <w:p>
            <w:r/>
            <w:r>
              <w:rPr>
                <w:b w:val="0"/>
                <w:sz w:val="17"/>
              </w:rPr>
              <w:t>Create searches, manage own/assigned watchlists, add notes and generate bounded exports.</w:t>
            </w:r>
          </w:p>
        </w:tc>
      </w:tr>
      <w:tr>
        <w:tc>
          <w:tcPr>
            <w:tcW w:type="dxa" w:w="2304"/>
            <w:vAlign w:val="center"/>
          </w:tcPr>
          <w:p>
            <w:r/>
            <w:r>
              <w:rPr>
                <w:b w:val="0"/>
                <w:sz w:val="17"/>
              </w:rPr>
              <w:t>Workspace Admin</w:t>
            </w:r>
          </w:p>
        </w:tc>
        <w:tc>
          <w:tcPr>
            <w:tcW w:type="dxa" w:w="8064"/>
            <w:vAlign w:val="center"/>
          </w:tcPr>
          <w:p>
            <w:r/>
            <w:r>
              <w:rPr>
                <w:b w:val="0"/>
                <w:sz w:val="17"/>
              </w:rPr>
              <w:t>Manage users, schedules, quotas, alert destinations and workspace settings.</w:t>
            </w:r>
          </w:p>
        </w:tc>
      </w:tr>
      <w:tr>
        <w:tc>
          <w:tcPr>
            <w:tcW w:type="dxa" w:w="2304"/>
            <w:vAlign w:val="center"/>
            <w:shd w:fill="F6F9FC"/>
          </w:tcPr>
          <w:p>
            <w:r/>
            <w:r>
              <w:rPr>
                <w:b w:val="0"/>
                <w:sz w:val="17"/>
              </w:rPr>
              <w:t>Security/Admin Operator</w:t>
            </w:r>
          </w:p>
        </w:tc>
        <w:tc>
          <w:tcPr>
            <w:tcW w:type="dxa" w:w="8064"/>
            <w:vAlign w:val="center"/>
            <w:shd w:fill="F6F9FC"/>
          </w:tcPr>
          <w:p>
            <w:r/>
            <w:r>
              <w:rPr>
                <w:b w:val="0"/>
                <w:sz w:val="17"/>
              </w:rPr>
              <w:t>View security/audit data, rotate credentials, operate policy switches.</w:t>
            </w:r>
          </w:p>
        </w:tc>
      </w:tr>
      <w:tr>
        <w:tc>
          <w:tcPr>
            <w:tcW w:type="dxa" w:w="2304"/>
            <w:vAlign w:val="center"/>
          </w:tcPr>
          <w:p>
            <w:r/>
            <w:r>
              <w:rPr>
                <w:b w:val="0"/>
                <w:sz w:val="17"/>
              </w:rPr>
              <w:t>Service Worker</w:t>
            </w:r>
          </w:p>
        </w:tc>
        <w:tc>
          <w:tcPr>
            <w:tcW w:type="dxa" w:w="8064"/>
            <w:vAlign w:val="center"/>
          </w:tcPr>
          <w:p>
            <w:r/>
            <w:r>
              <w:rPr>
                <w:b w:val="0"/>
                <w:sz w:val="17"/>
              </w:rPr>
              <w:t>Machine identity with module-specific DB/API permissions; no interactive login.</w:t>
            </w:r>
          </w:p>
        </w:tc>
      </w:tr>
    </w:tbl>
    <w:p/>
    <w:p>
      <w:pPr>
        <w:pStyle w:val="ListBullet"/>
      </w:pPr>
      <w:r>
        <w:t>Use OIDC/SAML through a managed identity provider.</w:t>
      </w:r>
    </w:p>
    <w:p>
      <w:pPr>
        <w:pStyle w:val="ListBullet"/>
      </w:pPr>
      <w:r>
        <w:t>Require MFA for workspace admins and all internal operators.</w:t>
      </w:r>
    </w:p>
    <w:p>
      <w:pPr>
        <w:pStyle w:val="ListBullet"/>
      </w:pPr>
      <w:r>
        <w:t>Step-up authentication for credential rotation, policy switch change, bulk export and membership elevation.</w:t>
      </w:r>
    </w:p>
    <w:p>
      <w:pPr>
        <w:pStyle w:val="ListBullet"/>
      </w:pPr>
      <w:r>
        <w:t>Sessions: secure, HttpOnly, SameSite cookies; short idle timeout for admins; CSRF protection.</w:t>
      </w:r>
    </w:p>
    <w:p>
      <w:pPr>
        <w:pStyle w:val="ListBullet"/>
      </w:pPr>
      <w:r>
        <w:t>Authorization is deny-by-default and enforced at API and database query layers.</w:t>
      </w:r>
    </w:p>
    <w:p>
      <w:pPr>
        <w:pStyle w:val="ListBullet"/>
      </w:pPr>
      <w:r>
        <w:t>Quarterly access review for internal operators; workspace admins review memberships at least semi-annually.</w:t>
      </w:r>
    </w:p>
    <w:p>
      <w:pPr>
        <w:pStyle w:val="Heading1"/>
      </w:pPr>
      <w:r>
        <w:t>5. Tenant Isolation</w:t>
      </w:r>
    </w:p>
    <w:p>
      <w:pPr>
        <w:pStyle w:val="ListBullet"/>
      </w:pPr>
      <w:r>
        <w:t>Every tenant-owned table contains workspace_id, directly or through an immutable parent relationship.</w:t>
      </w:r>
    </w:p>
    <w:p>
      <w:pPr>
        <w:pStyle w:val="ListBullet"/>
      </w:pPr>
      <w:r>
        <w:t>Repository methods require workspace context; unscoped production queries are prohibited by code convention and static checks.</w:t>
      </w:r>
    </w:p>
    <w:p>
      <w:pPr>
        <w:pStyle w:val="ListBullet"/>
      </w:pPr>
      <w:r>
        <w:t>Use PostgreSQL row-level security where operationally feasible as defense in depth.</w:t>
      </w:r>
    </w:p>
    <w:p>
      <w:pPr>
        <w:pStyle w:val="ListBullet"/>
      </w:pPr>
      <w:r>
        <w:t>Cache keys, object-storage paths, job payloads and telemetry labels include workspace boundary safely.</w:t>
      </w:r>
    </w:p>
    <w:p>
      <w:pPr>
        <w:pStyle w:val="ListBullet"/>
      </w:pPr>
      <w:r>
        <w:t>Never return “exists but forbidden”; return a generic not-found response for inaccessible objects.</w:t>
      </w:r>
    </w:p>
    <w:p>
      <w:pPr>
        <w:pStyle w:val="ListBullet"/>
      </w:pPr>
      <w:r>
        <w:t>Automated cross-tenant tests cover every endpoint and export path.</w:t>
      </w:r>
    </w:p>
    <w:p>
      <w:pPr>
        <w:pStyle w:val="Heading1"/>
      </w:pPr>
      <w:r>
        <w:t>6. Credential and Secret Management</w:t>
      </w:r>
    </w:p>
    <w:tbl>
      <w:tblPr>
        <w:tblStyle w:val="TableGrid"/>
        <w:tblW w:type="auto" w:w="0"/>
        <w:jc w:val="center"/>
        <w:tblLook w:firstColumn="1" w:firstRow="1" w:lastColumn="0" w:lastRow="0" w:noHBand="0" w:noVBand="1" w:val="04A0"/>
      </w:tblPr>
      <w:tblGrid>
        <w:gridCol w:w="5040"/>
        <w:gridCol w:w="5040"/>
      </w:tblGrid>
      <w:tr>
        <w:tc>
          <w:tcPr>
            <w:tcW w:type="dxa" w:w="2880"/>
            <w:shd w:fill="1F4E78"/>
            <w:vAlign w:val="center"/>
          </w:tcPr>
          <w:p>
            <w:r/>
            <w:r>
              <w:rPr>
                <w:b/>
                <w:color w:val="FFFFFF"/>
                <w:sz w:val="17"/>
              </w:rPr>
              <w:t>Secret</w:t>
            </w:r>
          </w:p>
        </w:tc>
        <w:tc>
          <w:tcPr>
            <w:tcW w:type="dxa" w:w="7488"/>
            <w:shd w:fill="1F4E78"/>
            <w:vAlign w:val="center"/>
          </w:tcPr>
          <w:p>
            <w:r/>
            <w:r>
              <w:rPr>
                <w:b/>
                <w:color w:val="FFFFFF"/>
                <w:sz w:val="17"/>
              </w:rPr>
              <w:t>Control</w:t>
            </w:r>
          </w:p>
        </w:tc>
      </w:tr>
      <w:tr>
        <w:tc>
          <w:tcPr>
            <w:tcW w:type="dxa" w:w="2880"/>
            <w:vAlign w:val="center"/>
          </w:tcPr>
          <w:p>
            <w:r/>
            <w:r>
              <w:rPr>
                <w:b w:val="0"/>
                <w:sz w:val="17"/>
              </w:rPr>
              <w:t>Public-data API credential</w:t>
            </w:r>
          </w:p>
        </w:tc>
        <w:tc>
          <w:tcPr>
            <w:tcW w:type="dxa" w:w="7488"/>
            <w:vAlign w:val="center"/>
          </w:tcPr>
          <w:p>
            <w:r/>
            <w:r>
              <w:rPr>
                <w:b w:val="0"/>
                <w:sz w:val="17"/>
              </w:rPr>
              <w:t>Backend workload identity/secret manager; API restrictions where supported; rotation runbook; no client delivery.</w:t>
            </w:r>
          </w:p>
        </w:tc>
      </w:tr>
      <w:tr>
        <w:tc>
          <w:tcPr>
            <w:tcW w:type="dxa" w:w="2880"/>
            <w:vAlign w:val="center"/>
            <w:shd w:fill="F6F9FC"/>
          </w:tcPr>
          <w:p>
            <w:r/>
            <w:r>
              <w:rPr>
                <w:b w:val="0"/>
                <w:sz w:val="17"/>
              </w:rPr>
              <w:t>OAuth client secret</w:t>
            </w:r>
          </w:p>
        </w:tc>
        <w:tc>
          <w:tcPr>
            <w:tcW w:type="dxa" w:w="7488"/>
            <w:vAlign w:val="center"/>
            <w:shd w:fill="F6F9FC"/>
          </w:tcPr>
          <w:p>
            <w:r/>
            <w:r>
              <w:rPr>
                <w:b w:val="0"/>
                <w:sz w:val="17"/>
              </w:rPr>
              <w:t>Separate from API key; restricted to authorization service.</w:t>
            </w:r>
          </w:p>
        </w:tc>
      </w:tr>
      <w:tr>
        <w:tc>
          <w:tcPr>
            <w:tcW w:type="dxa" w:w="2880"/>
            <w:vAlign w:val="center"/>
          </w:tcPr>
          <w:p>
            <w:r/>
            <w:r>
              <w:rPr>
                <w:b w:val="0"/>
                <w:sz w:val="17"/>
              </w:rPr>
              <w:t>OAuth refresh token</w:t>
            </w:r>
          </w:p>
        </w:tc>
        <w:tc>
          <w:tcPr>
            <w:tcW w:type="dxa" w:w="7488"/>
            <w:vAlign w:val="center"/>
          </w:tcPr>
          <w:p>
            <w:r/>
            <w:r>
              <w:rPr>
                <w:b w:val="0"/>
                <w:sz w:val="17"/>
              </w:rPr>
              <w:t>Envelope encrypted per tenant/connection; least scopes; revocation and deletion workflow.</w:t>
            </w:r>
          </w:p>
        </w:tc>
      </w:tr>
      <w:tr>
        <w:tc>
          <w:tcPr>
            <w:tcW w:type="dxa" w:w="2880"/>
            <w:vAlign w:val="center"/>
            <w:shd w:fill="F6F9FC"/>
          </w:tcPr>
          <w:p>
            <w:r/>
            <w:r>
              <w:rPr>
                <w:b w:val="0"/>
                <w:sz w:val="17"/>
              </w:rPr>
              <w:t>Database credential</w:t>
            </w:r>
          </w:p>
        </w:tc>
        <w:tc>
          <w:tcPr>
            <w:tcW w:type="dxa" w:w="7488"/>
            <w:vAlign w:val="center"/>
            <w:shd w:fill="F6F9FC"/>
          </w:tcPr>
          <w:p>
            <w:r/>
            <w:r>
              <w:rPr>
                <w:b w:val="0"/>
                <w:sz w:val="17"/>
              </w:rPr>
              <w:t>Workload identity or short-lived credential; separate migration/admin role.</w:t>
            </w:r>
          </w:p>
        </w:tc>
      </w:tr>
      <w:tr>
        <w:tc>
          <w:tcPr>
            <w:tcW w:type="dxa" w:w="2880"/>
            <w:vAlign w:val="center"/>
          </w:tcPr>
          <w:p>
            <w:r/>
            <w:r>
              <w:rPr>
                <w:b w:val="0"/>
                <w:sz w:val="17"/>
              </w:rPr>
              <w:t>Signing/encryption keys</w:t>
            </w:r>
          </w:p>
        </w:tc>
        <w:tc>
          <w:tcPr>
            <w:tcW w:type="dxa" w:w="7488"/>
            <w:vAlign w:val="center"/>
          </w:tcPr>
          <w:p>
            <w:r/>
            <w:r>
              <w:rPr>
                <w:b w:val="0"/>
                <w:sz w:val="17"/>
              </w:rPr>
              <w:t>Managed KMS/HSM; rotation and versioning; access logged.</w:t>
            </w:r>
          </w:p>
        </w:tc>
      </w:tr>
      <w:tr>
        <w:tc>
          <w:tcPr>
            <w:tcW w:type="dxa" w:w="2880"/>
            <w:vAlign w:val="center"/>
            <w:shd w:fill="F6F9FC"/>
          </w:tcPr>
          <w:p>
            <w:r/>
            <w:r>
              <w:rPr>
                <w:b w:val="0"/>
                <w:sz w:val="17"/>
              </w:rPr>
              <w:t>CI/CD secrets</w:t>
            </w:r>
          </w:p>
        </w:tc>
        <w:tc>
          <w:tcPr>
            <w:tcW w:type="dxa" w:w="7488"/>
            <w:vAlign w:val="center"/>
            <w:shd w:fill="F6F9FC"/>
          </w:tcPr>
          <w:p>
            <w:r/>
            <w:r>
              <w:rPr>
                <w:b w:val="0"/>
                <w:sz w:val="17"/>
              </w:rPr>
              <w:t>Environment-scoped; protected branches; no pull-request exposure from forks.</w:t>
            </w:r>
          </w:p>
        </w:tc>
      </w:tr>
    </w:tbl>
    <w:p/>
    <w:p>
      <w:pPr>
        <w:pStyle w:val="Heading1"/>
      </w:pPr>
      <w:r>
        <w:t>7. Application Security Controls</w:t>
      </w:r>
    </w:p>
    <w:tbl>
      <w:tblPr>
        <w:tblStyle w:val="TableGrid"/>
        <w:tblW w:type="auto" w:w="0"/>
        <w:jc w:val="center"/>
        <w:tblLook w:firstColumn="1" w:firstRow="1" w:lastColumn="0" w:lastRow="0" w:noHBand="0" w:noVBand="1" w:val="04A0"/>
      </w:tblPr>
      <w:tblGrid>
        <w:gridCol w:w="5040"/>
        <w:gridCol w:w="5040"/>
      </w:tblGrid>
      <w:tr>
        <w:tc>
          <w:tcPr>
            <w:tcW w:type="dxa" w:w="2160"/>
            <w:shd w:fill="1F4E78"/>
            <w:vAlign w:val="center"/>
          </w:tcPr>
          <w:p>
            <w:r/>
            <w:r>
              <w:rPr>
                <w:b/>
                <w:color w:val="FFFFFF"/>
                <w:sz w:val="17"/>
              </w:rPr>
              <w:t>Area</w:t>
            </w:r>
          </w:p>
        </w:tc>
        <w:tc>
          <w:tcPr>
            <w:tcW w:type="dxa" w:w="8208"/>
            <w:shd w:fill="1F4E78"/>
            <w:vAlign w:val="center"/>
          </w:tcPr>
          <w:p>
            <w:r/>
            <w:r>
              <w:rPr>
                <w:b/>
                <w:color w:val="FFFFFF"/>
                <w:sz w:val="17"/>
              </w:rPr>
              <w:t>Required control</w:t>
            </w:r>
          </w:p>
        </w:tc>
      </w:tr>
      <w:tr>
        <w:tc>
          <w:tcPr>
            <w:tcW w:type="dxa" w:w="2160"/>
            <w:vAlign w:val="center"/>
          </w:tcPr>
          <w:p>
            <w:r/>
            <w:r>
              <w:rPr>
                <w:b w:val="0"/>
                <w:sz w:val="17"/>
              </w:rPr>
              <w:t>Input validation</w:t>
            </w:r>
          </w:p>
        </w:tc>
        <w:tc>
          <w:tcPr>
            <w:tcW w:type="dxa" w:w="8208"/>
            <w:vAlign w:val="center"/>
          </w:tcPr>
          <w:p>
            <w:r/>
            <w:r>
              <w:rPr>
                <w:b w:val="0"/>
                <w:sz w:val="17"/>
              </w:rPr>
              <w:t>Typed schemas, length/count limits, Unicode normalization, keyword token limits, strict enums.</w:t>
            </w:r>
          </w:p>
        </w:tc>
      </w:tr>
      <w:tr>
        <w:tc>
          <w:tcPr>
            <w:tcW w:type="dxa" w:w="2160"/>
            <w:vAlign w:val="center"/>
            <w:shd w:fill="F6F9FC"/>
          </w:tcPr>
          <w:p>
            <w:r/>
            <w:r>
              <w:rPr>
                <w:b w:val="0"/>
                <w:sz w:val="17"/>
              </w:rPr>
              <w:t>Output security</w:t>
            </w:r>
          </w:p>
        </w:tc>
        <w:tc>
          <w:tcPr>
            <w:tcW w:type="dxa" w:w="8208"/>
            <w:vAlign w:val="center"/>
            <w:shd w:fill="F6F9FC"/>
          </w:tcPr>
          <w:p>
            <w:r/>
            <w:r>
              <w:rPr>
                <w:b w:val="0"/>
                <w:sz w:val="17"/>
              </w:rPr>
              <w:t>Framework encoding; sanitize notes; CSP without unsafe-inline where practical.</w:t>
            </w:r>
          </w:p>
        </w:tc>
      </w:tr>
      <w:tr>
        <w:tc>
          <w:tcPr>
            <w:tcW w:type="dxa" w:w="2160"/>
            <w:vAlign w:val="center"/>
          </w:tcPr>
          <w:p>
            <w:r/>
            <w:r>
              <w:rPr>
                <w:b w:val="0"/>
                <w:sz w:val="17"/>
              </w:rPr>
              <w:t>API security</w:t>
            </w:r>
          </w:p>
        </w:tc>
        <w:tc>
          <w:tcPr>
            <w:tcW w:type="dxa" w:w="8208"/>
            <w:vAlign w:val="center"/>
          </w:tcPr>
          <w:p>
            <w:r/>
            <w:r>
              <w:rPr>
                <w:b w:val="0"/>
                <w:sz w:val="17"/>
              </w:rPr>
              <w:t>Rate limit by user/workspace/IP risk; cursor validation; maximum page size; idempotency.</w:t>
            </w:r>
          </w:p>
        </w:tc>
      </w:tr>
      <w:tr>
        <w:tc>
          <w:tcPr>
            <w:tcW w:type="dxa" w:w="2160"/>
            <w:vAlign w:val="center"/>
            <w:shd w:fill="F6F9FC"/>
          </w:tcPr>
          <w:p>
            <w:r/>
            <w:r>
              <w:rPr>
                <w:b w:val="0"/>
                <w:sz w:val="17"/>
              </w:rPr>
              <w:t>Browser security</w:t>
            </w:r>
          </w:p>
        </w:tc>
        <w:tc>
          <w:tcPr>
            <w:tcW w:type="dxa" w:w="8208"/>
            <w:vAlign w:val="center"/>
            <w:shd w:fill="F6F9FC"/>
          </w:tcPr>
          <w:p>
            <w:r/>
            <w:r>
              <w:rPr>
                <w:b w:val="0"/>
                <w:sz w:val="17"/>
              </w:rPr>
              <w:t>HSTS, secure cookies, frame-ancestors restriction, Referrer-Policy, Permissions-Policy.</w:t>
            </w:r>
          </w:p>
        </w:tc>
      </w:tr>
      <w:tr>
        <w:tc>
          <w:tcPr>
            <w:tcW w:type="dxa" w:w="2160"/>
            <w:vAlign w:val="center"/>
          </w:tcPr>
          <w:p>
            <w:r/>
            <w:r>
              <w:rPr>
                <w:b w:val="0"/>
                <w:sz w:val="17"/>
              </w:rPr>
              <w:t>File/export</w:t>
            </w:r>
          </w:p>
        </w:tc>
        <w:tc>
          <w:tcPr>
            <w:tcW w:type="dxa" w:w="8208"/>
            <w:vAlign w:val="center"/>
          </w:tcPr>
          <w:p>
            <w:r/>
            <w:r>
              <w:rPr>
                <w:b w:val="0"/>
                <w:sz w:val="17"/>
              </w:rPr>
              <w:t>CSV injection neutralization, MIME enforcement, no executable formats, malware scan if uploads added later.</w:t>
            </w:r>
          </w:p>
        </w:tc>
      </w:tr>
      <w:tr>
        <w:tc>
          <w:tcPr>
            <w:tcW w:type="dxa" w:w="2160"/>
            <w:vAlign w:val="center"/>
            <w:shd w:fill="F6F9FC"/>
          </w:tcPr>
          <w:p>
            <w:r/>
            <w:r>
              <w:rPr>
                <w:b w:val="0"/>
                <w:sz w:val="17"/>
              </w:rPr>
              <w:t>Logging</w:t>
            </w:r>
          </w:p>
        </w:tc>
        <w:tc>
          <w:tcPr>
            <w:tcW w:type="dxa" w:w="8208"/>
            <w:vAlign w:val="center"/>
            <w:shd w:fill="F6F9FC"/>
          </w:tcPr>
          <w:p>
            <w:r/>
            <w:r>
              <w:rPr>
                <w:b w:val="0"/>
                <w:sz w:val="17"/>
              </w:rPr>
              <w:t>Structured logs; redact tokens, keys, cookies, authorization headers and sensitive notes.</w:t>
            </w:r>
          </w:p>
        </w:tc>
      </w:tr>
      <w:tr>
        <w:tc>
          <w:tcPr>
            <w:tcW w:type="dxa" w:w="2160"/>
            <w:vAlign w:val="center"/>
          </w:tcPr>
          <w:p>
            <w:r/>
            <w:r>
              <w:rPr>
                <w:b w:val="0"/>
                <w:sz w:val="17"/>
              </w:rPr>
              <w:t>Error handling</w:t>
            </w:r>
          </w:p>
        </w:tc>
        <w:tc>
          <w:tcPr>
            <w:tcW w:type="dxa" w:w="8208"/>
            <w:vAlign w:val="center"/>
          </w:tcPr>
          <w:p>
            <w:r/>
            <w:r>
              <w:rPr>
                <w:b w:val="0"/>
                <w:sz w:val="17"/>
              </w:rPr>
              <w:t>No stack traces/secrets to client; correlation ID; normalized upstream errors.</w:t>
            </w:r>
          </w:p>
        </w:tc>
      </w:tr>
    </w:tbl>
    <w:p/>
    <w:p>
      <w:pPr>
        <w:pStyle w:val="Heading1"/>
      </w:pPr>
      <w:r>
        <w:t>8. Network and Infrastructure Security</w:t>
      </w:r>
    </w:p>
    <w:p>
      <w:pPr>
        <w:pStyle w:val="ListBullet"/>
      </w:pPr>
      <w:r>
        <w:t>Public traffic terminates at managed load balancer/WAF; application and database remain private where possible.</w:t>
      </w:r>
    </w:p>
    <w:p>
      <w:pPr>
        <w:pStyle w:val="ListBullet"/>
      </w:pPr>
      <w:r>
        <w:t>Worker egress restricted to documented Google/YouTube API endpoints and required platform services.</w:t>
      </w:r>
    </w:p>
    <w:p>
      <w:pPr>
        <w:pStyle w:val="ListBullet"/>
      </w:pPr>
      <w:r>
        <w:t>Database not publicly reachable; TLS in transit; encryption at rest using managed keys.</w:t>
      </w:r>
    </w:p>
    <w:p>
      <w:pPr>
        <w:pStyle w:val="ListBullet"/>
      </w:pPr>
      <w:r>
        <w:t>Separate production account/project and network from non-production.</w:t>
      </w:r>
    </w:p>
    <w:p>
      <w:pPr>
        <w:pStyle w:val="ListBullet"/>
      </w:pPr>
      <w:r>
        <w:t>Container images run non-root, read-only filesystem where possible, minimal base image and vulnerability gate.</w:t>
      </w:r>
    </w:p>
    <w:p>
      <w:pPr>
        <w:pStyle w:val="ListBullet"/>
      </w:pPr>
      <w:r>
        <w:t>Infrastructure changes require reviewed IaC; emergency changes are retrospectively reviewed.</w:t>
      </w:r>
    </w:p>
    <w:p>
      <w:pPr>
        <w:pStyle w:val="Heading1"/>
      </w:pPr>
      <w:r>
        <w:t>9. Privacy and Retention</w:t>
      </w:r>
    </w:p>
    <w:tbl>
      <w:tblPr>
        <w:tblStyle w:val="TableGrid"/>
        <w:tblW w:type="auto" w:w="0"/>
        <w:jc w:val="center"/>
        <w:tblLook w:firstColumn="1" w:firstRow="1" w:lastColumn="0" w:lastRow="0" w:noHBand="0" w:noVBand="1" w:val="04A0"/>
      </w:tblPr>
      <w:tblGrid>
        <w:gridCol w:w="3360"/>
        <w:gridCol w:w="3360"/>
        <w:gridCol w:w="3360"/>
      </w:tblGrid>
      <w:tr>
        <w:tc>
          <w:tcPr>
            <w:tcW w:type="dxa" w:w="2736"/>
            <w:shd w:fill="1F4E78"/>
            <w:vAlign w:val="center"/>
          </w:tcPr>
          <w:p>
            <w:r/>
            <w:r>
              <w:rPr>
                <w:b/>
                <w:color w:val="FFFFFF"/>
                <w:sz w:val="17"/>
              </w:rPr>
              <w:t>Data</w:t>
            </w:r>
          </w:p>
        </w:tc>
        <w:tc>
          <w:tcPr>
            <w:tcW w:type="dxa" w:w="3888"/>
            <w:shd w:fill="1F4E78"/>
            <w:vAlign w:val="center"/>
          </w:tcPr>
          <w:p>
            <w:r/>
            <w:r>
              <w:rPr>
                <w:b/>
                <w:color w:val="FFFFFF"/>
                <w:sz w:val="17"/>
              </w:rPr>
              <w:t>Default proposal</w:t>
            </w:r>
          </w:p>
        </w:tc>
        <w:tc>
          <w:tcPr>
            <w:tcW w:type="dxa" w:w="3744"/>
            <w:shd w:fill="1F4E78"/>
            <w:vAlign w:val="center"/>
          </w:tcPr>
          <w:p>
            <w:r/>
            <w:r>
              <w:rPr>
                <w:b/>
                <w:color w:val="FFFFFF"/>
                <w:sz w:val="17"/>
              </w:rPr>
              <w:t>Deletion trigger</w:t>
            </w:r>
          </w:p>
        </w:tc>
      </w:tr>
      <w:tr>
        <w:tc>
          <w:tcPr>
            <w:tcW w:type="dxa" w:w="2736"/>
            <w:vAlign w:val="center"/>
          </w:tcPr>
          <w:p>
            <w:r/>
            <w:r>
              <w:rPr>
                <w:b w:val="0"/>
                <w:sz w:val="17"/>
              </w:rPr>
              <w:t>User account/profile</w:t>
            </w:r>
          </w:p>
        </w:tc>
        <w:tc>
          <w:tcPr>
            <w:tcW w:type="dxa" w:w="3888"/>
            <w:vAlign w:val="center"/>
          </w:tcPr>
          <w:p>
            <w:r/>
            <w:r>
              <w:rPr>
                <w:b w:val="0"/>
                <w:sz w:val="17"/>
              </w:rPr>
              <w:t>Account life + 30 days</w:t>
            </w:r>
          </w:p>
        </w:tc>
        <w:tc>
          <w:tcPr>
            <w:tcW w:type="dxa" w:w="3744"/>
            <w:vAlign w:val="center"/>
          </w:tcPr>
          <w:p>
            <w:r/>
            <w:r>
              <w:rPr>
                <w:b w:val="0"/>
                <w:sz w:val="17"/>
              </w:rPr>
              <w:t>Account/workspace deletion or verified request.</w:t>
            </w:r>
          </w:p>
        </w:tc>
      </w:tr>
      <w:tr>
        <w:tc>
          <w:tcPr>
            <w:tcW w:type="dxa" w:w="2736"/>
            <w:vAlign w:val="center"/>
            <w:shd w:fill="F6F9FC"/>
          </w:tcPr>
          <w:p>
            <w:r/>
            <w:r>
              <w:rPr>
                <w:b w:val="0"/>
                <w:sz w:val="17"/>
              </w:rPr>
              <w:t>Search definitions/watchlists/notes</w:t>
            </w:r>
          </w:p>
        </w:tc>
        <w:tc>
          <w:tcPr>
            <w:tcW w:type="dxa" w:w="3888"/>
            <w:vAlign w:val="center"/>
            <w:shd w:fill="F6F9FC"/>
          </w:tcPr>
          <w:p>
            <w:r/>
            <w:r>
              <w:rPr>
                <w:b w:val="0"/>
                <w:sz w:val="17"/>
              </w:rPr>
              <w:t>Workspace life</w:t>
            </w:r>
          </w:p>
        </w:tc>
        <w:tc>
          <w:tcPr>
            <w:tcW w:type="dxa" w:w="3744"/>
            <w:vAlign w:val="center"/>
            <w:shd w:fill="F6F9FC"/>
          </w:tcPr>
          <w:p>
            <w:r/>
            <w:r>
              <w:rPr>
                <w:b w:val="0"/>
                <w:sz w:val="17"/>
              </w:rPr>
              <w:t>Workspace deletion or user-authorized deletion.</w:t>
            </w:r>
          </w:p>
        </w:tc>
      </w:tr>
      <w:tr>
        <w:tc>
          <w:tcPr>
            <w:tcW w:type="dxa" w:w="2736"/>
            <w:vAlign w:val="center"/>
          </w:tcPr>
          <w:p>
            <w:r/>
            <w:r>
              <w:rPr>
                <w:b w:val="0"/>
                <w:sz w:val="17"/>
              </w:rPr>
              <w:t>Public API metadata snapshots</w:t>
            </w:r>
          </w:p>
        </w:tc>
        <w:tc>
          <w:tcPr>
            <w:tcW w:type="dxa" w:w="3888"/>
            <w:vAlign w:val="center"/>
          </w:tcPr>
          <w:p>
            <w:r/>
            <w:r>
              <w:rPr>
                <w:b w:val="0"/>
                <w:sz w:val="17"/>
              </w:rPr>
              <w:t>Policy-approved duration only; configure centrally</w:t>
            </w:r>
          </w:p>
        </w:tc>
        <w:tc>
          <w:tcPr>
            <w:tcW w:type="dxa" w:w="3744"/>
            <w:vAlign w:val="center"/>
          </w:tcPr>
          <w:p>
            <w:r/>
            <w:r>
              <w:rPr>
                <w:b w:val="0"/>
                <w:sz w:val="17"/>
              </w:rPr>
              <w:t>Policy limit, channel/data deletion signal, or workspace/product shutdown.</w:t>
            </w:r>
          </w:p>
        </w:tc>
      </w:tr>
      <w:tr>
        <w:tc>
          <w:tcPr>
            <w:tcW w:type="dxa" w:w="2736"/>
            <w:vAlign w:val="center"/>
            <w:shd w:fill="F6F9FC"/>
          </w:tcPr>
          <w:p>
            <w:r/>
            <w:r>
              <w:rPr>
                <w:b w:val="0"/>
                <w:sz w:val="17"/>
              </w:rPr>
              <w:t>Derived scores</w:t>
            </w:r>
          </w:p>
        </w:tc>
        <w:tc>
          <w:tcPr>
            <w:tcW w:type="dxa" w:w="3888"/>
            <w:vAlign w:val="center"/>
            <w:shd w:fill="F6F9FC"/>
          </w:tcPr>
          <w:p>
            <w:r/>
            <w:r>
              <w:rPr>
                <w:b w:val="0"/>
                <w:sz w:val="17"/>
              </w:rPr>
              <w:t>No longer than source inputs and permission basis</w:t>
            </w:r>
          </w:p>
        </w:tc>
        <w:tc>
          <w:tcPr>
            <w:tcW w:type="dxa" w:w="3744"/>
            <w:vAlign w:val="center"/>
            <w:shd w:fill="F6F9FC"/>
          </w:tcPr>
          <w:p>
            <w:r/>
            <w:r>
              <w:rPr>
                <w:b w:val="0"/>
                <w:sz w:val="17"/>
              </w:rPr>
              <w:t>Source deletion/policy disablement.</w:t>
            </w:r>
          </w:p>
        </w:tc>
      </w:tr>
      <w:tr>
        <w:tc>
          <w:tcPr>
            <w:tcW w:type="dxa" w:w="2736"/>
            <w:vAlign w:val="center"/>
          </w:tcPr>
          <w:p>
            <w:r/>
            <w:r>
              <w:rPr>
                <w:b w:val="0"/>
                <w:sz w:val="17"/>
              </w:rPr>
              <w:t>Exports</w:t>
            </w:r>
          </w:p>
        </w:tc>
        <w:tc>
          <w:tcPr>
            <w:tcW w:type="dxa" w:w="3888"/>
            <w:vAlign w:val="center"/>
          </w:tcPr>
          <w:p>
            <w:r/>
            <w:r>
              <w:rPr>
                <w:b w:val="0"/>
                <w:sz w:val="17"/>
              </w:rPr>
              <w:t>7 days by default</w:t>
            </w:r>
          </w:p>
        </w:tc>
        <w:tc>
          <w:tcPr>
            <w:tcW w:type="dxa" w:w="3744"/>
            <w:vAlign w:val="center"/>
          </w:tcPr>
          <w:p>
            <w:r/>
            <w:r>
              <w:rPr>
                <w:b w:val="0"/>
                <w:sz w:val="17"/>
              </w:rPr>
              <w:t>Expiry, manual deletion or workspace deletion.</w:t>
            </w:r>
          </w:p>
        </w:tc>
      </w:tr>
      <w:tr>
        <w:tc>
          <w:tcPr>
            <w:tcW w:type="dxa" w:w="2736"/>
            <w:vAlign w:val="center"/>
            <w:shd w:fill="F6F9FC"/>
          </w:tcPr>
          <w:p>
            <w:r/>
            <w:r>
              <w:rPr>
                <w:b w:val="0"/>
                <w:sz w:val="17"/>
              </w:rPr>
              <w:t>Audit/security logs</w:t>
            </w:r>
          </w:p>
        </w:tc>
        <w:tc>
          <w:tcPr>
            <w:tcW w:type="dxa" w:w="3888"/>
            <w:vAlign w:val="center"/>
            <w:shd w:fill="F6F9FC"/>
          </w:tcPr>
          <w:p>
            <w:r/>
            <w:r>
              <w:rPr>
                <w:b w:val="0"/>
                <w:sz w:val="17"/>
              </w:rPr>
              <w:t>12 months proposal, subject to legal review</w:t>
            </w:r>
          </w:p>
        </w:tc>
        <w:tc>
          <w:tcPr>
            <w:tcW w:type="dxa" w:w="3744"/>
            <w:vAlign w:val="center"/>
            <w:shd w:fill="F6F9FC"/>
          </w:tcPr>
          <w:p>
            <w:r/>
            <w:r>
              <w:rPr>
                <w:b w:val="0"/>
                <w:sz w:val="17"/>
              </w:rPr>
              <w:t>Scheduled lifecycle policy.</w:t>
            </w:r>
          </w:p>
        </w:tc>
      </w:tr>
      <w:tr>
        <w:tc>
          <w:tcPr>
            <w:tcW w:type="dxa" w:w="2736"/>
            <w:vAlign w:val="center"/>
          </w:tcPr>
          <w:p>
            <w:r/>
            <w:r>
              <w:rPr>
                <w:b w:val="0"/>
                <w:sz w:val="17"/>
              </w:rPr>
              <w:t>OAuth tokens</w:t>
            </w:r>
          </w:p>
        </w:tc>
        <w:tc>
          <w:tcPr>
            <w:tcW w:type="dxa" w:w="3888"/>
            <w:vAlign w:val="center"/>
          </w:tcPr>
          <w:p>
            <w:r/>
            <w:r>
              <w:rPr>
                <w:b w:val="0"/>
                <w:sz w:val="17"/>
              </w:rPr>
              <w:t>While connection active</w:t>
            </w:r>
          </w:p>
        </w:tc>
        <w:tc>
          <w:tcPr>
            <w:tcW w:type="dxa" w:w="3744"/>
            <w:vAlign w:val="center"/>
          </w:tcPr>
          <w:p>
            <w:r/>
            <w:r>
              <w:rPr>
                <w:b w:val="0"/>
                <w:sz w:val="17"/>
              </w:rPr>
              <w:t>Revocation, disconnect, account deletion, auth failure threshold.</w:t>
            </w:r>
          </w:p>
        </w:tc>
      </w:tr>
    </w:tbl>
    <w:p/>
    <w:p>
      <w:r>
        <w:t>Retention values are implementation proposals, not legal conclusions. YouTube API policy and any accepted amendment must be reviewed before production. Metadata refresh/deletion processes must be configurable without code change.</w:t>
      </w:r>
    </w:p>
    <w:p>
      <w:pPr>
        <w:pStyle w:val="Heading1"/>
      </w:pPr>
      <w:r>
        <w:t>10. YouTube API Compliance Controls</w:t>
      </w:r>
    </w:p>
    <w:p>
      <w:pPr>
        <w:pStyle w:val="ListBullet"/>
      </w:pPr>
      <w:r>
        <w:t>Maintain an allowlist of API hostnames, methods and parts; block undocumented endpoints.</w:t>
      </w:r>
    </w:p>
    <w:p>
      <w:pPr>
        <w:pStyle w:val="ListBullet"/>
      </w:pPr>
      <w:r>
        <w:t>Store the API project owner, credentials, approved use case, quota status and audit/extension evidence in a compliance register.</w:t>
      </w:r>
    </w:p>
    <w:p>
      <w:pPr>
        <w:pStyle w:val="ListBullet"/>
      </w:pPr>
      <w:r>
        <w:t>Display proprietary metrics as separate from YouTube API metrics.</w:t>
      </w:r>
    </w:p>
    <w:p>
      <w:pPr>
        <w:pStyle w:val="ListBullet"/>
      </w:pPr>
      <w:r>
        <w:t>Do not imply YouTube endorsement.</w:t>
      </w:r>
    </w:p>
    <w:p>
      <w:pPr>
        <w:pStyle w:val="ListBullet"/>
      </w:pPr>
      <w:r>
        <w:t>Provide source links and preserve required attribution/links.</w:t>
      </w:r>
    </w:p>
    <w:p>
      <w:pPr>
        <w:pStyle w:val="ListBullet"/>
      </w:pPr>
      <w:r>
        <w:t>Implement a global policy switch to stop collection, hide derived metrics and trigger deletion/refresh workflows.</w:t>
      </w:r>
    </w:p>
    <w:p>
      <w:pPr>
        <w:pStyle w:val="ListBullet"/>
      </w:pPr>
      <w:r>
        <w:t>Subscribe operationally to API revision and policy change notices; perform impact review.</w:t>
      </w:r>
    </w:p>
    <w:p>
      <w:pPr>
        <w:pStyle w:val="Heading1"/>
      </w:pPr>
      <w:r>
        <w:t>11. Audit Events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8"/>
            <w:vAlign w:val="center"/>
          </w:tcPr>
          <w:p>
            <w:r/>
            <w:r>
              <w:rPr>
                <w:b/>
                <w:color w:val="FFFFFF"/>
                <w:sz w:val="17"/>
              </w:rPr>
              <w:t>Event category</w:t>
            </w:r>
          </w:p>
        </w:tc>
        <w:tc>
          <w:tcPr>
            <w:tcW w:type="dxa" w:w="3456"/>
            <w:shd w:fill="1F4E78"/>
            <w:vAlign w:val="center"/>
          </w:tcPr>
          <w:p>
            <w:r/>
            <w:r>
              <w:rPr>
                <w:b/>
                <w:color w:val="FFFFFF"/>
                <w:sz w:val="17"/>
              </w:rPr>
              <w:t>Examples</w:t>
            </w:r>
          </w:p>
        </w:tc>
        <w:tc>
          <w:tcPr>
            <w:tcW w:type="dxa" w:w="5040"/>
            <w:shd w:fill="1F4E78"/>
            <w:vAlign w:val="center"/>
          </w:tcPr>
          <w:p>
            <w:r/>
            <w:r>
              <w:rPr>
                <w:b/>
                <w:color w:val="FFFFFF"/>
                <w:sz w:val="17"/>
              </w:rPr>
              <w:t>Minimum fields</w:t>
            </w:r>
          </w:p>
        </w:tc>
      </w:tr>
      <w:tr>
        <w:tc>
          <w:tcPr>
            <w:tcW w:type="dxa" w:w="1872"/>
            <w:vAlign w:val="center"/>
          </w:tcPr>
          <w:p>
            <w:r/>
            <w:r>
              <w:rPr>
                <w:b w:val="0"/>
                <w:sz w:val="17"/>
              </w:rPr>
              <w:t>Authentication</w:t>
            </w:r>
          </w:p>
        </w:tc>
        <w:tc>
          <w:tcPr>
            <w:tcW w:type="dxa" w:w="3456"/>
            <w:vAlign w:val="center"/>
          </w:tcPr>
          <w:p>
            <w:r/>
            <w:r>
              <w:rPr>
                <w:b w:val="0"/>
                <w:sz w:val="17"/>
              </w:rPr>
              <w:t>login success/failure, MFA, session revoke</w:t>
            </w:r>
          </w:p>
        </w:tc>
        <w:tc>
          <w:tcPr>
            <w:tcW w:type="dxa" w:w="5040"/>
            <w:vAlign w:val="center"/>
          </w:tcPr>
          <w:p>
            <w:r/>
            <w:r>
              <w:rPr>
                <w:b w:val="0"/>
                <w:sz w:val="17"/>
              </w:rPr>
              <w:t>actor, subject, IP risk, timestamp, result, correlation ID</w:t>
            </w:r>
          </w:p>
        </w:tc>
      </w:tr>
      <w:tr>
        <w:tc>
          <w:tcPr>
            <w:tcW w:type="dxa" w:w="1872"/>
            <w:vAlign w:val="center"/>
            <w:shd w:fill="F6F9FC"/>
          </w:tcPr>
          <w:p>
            <w:r/>
            <w:r>
              <w:rPr>
                <w:b w:val="0"/>
                <w:sz w:val="17"/>
              </w:rPr>
              <w:t>Authorization</w:t>
            </w:r>
          </w:p>
        </w:tc>
        <w:tc>
          <w:tcPr>
            <w:tcW w:type="dxa" w:w="3456"/>
            <w:vAlign w:val="center"/>
            <w:shd w:fill="F6F9FC"/>
          </w:tcPr>
          <w:p>
            <w:r/>
            <w:r>
              <w:rPr>
                <w:b w:val="0"/>
                <w:sz w:val="17"/>
              </w:rPr>
              <w:t>denied object access, role change</w:t>
            </w:r>
          </w:p>
        </w:tc>
        <w:tc>
          <w:tcPr>
            <w:tcW w:type="dxa" w:w="5040"/>
            <w:vAlign w:val="center"/>
            <w:shd w:fill="F6F9FC"/>
          </w:tcPr>
          <w:p>
            <w:r/>
            <w:r>
              <w:rPr>
                <w:b w:val="0"/>
                <w:sz w:val="17"/>
              </w:rPr>
              <w:t>actor, workspace, action, target, old/new role</w:t>
            </w:r>
          </w:p>
        </w:tc>
      </w:tr>
      <w:tr>
        <w:tc>
          <w:tcPr>
            <w:tcW w:type="dxa" w:w="1872"/>
            <w:vAlign w:val="center"/>
          </w:tcPr>
          <w:p>
            <w:r/>
            <w:r>
              <w:rPr>
                <w:b w:val="0"/>
                <w:sz w:val="17"/>
              </w:rPr>
              <w:t>Collection</w:t>
            </w:r>
          </w:p>
        </w:tc>
        <w:tc>
          <w:tcPr>
            <w:tcW w:type="dxa" w:w="3456"/>
            <w:vAlign w:val="center"/>
          </w:tcPr>
          <w:p>
            <w:r/>
            <w:r>
              <w:rPr>
                <w:b w:val="0"/>
                <w:sz w:val="17"/>
              </w:rPr>
              <w:t>run start/cancel, quota override, credential change</w:t>
            </w:r>
          </w:p>
        </w:tc>
        <w:tc>
          <w:tcPr>
            <w:tcW w:type="dxa" w:w="5040"/>
            <w:vAlign w:val="center"/>
          </w:tcPr>
          <w:p>
            <w:r/>
            <w:r>
              <w:rPr>
                <w:b w:val="0"/>
                <w:sz w:val="17"/>
              </w:rPr>
              <w:t>actor/service, definition/run, quota, reason</w:t>
            </w:r>
          </w:p>
        </w:tc>
      </w:tr>
      <w:tr>
        <w:tc>
          <w:tcPr>
            <w:tcW w:type="dxa" w:w="1872"/>
            <w:vAlign w:val="center"/>
            <w:shd w:fill="F6F9FC"/>
          </w:tcPr>
          <w:p>
            <w:r/>
            <w:r>
              <w:rPr>
                <w:b w:val="0"/>
                <w:sz w:val="17"/>
              </w:rPr>
              <w:t>Governance</w:t>
            </w:r>
          </w:p>
        </w:tc>
        <w:tc>
          <w:tcPr>
            <w:tcW w:type="dxa" w:w="3456"/>
            <w:vAlign w:val="center"/>
            <w:shd w:fill="F6F9FC"/>
          </w:tcPr>
          <w:p>
            <w:r/>
            <w:r>
              <w:rPr>
                <w:b w:val="0"/>
                <w:sz w:val="17"/>
              </w:rPr>
              <w:t>watchlist/export/note changes</w:t>
            </w:r>
          </w:p>
        </w:tc>
        <w:tc>
          <w:tcPr>
            <w:tcW w:type="dxa" w:w="5040"/>
            <w:vAlign w:val="center"/>
            <w:shd w:fill="F6F9FC"/>
          </w:tcPr>
          <w:p>
            <w:r/>
            <w:r>
              <w:rPr>
                <w:b w:val="0"/>
                <w:sz w:val="17"/>
              </w:rPr>
              <w:t>actor, workspace, target, action, timestamp</w:t>
            </w:r>
          </w:p>
        </w:tc>
      </w:tr>
      <w:tr>
        <w:tc>
          <w:tcPr>
            <w:tcW w:type="dxa" w:w="1872"/>
            <w:vAlign w:val="center"/>
          </w:tcPr>
          <w:p>
            <w:r/>
            <w:r>
              <w:rPr>
                <w:b w:val="0"/>
                <w:sz w:val="17"/>
              </w:rPr>
              <w:t>Policy</w:t>
            </w:r>
          </w:p>
        </w:tc>
        <w:tc>
          <w:tcPr>
            <w:tcW w:type="dxa" w:w="3456"/>
            <w:vAlign w:val="center"/>
          </w:tcPr>
          <w:p>
            <w:r/>
            <w:r>
              <w:rPr>
                <w:b w:val="0"/>
                <w:sz w:val="17"/>
              </w:rPr>
              <w:t>switch change, scoring version enablement</w:t>
            </w:r>
          </w:p>
        </w:tc>
        <w:tc>
          <w:tcPr>
            <w:tcW w:type="dxa" w:w="5040"/>
            <w:vAlign w:val="center"/>
          </w:tcPr>
          <w:p>
            <w:r/>
            <w:r>
              <w:rPr>
                <w:b w:val="0"/>
                <w:sz w:val="17"/>
              </w:rPr>
              <w:t>operator, approval/ref, previous/new value, reason</w:t>
            </w:r>
          </w:p>
        </w:tc>
      </w:tr>
      <w:tr>
        <w:tc>
          <w:tcPr>
            <w:tcW w:type="dxa" w:w="1872"/>
            <w:vAlign w:val="center"/>
            <w:shd w:fill="F6F9FC"/>
          </w:tcPr>
          <w:p>
            <w:r/>
            <w:r>
              <w:rPr>
                <w:b w:val="0"/>
                <w:sz w:val="17"/>
              </w:rPr>
              <w:t>Data lifecycle</w:t>
            </w:r>
          </w:p>
        </w:tc>
        <w:tc>
          <w:tcPr>
            <w:tcW w:type="dxa" w:w="3456"/>
            <w:vAlign w:val="center"/>
            <w:shd w:fill="F6F9FC"/>
          </w:tcPr>
          <w:p>
            <w:r/>
            <w:r>
              <w:rPr>
                <w:b w:val="0"/>
                <w:sz w:val="17"/>
              </w:rPr>
              <w:t>delete, token revoke, export expiry</w:t>
            </w:r>
          </w:p>
        </w:tc>
        <w:tc>
          <w:tcPr>
            <w:tcW w:type="dxa" w:w="5040"/>
            <w:vAlign w:val="center"/>
            <w:shd w:fill="F6F9FC"/>
          </w:tcPr>
          <w:p>
            <w:r/>
            <w:r>
              <w:rPr>
                <w:b w:val="0"/>
                <w:sz w:val="17"/>
              </w:rPr>
              <w:t>requester, scope, result, timestamp</w:t>
            </w:r>
          </w:p>
        </w:tc>
      </w:tr>
    </w:tbl>
    <w:p/>
    <w:p>
      <w:pPr>
        <w:pStyle w:val="Heading1"/>
      </w:pPr>
      <w:r>
        <w:t>12. Detection and Incident Response</w:t>
      </w:r>
    </w:p>
    <w:tbl>
      <w:tblPr>
        <w:tblStyle w:val="TableGrid"/>
        <w:tblW w:type="auto" w:w="0"/>
        <w:jc w:val="center"/>
        <w:tblLook w:firstColumn="1" w:firstRow="1" w:lastColumn="0" w:lastRow="0" w:noHBand="0" w:noVBand="1" w:val="04A0"/>
      </w:tblPr>
      <w:tblGrid>
        <w:gridCol w:w="5040"/>
        <w:gridCol w:w="5040"/>
      </w:tblGrid>
      <w:tr>
        <w:tc>
          <w:tcPr>
            <w:tcW w:type="dxa" w:w="2592"/>
            <w:shd w:fill="1F4E78"/>
            <w:vAlign w:val="center"/>
          </w:tcPr>
          <w:p>
            <w:r/>
            <w:r>
              <w:rPr>
                <w:b/>
                <w:color w:val="FFFFFF"/>
                <w:sz w:val="17"/>
              </w:rPr>
              <w:t>Detection</w:t>
            </w:r>
          </w:p>
        </w:tc>
        <w:tc>
          <w:tcPr>
            <w:tcW w:type="dxa" w:w="7776"/>
            <w:shd w:fill="1F4E78"/>
            <w:vAlign w:val="center"/>
          </w:tcPr>
          <w:p>
            <w:r/>
            <w:r>
              <w:rPr>
                <w:b/>
                <w:color w:val="FFFFFF"/>
                <w:sz w:val="17"/>
              </w:rPr>
              <w:t>Threshold / response</w:t>
            </w:r>
          </w:p>
        </w:tc>
      </w:tr>
      <w:tr>
        <w:tc>
          <w:tcPr>
            <w:tcW w:type="dxa" w:w="2592"/>
            <w:vAlign w:val="center"/>
          </w:tcPr>
          <w:p>
            <w:r/>
            <w:r>
              <w:rPr>
                <w:b w:val="0"/>
                <w:sz w:val="17"/>
              </w:rPr>
              <w:t>Quota spike</w:t>
            </w:r>
          </w:p>
        </w:tc>
        <w:tc>
          <w:tcPr>
            <w:tcW w:type="dxa" w:w="7776"/>
            <w:vAlign w:val="center"/>
          </w:tcPr>
          <w:p>
            <w:r/>
            <w:r>
              <w:rPr>
                <w:b w:val="0"/>
                <w:sz w:val="17"/>
              </w:rPr>
              <w:t>Usage exceeds forecast band or rapid repeated runs → throttle and alert.</w:t>
            </w:r>
          </w:p>
        </w:tc>
      </w:tr>
      <w:tr>
        <w:tc>
          <w:tcPr>
            <w:tcW w:type="dxa" w:w="2592"/>
            <w:vAlign w:val="center"/>
            <w:shd w:fill="F6F9FC"/>
          </w:tcPr>
          <w:p>
            <w:r/>
            <w:r>
              <w:rPr>
                <w:b w:val="0"/>
                <w:sz w:val="17"/>
              </w:rPr>
              <w:t>Cross-tenant denial spike</w:t>
            </w:r>
          </w:p>
        </w:tc>
        <w:tc>
          <w:tcPr>
            <w:tcW w:type="dxa" w:w="7776"/>
            <w:vAlign w:val="center"/>
            <w:shd w:fill="F6F9FC"/>
          </w:tcPr>
          <w:p>
            <w:r/>
            <w:r>
              <w:rPr>
                <w:b w:val="0"/>
                <w:sz w:val="17"/>
              </w:rPr>
              <w:t>Multiple denied IDs across workspaces → session review/block.</w:t>
            </w:r>
          </w:p>
        </w:tc>
      </w:tr>
      <w:tr>
        <w:tc>
          <w:tcPr>
            <w:tcW w:type="dxa" w:w="2592"/>
            <w:vAlign w:val="center"/>
          </w:tcPr>
          <w:p>
            <w:r/>
            <w:r>
              <w:rPr>
                <w:b w:val="0"/>
                <w:sz w:val="17"/>
              </w:rPr>
              <w:t>Secret access anomaly</w:t>
            </w:r>
          </w:p>
        </w:tc>
        <w:tc>
          <w:tcPr>
            <w:tcW w:type="dxa" w:w="7776"/>
            <w:vAlign w:val="center"/>
          </w:tcPr>
          <w:p>
            <w:r/>
            <w:r>
              <w:rPr>
                <w:b w:val="0"/>
                <w:sz w:val="17"/>
              </w:rPr>
              <w:t>Unexpected identity/environment reads secret → rotate and investigate.</w:t>
            </w:r>
          </w:p>
        </w:tc>
      </w:tr>
      <w:tr>
        <w:tc>
          <w:tcPr>
            <w:tcW w:type="dxa" w:w="2592"/>
            <w:vAlign w:val="center"/>
            <w:shd w:fill="F6F9FC"/>
          </w:tcPr>
          <w:p>
            <w:r/>
            <w:r>
              <w:rPr>
                <w:b w:val="0"/>
                <w:sz w:val="17"/>
              </w:rPr>
              <w:t>Export anomaly</w:t>
            </w:r>
          </w:p>
        </w:tc>
        <w:tc>
          <w:tcPr>
            <w:tcW w:type="dxa" w:w="7776"/>
            <w:vAlign w:val="center"/>
            <w:shd w:fill="F6F9FC"/>
          </w:tcPr>
          <w:p>
            <w:r/>
            <w:r>
              <w:rPr>
                <w:b w:val="0"/>
                <w:sz w:val="17"/>
              </w:rPr>
              <w:t>Bulk/high-frequency exports → step-up, hold, notify admin.</w:t>
            </w:r>
          </w:p>
        </w:tc>
      </w:tr>
      <w:tr>
        <w:tc>
          <w:tcPr>
            <w:tcW w:type="dxa" w:w="2592"/>
            <w:vAlign w:val="center"/>
          </w:tcPr>
          <w:p>
            <w:r/>
            <w:r>
              <w:rPr>
                <w:b w:val="0"/>
                <w:sz w:val="17"/>
              </w:rPr>
              <w:t>OAuth failures</w:t>
            </w:r>
          </w:p>
        </w:tc>
        <w:tc>
          <w:tcPr>
            <w:tcW w:type="dxa" w:w="7776"/>
            <w:vAlign w:val="center"/>
          </w:tcPr>
          <w:p>
            <w:r/>
            <w:r>
              <w:rPr>
                <w:b w:val="0"/>
                <w:sz w:val="17"/>
              </w:rPr>
              <w:t>Repeated invalid_grant/401 → disable connector and request reauthorization.</w:t>
            </w:r>
          </w:p>
        </w:tc>
      </w:tr>
      <w:tr>
        <w:tc>
          <w:tcPr>
            <w:tcW w:type="dxa" w:w="2592"/>
            <w:vAlign w:val="center"/>
            <w:shd w:fill="F6F9FC"/>
          </w:tcPr>
          <w:p>
            <w:r/>
            <w:r>
              <w:rPr>
                <w:b w:val="0"/>
                <w:sz w:val="17"/>
              </w:rPr>
              <w:t>Policy/API change</w:t>
            </w:r>
          </w:p>
        </w:tc>
        <w:tc>
          <w:tcPr>
            <w:tcW w:type="dxa" w:w="7776"/>
            <w:vAlign w:val="center"/>
            <w:shd w:fill="F6F9FC"/>
          </w:tcPr>
          <w:p>
            <w:r/>
            <w:r>
              <w:rPr>
                <w:b w:val="0"/>
                <w:sz w:val="17"/>
              </w:rPr>
              <w:t>Schema or policy monitor detects change → freeze affected feature pending review.</w:t>
            </w:r>
          </w:p>
        </w:tc>
      </w:tr>
    </w:tbl>
    <w:p/>
    <w:p>
      <w:pPr>
        <w:pStyle w:val="Heading1"/>
      </w:pPr>
      <w:r>
        <w:t>13. Secure SDLC Gates</w:t>
      </w:r>
    </w:p>
    <w:p>
      <w:pPr>
        <w:pStyle w:val="ListBullet"/>
      </w:pPr>
      <w:r>
        <w:t>Threat model review for each material feature.</w:t>
      </w:r>
    </w:p>
    <w:p>
      <w:pPr>
        <w:pStyle w:val="ListBullet"/>
      </w:pPr>
      <w:r>
        <w:t>Mandatory code review and protected branch.</w:t>
      </w:r>
    </w:p>
    <w:p>
      <w:pPr>
        <w:pStyle w:val="ListBullet"/>
      </w:pPr>
      <w:r>
        <w:t>SAST, secret scanning, dependency scanning and IaC scanning on every merge.</w:t>
      </w:r>
    </w:p>
    <w:p>
      <w:pPr>
        <w:pStyle w:val="ListBullet"/>
      </w:pPr>
      <w:r>
        <w:t>DAST and tenant-isolation test suite before release.</w:t>
      </w:r>
    </w:p>
    <w:p>
      <w:pPr>
        <w:pStyle w:val="ListBullet"/>
      </w:pPr>
      <w:r>
        <w:t>Critical/high vulnerabilities block production unless formally risk-accepted with expiry.</w:t>
      </w:r>
    </w:p>
    <w:p>
      <w:pPr>
        <w:pStyle w:val="ListBullet"/>
      </w:pPr>
      <w:r>
        <w:t>Annual external penetration test before/after GA; targeted retest after major auth/tenant changes.</w:t>
      </w:r>
    </w:p>
    <w:p>
      <w:pPr>
        <w:pStyle w:val="ListBullet"/>
      </w:pPr>
      <w:r>
        <w:t>SBOM retained per release; signed artifacts and provenance where supported.</w:t>
      </w:r>
    </w:p>
    <w:p>
      <w:pPr>
        <w:pStyle w:val="Heading1"/>
      </w:pPr>
      <w:r>
        <w:t>14. Security Acceptance Criteria</w:t>
      </w:r>
    </w:p>
    <w:p>
      <w:pPr>
        <w:pStyle w:val="ListBullet"/>
      </w:pPr>
      <w:r>
        <w:t>No API credential is present in frontend assets, repository history or application logs.</w:t>
      </w:r>
    </w:p>
    <w:p>
      <w:pPr>
        <w:pStyle w:val="ListBullet"/>
      </w:pPr>
      <w:r>
        <w:t>All data endpoints pass automated horizontal and vertical privilege tests.</w:t>
      </w:r>
    </w:p>
    <w:p>
      <w:pPr>
        <w:pStyle w:val="ListBullet"/>
      </w:pPr>
      <w:r>
        <w:t>OAuth disconnect revokes access and schedules token/data deletion.</w:t>
      </w:r>
    </w:p>
    <w:p>
      <w:pPr>
        <w:pStyle w:val="ListBullet"/>
      </w:pPr>
      <w:r>
        <w:t>Exports expire and become inaccessible after configured TTL.</w:t>
      </w:r>
    </w:p>
    <w:p>
      <w:pPr>
        <w:pStyle w:val="ListBullet"/>
      </w:pPr>
      <w:r>
        <w:t>Policy kill switch is tested quarterly and completes within five minutes.</w:t>
      </w:r>
    </w:p>
    <w:p>
      <w:pPr>
        <w:pStyle w:val="ListBullet"/>
      </w:pPr>
      <w:r>
        <w:t>Incident responders can identify which credential, workspace, job and source calls were involved using correlated logs.</w:t>
      </w:r>
    </w:p>
    <w:p>
      <w:pPr>
        <w:pStyle w:val="Heading1"/>
        <w:pageBreakBefore/>
      </w:pPr>
      <w:r>
        <w:t>Authoritative References</w:t>
      </w:r>
    </w:p>
    <w:p>
      <w:r>
        <w:rPr>
          <w:b/>
          <w:color w:val="1F4E78"/>
        </w:rPr>
        <w:t>S1 — YouTube Data API - Channels resource</w:t>
      </w:r>
    </w:p>
    <w:p>
      <w:r>
        <w:t>https://developers.google.com/youtube/v3/docs/channels</w:t>
      </w:r>
    </w:p>
    <w:p>
      <w:r>
        <w:t>Public channel statistics include subscriberCount, hiddenSubscriberCount, viewCount and videoCount. Subscriber count may be rounded.</w:t>
      </w:r>
    </w:p>
    <w:p>
      <w:r>
        <w:rPr>
          <w:b/>
          <w:color w:val="1F4E78"/>
        </w:rPr>
        <w:t>S2 — YouTube Data API - Videos list</w:t>
      </w:r>
    </w:p>
    <w:p>
      <w:r>
        <w:t>https://developers.google.com/youtube/v3/docs/videos/list</w:t>
      </w:r>
    </w:p>
    <w:p>
      <w:r>
        <w:t>Public video statistics can be retrieved using the official API.</w:t>
      </w:r>
    </w:p>
    <w:p>
      <w:r>
        <w:rPr>
          <w:b/>
          <w:color w:val="1F4E78"/>
        </w:rPr>
        <w:t>S3 — YouTube Data API - Search list</w:t>
      </w:r>
    </w:p>
    <w:p>
      <w:r>
        <w:t>https://developers.google.com/youtube/v3/docs/search/list</w:t>
      </w:r>
    </w:p>
    <w:p>
      <w:r>
        <w:t>Search discovery is quota-limited; current default search bucket is 100 calls/day.</w:t>
      </w:r>
    </w:p>
    <w:p>
      <w:r>
        <w:rPr>
          <w:b/>
          <w:color w:val="1F4E78"/>
        </w:rPr>
        <w:t>S4 — YouTube Data API - Quota Calculator</w:t>
      </w:r>
    </w:p>
    <w:p>
      <w:r>
        <w:t>https://developers.google.com/youtube/v3/determine_quota_cost</w:t>
      </w:r>
    </w:p>
    <w:p>
      <w:r>
        <w:t>Current default allocation includes 100 search.list calls/day and 10,000 units/day for other endpoints; quotas reset at midnight Pacific Time.</w:t>
      </w:r>
    </w:p>
    <w:p>
      <w:r>
        <w:rPr>
          <w:b/>
          <w:color w:val="1F4E78"/>
        </w:rPr>
        <w:t>S5 — YouTube Data API - videos.batchGetStats</w:t>
      </w:r>
    </w:p>
    <w:p>
      <w:r>
        <w:t>https://developers.google.com/youtube/v3/docs/videos/batchGetStats</w:t>
      </w:r>
    </w:p>
    <w:p>
      <w:r>
        <w:t>Introduced in June 2026; public video statistics can be retrieved in batches at one unit per call in its own quota bucket.</w:t>
      </w:r>
    </w:p>
    <w:p>
      <w:r>
        <w:rPr>
          <w:b/>
          <w:color w:val="1F4E78"/>
        </w:rPr>
        <w:t>S6 — YouTube Analytics and Reporting API Introduction</w:t>
      </w:r>
    </w:p>
    <w:p>
      <w:r>
        <w:t>https://developers.google.com/youtube/reporting</w:t>
      </w:r>
    </w:p>
    <w:p>
      <w:r>
        <w:t>Private analytics require authorization by the channel or content owner.</w:t>
      </w:r>
    </w:p>
    <w:p>
      <w:r>
        <w:rPr>
          <w:b/>
          <w:color w:val="1F4E78"/>
        </w:rPr>
        <w:t>S7 — YouTube API Services Developer Policies</w:t>
      </w:r>
    </w:p>
    <w:p>
      <w:r>
        <w:t>https://developers.google.com/youtube/terms/developer-policies</w:t>
      </w:r>
    </w:p>
    <w:p>
      <w:r>
        <w:t>Use only documented APIs; comply with credential, storage, display and policy requirements.</w:t>
      </w:r>
    </w:p>
    <w:p>
      <w:r>
        <w:rPr>
          <w:b/>
          <w:color w:val="1F4E78"/>
        </w:rPr>
        <w:t>S8 — Additional policies for derived metrics and data storage</w:t>
      </w:r>
    </w:p>
    <w:p>
      <w:r>
        <w:t>https://developers.google.com/youtube/terms/derived-metrics-policy</w:t>
      </w:r>
    </w:p>
    <w:p>
      <w:r>
        <w:t>Custom scores and ratios require the applicable analytics amendment/audited permission path and must be distinguished from YouTube API metrics.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working draft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YT Signal Scout |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8" w:right="288"/>
    </w:pPr>
    <w:rPr>
      <w:rFonts w:ascii="Aptos" w:hAnsi="Aptos"/>
      <w:color w:val="18324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