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1132114"/>
            <wp:docPr id="1" name="Picture 1" descr="Image: image1.png"/>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1645920" cy="1132114"/>
                    </a:xfrm>
                    <a:prstGeom prst="rect"/>
                  </pic:spPr>
                </pic:pic>
              </a:graphicData>
            </a:graphic>
          </wp:inline>
        </w:drawing>
      </w:r>
    </w:p>
    <w:p>
      <w:pPr>
        <w:pStyle w:val="CTATitle"/>
      </w:pPr>
      <w:r>
        <w:t>LCSW California Law &amp; Ethics Exam Preparation</w:t>
      </w:r>
    </w:p>
    <w:p>
      <w:pPr>
        <w:pStyle w:val="CTASubtitle"/>
      </w:pPr>
      <w:r>
        <w:t>Workbook 3: Professional Competence</w:t>
      </w:r>
    </w:p>
    <w:p>
      <w:pPr>
        <w:pStyle w:val="CTAH2"/>
      </w:pPr>
      <w:r>
        <w:t>102-Question Candidate Assessment Form</w:t>
      </w:r>
    </w:p>
    <w:p>
      <w:pPr>
        <w:pStyle w:val="CTAMeta"/>
      </w:pPr>
      <w:r>
        <w:t>CTA-EP-002 | Version 1.0 | Source Review: August 7, 2026</w:t>
      </w:r>
    </w:p>
    <w:p>
      <w:pPr>
        <w:pStyle w:val="CTACallout"/>
      </w:pPr>
      <w:r>
        <w:t>EXAM PREPARATION ONLY | NO CE CREDIT OR CE CERTIFICATE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CANDIDATE FORM: Questions and answer choices only. Complete before opening the controlled rationale form.</w:t>
            </w:r>
          </w:p>
        </w:tc>
        <w:trPr>
          <w:tblHeader/>
        </w:trPr>
      </w:tr>
    </w:tbl>
    <w:p>
      <w:pPr>
        <w:pStyle w:val="CTAH1"/>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Small"/>
      </w:pPr>
      <w:r>
        <w:t>© 2026 Clinical Training and Supervision Academy. Personal use by enrolled purchasers only. No sharing, resale, public posting, or commercial distribution.</w:t>
      </w:r>
    </w:p>
    <w:p>
      <w:pPr>
        <w:pStyle w:val="CTAH2"/>
      </w:pPr>
      <w:r>
        <w:t>Assessment Specifications</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6"/>
              </w:rPr>
              <w:t>Chapter</w:t>
            </w:r>
          </w:p>
        </w:tc>
        <w:tc>
          <w:tcPr>
            <w:tcW w:type="dxa" w:w="4824"/>
            <w:tcMar>
              <w:top w:w="60" w:type="dxa"/>
              <w:start w:w="80" w:type="dxa"/>
              <w:bottom w:w="60" w:type="dxa"/>
              <w:end w:w="80" w:type="dxa"/>
            </w:tcMar>
            <w:vAlign w:val="center"/>
            <w:shd w:fill="102A43"/>
          </w:tcPr>
          <w:p>
            <w:r>
              <w:rPr>
                <w:rFonts w:ascii="Arial" w:hAnsi="Arial"/>
                <w:b/>
                <w:color w:val="FFFFFF"/>
                <w:sz w:val="16"/>
              </w:rPr>
              <w:t>Topic</w:t>
            </w:r>
          </w:p>
        </w:tc>
        <w:tc>
          <w:tcPr>
            <w:tcW w:type="dxa" w:w="792"/>
            <w:tcMar>
              <w:top w:w="60" w:type="dxa"/>
              <w:start w:w="80" w:type="dxa"/>
              <w:bottom w:w="60" w:type="dxa"/>
              <w:end w:w="80" w:type="dxa"/>
            </w:tcMar>
            <w:vAlign w:val="center"/>
            <w:shd w:fill="102A43"/>
          </w:tcPr>
          <w:p>
            <w:r>
              <w:rPr>
                <w:rFonts w:ascii="Arial" w:hAnsi="Arial"/>
                <w:b/>
                <w:color w:val="FFFFFF"/>
                <w:sz w:val="16"/>
              </w:rPr>
              <w:t>Items</w:t>
            </w:r>
          </w:p>
        </w:tc>
        <w:tc>
          <w:tcPr>
            <w:tcW w:type="dxa" w:w="936"/>
            <w:tcMar>
              <w:top w:w="60" w:type="dxa"/>
              <w:start w:w="80" w:type="dxa"/>
              <w:bottom w:w="60" w:type="dxa"/>
              <w:end w:w="80" w:type="dxa"/>
            </w:tcMar>
            <w:vAlign w:val="center"/>
            <w:shd w:fill="102A43"/>
          </w:tcPr>
          <w:p>
            <w:r>
              <w:rPr>
                <w:rFonts w:ascii="Arial" w:hAnsi="Arial"/>
                <w:b/>
                <w:color w:val="FFFFFF"/>
                <w:sz w:val="16"/>
              </w:rPr>
              <w:t>Easy</w:t>
            </w:r>
          </w:p>
        </w:tc>
        <w:tc>
          <w:tcPr>
            <w:tcW w:type="dxa" w:w="1224"/>
            <w:tcMar>
              <w:top w:w="60" w:type="dxa"/>
              <w:start w:w="80" w:type="dxa"/>
              <w:bottom w:w="60" w:type="dxa"/>
              <w:end w:w="80" w:type="dxa"/>
            </w:tcMar>
            <w:vAlign w:val="center"/>
            <w:shd w:fill="102A43"/>
          </w:tcPr>
          <w:p>
            <w:r>
              <w:rPr>
                <w:rFonts w:ascii="Arial" w:hAnsi="Arial"/>
                <w:b/>
                <w:color w:val="FFFFFF"/>
                <w:sz w:val="16"/>
              </w:rPr>
              <w:t>Moderate</w:t>
            </w:r>
          </w:p>
        </w:tc>
        <w:tc>
          <w:tcPr>
            <w:tcW w:type="dxa" w:w="1080"/>
            <w:tcMar>
              <w:top w:w="60" w:type="dxa"/>
              <w:start w:w="80" w:type="dxa"/>
              <w:bottom w:w="60" w:type="dxa"/>
              <w:end w:w="80" w:type="dxa"/>
            </w:tcMar>
            <w:vAlign w:val="center"/>
            <w:shd w:fill="102A43"/>
          </w:tcPr>
          <w:p>
            <w:r>
              <w:rPr>
                <w:rFonts w:ascii="Arial" w:hAnsi="Arial"/>
                <w:b/>
                <w:color w:val="FFFFFF"/>
                <w:sz w:val="16"/>
              </w:rPr>
              <w:t>Difficult</w:t>
            </w:r>
          </w:p>
        </w:tc>
      </w:tr>
      <w:tr>
        <w:tc>
          <w:tcPr>
            <w:tcW w:type="dxa" w:w="792"/>
            <w:tcMar>
              <w:top w:w="60" w:type="dxa"/>
              <w:start w:w="80" w:type="dxa"/>
              <w:bottom w:w="60" w:type="dxa"/>
              <w:end w:w="80" w:type="dxa"/>
            </w:tcMar>
            <w:vAlign w:val="center"/>
          </w:tcPr>
          <w:p>
            <w:r>
              <w:rPr>
                <w:rFonts w:ascii="Arial" w:hAnsi="Arial"/>
                <w:b w:val="0"/>
                <w:color w:val="1F2933"/>
                <w:sz w:val="16"/>
              </w:rPr>
              <w:t>1</w:t>
            </w:r>
          </w:p>
        </w:tc>
        <w:tc>
          <w:tcPr>
            <w:tcW w:type="dxa" w:w="4824"/>
            <w:tcMar>
              <w:top w:w="60" w:type="dxa"/>
              <w:start w:w="80" w:type="dxa"/>
              <w:bottom w:w="60" w:type="dxa"/>
              <w:end w:w="80" w:type="dxa"/>
            </w:tcMar>
            <w:vAlign w:val="center"/>
          </w:tcPr>
          <w:p>
            <w:r>
              <w:rPr>
                <w:rFonts w:ascii="Arial" w:hAnsi="Arial"/>
                <w:b w:val="0"/>
                <w:color w:val="1F2933"/>
                <w:sz w:val="16"/>
              </w:rPr>
              <w:t>Professional Competence Foundations</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r>
        <w:tc>
          <w:tcPr>
            <w:tcW w:type="dxa" w:w="792"/>
            <w:tcMar>
              <w:top w:w="60" w:type="dxa"/>
              <w:start w:w="80" w:type="dxa"/>
              <w:bottom w:w="60" w:type="dxa"/>
              <w:end w:w="80" w:type="dxa"/>
            </w:tcMar>
            <w:vAlign w:val="center"/>
            <w:shd w:fill="F3F5F7"/>
          </w:tcPr>
          <w:p>
            <w:r>
              <w:rPr>
                <w:rFonts w:ascii="Arial" w:hAnsi="Arial"/>
                <w:b w:val="0"/>
                <w:color w:val="1F2933"/>
                <w:sz w:val="16"/>
              </w:rPr>
              <w:t>2</w:t>
            </w:r>
          </w:p>
        </w:tc>
        <w:tc>
          <w:tcPr>
            <w:tcW w:type="dxa" w:w="4824"/>
            <w:tcMar>
              <w:top w:w="60" w:type="dxa"/>
              <w:start w:w="80" w:type="dxa"/>
              <w:bottom w:w="60" w:type="dxa"/>
              <w:end w:w="80" w:type="dxa"/>
            </w:tcMar>
            <w:vAlign w:val="center"/>
            <w:shd w:fill="F3F5F7"/>
          </w:tcPr>
          <w:p>
            <w:r>
              <w:rPr>
                <w:rFonts w:ascii="Arial" w:hAnsi="Arial"/>
                <w:b w:val="0"/>
                <w:color w:val="1F2933"/>
                <w:sz w:val="16"/>
              </w:rPr>
              <w:t>Scope of Practice vs. Scope of Competence</w:t>
            </w:r>
          </w:p>
        </w:tc>
        <w:tc>
          <w:tcPr>
            <w:tcW w:type="dxa" w:w="792"/>
            <w:tcMar>
              <w:top w:w="60" w:type="dxa"/>
              <w:start w:w="80" w:type="dxa"/>
              <w:bottom w:w="60" w:type="dxa"/>
              <w:end w:w="80" w:type="dxa"/>
            </w:tcMar>
            <w:vAlign w:val="center"/>
            <w:shd w:fill="F3F5F7"/>
          </w:tcPr>
          <w:p>
            <w:r>
              <w:rPr>
                <w:rFonts w:ascii="Arial" w:hAnsi="Arial"/>
                <w:b w:val="0"/>
                <w:color w:val="1F2933"/>
                <w:sz w:val="16"/>
              </w:rPr>
              <w:t>17</w:t>
            </w:r>
          </w:p>
        </w:tc>
        <w:tc>
          <w:tcPr>
            <w:tcW w:type="dxa" w:w="936"/>
            <w:tcMar>
              <w:top w:w="60" w:type="dxa"/>
              <w:start w:w="80" w:type="dxa"/>
              <w:bottom w:w="60" w:type="dxa"/>
              <w:end w:w="80" w:type="dxa"/>
            </w:tcMar>
            <w:vAlign w:val="center"/>
            <w:shd w:fill="F3F5F7"/>
          </w:tcPr>
          <w:p>
            <w:r>
              <w:rPr>
                <w:rFonts w:ascii="Arial" w:hAnsi="Arial"/>
                <w:b w:val="0"/>
                <w:color w:val="1F2933"/>
                <w:sz w:val="16"/>
              </w:rPr>
              <w:t>5</w:t>
            </w:r>
          </w:p>
        </w:tc>
        <w:tc>
          <w:tcPr>
            <w:tcW w:type="dxa" w:w="1224"/>
            <w:tcMar>
              <w:top w:w="60" w:type="dxa"/>
              <w:start w:w="80" w:type="dxa"/>
              <w:bottom w:w="60" w:type="dxa"/>
              <w:end w:w="80" w:type="dxa"/>
            </w:tcMar>
            <w:vAlign w:val="center"/>
            <w:shd w:fill="F3F5F7"/>
          </w:tcPr>
          <w:p>
            <w:r>
              <w:rPr>
                <w:rFonts w:ascii="Arial" w:hAnsi="Arial"/>
                <w:b w:val="0"/>
                <w:color w:val="1F2933"/>
                <w:sz w:val="16"/>
              </w:rPr>
              <w:t>7</w:t>
            </w:r>
          </w:p>
        </w:tc>
        <w:tc>
          <w:tcPr>
            <w:tcW w:type="dxa" w:w="1080"/>
            <w:tcMar>
              <w:top w:w="60" w:type="dxa"/>
              <w:start w:w="80" w:type="dxa"/>
              <w:bottom w:w="60" w:type="dxa"/>
              <w:end w:w="80" w:type="dxa"/>
            </w:tcMar>
            <w:vAlign w:val="center"/>
            <w:shd w:fill="F3F5F7"/>
          </w:tcPr>
          <w:p>
            <w:r>
              <w:rPr>
                <w:rFonts w:ascii="Arial" w:hAnsi="Arial"/>
                <w:b w:val="0"/>
                <w:color w:val="1F2933"/>
                <w:sz w:val="16"/>
              </w:rPr>
              <w:t>5</w:t>
            </w:r>
          </w:p>
        </w:tc>
      </w:tr>
      <w:tr>
        <w:tc>
          <w:tcPr>
            <w:tcW w:type="dxa" w:w="792"/>
            <w:tcMar>
              <w:top w:w="60" w:type="dxa"/>
              <w:start w:w="80" w:type="dxa"/>
              <w:bottom w:w="60" w:type="dxa"/>
              <w:end w:w="80" w:type="dxa"/>
            </w:tcMar>
            <w:vAlign w:val="center"/>
          </w:tcPr>
          <w:p>
            <w:r>
              <w:rPr>
                <w:rFonts w:ascii="Arial" w:hAnsi="Arial"/>
                <w:b w:val="0"/>
                <w:color w:val="1F2933"/>
                <w:sz w:val="16"/>
              </w:rPr>
              <w:t>3</w:t>
            </w:r>
          </w:p>
        </w:tc>
        <w:tc>
          <w:tcPr>
            <w:tcW w:type="dxa" w:w="4824"/>
            <w:tcMar>
              <w:top w:w="60" w:type="dxa"/>
              <w:start w:w="80" w:type="dxa"/>
              <w:bottom w:w="60" w:type="dxa"/>
              <w:end w:w="80" w:type="dxa"/>
            </w:tcMar>
            <w:vAlign w:val="center"/>
          </w:tcPr>
          <w:p>
            <w:r>
              <w:rPr>
                <w:rFonts w:ascii="Arial" w:hAnsi="Arial"/>
                <w:b w:val="0"/>
                <w:color w:val="1F2933"/>
                <w:sz w:val="16"/>
              </w:rPr>
              <w:t>Maintaining Professional Competence</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r>
        <w:tc>
          <w:tcPr>
            <w:tcW w:type="dxa" w:w="792"/>
            <w:tcMar>
              <w:top w:w="60" w:type="dxa"/>
              <w:start w:w="80" w:type="dxa"/>
              <w:bottom w:w="60" w:type="dxa"/>
              <w:end w:w="80" w:type="dxa"/>
            </w:tcMar>
            <w:vAlign w:val="center"/>
            <w:shd w:fill="F3F5F7"/>
          </w:tcPr>
          <w:p>
            <w:r>
              <w:rPr>
                <w:rFonts w:ascii="Arial" w:hAnsi="Arial"/>
                <w:b w:val="0"/>
                <w:color w:val="1F2933"/>
                <w:sz w:val="16"/>
              </w:rPr>
              <w:t>4</w:t>
            </w:r>
          </w:p>
        </w:tc>
        <w:tc>
          <w:tcPr>
            <w:tcW w:type="dxa" w:w="4824"/>
            <w:tcMar>
              <w:top w:w="60" w:type="dxa"/>
              <w:start w:w="80" w:type="dxa"/>
              <w:bottom w:w="60" w:type="dxa"/>
              <w:end w:w="80" w:type="dxa"/>
            </w:tcMar>
            <w:vAlign w:val="center"/>
            <w:shd w:fill="F3F5F7"/>
          </w:tcPr>
          <w:p>
            <w:r>
              <w:rPr>
                <w:rFonts w:ascii="Arial" w:hAnsi="Arial"/>
                <w:b w:val="0"/>
                <w:color w:val="1F2933"/>
                <w:sz w:val="16"/>
              </w:rPr>
              <w:t>Consultation and Seeking Professional Assistance</w:t>
            </w:r>
          </w:p>
        </w:tc>
        <w:tc>
          <w:tcPr>
            <w:tcW w:type="dxa" w:w="792"/>
            <w:tcMar>
              <w:top w:w="60" w:type="dxa"/>
              <w:start w:w="80" w:type="dxa"/>
              <w:bottom w:w="60" w:type="dxa"/>
              <w:end w:w="80" w:type="dxa"/>
            </w:tcMar>
            <w:vAlign w:val="center"/>
            <w:shd w:fill="F3F5F7"/>
          </w:tcPr>
          <w:p>
            <w:r>
              <w:rPr>
                <w:rFonts w:ascii="Arial" w:hAnsi="Arial"/>
                <w:b w:val="0"/>
                <w:color w:val="1F2933"/>
                <w:sz w:val="16"/>
              </w:rPr>
              <w:t>17</w:t>
            </w:r>
          </w:p>
        </w:tc>
        <w:tc>
          <w:tcPr>
            <w:tcW w:type="dxa" w:w="936"/>
            <w:tcMar>
              <w:top w:w="60" w:type="dxa"/>
              <w:start w:w="80" w:type="dxa"/>
              <w:bottom w:w="60" w:type="dxa"/>
              <w:end w:w="80" w:type="dxa"/>
            </w:tcMar>
            <w:vAlign w:val="center"/>
            <w:shd w:fill="F3F5F7"/>
          </w:tcPr>
          <w:p>
            <w:r>
              <w:rPr>
                <w:rFonts w:ascii="Arial" w:hAnsi="Arial"/>
                <w:b w:val="0"/>
                <w:color w:val="1F2933"/>
                <w:sz w:val="16"/>
              </w:rPr>
              <w:t>5</w:t>
            </w:r>
          </w:p>
        </w:tc>
        <w:tc>
          <w:tcPr>
            <w:tcW w:type="dxa" w:w="1224"/>
            <w:tcMar>
              <w:top w:w="60" w:type="dxa"/>
              <w:start w:w="80" w:type="dxa"/>
              <w:bottom w:w="60" w:type="dxa"/>
              <w:end w:w="80" w:type="dxa"/>
            </w:tcMar>
            <w:vAlign w:val="center"/>
            <w:shd w:fill="F3F5F7"/>
          </w:tcPr>
          <w:p>
            <w:r>
              <w:rPr>
                <w:rFonts w:ascii="Arial" w:hAnsi="Arial"/>
                <w:b w:val="0"/>
                <w:color w:val="1F2933"/>
                <w:sz w:val="16"/>
              </w:rPr>
              <w:t>7</w:t>
            </w:r>
          </w:p>
        </w:tc>
        <w:tc>
          <w:tcPr>
            <w:tcW w:type="dxa" w:w="1080"/>
            <w:tcMar>
              <w:top w:w="60" w:type="dxa"/>
              <w:start w:w="80" w:type="dxa"/>
              <w:bottom w:w="60" w:type="dxa"/>
              <w:end w:w="80" w:type="dxa"/>
            </w:tcMar>
            <w:vAlign w:val="center"/>
            <w:shd w:fill="F3F5F7"/>
          </w:tcPr>
          <w:p>
            <w:r>
              <w:rPr>
                <w:rFonts w:ascii="Arial" w:hAnsi="Arial"/>
                <w:b w:val="0"/>
                <w:color w:val="1F2933"/>
                <w:sz w:val="16"/>
              </w:rPr>
              <w:t>5</w:t>
            </w:r>
          </w:p>
        </w:tc>
      </w:tr>
      <w:tr>
        <w:tc>
          <w:tcPr>
            <w:tcW w:type="dxa" w:w="792"/>
            <w:tcMar>
              <w:top w:w="60" w:type="dxa"/>
              <w:start w:w="80" w:type="dxa"/>
              <w:bottom w:w="60" w:type="dxa"/>
              <w:end w:w="80" w:type="dxa"/>
            </w:tcMar>
            <w:vAlign w:val="center"/>
          </w:tcPr>
          <w:p>
            <w:r>
              <w:rPr>
                <w:rFonts w:ascii="Arial" w:hAnsi="Arial"/>
                <w:b w:val="0"/>
                <w:color w:val="1F2933"/>
                <w:sz w:val="16"/>
              </w:rPr>
              <w:t>5</w:t>
            </w:r>
          </w:p>
        </w:tc>
        <w:tc>
          <w:tcPr>
            <w:tcW w:type="dxa" w:w="4824"/>
            <w:tcMar>
              <w:top w:w="60" w:type="dxa"/>
              <w:start w:w="80" w:type="dxa"/>
              <w:bottom w:w="60" w:type="dxa"/>
              <w:end w:w="80" w:type="dxa"/>
            </w:tcMar>
            <w:vAlign w:val="center"/>
          </w:tcPr>
          <w:p>
            <w:r>
              <w:rPr>
                <w:rFonts w:ascii="Arial" w:hAnsi="Arial"/>
                <w:b w:val="0"/>
                <w:color w:val="1F2933"/>
                <w:sz w:val="16"/>
              </w:rPr>
              <w:t>Clinical Supervision, Feedback, and Accountability</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r>
        <w:tc>
          <w:tcPr>
            <w:tcW w:type="dxa" w:w="792"/>
            <w:tcMar>
              <w:top w:w="60" w:type="dxa"/>
              <w:start w:w="80" w:type="dxa"/>
              <w:bottom w:w="60" w:type="dxa"/>
              <w:end w:w="80" w:type="dxa"/>
            </w:tcMar>
            <w:vAlign w:val="center"/>
            <w:shd w:fill="F3F5F7"/>
          </w:tcPr>
          <w:p>
            <w:r>
              <w:rPr>
                <w:rFonts w:ascii="Arial" w:hAnsi="Arial"/>
                <w:b w:val="0"/>
                <w:color w:val="1F2933"/>
                <w:sz w:val="16"/>
              </w:rPr>
              <w:t>6</w:t>
            </w:r>
          </w:p>
        </w:tc>
        <w:tc>
          <w:tcPr>
            <w:tcW w:type="dxa" w:w="4824"/>
            <w:tcMar>
              <w:top w:w="60" w:type="dxa"/>
              <w:start w:w="80" w:type="dxa"/>
              <w:bottom w:w="60" w:type="dxa"/>
              <w:end w:w="80" w:type="dxa"/>
            </w:tcMar>
            <w:vAlign w:val="center"/>
            <w:shd w:fill="F3F5F7"/>
          </w:tcPr>
          <w:p>
            <w:r>
              <w:rPr>
                <w:rFonts w:ascii="Arial" w:hAnsi="Arial"/>
                <w:b w:val="0"/>
                <w:color w:val="1F2933"/>
                <w:sz w:val="16"/>
              </w:rPr>
              <w:t>Professional Roles and Role Clarification</w:t>
            </w:r>
          </w:p>
        </w:tc>
        <w:tc>
          <w:tcPr>
            <w:tcW w:type="dxa" w:w="792"/>
            <w:tcMar>
              <w:top w:w="60" w:type="dxa"/>
              <w:start w:w="80" w:type="dxa"/>
              <w:bottom w:w="60" w:type="dxa"/>
              <w:end w:w="80" w:type="dxa"/>
            </w:tcMar>
            <w:vAlign w:val="center"/>
            <w:shd w:fill="F3F5F7"/>
          </w:tcPr>
          <w:p>
            <w:r>
              <w:rPr>
                <w:rFonts w:ascii="Arial" w:hAnsi="Arial"/>
                <w:b w:val="0"/>
                <w:color w:val="1F2933"/>
                <w:sz w:val="16"/>
              </w:rPr>
              <w:t>17</w:t>
            </w:r>
          </w:p>
        </w:tc>
        <w:tc>
          <w:tcPr>
            <w:tcW w:type="dxa" w:w="936"/>
            <w:tcMar>
              <w:top w:w="60" w:type="dxa"/>
              <w:start w:w="80" w:type="dxa"/>
              <w:bottom w:w="60" w:type="dxa"/>
              <w:end w:w="80" w:type="dxa"/>
            </w:tcMar>
            <w:vAlign w:val="center"/>
            <w:shd w:fill="F3F5F7"/>
          </w:tcPr>
          <w:p>
            <w:r>
              <w:rPr>
                <w:rFonts w:ascii="Arial" w:hAnsi="Arial"/>
                <w:b w:val="0"/>
                <w:color w:val="1F2933"/>
                <w:sz w:val="16"/>
              </w:rPr>
              <w:t>5</w:t>
            </w:r>
          </w:p>
        </w:tc>
        <w:tc>
          <w:tcPr>
            <w:tcW w:type="dxa" w:w="1224"/>
            <w:tcMar>
              <w:top w:w="60" w:type="dxa"/>
              <w:start w:w="80" w:type="dxa"/>
              <w:bottom w:w="60" w:type="dxa"/>
              <w:end w:w="80" w:type="dxa"/>
            </w:tcMar>
            <w:vAlign w:val="center"/>
            <w:shd w:fill="F3F5F7"/>
          </w:tcPr>
          <w:p>
            <w:r>
              <w:rPr>
                <w:rFonts w:ascii="Arial" w:hAnsi="Arial"/>
                <w:b w:val="0"/>
                <w:color w:val="1F2933"/>
                <w:sz w:val="16"/>
              </w:rPr>
              <w:t>7</w:t>
            </w:r>
          </w:p>
        </w:tc>
        <w:tc>
          <w:tcPr>
            <w:tcW w:type="dxa" w:w="1080"/>
            <w:tcMar>
              <w:top w:w="60" w:type="dxa"/>
              <w:start w:w="80" w:type="dxa"/>
              <w:bottom w:w="60" w:type="dxa"/>
              <w:end w:w="80" w:type="dxa"/>
            </w:tcMar>
            <w:vAlign w:val="center"/>
            <w:shd w:fill="F3F5F7"/>
          </w:tcPr>
          <w:p>
            <w:r>
              <w:rPr>
                <w:rFonts w:ascii="Arial" w:hAnsi="Arial"/>
                <w:b w:val="0"/>
                <w:color w:val="1F2933"/>
                <w:sz w:val="16"/>
              </w:rPr>
              <w:t>5</w:t>
            </w:r>
          </w:p>
        </w:tc>
      </w:tr>
    </w:tbl>
    <w:p>
      <w:pPr>
        <w:pStyle w:val="CTASmall"/>
      </w:pPr>
      <w:r>
        <w:t>Total: 102 items | 30 Easy | 42 Moderate | 30 Difficult</w:t>
      </w:r>
    </w:p>
    <w:p>
      <w:pPr>
        <w:pStyle w:val="CTAH2"/>
      </w:pPr>
      <w:r>
        <w:t>Candidate Instructions</w:t>
      </w:r>
    </w:p>
    <w:p>
      <w:pPr>
        <w:pStyle w:val="ListNumber"/>
      </w:pPr>
      <w:r>
        <w:t>Complete one chapter at a time and select one best answer for every item.</w:t>
      </w:r>
    </w:p>
    <w:p>
      <w:pPr>
        <w:pStyle w:val="ListNumber"/>
      </w:pPr>
      <w:r>
        <w:t>Record the first response and confidence before opening the controlled key.</w:t>
      </w:r>
    </w:p>
    <w:p>
      <w:pPr>
        <w:pStyle w:val="ListNumber"/>
      </w:pPr>
      <w:r>
        <w:t>Do not revise first-attempt responses after viewing answers or rationales.</w:t>
      </w:r>
    </w:p>
    <w:p>
      <w:pPr>
        <w:pStyle w:val="ListNumber"/>
      </w:pPr>
      <w:r>
        <w:t>After scoring, review every missed item and every low-confidence correct response.</w:t>
      </w:r>
    </w:p>
    <w:p>
      <w:pPr>
        <w:pStyle w:val="ListNumber"/>
      </w:pPr>
      <w:r>
        <w:t>Use the controlled form to review reasoning, not merely to memorize answer letters.</w:t>
      </w:r>
    </w:p>
    <w:p>
      <w:pPr>
        <w:pStyle w:val="CTAH1"/>
      </w:pPr>
      <w:r>
        <w:t>Candidate Answer Sheets</w:t>
      </w:r>
    </w:p>
    <w:p>
      <w:pPr>
        <w:pStyle w:val="CTABody"/>
      </w:pPr>
      <w:r>
        <w:t>Record the first response before opening the controlled form. Confidence: H = high, M = medium, L = low.</w:t>
      </w:r>
    </w:p>
    <w:p>
      <w:pPr>
        <w:pStyle w:val="CTAH2"/>
      </w:pPr>
      <w:r>
        <w:t>Chapter 1: Professional Competence Foundations</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r>
      <w:tr>
        <w:tc>
          <w:tcPr>
            <w:tcW w:type="dxa" w:w="792"/>
            <w:tcMar>
              <w:top w:w="60" w:type="dxa"/>
              <w:start w:w="80" w:type="dxa"/>
              <w:bottom w:w="60" w:type="dxa"/>
              <w:end w:w="80" w:type="dxa"/>
            </w:tcMar>
            <w:vAlign w:val="center"/>
          </w:tcPr>
          <w:p>
            <w:r>
              <w:rPr>
                <w:rFonts w:ascii="Arial" w:hAnsi="Arial"/>
                <w:b w:val="0"/>
                <w:color w:val="1F2933"/>
                <w:sz w:val="15"/>
              </w:rPr>
              <w:t>1</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10</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2</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11</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3</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12</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4</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13</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5</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14</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6</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15</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7</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16</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8</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17</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9</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r>
          </w:p>
        </w:tc>
        <w:tc>
          <w:tcPr>
            <w:tcW w:type="dxa" w:w="792"/>
            <w:tcMar>
              <w:top w:w="60" w:type="dxa"/>
              <w:start w:w="80" w:type="dxa"/>
              <w:bottom w:w="60" w:type="dxa"/>
              <w:end w:w="80" w:type="dxa"/>
            </w:tcMar>
            <w:vAlign w:val="center"/>
          </w:tcPr>
          <w:p>
            <w:r>
              <w:rPr>
                <w:rFonts w:ascii="Arial" w:hAnsi="Arial"/>
                <w:b w:val="0"/>
                <w:color w:val="1F2933"/>
                <w:sz w:val="15"/>
              </w:rPr>
            </w:r>
          </w:p>
        </w:tc>
      </w:tr>
    </w:tbl>
    <w:p>
      <w:pPr>
        <w:pStyle w:val="CTASmall"/>
      </w:pPr>
      <w:r>
        <w:t>Elapsed time: __________   Initial raw score after scoring: ____ / 17   Primary remediation topic: ____________________</w:t>
      </w:r>
    </w:p>
    <w:p>
      <w:pPr>
        <w:pStyle w:val="CTAH2"/>
      </w:pPr>
      <w:r>
        <w:t>Chapter 2: Scope of Practice vs. Scope of Competence</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r>
      <w:tr>
        <w:tc>
          <w:tcPr>
            <w:tcW w:type="dxa" w:w="792"/>
            <w:tcMar>
              <w:top w:w="60" w:type="dxa"/>
              <w:start w:w="80" w:type="dxa"/>
              <w:bottom w:w="60" w:type="dxa"/>
              <w:end w:w="80" w:type="dxa"/>
            </w:tcMar>
            <w:vAlign w:val="center"/>
          </w:tcPr>
          <w:p>
            <w:r>
              <w:rPr>
                <w:rFonts w:ascii="Arial" w:hAnsi="Arial"/>
                <w:b w:val="0"/>
                <w:color w:val="1F2933"/>
                <w:sz w:val="15"/>
              </w:rPr>
              <w:t>18</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27</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19</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28</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20</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29</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21</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30</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22</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31</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23</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32</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24</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33</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25</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34</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26</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r>
          </w:p>
        </w:tc>
        <w:tc>
          <w:tcPr>
            <w:tcW w:type="dxa" w:w="792"/>
            <w:tcMar>
              <w:top w:w="60" w:type="dxa"/>
              <w:start w:w="80" w:type="dxa"/>
              <w:bottom w:w="60" w:type="dxa"/>
              <w:end w:w="80" w:type="dxa"/>
            </w:tcMar>
            <w:vAlign w:val="center"/>
          </w:tcPr>
          <w:p>
            <w:r>
              <w:rPr>
                <w:rFonts w:ascii="Arial" w:hAnsi="Arial"/>
                <w:b w:val="0"/>
                <w:color w:val="1F2933"/>
                <w:sz w:val="15"/>
              </w:rPr>
            </w:r>
          </w:p>
        </w:tc>
      </w:tr>
    </w:tbl>
    <w:p>
      <w:pPr>
        <w:pStyle w:val="CTASmall"/>
      </w:pPr>
      <w:r>
        <w:t>Elapsed time: __________   Initial raw score after scoring: ____ / 17   Primary remediation topic: ____________________</w:t>
      </w:r>
    </w:p>
    <w:p>
      <w:pPr>
        <w:pStyle w:val="CTAH2"/>
      </w:pPr>
      <w:r>
        <w:t>Chapter 3: Maintaining Professional Competence</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r>
      <w:tr>
        <w:tc>
          <w:tcPr>
            <w:tcW w:type="dxa" w:w="792"/>
            <w:tcMar>
              <w:top w:w="60" w:type="dxa"/>
              <w:start w:w="80" w:type="dxa"/>
              <w:bottom w:w="60" w:type="dxa"/>
              <w:end w:w="80" w:type="dxa"/>
            </w:tcMar>
            <w:vAlign w:val="center"/>
          </w:tcPr>
          <w:p>
            <w:r>
              <w:rPr>
                <w:rFonts w:ascii="Arial" w:hAnsi="Arial"/>
                <w:b w:val="0"/>
                <w:color w:val="1F2933"/>
                <w:sz w:val="15"/>
              </w:rPr>
              <w:t>35</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44</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36</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45</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37</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46</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38</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47</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39</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48</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40</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49</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41</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50</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42</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51</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43</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r>
          </w:p>
        </w:tc>
        <w:tc>
          <w:tcPr>
            <w:tcW w:type="dxa" w:w="792"/>
            <w:tcMar>
              <w:top w:w="60" w:type="dxa"/>
              <w:start w:w="80" w:type="dxa"/>
              <w:bottom w:w="60" w:type="dxa"/>
              <w:end w:w="80" w:type="dxa"/>
            </w:tcMar>
            <w:vAlign w:val="center"/>
          </w:tcPr>
          <w:p>
            <w:r>
              <w:rPr>
                <w:rFonts w:ascii="Arial" w:hAnsi="Arial"/>
                <w:b w:val="0"/>
                <w:color w:val="1F2933"/>
                <w:sz w:val="15"/>
              </w:rPr>
            </w:r>
          </w:p>
        </w:tc>
      </w:tr>
    </w:tbl>
    <w:p>
      <w:pPr>
        <w:pStyle w:val="CTASmall"/>
      </w:pPr>
      <w:r>
        <w:t>Elapsed time: __________   Initial raw score after scoring: ____ / 17   Primary remediation topic: ____________________</w:t>
      </w:r>
    </w:p>
    <w:p>
      <w:pPr>
        <w:pStyle w:val="CTAH2"/>
      </w:pPr>
      <w:r>
        <w:t>Chapter 4: Consultation and Seeking Professional Assistance</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r>
      <w:tr>
        <w:tc>
          <w:tcPr>
            <w:tcW w:type="dxa" w:w="792"/>
            <w:tcMar>
              <w:top w:w="60" w:type="dxa"/>
              <w:start w:w="80" w:type="dxa"/>
              <w:bottom w:w="60" w:type="dxa"/>
              <w:end w:w="80" w:type="dxa"/>
            </w:tcMar>
            <w:vAlign w:val="center"/>
          </w:tcPr>
          <w:p>
            <w:r>
              <w:rPr>
                <w:rFonts w:ascii="Arial" w:hAnsi="Arial"/>
                <w:b w:val="0"/>
                <w:color w:val="1F2933"/>
                <w:sz w:val="15"/>
              </w:rPr>
              <w:t>52</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61</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53</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62</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54</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63</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55</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64</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56</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65</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57</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66</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58</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67</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59</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68</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60</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r>
          </w:p>
        </w:tc>
        <w:tc>
          <w:tcPr>
            <w:tcW w:type="dxa" w:w="792"/>
            <w:tcMar>
              <w:top w:w="60" w:type="dxa"/>
              <w:start w:w="80" w:type="dxa"/>
              <w:bottom w:w="60" w:type="dxa"/>
              <w:end w:w="80" w:type="dxa"/>
            </w:tcMar>
            <w:vAlign w:val="center"/>
          </w:tcPr>
          <w:p>
            <w:r>
              <w:rPr>
                <w:rFonts w:ascii="Arial" w:hAnsi="Arial"/>
                <w:b w:val="0"/>
                <w:color w:val="1F2933"/>
                <w:sz w:val="15"/>
              </w:rPr>
            </w:r>
          </w:p>
        </w:tc>
      </w:tr>
    </w:tbl>
    <w:p>
      <w:pPr>
        <w:pStyle w:val="CTASmall"/>
      </w:pPr>
      <w:r>
        <w:t>Elapsed time: __________   Initial raw score after scoring: ____ / 17   Primary remediation topic: ____________________</w:t>
      </w:r>
    </w:p>
    <w:p>
      <w:pPr>
        <w:pStyle w:val="CTAH2"/>
      </w:pPr>
      <w:r>
        <w:t>Chapter 5: Clinical Supervision, Feedback, and Accountability</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r>
      <w:tr>
        <w:tc>
          <w:tcPr>
            <w:tcW w:type="dxa" w:w="792"/>
            <w:tcMar>
              <w:top w:w="60" w:type="dxa"/>
              <w:start w:w="80" w:type="dxa"/>
              <w:bottom w:w="60" w:type="dxa"/>
              <w:end w:w="80" w:type="dxa"/>
            </w:tcMar>
            <w:vAlign w:val="center"/>
          </w:tcPr>
          <w:p>
            <w:r>
              <w:rPr>
                <w:rFonts w:ascii="Arial" w:hAnsi="Arial"/>
                <w:b w:val="0"/>
                <w:color w:val="1F2933"/>
                <w:sz w:val="15"/>
              </w:rPr>
              <w:t>69</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78</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70</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79</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71</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80</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72</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81</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73</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82</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74</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83</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75</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84</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76</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85</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77</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r>
          </w:p>
        </w:tc>
        <w:tc>
          <w:tcPr>
            <w:tcW w:type="dxa" w:w="792"/>
            <w:tcMar>
              <w:top w:w="60" w:type="dxa"/>
              <w:start w:w="80" w:type="dxa"/>
              <w:bottom w:w="60" w:type="dxa"/>
              <w:end w:w="80" w:type="dxa"/>
            </w:tcMar>
            <w:vAlign w:val="center"/>
          </w:tcPr>
          <w:p>
            <w:r>
              <w:rPr>
                <w:rFonts w:ascii="Arial" w:hAnsi="Arial"/>
                <w:b w:val="0"/>
                <w:color w:val="1F2933"/>
                <w:sz w:val="15"/>
              </w:rPr>
            </w:r>
          </w:p>
        </w:tc>
      </w:tr>
    </w:tbl>
    <w:p>
      <w:pPr>
        <w:pStyle w:val="CTASmall"/>
      </w:pPr>
      <w:r>
        <w:t>Elapsed time: __________   Initial raw score after scoring: ____ / 17   Primary remediation topic: ____________________</w:t>
      </w:r>
    </w:p>
    <w:p>
      <w:pPr>
        <w:pStyle w:val="CTAH2"/>
      </w:pPr>
      <w:r>
        <w:t>Chapter 6: Professional Roles and Role Clarification</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r>
      <w:tr>
        <w:tc>
          <w:tcPr>
            <w:tcW w:type="dxa" w:w="792"/>
            <w:tcMar>
              <w:top w:w="60" w:type="dxa"/>
              <w:start w:w="80" w:type="dxa"/>
              <w:bottom w:w="60" w:type="dxa"/>
              <w:end w:w="80" w:type="dxa"/>
            </w:tcMar>
            <w:vAlign w:val="center"/>
          </w:tcPr>
          <w:p>
            <w:r>
              <w:rPr>
                <w:rFonts w:ascii="Arial" w:hAnsi="Arial"/>
                <w:b w:val="0"/>
                <w:color w:val="1F2933"/>
                <w:sz w:val="15"/>
              </w:rPr>
              <w:t>86</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95</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87</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96</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88</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97</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89</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98</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90</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99</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91</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100</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92</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101</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93</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102</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94</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r>
          </w:p>
        </w:tc>
        <w:tc>
          <w:tcPr>
            <w:tcW w:type="dxa" w:w="792"/>
            <w:tcMar>
              <w:top w:w="60" w:type="dxa"/>
              <w:start w:w="80" w:type="dxa"/>
              <w:bottom w:w="60" w:type="dxa"/>
              <w:end w:w="80" w:type="dxa"/>
            </w:tcMar>
            <w:vAlign w:val="center"/>
          </w:tcPr>
          <w:p>
            <w:r>
              <w:rPr>
                <w:rFonts w:ascii="Arial" w:hAnsi="Arial"/>
                <w:b w:val="0"/>
                <w:color w:val="1F2933"/>
                <w:sz w:val="15"/>
              </w:rPr>
            </w:r>
          </w:p>
        </w:tc>
      </w:tr>
    </w:tbl>
    <w:p>
      <w:pPr>
        <w:pStyle w:val="CTASmall"/>
      </w:pPr>
      <w:r>
        <w:t>Elapsed time: __________   Initial raw score after scoring: ____ / 17   Primary remediation topic: ____________________</w:t>
      </w:r>
    </w:p>
    <w:p>
      <w:r>
        <w:br w:type="page"/>
      </w:r>
    </w:p>
    <w:p>
      <w:pPr>
        <w:pStyle w:val="CTAH1"/>
      </w:pPr>
      <w:r>
        <w:t>Chapter 1 Assessment</w:t>
      </w:r>
    </w:p>
    <w:p>
      <w:pPr>
        <w:pStyle w:val="CTASubtitle"/>
      </w:pPr>
      <w:r>
        <w:t>Professional Competence Foundations</w:t>
      </w:r>
    </w:p>
    <w:p>
      <w:pPr>
        <w:pStyle w:val="CTAMeta"/>
      </w:pPr>
      <w:r>
        <w:t>17 questions | Select one best answer for each item | Record responses on the chapter answer sheet</w:t>
      </w:r>
    </w:p>
    <w:p>
      <w:pPr>
        <w:pStyle w:val="CTAH3"/>
      </w:pPr>
      <w:r>
        <w:t>Question 1</w:t>
      </w:r>
    </w:p>
    <w:p>
      <w:pPr>
        <w:pStyle w:val="CTABody"/>
      </w:pPr>
      <w:r>
        <w:t>A newly licensed clinician assumes that licensure proves readiness to provide every psychotherapy service permitted by the license. To decide how to proceed, the clinician must apply the correct meaning of professional competence. Which explanation should guide the next professional step?</w:t>
      </w:r>
    </w:p>
    <w:p>
      <w:pPr>
        <w:pStyle w:val="CTAOption"/>
      </w:pPr>
      <w:r>
        <w:t>A. The legal permission to perform every service included within a professional license</w:t>
      </w:r>
    </w:p>
    <w:p>
      <w:pPr>
        <w:pStyle w:val="CTAOption"/>
      </w:pPr>
      <w:r>
        <w:t>B. The present ability to provide a specific service safely, ethically, and effectively under the actual circumstances</w:t>
      </w:r>
    </w:p>
    <w:p>
      <w:pPr>
        <w:pStyle w:val="CTAOption"/>
      </w:pPr>
      <w:r>
        <w:t>C. The confidence to make decisions without seeking additional information</w:t>
      </w:r>
    </w:p>
    <w:p>
      <w:pPr>
        <w:pStyle w:val="CTAOption"/>
      </w:pPr>
      <w:r>
        <w:t>D. The total number of years a clinician has practiced independently</w:t>
      </w:r>
    </w:p>
    <w:p>
      <w:pPr>
        <w:pStyle w:val="CTAH3"/>
      </w:pPr>
      <w:r>
        <w:t>Question 2</w:t>
      </w:r>
    </w:p>
    <w:p>
      <w:pPr>
        <w:pStyle w:val="CTABody"/>
      </w:pPr>
      <w:r>
        <w:t>A clinician holds a valid California license. Which statement is most accurate?</w:t>
      </w:r>
    </w:p>
    <w:p>
      <w:pPr>
        <w:pStyle w:val="CTAOption"/>
      </w:pPr>
      <w:r>
        <w:t>A. The license guarantees competence with every diagnosis and intervention within psychotherapy</w:t>
      </w:r>
    </w:p>
    <w:p>
      <w:pPr>
        <w:pStyle w:val="CTAOption"/>
      </w:pPr>
      <w:r>
        <w:t>B. The license eliminates the need to assess competence after the clinician begins independent practice</w:t>
      </w:r>
    </w:p>
    <w:p>
      <w:pPr>
        <w:pStyle w:val="CTAOption"/>
      </w:pPr>
      <w:r>
        <w:t>C. The license establishes that every treatment outcome will meet the professional standard of care</w:t>
      </w:r>
    </w:p>
    <w:p>
      <w:pPr>
        <w:pStyle w:val="CTAOption"/>
      </w:pPr>
      <w:r>
        <w:t>D. The license establishes legal professional status but does not prove competence for every client, population, or service</w:t>
      </w:r>
    </w:p>
    <w:p>
      <w:pPr>
        <w:pStyle w:val="CTAH3"/>
      </w:pPr>
      <w:r>
        <w:t>Question 3</w:t>
      </w:r>
    </w:p>
    <w:p>
      <w:pPr>
        <w:pStyle w:val="CTABody"/>
      </w:pPr>
      <w:r>
        <w:t>Before accepting a high-risk referral, a clinician must evaluate whether current knowledge, skill, judgment, and functioning are adequate. Which explanation best identifies the primary purpose of professional competence standards in this situation?</w:t>
      </w:r>
    </w:p>
    <w:p>
      <w:pPr>
        <w:pStyle w:val="CTAOption"/>
      </w:pPr>
      <w:r>
        <w:t>A. To protect client welfare by promoting safe, ethical, and effective professional services</w:t>
      </w:r>
    </w:p>
    <w:p>
      <w:pPr>
        <w:pStyle w:val="CTAOption"/>
      </w:pPr>
      <w:r>
        <w:t>B. To guarantee that clients improve during treatment</w:t>
      </w:r>
    </w:p>
    <w:p>
      <w:pPr>
        <w:pStyle w:val="CTAOption"/>
      </w:pPr>
      <w:r>
        <w:t>C. To protect clinicians from all complaints and legal claims</w:t>
      </w:r>
    </w:p>
    <w:p>
      <w:pPr>
        <w:pStyle w:val="CTAOption"/>
      </w:pPr>
      <w:r>
        <w:t>D. To require clinicians to avoid every unfamiliar clinical situation</w:t>
      </w:r>
    </w:p>
    <w:p>
      <w:pPr>
        <w:pStyle w:val="CTAH3"/>
      </w:pPr>
      <w:r>
        <w:t>Question 4</w:t>
      </w:r>
    </w:p>
    <w:p>
      <w:pPr>
        <w:pStyle w:val="CTABody"/>
      </w:pPr>
      <w:r>
        <w:t>A newly licensed clinician assumes that licensure proves readiness to provide every psychotherapy service permitted by the license. Which combination most completely reflects the foundations of professional competence?</w:t>
      </w:r>
    </w:p>
    <w:p>
      <w:pPr>
        <w:pStyle w:val="CTAOption"/>
      </w:pPr>
      <w:r>
        <w:t>A. Licensure, reputation, confidence, and client satisfaction</w:t>
      </w:r>
    </w:p>
    <w:p>
      <w:pPr>
        <w:pStyle w:val="CTAOption"/>
      </w:pPr>
      <w:r>
        <w:t>B. Good intentions, professional seniority, and freedom from complaints</w:t>
      </w:r>
    </w:p>
    <w:p>
      <w:pPr>
        <w:pStyle w:val="CTAOption"/>
      </w:pPr>
      <w:r>
        <w:t>C. Relevant knowledge, practical skill, judgment, self-awareness, adequate preparation, and current functioning</w:t>
      </w:r>
    </w:p>
    <w:p>
      <w:pPr>
        <w:pStyle w:val="CTAOption"/>
      </w:pPr>
      <w:r>
        <w:t>D. Academic knowledge alone, regardless of the ability to apply it</w:t>
      </w:r>
    </w:p>
    <w:p>
      <w:pPr>
        <w:pStyle w:val="CTAH3"/>
      </w:pPr>
      <w:r>
        <w:t>Question 5</w:t>
      </w:r>
    </w:p>
    <w:p>
      <w:pPr>
        <w:pStyle w:val="CTABody"/>
      </w:pPr>
      <w:r>
        <w:t>A therapist notices a possible gap in preparation related to a new client. What should the therapist generally do first?</w:t>
      </w:r>
    </w:p>
    <w:p>
      <w:pPr>
        <w:pStyle w:val="CTAOption"/>
      </w:pPr>
      <w:r>
        <w:t>A. Identify the specific concern and assess how it may affect client risk and the ability to provide safe services</w:t>
      </w:r>
    </w:p>
    <w:p>
      <w:pPr>
        <w:pStyle w:val="CTAOption"/>
      </w:pPr>
      <w:r>
        <w:t>B. Terminate the client immediately before gathering more information</w:t>
      </w:r>
    </w:p>
    <w:p>
      <w:pPr>
        <w:pStyle w:val="CTAOption"/>
      </w:pPr>
      <w:r>
        <w:t>C. Proceed because acknowledging a limitation would undermine professional confidence</w:t>
      </w:r>
    </w:p>
    <w:p>
      <w:pPr>
        <w:pStyle w:val="CTAOption"/>
      </w:pPr>
      <w:r>
        <w:t>D. Wait until harm occurs before deciding whether the concern is significant</w:t>
      </w:r>
    </w:p>
    <w:p>
      <w:pPr>
        <w:pStyle w:val="CTAH3"/>
      </w:pPr>
      <w:r>
        <w:t>Question 6</w:t>
      </w:r>
    </w:p>
    <w:p>
      <w:pPr>
        <w:pStyle w:val="CTABody"/>
      </w:pPr>
      <w:r>
        <w:t>A therapist has never treated a severe eating disorder but accepts the case because the therapist has 20 years of general outpatient experience and feels confident. What is the most significant concern?</w:t>
      </w:r>
    </w:p>
    <w:p>
      <w:pPr>
        <w:pStyle w:val="CTAOption"/>
      </w:pPr>
      <w:r>
        <w:t>A. Experienced therapists are prohibited from accepting clients with unfamiliar conditions</w:t>
      </w:r>
    </w:p>
    <w:p>
      <w:pPr>
        <w:pStyle w:val="CTAOption"/>
      </w:pPr>
      <w:r>
        <w:t>B. The client’s request for treatment establishes the therapist’s competence</w:t>
      </w:r>
    </w:p>
    <w:p>
      <w:pPr>
        <w:pStyle w:val="CTAOption"/>
      </w:pPr>
      <w:r>
        <w:t>C. The therapist must automatically close the practice because a knowledge gap exists</w:t>
      </w:r>
    </w:p>
    <w:p>
      <w:pPr>
        <w:pStyle w:val="CTAOption"/>
      </w:pPr>
      <w:r>
        <w:t>D. General experience and confidence may not provide the specialized preparation required for this client’s condition and risk</w:t>
      </w:r>
    </w:p>
    <w:p>
      <w:pPr>
        <w:pStyle w:val="CTAH3"/>
      </w:pPr>
      <w:r>
        <w:t>Question 7</w:t>
      </w:r>
    </w:p>
    <w:p>
      <w:pPr>
        <w:pStyle w:val="CTABody"/>
      </w:pPr>
      <w:r>
        <w:t>A therapist is highly effective with adults but has never worked with young children. The therapist is asked to treat a six-year-old with developmental and behavioral concerns. What is the best initial analysis?</w:t>
      </w:r>
    </w:p>
    <w:p>
      <w:pPr>
        <w:pStyle w:val="CTAOption"/>
      </w:pPr>
      <w:r>
        <w:t>A. Determine whether the therapist has the child-development knowledge, practical skills, and preparation needed for this population and presentation</w:t>
      </w:r>
    </w:p>
    <w:p>
      <w:pPr>
        <w:pStyle w:val="CTAOption"/>
      </w:pPr>
      <w:r>
        <w:t>B. Assume that all psychotherapy skills transfer automatically across age groups</w:t>
      </w:r>
    </w:p>
    <w:p>
      <w:pPr>
        <w:pStyle w:val="CTAOption"/>
      </w:pPr>
      <w:r>
        <w:t>C. Accept the case because the parent has requested the therapist specifically</w:t>
      </w:r>
    </w:p>
    <w:p>
      <w:pPr>
        <w:pStyle w:val="CTAOption"/>
      </w:pPr>
      <w:r>
        <w:t>D. Conclude that the therapist can never develop competence to work with children</w:t>
      </w:r>
    </w:p>
    <w:p>
      <w:pPr>
        <w:pStyle w:val="CTAH3"/>
      </w:pPr>
      <w:r>
        <w:t>Question 8</w:t>
      </w:r>
    </w:p>
    <w:p>
      <w:pPr>
        <w:pStyle w:val="CTABody"/>
      </w:pPr>
      <w:r>
        <w:t>A therapist notices strong protective feelings toward a client whose history resembles the therapist’s own. The therapist has begun dismissing information that challenges the therapist’s view of the client. What should the therapist do first?</w:t>
      </w:r>
    </w:p>
    <w:p>
      <w:pPr>
        <w:pStyle w:val="CTAOption"/>
      </w:pPr>
      <w:r>
        <w:t>A. Tell the client every detail of the therapist’s personal history</w:t>
      </w:r>
    </w:p>
    <w:p>
      <w:pPr>
        <w:pStyle w:val="CTAOption"/>
      </w:pPr>
      <w:r>
        <w:t>B. Assume empathy prevents any effect on professional judgment</w:t>
      </w:r>
    </w:p>
    <w:p>
      <w:pPr>
        <w:pStyle w:val="CTAOption"/>
      </w:pPr>
      <w:r>
        <w:t>C. Recognize that personal reactions may be influencing judgment and assess the impact on treatment and client welfare</w:t>
      </w:r>
    </w:p>
    <w:p>
      <w:pPr>
        <w:pStyle w:val="CTAOption"/>
      </w:pPr>
      <w:r>
        <w:t>D. Continue without reflection because emotional reactions are unrelated to competence</w:t>
      </w:r>
    </w:p>
    <w:p>
      <w:pPr>
        <w:pStyle w:val="CTAH3"/>
      </w:pPr>
      <w:r>
        <w:t>Question 9</w:t>
      </w:r>
    </w:p>
    <w:p>
      <w:pPr>
        <w:pStyle w:val="CTABody"/>
      </w:pPr>
      <w:r>
        <w:t>A therapist reads one article about a specialized trauma intervention and plans to use the full protocol the next day with a client who has severe dissociation. Which response is most appropriate?</w:t>
      </w:r>
    </w:p>
    <w:p>
      <w:pPr>
        <w:pStyle w:val="CTAOption"/>
      </w:pPr>
      <w:r>
        <w:t>A. Use the intervention because reading professional material automatically establishes competence</w:t>
      </w:r>
    </w:p>
    <w:p>
      <w:pPr>
        <w:pStyle w:val="CTAOption"/>
      </w:pPr>
      <w:r>
        <w:t>B. Evaluate whether the intervention requires additional knowledge, practical training, supervised experience, or other preparation before use</w:t>
      </w:r>
    </w:p>
    <w:p>
      <w:pPr>
        <w:pStyle w:val="CTAOption"/>
      </w:pPr>
      <w:r>
        <w:t>C. Avoid learning any new intervention because competence can never expand</w:t>
      </w:r>
    </w:p>
    <w:p>
      <w:pPr>
        <w:pStyle w:val="CTAOption"/>
      </w:pPr>
      <w:r>
        <w:t>D. Ask the client to accept responsibility for any complications caused by the therapist’s limited preparation</w:t>
      </w:r>
    </w:p>
    <w:p>
      <w:pPr>
        <w:pStyle w:val="CTAH3"/>
      </w:pPr>
      <w:r>
        <w:t>Question 10</w:t>
      </w:r>
    </w:p>
    <w:p>
      <w:pPr>
        <w:pStyle w:val="CTABody"/>
      </w:pPr>
      <w:r>
        <w:t>A therapist identifies a limited but potentially correctable competence gap. The client is stable, continuity of care is important, and qualified professional support is readily available. Which approach is strongest?</w:t>
      </w:r>
    </w:p>
    <w:p>
      <w:pPr>
        <w:pStyle w:val="CTAOption"/>
      </w:pPr>
      <w:r>
        <w:t>A. Ignore the gap because the client is not currently in crisis</w:t>
      </w:r>
    </w:p>
    <w:p>
      <w:pPr>
        <w:pStyle w:val="CTAOption"/>
      </w:pPr>
      <w:r>
        <w:t>B. Terminate immediately because every competence concern requires transfer</w:t>
      </w:r>
    </w:p>
    <w:p>
      <w:pPr>
        <w:pStyle w:val="CTAOption"/>
      </w:pPr>
      <w:r>
        <w:t>C. Continue exactly as before and address the issue only if the client complains</w:t>
      </w:r>
    </w:p>
    <w:p>
      <w:pPr>
        <w:pStyle w:val="CTAOption"/>
      </w:pPr>
      <w:r>
        <w:t>D. Assess whether services can continue safely while the limitation is addressed through a proportionate plan that protects the client</w:t>
      </w:r>
    </w:p>
    <w:p>
      <w:pPr>
        <w:pStyle w:val="CTAH3"/>
      </w:pPr>
      <w:r>
        <w:t>Question 11</w:t>
      </w:r>
    </w:p>
    <w:p>
      <w:pPr>
        <w:pStyle w:val="CTABody"/>
      </w:pPr>
      <w:r>
        <w:t>During supervision, a ASW’s confidence and years of experience are being treated as sufficient evidence of competence for a complex case. Which statement best reflects how competence may change over time?</w:t>
      </w:r>
    </w:p>
    <w:p>
      <w:pPr>
        <w:pStyle w:val="CTAOption"/>
      </w:pPr>
      <w:r>
        <w:t>A. Once established, competence remains permanent unless the clinician’s license expires</w:t>
      </w:r>
    </w:p>
    <w:p>
      <w:pPr>
        <w:pStyle w:val="CTAOption"/>
      </w:pPr>
      <w:r>
        <w:t>B. Competence is determined only by the clinician’s graduate education</w:t>
      </w:r>
    </w:p>
    <w:p>
      <w:pPr>
        <w:pStyle w:val="CTAOption"/>
      </w:pPr>
      <w:r>
        <w:t>C. Competence may expand, become outdated, or be temporarily limited as knowledge, case demands, standards, and clinician functioning change</w:t>
      </w:r>
    </w:p>
    <w:p>
      <w:pPr>
        <w:pStyle w:val="CTAOption"/>
      </w:pPr>
      <w:r>
        <w:t>D. Competence changes only when a formal complaint is filed</w:t>
      </w:r>
    </w:p>
    <w:p>
      <w:pPr>
        <w:pStyle w:val="CTAH3"/>
      </w:pPr>
      <w:r>
        <w:t>Question 12</w:t>
      </w:r>
    </w:p>
    <w:p>
      <w:pPr>
        <w:pStyle w:val="CTABody"/>
      </w:pPr>
      <w:r>
        <w:t>A therapist is severely sleep-deprived, is making repeated documentation errors, and is struggling to follow clients’ narratives. The therapist’s training and experience are otherwise adequate. What is the most accurate analysis?</w:t>
      </w:r>
    </w:p>
    <w:p>
      <w:pPr>
        <w:pStyle w:val="CTAOption"/>
      </w:pPr>
      <w:r>
        <w:t>A. Adequate historical training means current functioning is irrelevant</w:t>
      </w:r>
    </w:p>
    <w:p>
      <w:pPr>
        <w:pStyle w:val="CTAOption"/>
      </w:pPr>
      <w:r>
        <w:t>B. Competence includes current functioning, so the therapist should assess whether fatigue is impairing safe professional performance</w:t>
      </w:r>
    </w:p>
    <w:p>
      <w:pPr>
        <w:pStyle w:val="CTAOption"/>
      </w:pPr>
      <w:r>
        <w:t>C. The therapist is automatically permanently incompetent</w:t>
      </w:r>
    </w:p>
    <w:p>
      <w:pPr>
        <w:pStyle w:val="CTAOption"/>
      </w:pPr>
      <w:r>
        <w:t>D. The issue matters only if a client has already been harmed</w:t>
      </w:r>
    </w:p>
    <w:p>
      <w:pPr>
        <w:pStyle w:val="CTAH3"/>
      </w:pPr>
      <w:r>
        <w:t>Question 13</w:t>
      </w:r>
    </w:p>
    <w:p>
      <w:pPr>
        <w:pStyle w:val="CTABody"/>
      </w:pPr>
      <w:r>
        <w:t>A client insists on receiving a specialized intervention from the current therapist and refuses to consider another provider. The therapist recognizes that the intervention exceeds the therapist’s present skill. What should guide the therapist’s response?</w:t>
      </w:r>
    </w:p>
    <w:p>
      <w:pPr>
        <w:pStyle w:val="CTAOption"/>
      </w:pPr>
      <w:r>
        <w:t>A. The therapist should not provide an intervention beyond current competence merely because the client strongly prefers it; the therapist should address the limitation and develop a safe plan</w:t>
      </w:r>
    </w:p>
    <w:p>
      <w:pPr>
        <w:pStyle w:val="CTAOption"/>
      </w:pPr>
      <w:r>
        <w:t>B. The client’s autonomy requires the therapist to provide any requested intervention</w:t>
      </w:r>
    </w:p>
    <w:p>
      <w:pPr>
        <w:pStyle w:val="CTAOption"/>
      </w:pPr>
      <w:r>
        <w:t>C. A signed waiver transfers responsibility for the therapist’s competence to the client</w:t>
      </w:r>
    </w:p>
    <w:p>
      <w:pPr>
        <w:pStyle w:val="CTAOption"/>
      </w:pPr>
      <w:r>
        <w:t>D. The therapist should conceal the competence concern to preserve the alliance</w:t>
      </w:r>
    </w:p>
    <w:p>
      <w:pPr>
        <w:pStyle w:val="CTAH3"/>
      </w:pPr>
      <w:r>
        <w:t>Question 14</w:t>
      </w:r>
    </w:p>
    <w:p>
      <w:pPr>
        <w:pStyle w:val="CTABody"/>
      </w:pPr>
      <w:r>
        <w:t>A therapist has substantial experience with one cultural community and assumes the same beliefs and family dynamics apply to a new client from a different community. The therapist does not ask the client about the client’s own context. What is the primary competence concern?</w:t>
      </w:r>
    </w:p>
    <w:p>
      <w:pPr>
        <w:pStyle w:val="CTAOption"/>
      </w:pPr>
      <w:r>
        <w:t>A. Cultural issues are unrelated to professional competence when the diagnosis is familiar</w:t>
      </w:r>
    </w:p>
    <w:p>
      <w:pPr>
        <w:pStyle w:val="CTAOption"/>
      </w:pPr>
      <w:r>
        <w:t>B. General multicultural training guarantees understanding of every client’s cultural experience</w:t>
      </w:r>
    </w:p>
    <w:p>
      <w:pPr>
        <w:pStyle w:val="CTAOption"/>
      </w:pPr>
      <w:r>
        <w:t>C. The therapist may be substituting assumptions for individualized cultural understanding, which can impair assessment and judgment</w:t>
      </w:r>
    </w:p>
    <w:p>
      <w:pPr>
        <w:pStyle w:val="CTAOption"/>
      </w:pPr>
      <w:r>
        <w:t>D. The therapist must share the client’s background to provide any treatment</w:t>
      </w:r>
    </w:p>
    <w:p>
      <w:pPr>
        <w:pStyle w:val="CTAH3"/>
      </w:pPr>
      <w:r>
        <w:t>Question 15</w:t>
      </w:r>
    </w:p>
    <w:p>
      <w:pPr>
        <w:pStyle w:val="CTABody"/>
      </w:pPr>
      <w:r>
        <w:t>A therapist with limited crisis experience learns that a client has an immediate plan and means to seriously harm another person. The therapist is unsure of every applicable legal detail. What is the strongest response?</w:t>
      </w:r>
    </w:p>
    <w:p>
      <w:pPr>
        <w:pStyle w:val="CTAOption"/>
      </w:pPr>
      <w:r>
        <w:t>A. Delay all action until the therapist completes additional training</w:t>
      </w:r>
    </w:p>
    <w:p>
      <w:pPr>
        <w:pStyle w:val="CTAOption"/>
      </w:pPr>
      <w:r>
        <w:t>B. Continue the routine session because uncertainty proves that no action is authorized</w:t>
      </w:r>
    </w:p>
    <w:p>
      <w:pPr>
        <w:pStyle w:val="CTAOption"/>
      </w:pPr>
      <w:r>
        <w:t>C. Terminate the client immediately without addressing the danger</w:t>
      </w:r>
    </w:p>
    <w:p>
      <w:pPr>
        <w:pStyle w:val="CTAOption"/>
      </w:pPr>
      <w:r>
        <w:t>D. Take necessary protective action within the therapist’s role while obtaining prompt qualified assistance and documenting the assessment and response</w:t>
      </w:r>
    </w:p>
    <w:p>
      <w:pPr>
        <w:pStyle w:val="CTAH3"/>
      </w:pPr>
      <w:r>
        <w:t>Question 16</w:t>
      </w:r>
    </w:p>
    <w:p>
      <w:pPr>
        <w:pStyle w:val="CTABody"/>
      </w:pPr>
      <w:r>
        <w:t>A therapist is experiencing severe depression and medication side effects that are causing missed risk cues, memory problems, and repeated scheduling errors. The therapist continues a full caseload because taking action would reduce income. What is the most significant concern?</w:t>
      </w:r>
    </w:p>
    <w:p>
      <w:pPr>
        <w:pStyle w:val="CTAOption"/>
      </w:pPr>
      <w:r>
        <w:t>A. The therapist may be allowing personal and financial concerns to override the responsibility to assess and manage impairment affecting client care</w:t>
      </w:r>
    </w:p>
    <w:p>
      <w:pPr>
        <w:pStyle w:val="CTAOption"/>
      </w:pPr>
      <w:r>
        <w:t>B. Mental-health symptoms automatically require permanent loss of licensure</w:t>
      </w:r>
    </w:p>
    <w:p>
      <w:pPr>
        <w:pStyle w:val="CTAOption"/>
      </w:pPr>
      <w:r>
        <w:t>C. Income considerations establish that continuing the caseload is clinically necessary</w:t>
      </w:r>
    </w:p>
    <w:p>
      <w:pPr>
        <w:pStyle w:val="CTAOption"/>
      </w:pPr>
      <w:r>
        <w:t>D. The issue is private and unrelated to competence unless clients are told about the diagnosis</w:t>
      </w:r>
    </w:p>
    <w:p>
      <w:pPr>
        <w:pStyle w:val="CTAH3"/>
      </w:pPr>
      <w:r>
        <w:t>Question 17</w:t>
      </w:r>
    </w:p>
    <w:p>
      <w:pPr>
        <w:pStyle w:val="CTABody"/>
      </w:pPr>
      <w:r>
        <w:t>A therapist holds a valid license, has 15 years of general experience, and feels confident. The therapist has never treated the client’s specialized high-risk condition, has read only one brief article about the proposed intervention, notices strong personal reactions to the client, and plans to proceed without further evaluation. Which response best reflects the therapist’s responsibilities?</w:t>
      </w:r>
    </w:p>
    <w:p>
      <w:pPr>
        <w:pStyle w:val="CTAOption"/>
      </w:pPr>
      <w:r>
        <w:t>A. Proceed because licensure, experience, and confidence collectively establish competence</w:t>
      </w:r>
    </w:p>
    <w:p>
      <w:pPr>
        <w:pStyle w:val="CTAOption"/>
      </w:pPr>
      <w:r>
        <w:t>B. Identify the specific preparation and self-awareness concerns, assess client risk and urgency, and choose a proportionate safe response before providing the specialized service</w:t>
      </w:r>
    </w:p>
    <w:p>
      <w:pPr>
        <w:pStyle w:val="CTAOption"/>
      </w:pPr>
      <w:r>
        <w:t>C. Ask the client to sign a waiver accepting the therapist’s limited preparation</w:t>
      </w:r>
    </w:p>
    <w:p>
      <w:pPr>
        <w:pStyle w:val="CTAOption"/>
      </w:pPr>
      <w:r>
        <w:t>D. Ignore the concerns unless treatment fails or a complaint is filed</w:t>
      </w:r>
    </w:p>
    <w:p>
      <w:r>
        <w:br w:type="page"/>
      </w:r>
    </w:p>
    <w:p>
      <w:pPr>
        <w:pStyle w:val="CTAH1"/>
      </w:pPr>
      <w:r>
        <w:t>Chapter 2 Assessment</w:t>
      </w:r>
    </w:p>
    <w:p>
      <w:pPr>
        <w:pStyle w:val="CTASubtitle"/>
      </w:pPr>
      <w:r>
        <w:t>Scope of Practice vs. Scope of Competence</w:t>
      </w:r>
    </w:p>
    <w:p>
      <w:pPr>
        <w:pStyle w:val="CTAMeta"/>
      </w:pPr>
      <w:r>
        <w:t>17 questions | Select one best answer for each item | Record responses on the chapter answer sheet</w:t>
      </w:r>
    </w:p>
    <w:p>
      <w:pPr>
        <w:pStyle w:val="CTAH3"/>
      </w:pPr>
      <w:r>
        <w:t>Question 18</w:t>
      </w:r>
    </w:p>
    <w:p>
      <w:pPr>
        <w:pStyle w:val="CTABody"/>
      </w:pPr>
      <w:r>
        <w:t>Which question belongs to the profession-scope gate of the S-C-A analysis?</w:t>
      </w:r>
    </w:p>
    <w:p>
      <w:pPr>
        <w:pStyle w:val="CTAOption"/>
      </w:pPr>
      <w:r>
        <w:t>A. Does the clinician feel confident about the service?</w:t>
      </w:r>
    </w:p>
    <w:p>
      <w:pPr>
        <w:pStyle w:val="CTAOption"/>
      </w:pPr>
      <w:r>
        <w:t>B. Is the service part of clinical social work as California law defines it?</w:t>
      </w:r>
    </w:p>
    <w:p>
      <w:pPr>
        <w:pStyle w:val="CTAOption"/>
      </w:pPr>
      <w:r>
        <w:t>C. Has the employer approved the service?</w:t>
      </w:r>
    </w:p>
    <w:p>
      <w:pPr>
        <w:pStyle w:val="CTAOption"/>
      </w:pPr>
      <w:r>
        <w:t>D. Would a consultant be available if needed?</w:t>
      </w:r>
    </w:p>
    <w:p>
      <w:pPr>
        <w:pStyle w:val="CTAH3"/>
      </w:pPr>
      <w:r>
        <w:t>Question 19</w:t>
      </w:r>
    </w:p>
    <w:p>
      <w:pPr>
        <w:pStyle w:val="CTABody"/>
      </w:pPr>
      <w:r>
        <w:t>A service is within the legal scope of clinical social work. What must the clinician determine NEXT?</w:t>
      </w:r>
    </w:p>
    <w:p>
      <w:pPr>
        <w:pStyle w:val="CTAOption"/>
      </w:pPr>
      <w:r>
        <w:t>A. Whether the service is popular in the clinician’s setting.</w:t>
      </w:r>
    </w:p>
    <w:p>
      <w:pPr>
        <w:pStyle w:val="CTAOption"/>
      </w:pPr>
      <w:r>
        <w:t>B. Whether another profession also provides the service.</w:t>
      </w:r>
    </w:p>
    <w:p>
      <w:pPr>
        <w:pStyle w:val="CTAOption"/>
      </w:pPr>
      <w:r>
        <w:t>C. Whether the individual clinician is competent and presently authorized to provide it.</w:t>
      </w:r>
    </w:p>
    <w:p>
      <w:pPr>
        <w:pStyle w:val="CTAOption"/>
      </w:pPr>
      <w:r>
        <w:t>D. Whether the client has previously received the service.</w:t>
      </w:r>
    </w:p>
    <w:p>
      <w:pPr>
        <w:pStyle w:val="CTAH3"/>
      </w:pPr>
      <w:r>
        <w:t>Question 20</w:t>
      </w:r>
    </w:p>
    <w:p>
      <w:pPr>
        <w:pStyle w:val="CTABody"/>
      </w:pPr>
      <w:r>
        <w:t>An LCSW completed a brief introductory webinar on a specialized trauma method and wants to use the full protocol with a highly dissociative client the next day. What is the BEST response?</w:t>
      </w:r>
    </w:p>
    <w:p>
      <w:pPr>
        <w:pStyle w:val="CTAOption"/>
      </w:pPr>
      <w:r>
        <w:t>A. Use the full protocol because trauma treatment is within LCSW scope.</w:t>
      </w:r>
    </w:p>
    <w:p>
      <w:pPr>
        <w:pStyle w:val="CTAOption"/>
      </w:pPr>
      <w:r>
        <w:t>B. Use only interventions already within competence, obtain adequate training and consultation, and arrange specialty care when needed.</w:t>
      </w:r>
    </w:p>
    <w:p>
      <w:pPr>
        <w:pStyle w:val="CTAOption"/>
      </w:pPr>
      <w:r>
        <w:t>C. Refer every trauma client immediately because specialty methods are outside social-work scope.</w:t>
      </w:r>
    </w:p>
    <w:p>
      <w:pPr>
        <w:pStyle w:val="CTAOption"/>
      </w:pPr>
      <w:r>
        <w:t>D. Proceed if the client signs an informed-consent form acknowledging the clinician’s limited experience.</w:t>
      </w:r>
    </w:p>
    <w:p>
      <w:pPr>
        <w:pStyle w:val="CTAH3"/>
      </w:pPr>
      <w:r>
        <w:t>Question 21</w:t>
      </w:r>
    </w:p>
    <w:p>
      <w:pPr>
        <w:pStyle w:val="CTABody"/>
      </w:pPr>
      <w:r>
        <w:t>An ASW is offered a 1099 contract to provide psychotherapy while receiving weekly consultation from an LCSW. Which issue is PRIMARY?</w:t>
      </w:r>
    </w:p>
    <w:p>
      <w:pPr>
        <w:pStyle w:val="CTAOption"/>
      </w:pPr>
      <w:r>
        <w:t>A. The profession-scope gate, because psychotherapy is outside clinical social work.</w:t>
      </w:r>
    </w:p>
    <w:p>
      <w:pPr>
        <w:pStyle w:val="CTAOption"/>
      </w:pPr>
      <w:r>
        <w:t>B. The competence gate, because consultation proves the ASW is not competent.</w:t>
      </w:r>
    </w:p>
    <w:p>
      <w:pPr>
        <w:pStyle w:val="CTAOption"/>
      </w:pPr>
      <w:r>
        <w:t>C. The present-authority gate, because consultation does not make an independent-contractor arrangement lawful for an ASW.</w:t>
      </w:r>
    </w:p>
    <w:p>
      <w:pPr>
        <w:pStyle w:val="CTAOption"/>
      </w:pPr>
      <w:r>
        <w:t>D. The client-preference gate, because the arrangement is permissible if clients agree.</w:t>
      </w:r>
    </w:p>
    <w:p>
      <w:pPr>
        <w:pStyle w:val="CTAH3"/>
      </w:pPr>
      <w:r>
        <w:t>Question 22</w:t>
      </w:r>
    </w:p>
    <w:p>
      <w:pPr>
        <w:pStyle w:val="CTABody"/>
      </w:pPr>
      <w:r>
        <w:t>Which statement BEST describes consultation?</w:t>
      </w:r>
    </w:p>
    <w:p>
      <w:pPr>
        <w:pStyle w:val="CTAOption"/>
      </w:pPr>
      <w:r>
        <w:t>A. It transfers professional responsibility to the consultant.</w:t>
      </w:r>
    </w:p>
    <w:p>
      <w:pPr>
        <w:pStyle w:val="CTAOption"/>
      </w:pPr>
      <w:r>
        <w:t>B. It can support decision-making but does not automatically create competence or legal authority.</w:t>
      </w:r>
    </w:p>
    <w:p>
      <w:pPr>
        <w:pStyle w:val="CTAOption"/>
      </w:pPr>
      <w:r>
        <w:t>C. It replaces required supervision when the consultant is independently licensed.</w:t>
      </w:r>
    </w:p>
    <w:p>
      <w:pPr>
        <w:pStyle w:val="CTAOption"/>
      </w:pPr>
      <w:r>
        <w:t>D. It permits a clinician to provide any service within the profession’s general scope.</w:t>
      </w:r>
    </w:p>
    <w:p>
      <w:pPr>
        <w:pStyle w:val="CTAH3"/>
      </w:pPr>
      <w:r>
        <w:t>Question 23</w:t>
      </w:r>
    </w:p>
    <w:p>
      <w:pPr>
        <w:pStyle w:val="CTABody"/>
      </w:pPr>
      <w:r>
        <w:t>A rural LCSW with general crisis competence encounters a client with acute risk and a rare condition outside the clinician’s specialty. The nearest specialist is several hours away. What should the clinician do FIRST?</w:t>
      </w:r>
    </w:p>
    <w:p>
      <w:pPr>
        <w:pStyle w:val="CTAOption"/>
      </w:pPr>
      <w:r>
        <w:t>A. Provide necessary stabilization within competence, seek consultation, and arrange appropriate care.</w:t>
      </w:r>
    </w:p>
    <w:p>
      <w:pPr>
        <w:pStyle w:val="CTAOption"/>
      </w:pPr>
      <w:r>
        <w:t>B. Decline all involvement because the condition is outside the clinician’s specialty.</w:t>
      </w:r>
    </w:p>
    <w:p>
      <w:pPr>
        <w:pStyle w:val="CTAOption"/>
      </w:pPr>
      <w:r>
        <w:t>C. Begin long-term specialty treatment because emergency circumstances expand competence permanently.</w:t>
      </w:r>
    </w:p>
    <w:p>
      <w:pPr>
        <w:pStyle w:val="CTAOption"/>
      </w:pPr>
      <w:r>
        <w:t>D. Wait for the specialist before taking any protective action.</w:t>
      </w:r>
    </w:p>
    <w:p>
      <w:pPr>
        <w:pStyle w:val="CTAH3"/>
      </w:pPr>
      <w:r>
        <w:t>Question 24</w:t>
      </w:r>
    </w:p>
    <w:p>
      <w:pPr>
        <w:pStyle w:val="CTABody"/>
      </w:pPr>
      <w:r>
        <w:t>Which fact most directly concerns individual competence rather than profession scope or present authority?</w:t>
      </w:r>
    </w:p>
    <w:p>
      <w:pPr>
        <w:pStyle w:val="CTAOption"/>
      </w:pPr>
      <w:r>
        <w:t>A. The ASW’s registration is expired.</w:t>
      </w:r>
    </w:p>
    <w:p>
      <w:pPr>
        <w:pStyle w:val="CTAOption"/>
      </w:pPr>
      <w:r>
        <w:t>B. The service is not included within clinical social work.</w:t>
      </w:r>
    </w:p>
    <w:p>
      <w:pPr>
        <w:pStyle w:val="CTAOption"/>
      </w:pPr>
      <w:r>
        <w:t>C. The clinician lacks training and supervised experience with the specialized intervention.</w:t>
      </w:r>
    </w:p>
    <w:p>
      <w:pPr>
        <w:pStyle w:val="CTAOption"/>
      </w:pPr>
      <w:r>
        <w:t>D. The employer prohibits the service in that setting.</w:t>
      </w:r>
    </w:p>
    <w:p>
      <w:pPr>
        <w:pStyle w:val="CTAH3"/>
      </w:pPr>
      <w:r>
        <w:t>Question 25</w:t>
      </w:r>
    </w:p>
    <w:p>
      <w:pPr>
        <w:pStyle w:val="CTABody"/>
      </w:pPr>
      <w:r>
        <w:t>A licensed clinician has years of general practice experience but no training with a specialized assessment instrument requiring publisher qualifications. What is the BEST conclusion?</w:t>
      </w:r>
    </w:p>
    <w:p>
      <w:pPr>
        <w:pStyle w:val="CTAOption"/>
      </w:pPr>
      <w:r>
        <w:t>A. Years in practice establish competence for all assessment instruments.</w:t>
      </w:r>
    </w:p>
    <w:p>
      <w:pPr>
        <w:pStyle w:val="CTAOption"/>
      </w:pPr>
      <w:r>
        <w:t>B. Assessment is within clinical social work, so no additional qualifications are needed.</w:t>
      </w:r>
    </w:p>
    <w:p>
      <w:pPr>
        <w:pStyle w:val="CTAOption"/>
      </w:pPr>
      <w:r>
        <w:t>C. The clinician should follow instrument-specific training and qualification requirements before administering or interpreting it.</w:t>
      </w:r>
    </w:p>
    <w:p>
      <w:pPr>
        <w:pStyle w:val="CTAOption"/>
      </w:pPr>
      <w:r>
        <w:t>D. A colleague may score the instrument later, so the clinician may administer it now.</w:t>
      </w:r>
    </w:p>
    <w:p>
      <w:pPr>
        <w:pStyle w:val="CTAH3"/>
      </w:pPr>
      <w:r>
        <w:t>Question 26</w:t>
      </w:r>
    </w:p>
    <w:p>
      <w:pPr>
        <w:pStyle w:val="CTABody"/>
      </w:pPr>
      <w:r>
        <w:t>Which response BEST protects continuity when a client’s needs exceed the clinician’s current competence?</w:t>
      </w:r>
    </w:p>
    <w:p>
      <w:pPr>
        <w:pStyle w:val="CTAOption"/>
      </w:pPr>
      <w:r>
        <w:t>A. End services immediately and provide no further assistance.</w:t>
      </w:r>
    </w:p>
    <w:p>
      <w:pPr>
        <w:pStyle w:val="CTAOption"/>
      </w:pPr>
      <w:r>
        <w:t>B. Continue indefinitely while learning through trial and error.</w:t>
      </w:r>
    </w:p>
    <w:p>
      <w:pPr>
        <w:pStyle w:val="CTAOption"/>
      </w:pPr>
      <w:r>
        <w:t>C. Discuss the limitation, arrange consultation or referral, support transition, and document the continuity plan.</w:t>
      </w:r>
    </w:p>
    <w:p>
      <w:pPr>
        <w:pStyle w:val="CTAOption"/>
      </w:pPr>
      <w:r>
        <w:t>D. Ask the client to locate a new provider without further involvement.</w:t>
      </w:r>
    </w:p>
    <w:p>
      <w:pPr>
        <w:pStyle w:val="CTAH3"/>
      </w:pPr>
      <w:r>
        <w:t>Question 27</w:t>
      </w:r>
    </w:p>
    <w:p>
      <w:pPr>
        <w:pStyle w:val="CTABody"/>
      </w:pPr>
      <w:r>
        <w:t>An ASW’s agency says employer permission is enough to authorize a new service. Which analysis is BEST?</w:t>
      </w:r>
    </w:p>
    <w:p>
      <w:pPr>
        <w:pStyle w:val="CTAOption"/>
      </w:pPr>
      <w:r>
        <w:t>A. Employer permission can expand statutory scope.</w:t>
      </w:r>
    </w:p>
    <w:p>
      <w:pPr>
        <w:pStyle w:val="CTAOption"/>
      </w:pPr>
      <w:r>
        <w:t>B. Employer permission can waive registration and supervision rules.</w:t>
      </w:r>
    </w:p>
    <w:p>
      <w:pPr>
        <w:pStyle w:val="CTAOption"/>
      </w:pPr>
      <w:r>
        <w:t>C. Employer permission matters only after the legal scope, competence, and present-authority requirements are satisfied.</w:t>
      </w:r>
    </w:p>
    <w:p>
      <w:pPr>
        <w:pStyle w:val="CTAOption"/>
      </w:pPr>
      <w:r>
        <w:t>D. Employer permission eliminates the need for client consent.</w:t>
      </w:r>
    </w:p>
    <w:p>
      <w:pPr>
        <w:pStyle w:val="CTAH3"/>
      </w:pPr>
      <w:r>
        <w:t>Question 28</w:t>
      </w:r>
    </w:p>
    <w:p>
      <w:pPr>
        <w:pStyle w:val="CTABody"/>
      </w:pPr>
      <w:r>
        <w:t>A clinician is unfamiliar with a service that is otherwise within clinical social work. Which response is MOST appropriate?</w:t>
      </w:r>
    </w:p>
    <w:p>
      <w:pPr>
        <w:pStyle w:val="CTAOption"/>
      </w:pPr>
      <w:r>
        <w:t>A. Assume the service is outside the profession’s scope.</w:t>
      </w:r>
    </w:p>
    <w:p>
      <w:pPr>
        <w:pStyle w:val="CTAOption"/>
      </w:pPr>
      <w:r>
        <w:t>B. Assess whether training, supervision, consultation, a narrower role, or referral can safely address the need.</w:t>
      </w:r>
    </w:p>
    <w:p>
      <w:pPr>
        <w:pStyle w:val="CTAOption"/>
      </w:pPr>
      <w:r>
        <w:t>C. Provide the service immediately because unfamiliarity is never relevant.</w:t>
      </w:r>
    </w:p>
    <w:p>
      <w:pPr>
        <w:pStyle w:val="CTAOption"/>
      </w:pPr>
      <w:r>
        <w:t>D. Avoid documenting the limitation to prevent liability.</w:t>
      </w:r>
    </w:p>
    <w:p>
      <w:pPr>
        <w:pStyle w:val="CTAH3"/>
      </w:pPr>
      <w:r>
        <w:t>Question 29</w:t>
      </w:r>
    </w:p>
    <w:p>
      <w:pPr>
        <w:pStyle w:val="CTABody"/>
      </w:pPr>
      <w:r>
        <w:t>Which statement BEST distinguishes supervision from consultation for an ASW?</w:t>
      </w:r>
    </w:p>
    <w:p>
      <w:pPr>
        <w:pStyle w:val="CTAOption"/>
      </w:pPr>
      <w:r>
        <w:t>A. Consultation is the legally structured accountability relationship required for ASW practice.</w:t>
      </w:r>
    </w:p>
    <w:p>
      <w:pPr>
        <w:pStyle w:val="CTAOption"/>
      </w:pPr>
      <w:r>
        <w:t>B. Supervision and consultation are interchangeable when both professionals are licensed.</w:t>
      </w:r>
    </w:p>
    <w:p>
      <w:pPr>
        <w:pStyle w:val="CTAOption"/>
      </w:pPr>
      <w:r>
        <w:t>C. Supervision provides required oversight and accountability; consultation is supplemental advice.</w:t>
      </w:r>
    </w:p>
    <w:p>
      <w:pPr>
        <w:pStyle w:val="CTAOption"/>
      </w:pPr>
      <w:r>
        <w:t>D. Consultation replaces supervision when the ASW has completed most experience hours.</w:t>
      </w:r>
    </w:p>
    <w:p>
      <w:pPr>
        <w:pStyle w:val="CTAH3"/>
      </w:pPr>
      <w:r>
        <w:t>Question 30</w:t>
      </w:r>
    </w:p>
    <w:p>
      <w:pPr>
        <w:pStyle w:val="CTABody"/>
      </w:pPr>
      <w:r>
        <w:t>A clinician’s personal functioning has deteriorated and is affecting concentration during high-risk work. Which gate is MOST directly implicated?</w:t>
      </w:r>
    </w:p>
    <w:p>
      <w:pPr>
        <w:pStyle w:val="CTAOption"/>
      </w:pPr>
      <w:r>
        <w:t>A. Only profession scope.</w:t>
      </w:r>
    </w:p>
    <w:p>
      <w:pPr>
        <w:pStyle w:val="CTAOption"/>
      </w:pPr>
      <w:r>
        <w:t>B. Only employer policy.</w:t>
      </w:r>
    </w:p>
    <w:p>
      <w:pPr>
        <w:pStyle w:val="CTAOption"/>
      </w:pPr>
      <w:r>
        <w:t>C. Individual competence and current fitness to provide the service safely.</w:t>
      </w:r>
    </w:p>
    <w:p>
      <w:pPr>
        <w:pStyle w:val="CTAOption"/>
      </w:pPr>
      <w:r>
        <w:t>D. Only client preference.</w:t>
      </w:r>
    </w:p>
    <w:p>
      <w:pPr>
        <w:pStyle w:val="CTAH3"/>
      </w:pPr>
      <w:r>
        <w:t>Question 31</w:t>
      </w:r>
    </w:p>
    <w:p>
      <w:pPr>
        <w:pStyle w:val="CTABody"/>
      </w:pPr>
      <w:r>
        <w:t>A client prefers a language the clinician does not speak, and the client’s cultural context is unfamiliar. The agency suggests using a family member as interpreter. What is the BEST response?</w:t>
      </w:r>
    </w:p>
    <w:p>
      <w:pPr>
        <w:pStyle w:val="CTAOption"/>
      </w:pPr>
      <w:r>
        <w:t>A. Use the family member automatically because language access is outside competence.</w:t>
      </w:r>
    </w:p>
    <w:p>
      <w:pPr>
        <w:pStyle w:val="CTAOption"/>
      </w:pPr>
      <w:r>
        <w:t>B. Proceed without language support because psychotherapy remains within social-work scope.</w:t>
      </w:r>
    </w:p>
    <w:p>
      <w:pPr>
        <w:pStyle w:val="CTAOption"/>
      </w:pPr>
      <w:r>
        <w:t>C. Arrange appropriate language access, consider cultural consultation, protect confidentiality, and assess whether the clinician can provide competent care.</w:t>
      </w:r>
    </w:p>
    <w:p>
      <w:pPr>
        <w:pStyle w:val="CTAOption"/>
      </w:pPr>
      <w:r>
        <w:t>D. Refer the client immediately without discussing options.</w:t>
      </w:r>
    </w:p>
    <w:p>
      <w:pPr>
        <w:pStyle w:val="CTAH3"/>
      </w:pPr>
      <w:r>
        <w:t>Question 32</w:t>
      </w:r>
    </w:p>
    <w:p>
      <w:pPr>
        <w:pStyle w:val="CTABody"/>
      </w:pPr>
      <w:r>
        <w:t>Which option BEST reflects the least harmful adequate response when all three S-C-A gates are satisfied but the clinician needs focused support?</w:t>
      </w:r>
    </w:p>
    <w:p>
      <w:pPr>
        <w:pStyle w:val="CTAOption"/>
      </w:pPr>
      <w:r>
        <w:t>A. Proceed with appropriate supervision or consultation, monitor outcomes, and document the support.</w:t>
      </w:r>
    </w:p>
    <w:p>
      <w:pPr>
        <w:pStyle w:val="CTAOption"/>
      </w:pPr>
      <w:r>
        <w:t>B. Decline the service because any need for support proves incompetence.</w:t>
      </w:r>
    </w:p>
    <w:p>
      <w:pPr>
        <w:pStyle w:val="CTAOption"/>
      </w:pPr>
      <w:r>
        <w:t>C. Proceed without support to demonstrate independence.</w:t>
      </w:r>
    </w:p>
    <w:p>
      <w:pPr>
        <w:pStyle w:val="CTAOption"/>
      </w:pPr>
      <w:r>
        <w:t>D. Transfer the client automatically.</w:t>
      </w:r>
    </w:p>
    <w:p>
      <w:pPr>
        <w:pStyle w:val="CTAH3"/>
      </w:pPr>
      <w:r>
        <w:t>Question 33</w:t>
      </w:r>
    </w:p>
    <w:p>
      <w:pPr>
        <w:pStyle w:val="CTABody"/>
      </w:pPr>
      <w:r>
        <w:t>A candidate sees that a service is legally within clinical social work and chooses it without checking the clinician’s training, role, setting, or supervision. What reasoning error occurred?</w:t>
      </w:r>
    </w:p>
    <w:p>
      <w:pPr>
        <w:pStyle w:val="CTAOption"/>
      </w:pPr>
      <w:r>
        <w:t>A. Automatic referral.</w:t>
      </w:r>
    </w:p>
    <w:p>
      <w:pPr>
        <w:pStyle w:val="CTAOption"/>
      </w:pPr>
      <w:r>
        <w:t>B. Scope equals competence.</w:t>
      </w:r>
    </w:p>
    <w:p>
      <w:pPr>
        <w:pStyle w:val="CTAOption"/>
      </w:pPr>
      <w:r>
        <w:t>C. Emergency bridge reasoning.</w:t>
      </w:r>
    </w:p>
    <w:p>
      <w:pPr>
        <w:pStyle w:val="CTAOption"/>
      </w:pPr>
      <w:r>
        <w:t>D. Overreliance on client preference.</w:t>
      </w:r>
    </w:p>
    <w:p>
      <w:pPr>
        <w:pStyle w:val="CTAH3"/>
      </w:pPr>
      <w:r>
        <w:t>Question 34</w:t>
      </w:r>
    </w:p>
    <w:p>
      <w:pPr>
        <w:pStyle w:val="CTABody"/>
      </w:pPr>
      <w:r>
        <w:t>Which sequence is BEST for a boundary question on the examination?</w:t>
      </w:r>
    </w:p>
    <w:p>
      <w:pPr>
        <w:pStyle w:val="CTAOption"/>
      </w:pPr>
      <w:r>
        <w:t>A. Check employer policy, ask the client, then consider the law.</w:t>
      </w:r>
    </w:p>
    <w:p>
      <w:pPr>
        <w:pStyle w:val="CTAOption"/>
      </w:pPr>
      <w:r>
        <w:t>B. Name the service, check profession scope, verify status and present authority, assess competence, select a proportionate response, and document.</w:t>
      </w:r>
    </w:p>
    <w:p>
      <w:pPr>
        <w:pStyle w:val="CTAOption"/>
      </w:pPr>
      <w:r>
        <w:t>C. Assess competence first and ignore legal scope if the clinician feels prepared.</w:t>
      </w:r>
    </w:p>
    <w:p>
      <w:pPr>
        <w:pStyle w:val="CTAOption"/>
      </w:pPr>
      <w:r>
        <w:t>D. Refer immediately, then determine whether the service was within scope.</w:t>
      </w:r>
    </w:p>
    <w:p>
      <w:r>
        <w:br w:type="page"/>
      </w:r>
    </w:p>
    <w:p>
      <w:pPr>
        <w:pStyle w:val="CTAH1"/>
      </w:pPr>
      <w:r>
        <w:t>Chapter 3 Assessment</w:t>
      </w:r>
    </w:p>
    <w:p>
      <w:pPr>
        <w:pStyle w:val="CTASubtitle"/>
      </w:pPr>
      <w:r>
        <w:t>Maintaining Professional Competence</w:t>
      </w:r>
    </w:p>
    <w:p>
      <w:pPr>
        <w:pStyle w:val="CTAMeta"/>
      </w:pPr>
      <w:r>
        <w:t>17 questions | Select one best answer for each item | Record responses on the chapter answer sheet</w:t>
      </w:r>
    </w:p>
    <w:p>
      <w:pPr>
        <w:pStyle w:val="CTAH3"/>
      </w:pPr>
      <w:r>
        <w:t>Question 35</w:t>
      </w:r>
    </w:p>
    <w:p>
      <w:pPr>
        <w:pStyle w:val="CTABody"/>
      </w:pPr>
      <w:r>
        <w:t>A clinician notices that prior training no longer fully addresses the populations, technology, and interventions now used in practice. Which statement best describes maintaining professional competence?</w:t>
      </w:r>
    </w:p>
    <w:p>
      <w:pPr>
        <w:pStyle w:val="CTAOption"/>
      </w:pPr>
      <w:r>
        <w:t>A. Competence is permanent once a clinician passes the licensing examinations.</w:t>
      </w:r>
    </w:p>
    <w:p>
      <w:pPr>
        <w:pStyle w:val="CTAOption"/>
      </w:pPr>
      <w:r>
        <w:t>B. Competence is measured only by the number of years a clinician has practiced.</w:t>
      </w:r>
    </w:p>
    <w:p>
      <w:pPr>
        <w:pStyle w:val="CTAOption"/>
      </w:pPr>
      <w:r>
        <w:t>C. Competence requires ongoing attention to current knowledge, skill, judgment, and professional functioning.</w:t>
      </w:r>
    </w:p>
    <w:p>
      <w:pPr>
        <w:pStyle w:val="CTAOption"/>
      </w:pPr>
      <w:r>
        <w:t>D. Competence needs to be reassessed only after a client files a complaint.</w:t>
      </w:r>
    </w:p>
    <w:p>
      <w:pPr>
        <w:pStyle w:val="CTAH3"/>
      </w:pPr>
      <w:r>
        <w:t>Question 36</w:t>
      </w:r>
    </w:p>
    <w:p>
      <w:pPr>
        <w:pStyle w:val="CTABody"/>
      </w:pPr>
      <w:r>
        <w:t>During a performance review, a therapist must decide what evidence demonstrates that professional competence is being maintained. What is the strongest professional reason for completing relevant continuing education?</w:t>
      </w:r>
    </w:p>
    <w:p>
      <w:pPr>
        <w:pStyle w:val="CTAOption"/>
      </w:pPr>
      <w:r>
        <w:t>A. To update knowledge and strengthen competence in areas connected to current practice needs.</w:t>
      </w:r>
    </w:p>
    <w:p>
      <w:pPr>
        <w:pStyle w:val="CTAOption"/>
      </w:pPr>
      <w:r>
        <w:t>B. To guarantee that every future treatment will be effective.</w:t>
      </w:r>
    </w:p>
    <w:p>
      <w:pPr>
        <w:pStyle w:val="CTAOption"/>
      </w:pPr>
      <w:r>
        <w:t>C. To replace the need for practical clinical experience.</w:t>
      </w:r>
    </w:p>
    <w:p>
      <w:pPr>
        <w:pStyle w:val="CTAOption"/>
      </w:pPr>
      <w:r>
        <w:t>D. To establish immediate expertise in any subject covered by the course.</w:t>
      </w:r>
    </w:p>
    <w:p>
      <w:pPr>
        <w:pStyle w:val="CTAH3"/>
      </w:pPr>
      <w:r>
        <w:t>Question 37</w:t>
      </w:r>
    </w:p>
    <w:p>
      <w:pPr>
        <w:pStyle w:val="CTABody"/>
      </w:pPr>
      <w:r>
        <w:t>A therapist is about to rely on a California legal rule learned in graduate school 12 years ago. What should the therapist do first?</w:t>
      </w:r>
    </w:p>
    <w:p>
      <w:pPr>
        <w:pStyle w:val="CTAOption"/>
      </w:pPr>
      <w:r>
        <w:t>A. Use the rule because graduate education permanently establishes legal competence.</w:t>
      </w:r>
    </w:p>
    <w:p>
      <w:pPr>
        <w:pStyle w:val="CTAOption"/>
      </w:pPr>
      <w:r>
        <w:t>B. Ask the client which version of the law seems fairest.</w:t>
      </w:r>
    </w:p>
    <w:p>
      <w:pPr>
        <w:pStyle w:val="CTAOption"/>
      </w:pPr>
      <w:r>
        <w:t>C. Avoid all treatment decisions involving legal issues.</w:t>
      </w:r>
    </w:p>
    <w:p>
      <w:pPr>
        <w:pStyle w:val="CTAOption"/>
      </w:pPr>
      <w:r>
        <w:t>D. Verify the current law and official guidance before relying on the remembered rule.</w:t>
      </w:r>
    </w:p>
    <w:p>
      <w:pPr>
        <w:pStyle w:val="CTAH3"/>
      </w:pPr>
      <w:r>
        <w:t>Question 38</w:t>
      </w:r>
    </w:p>
    <w:p>
      <w:pPr>
        <w:pStyle w:val="CTABody"/>
      </w:pPr>
      <w:r>
        <w:t>A clinician notices recurring uncertainty when treating the same type of presenting problem. What is the most appropriate initial response?</w:t>
      </w:r>
    </w:p>
    <w:p>
      <w:pPr>
        <w:pStyle w:val="CTAOption"/>
      </w:pPr>
      <w:r>
        <w:t>A. Assume repeated exposure will automatically create competence.</w:t>
      </w:r>
    </w:p>
    <w:p>
      <w:pPr>
        <w:pStyle w:val="CTAOption"/>
      </w:pPr>
      <w:r>
        <w:t>B. Identify the specific knowledge or skill gap and evaluate its effect on current clients.</w:t>
      </w:r>
    </w:p>
    <w:p>
      <w:pPr>
        <w:pStyle w:val="CTAOption"/>
      </w:pPr>
      <w:r>
        <w:t>C. Ignore the concern because uncertainty is common in psychotherapy.</w:t>
      </w:r>
    </w:p>
    <w:p>
      <w:pPr>
        <w:pStyle w:val="CTAOption"/>
      </w:pPr>
      <w:r>
        <w:t>D. Terminate every client with that presenting problem immediately.</w:t>
      </w:r>
    </w:p>
    <w:p>
      <w:pPr>
        <w:pStyle w:val="CTAH3"/>
      </w:pPr>
      <w:r>
        <w:t>Question 39</w:t>
      </w:r>
    </w:p>
    <w:p>
      <w:pPr>
        <w:pStyle w:val="CTABody"/>
      </w:pPr>
      <w:r>
        <w:t>During a performance review, a therapist must decide what evidence demonstrates that professional competence is being maintained. Which statement about professional experience is most accurate?</w:t>
      </w:r>
    </w:p>
    <w:p>
      <w:pPr>
        <w:pStyle w:val="CTAOption"/>
      </w:pPr>
      <w:r>
        <w:t>A. Long experience eliminates the need to review treatment outcomes.</w:t>
      </w:r>
    </w:p>
    <w:p>
      <w:pPr>
        <w:pStyle w:val="CTAOption"/>
      </w:pPr>
      <w:r>
        <w:t>B. An experienced therapist does not need to update legal or ethical knowledge.</w:t>
      </w:r>
    </w:p>
    <w:p>
      <w:pPr>
        <w:pStyle w:val="CTAOption"/>
      </w:pPr>
      <w:r>
        <w:t>C. Experience supports competence most effectively when combined with reflection, feedback, and current learning.</w:t>
      </w:r>
    </w:p>
    <w:p>
      <w:pPr>
        <w:pStyle w:val="CTAOption"/>
      </w:pPr>
      <w:r>
        <w:t>D. Any method used successfully in the past remains appropriate indefinitely.</w:t>
      </w:r>
    </w:p>
    <w:p>
      <w:pPr>
        <w:pStyle w:val="CTAH3"/>
      </w:pPr>
      <w:r>
        <w:t>Question 40</w:t>
      </w:r>
    </w:p>
    <w:p>
      <w:pPr>
        <w:pStyle w:val="CTABody"/>
      </w:pPr>
      <w:r>
        <w:t>A licensed therapist completes all required CE hours but deliberately selects only easy courses unrelated to the high-risk services currently provided. The therapist has identified important knowledge gaps in those services. What is the primary concern?</w:t>
      </w:r>
    </w:p>
    <w:p>
      <w:pPr>
        <w:pStyle w:val="CTAOption"/>
      </w:pPr>
      <w:r>
        <w:t>A. The therapist may be meeting a renewal requirement without addressing actual competence needs.</w:t>
      </w:r>
    </w:p>
    <w:p>
      <w:pPr>
        <w:pStyle w:val="CTAOption"/>
      </w:pPr>
      <w:r>
        <w:t>B. The therapist is prohibited from taking any course outside the therapist’s specialty.</w:t>
      </w:r>
    </w:p>
    <w:p>
      <w:pPr>
        <w:pStyle w:val="CTAOption"/>
      </w:pPr>
      <w:r>
        <w:t>C. Completing the required number of hours automatically resolves the knowledge gaps.</w:t>
      </w:r>
    </w:p>
    <w:p>
      <w:pPr>
        <w:pStyle w:val="CTAOption"/>
      </w:pPr>
      <w:r>
        <w:t>D. Continuing education is unrelated to competence maintenance.</w:t>
      </w:r>
    </w:p>
    <w:p>
      <w:pPr>
        <w:pStyle w:val="CTAH3"/>
      </w:pPr>
      <w:r>
        <w:t>Question 41</w:t>
      </w:r>
    </w:p>
    <w:p>
      <w:pPr>
        <w:pStyle w:val="CTABody"/>
      </w:pPr>
      <w:r>
        <w:t>A therapist learns that California law may have changed regarding a procedure used regularly in the practice. The therapist says, “Our office has used the same form for years, so it must still be correct.” What should the therapist do?</w:t>
      </w:r>
    </w:p>
    <w:p>
      <w:pPr>
        <w:pStyle w:val="CTAOption"/>
      </w:pPr>
      <w:r>
        <w:t>A. Continue using the form until a complaint proves it is wrong.</w:t>
      </w:r>
    </w:p>
    <w:p>
      <w:pPr>
        <w:pStyle w:val="CTAOption"/>
      </w:pPr>
      <w:r>
        <w:t>B. Ask coworkers to vote on which rule they remember.</w:t>
      </w:r>
    </w:p>
    <w:p>
      <w:pPr>
        <w:pStyle w:val="CTAOption"/>
      </w:pPr>
      <w:r>
        <w:t>C. Rely on the date the form was originally created.</w:t>
      </w:r>
    </w:p>
    <w:p>
      <w:pPr>
        <w:pStyle w:val="CTAOption"/>
      </w:pPr>
      <w:r>
        <w:t>D. Review current authoritative sources and revise the procedure if the rule has changed.</w:t>
      </w:r>
    </w:p>
    <w:p>
      <w:pPr>
        <w:pStyle w:val="CTAH3"/>
      </w:pPr>
      <w:r>
        <w:t>Question 42</w:t>
      </w:r>
    </w:p>
    <w:p>
      <w:pPr>
        <w:pStyle w:val="CTABody"/>
      </w:pPr>
      <w:r>
        <w:t>A practice introduces a new artificial-intelligence tool that drafts progress notes. A therapist does not understand how the tool handles client information or how often it produces errors. What is the therapist’s most appropriate response?</w:t>
      </w:r>
    </w:p>
    <w:p>
      <w:pPr>
        <w:pStyle w:val="CTAOption"/>
      </w:pPr>
      <w:r>
        <w:t>A. Use the drafts without review because the employer approved the tool.</w:t>
      </w:r>
    </w:p>
    <w:p>
      <w:pPr>
        <w:pStyle w:val="CTAOption"/>
      </w:pPr>
      <w:r>
        <w:t>B. Learn the tool’s limitations and privacy implications, verify all clinical content independently, and avoid unsafe use until adequately prepared.</w:t>
      </w:r>
    </w:p>
    <w:p>
      <w:pPr>
        <w:pStyle w:val="CTAOption"/>
      </w:pPr>
      <w:r>
        <w:t>C. Assume that new technology is automatically more accurate than clinician documentation.</w:t>
      </w:r>
    </w:p>
    <w:p>
      <w:pPr>
        <w:pStyle w:val="CTAOption"/>
      </w:pPr>
      <w:r>
        <w:t>D. Refuse every future technology regardless of its potential value.</w:t>
      </w:r>
    </w:p>
    <w:p>
      <w:pPr>
        <w:pStyle w:val="CTAH3"/>
      </w:pPr>
      <w:r>
        <w:t>Question 43</w:t>
      </w:r>
    </w:p>
    <w:p>
      <w:pPr>
        <w:pStyle w:val="CTABody"/>
      </w:pPr>
      <w:r>
        <w:t>Several clients receiving the same intervention show little improvement, and two report unexpected increases in distress. The therapist has used the approach for many years. What should the therapist do first?</w:t>
      </w:r>
    </w:p>
    <w:p>
      <w:pPr>
        <w:pStyle w:val="CTAOption"/>
      </w:pPr>
      <w:r>
        <w:t>A. Continue unchanged because long experience establishes effectiveness.</w:t>
      </w:r>
    </w:p>
    <w:p>
      <w:pPr>
        <w:pStyle w:val="CTAOption"/>
      </w:pPr>
      <w:r>
        <w:t>B. Attribute the pattern to client resistance without further evaluation.</w:t>
      </w:r>
    </w:p>
    <w:p>
      <w:pPr>
        <w:pStyle w:val="CTAOption"/>
      </w:pPr>
      <w:r>
        <w:t>C. Review the outcomes, reassess the intervention and current knowledge, and determine whether changes or additional preparation are needed.</w:t>
      </w:r>
    </w:p>
    <w:p>
      <w:pPr>
        <w:pStyle w:val="CTAOption"/>
      </w:pPr>
      <w:r>
        <w:t>D. Promise clients that improvement will occur if they remain in treatment long enough.</w:t>
      </w:r>
    </w:p>
    <w:p>
      <w:pPr>
        <w:pStyle w:val="CTAH3"/>
      </w:pPr>
      <w:r>
        <w:t>Question 44</w:t>
      </w:r>
    </w:p>
    <w:p>
      <w:pPr>
        <w:pStyle w:val="CTABody"/>
      </w:pPr>
      <w:r>
        <w:t>A therapist completes a three-hour introductory course on a complex intervention and wants to use the full method independently with a high-risk client. What is the strongest analysis?</w:t>
      </w:r>
    </w:p>
    <w:p>
      <w:pPr>
        <w:pStyle w:val="CTAOption"/>
      </w:pPr>
      <w:r>
        <w:t>A. The therapist should assess whether the course provided sufficient practical preparation for the intervention and risk level before using it.</w:t>
      </w:r>
    </w:p>
    <w:p>
      <w:pPr>
        <w:pStyle w:val="CTAOption"/>
      </w:pPr>
      <w:r>
        <w:t>B. Any approved course automatically establishes full competence.</w:t>
      </w:r>
    </w:p>
    <w:p>
      <w:pPr>
        <w:pStyle w:val="CTAOption"/>
      </w:pPr>
      <w:r>
        <w:t>C. A license allows immediate independent use of every intervention discussed in CE.</w:t>
      </w:r>
    </w:p>
    <w:p>
      <w:pPr>
        <w:pStyle w:val="CTAOption"/>
      </w:pPr>
      <w:r>
        <w:t>D. The therapist can rely on the client’s consent to cure any training limitation.</w:t>
      </w:r>
    </w:p>
    <w:p>
      <w:pPr>
        <w:pStyle w:val="CTAH3"/>
      </w:pPr>
      <w:r>
        <w:t>Question 45</w:t>
      </w:r>
    </w:p>
    <w:p>
      <w:pPr>
        <w:pStyle w:val="CTABody"/>
      </w:pPr>
      <w:r>
        <w:t>A therapist begins serving a linguistic and cultural community unfamiliar to the therapist. The therapist assumes general clinical experience is sufficient and makes no effort to learn about communication barriers or relevant context. What is the primary concern?</w:t>
      </w:r>
    </w:p>
    <w:p>
      <w:pPr>
        <w:pStyle w:val="CTAOption"/>
      </w:pPr>
      <w:r>
        <w:t>A. Clinicians must become experts in every culture before accepting any client.</w:t>
      </w:r>
    </w:p>
    <w:p>
      <w:pPr>
        <w:pStyle w:val="CTAOption"/>
      </w:pPr>
      <w:r>
        <w:t>B. Cultural and linguistic factors are unrelated to clinical competence.</w:t>
      </w:r>
    </w:p>
    <w:p>
      <w:pPr>
        <w:pStyle w:val="CTAOption"/>
      </w:pPr>
      <w:r>
        <w:t>C. The therapist should rely on stereotypes to fill gaps quickly.</w:t>
      </w:r>
    </w:p>
    <w:p>
      <w:pPr>
        <w:pStyle w:val="CTAOption"/>
      </w:pPr>
      <w:r>
        <w:t>D. The therapist may need additional culturally responsive preparation and should evaluate how the unfamiliar context affects assessment and treatment.</w:t>
      </w:r>
    </w:p>
    <w:p>
      <w:pPr>
        <w:pStyle w:val="CTAH3"/>
      </w:pPr>
      <w:r>
        <w:t>Question 46</w:t>
      </w:r>
    </w:p>
    <w:p>
      <w:pPr>
        <w:pStyle w:val="CTABody"/>
      </w:pPr>
      <w:r>
        <w:t>A therapist receives repeated feedback that risk assessments omit the same important information. The therapist corrects each individual note but does not examine why the pattern continues. What is the most appropriate response?</w:t>
      </w:r>
    </w:p>
    <w:p>
      <w:pPr>
        <w:pStyle w:val="CTAOption"/>
      </w:pPr>
      <w:r>
        <w:t>A. Continue correcting isolated notes without evaluating the recurring cause.</w:t>
      </w:r>
    </w:p>
    <w:p>
      <w:pPr>
        <w:pStyle w:val="CTAOption"/>
      </w:pPr>
      <w:r>
        <w:t>B. Identify the underlying knowledge or skill deficit and complete targeted improvement while protecting current clients.</w:t>
      </w:r>
    </w:p>
    <w:p>
      <w:pPr>
        <w:pStyle w:val="CTAOption"/>
      </w:pPr>
      <w:r>
        <w:t>C. Dismiss the feedback because no client has filed a complaint.</w:t>
      </w:r>
    </w:p>
    <w:p>
      <w:pPr>
        <w:pStyle w:val="CTAOption"/>
      </w:pPr>
      <w:r>
        <w:t>D. Stop documenting risk assessments altogether.</w:t>
      </w:r>
    </w:p>
    <w:p>
      <w:pPr>
        <w:pStyle w:val="CTAH3"/>
      </w:pPr>
      <w:r>
        <w:t>Question 47</w:t>
      </w:r>
    </w:p>
    <w:p>
      <w:pPr>
        <w:pStyle w:val="CTABody"/>
      </w:pPr>
      <w:r>
        <w:t>A highly trained therapist develops a medical condition causing significant fatigue and slowed concentration. The therapist begins missing risk information and making documentation errors. Which statement is most accurate?</w:t>
      </w:r>
    </w:p>
    <w:p>
      <w:pPr>
        <w:pStyle w:val="CTAOption"/>
      </w:pPr>
      <w:r>
        <w:t>A. Past competence means the therapist may continue unchanged.</w:t>
      </w:r>
    </w:p>
    <w:p>
      <w:pPr>
        <w:pStyle w:val="CTAOption"/>
      </w:pPr>
      <w:r>
        <w:t>B. The condition matters only if a client knows about it.</w:t>
      </w:r>
    </w:p>
    <w:p>
      <w:pPr>
        <w:pStyle w:val="CTAOption"/>
      </w:pPr>
      <w:r>
        <w:t>C. The therapist should assess current functioning, address immediate client risk, and modify or limit services as necessary while the problem is managed.</w:t>
      </w:r>
    </w:p>
    <w:p>
      <w:pPr>
        <w:pStyle w:val="CTAOption"/>
      </w:pPr>
      <w:r>
        <w:t>D. The therapist must permanently surrender the professional license.</w:t>
      </w:r>
    </w:p>
    <w:p>
      <w:pPr>
        <w:pStyle w:val="CTAH3"/>
      </w:pPr>
      <w:r>
        <w:t>Question 48</w:t>
      </w:r>
    </w:p>
    <w:p>
      <w:pPr>
        <w:pStyle w:val="CTABody"/>
      </w:pPr>
      <w:r>
        <w:t>A therapist’s practice has shifted toward clients with severe co-occurring substance use and medical concerns. The therapist continues choosing CE solely by price and convenience and has not updated knowledge in either area. What is the strongest response?</w:t>
      </w:r>
    </w:p>
    <w:p>
      <w:pPr>
        <w:pStyle w:val="CTAOption"/>
      </w:pPr>
      <w:r>
        <w:t>A. Continue because the therapist has met the minimum number of CE hours.</w:t>
      </w:r>
    </w:p>
    <w:p>
      <w:pPr>
        <w:pStyle w:val="CTAOption"/>
      </w:pPr>
      <w:r>
        <w:t>B. Assume general psychotherapy skills transfer completely to the new presentations.</w:t>
      </w:r>
    </w:p>
    <w:p>
      <w:pPr>
        <w:pStyle w:val="CTAOption"/>
      </w:pPr>
      <w:r>
        <w:t>C. Wait until an adverse event occurs before changing professional-development priorities.</w:t>
      </w:r>
    </w:p>
    <w:p>
      <w:pPr>
        <w:pStyle w:val="CTAOption"/>
      </w:pPr>
      <w:r>
        <w:t>D. Reassess the competence demands of the current caseload, obtain relevant education and skill development, and limit or coordinate services when needed to protect clients.</w:t>
      </w:r>
    </w:p>
    <w:p>
      <w:pPr>
        <w:pStyle w:val="CTAH3"/>
      </w:pPr>
      <w:r>
        <w:t>Question 49</w:t>
      </w:r>
    </w:p>
    <w:p>
      <w:pPr>
        <w:pStyle w:val="CTABody"/>
      </w:pPr>
      <w:r>
        <w:t>A well-designed new clinical guideline conflicts with a therapist’s long-standing routine. The therapist has not reviewed the evidence and says, “New research is usually a fad.” What should the therapist do?</w:t>
      </w:r>
    </w:p>
    <w:p>
      <w:pPr>
        <w:pStyle w:val="CTAOption"/>
      </w:pPr>
      <w:r>
        <w:t>A. Adopt the guideline immediately without evaluating whether it applies to the therapist’s clients.</w:t>
      </w:r>
    </w:p>
    <w:p>
      <w:pPr>
        <w:pStyle w:val="CTAOption"/>
      </w:pPr>
      <w:r>
        <w:t>B. Review the quality and relevance of the evidence, compare it with current standards and client needs, and modify practice when warranted.</w:t>
      </w:r>
    </w:p>
    <w:p>
      <w:pPr>
        <w:pStyle w:val="CTAOption"/>
      </w:pPr>
      <w:r>
        <w:t>C. Ignore the guideline because experience always outweighs research.</w:t>
      </w:r>
    </w:p>
    <w:p>
      <w:pPr>
        <w:pStyle w:val="CTAOption"/>
      </w:pPr>
      <w:r>
        <w:t>D. Stop using every established practice whenever new information appears.</w:t>
      </w:r>
    </w:p>
    <w:p>
      <w:pPr>
        <w:pStyle w:val="CTAH3"/>
      </w:pPr>
      <w:r>
        <w:t>Question 50</w:t>
      </w:r>
    </w:p>
    <w:p>
      <w:pPr>
        <w:pStyle w:val="CTABody"/>
      </w:pPr>
      <w:r>
        <w:t>A clinician’s colleagues begin promoting a popular new intervention with strong marketing but little independent evidence. The clinician is pressured to offer it immediately. What is the most appropriate response?</w:t>
      </w:r>
    </w:p>
    <w:p>
      <w:pPr>
        <w:pStyle w:val="CTAOption"/>
      </w:pPr>
      <w:r>
        <w:t>A. Evaluate the evidence, risks, training requirements, and client fit before deciding whether to use the intervention.</w:t>
      </w:r>
    </w:p>
    <w:p>
      <w:pPr>
        <w:pStyle w:val="CTAOption"/>
      </w:pPr>
      <w:r>
        <w:t>B. Offer it immediately because professional popularity establishes competence.</w:t>
      </w:r>
    </w:p>
    <w:p>
      <w:pPr>
        <w:pStyle w:val="CTAOption"/>
      </w:pPr>
      <w:r>
        <w:t>C. Reject all new interventions permanently.</w:t>
      </w:r>
    </w:p>
    <w:p>
      <w:pPr>
        <w:pStyle w:val="CTAOption"/>
      </w:pPr>
      <w:r>
        <w:t>D. Use it only with clients who agree to waive concerns about the evidence.</w:t>
      </w:r>
    </w:p>
    <w:p>
      <w:pPr>
        <w:pStyle w:val="CTAH3"/>
      </w:pPr>
      <w:r>
        <w:t>Question 51</w:t>
      </w:r>
    </w:p>
    <w:p>
      <w:pPr>
        <w:pStyle w:val="CTABody"/>
      </w:pPr>
      <w:r>
        <w:t>A therapist has completed the required CE hours but has not reviewed recent law changes, continues an intervention despite repeated poor outcomes, begins using a new digital tool without understanding its limitations, and dismisses recurring feedback about documentation. Which response best reflects the therapist’s responsibilities?</w:t>
      </w:r>
    </w:p>
    <w:p>
      <w:pPr>
        <w:pStyle w:val="CTAOption"/>
      </w:pPr>
      <w:r>
        <w:t>A. Rely on the active license and completed CE hours as proof that no further action is needed.</w:t>
      </w:r>
    </w:p>
    <w:p>
      <w:pPr>
        <w:pStyle w:val="CTAOption"/>
      </w:pPr>
      <w:r>
        <w:t>B. Continue all current practices until a client complains.</w:t>
      </w:r>
    </w:p>
    <w:p>
      <w:pPr>
        <w:pStyle w:val="CTAOption"/>
      </w:pPr>
      <w:r>
        <w:t>C. Identify and prioritize the specific gaps, verify current standards, obtain targeted learning, correct unsafe procedures, monitor outcomes, and protect clients while competence is strengthened.</w:t>
      </w:r>
    </w:p>
    <w:p>
      <w:pPr>
        <w:pStyle w:val="CTAOption"/>
      </w:pPr>
      <w:r>
        <w:t>D. Terminate every client immediately and permanently leave clinical practice.</w:t>
      </w:r>
    </w:p>
    <w:p>
      <w:r>
        <w:br w:type="page"/>
      </w:r>
    </w:p>
    <w:p>
      <w:pPr>
        <w:pStyle w:val="CTAH1"/>
      </w:pPr>
      <w:r>
        <w:t>Chapter 4 Assessment</w:t>
      </w:r>
    </w:p>
    <w:p>
      <w:pPr>
        <w:pStyle w:val="CTASubtitle"/>
      </w:pPr>
      <w:r>
        <w:t>Consultation and Seeking Professional Assistance</w:t>
      </w:r>
    </w:p>
    <w:p>
      <w:pPr>
        <w:pStyle w:val="CTAMeta"/>
      </w:pPr>
      <w:r>
        <w:t>17 questions | Select one best answer for each item | Record responses on the chapter answer sheet</w:t>
      </w:r>
    </w:p>
    <w:p>
      <w:pPr>
        <w:pStyle w:val="CTAH3"/>
      </w:pPr>
      <w:r>
        <w:t>Question 52</w:t>
      </w:r>
    </w:p>
    <w:p>
      <w:pPr>
        <w:pStyle w:val="CTABody"/>
      </w:pPr>
      <w:r>
        <w:t>A therapist encounters a difficult case and is deciding whether consultation can provide the expertise needed while the therapist remains responsible for care. Which statement best describes professional consultation?</w:t>
      </w:r>
    </w:p>
    <w:p>
      <w:pPr>
        <w:pStyle w:val="CTAOption"/>
      </w:pPr>
      <w:r>
        <w:t>A. A formal transfer of the client to another provider who assumes all responsibility</w:t>
      </w:r>
    </w:p>
    <w:p>
      <w:pPr>
        <w:pStyle w:val="CTAOption"/>
      </w:pPr>
      <w:r>
        <w:t>B. A focused request for professional input while the treating clinician generally retains responsibility</w:t>
      </w:r>
    </w:p>
    <w:p>
      <w:pPr>
        <w:pStyle w:val="CTAOption"/>
      </w:pPr>
      <w:r>
        <w:t>C. A mandatory-reporting procedure that replaces the clinician’s independent legal duties</w:t>
      </w:r>
    </w:p>
    <w:p>
      <w:pPr>
        <w:pStyle w:val="CTAOption"/>
      </w:pPr>
      <w:r>
        <w:t>D. A substitute for the training or supervision needed to establish competence</w:t>
      </w:r>
    </w:p>
    <w:p>
      <w:pPr>
        <w:pStyle w:val="CTAH3"/>
      </w:pPr>
      <w:r>
        <w:t>Question 53</w:t>
      </w:r>
    </w:p>
    <w:p>
      <w:pPr>
        <w:pStyle w:val="CTABody"/>
      </w:pPr>
      <w:r>
        <w:t>A consultant recommends a course of action. What is the treating clinician’s next responsibility?</w:t>
      </w:r>
    </w:p>
    <w:p>
      <w:pPr>
        <w:pStyle w:val="CTAOption"/>
      </w:pPr>
      <w:r>
        <w:t>A. Follow the recommendation automatically because the consultant has greater expertise</w:t>
      </w:r>
    </w:p>
    <w:p>
      <w:pPr>
        <w:pStyle w:val="CTAOption"/>
      </w:pPr>
      <w:r>
        <w:t>B. Transfer responsibility to the consultant before acting</w:t>
      </w:r>
    </w:p>
    <w:p>
      <w:pPr>
        <w:pStyle w:val="CTAOption"/>
      </w:pPr>
      <w:r>
        <w:t>C. Ignore the recommendation if it differs from the clinician’s first impression</w:t>
      </w:r>
    </w:p>
    <w:p>
      <w:pPr>
        <w:pStyle w:val="CTAOption"/>
      </w:pPr>
      <w:r>
        <w:t>D. Evaluate the recommendation against the facts, law, client needs, and the clinician’s role before deciding</w:t>
      </w:r>
    </w:p>
    <w:p>
      <w:pPr>
        <w:pStyle w:val="CTAH3"/>
      </w:pPr>
      <w:r>
        <w:t>Question 54</w:t>
      </w:r>
    </w:p>
    <w:p>
      <w:pPr>
        <w:pStyle w:val="CTABody"/>
      </w:pPr>
      <w:r>
        <w:t>A clinician is choosing between consultation, supervision, and referral after recognizing a limitation in current knowledge. Which distinction between consultation and referral is most accurate?</w:t>
      </w:r>
    </w:p>
    <w:p>
      <w:pPr>
        <w:pStyle w:val="CTAOption"/>
      </w:pPr>
      <w:r>
        <w:t>A. Consultation generally adds input while the clinician remains involved; referral directs the client to another professional or service</w:t>
      </w:r>
    </w:p>
    <w:p>
      <w:pPr>
        <w:pStyle w:val="CTAOption"/>
      </w:pPr>
      <w:r>
        <w:t>B. Consultation always requires the client to change providers, while referral never changes treatment</w:t>
      </w:r>
    </w:p>
    <w:p>
      <w:pPr>
        <w:pStyle w:val="CTAOption"/>
      </w:pPr>
      <w:r>
        <w:t>C. Consultation and referral are legally identical terms</w:t>
      </w:r>
    </w:p>
    <w:p>
      <w:pPr>
        <w:pStyle w:val="CTAOption"/>
      </w:pPr>
      <w:r>
        <w:t>D. Referral permanently eliminates every duty of the referring clinician the moment contact information is provided</w:t>
      </w:r>
    </w:p>
    <w:p>
      <w:pPr>
        <w:pStyle w:val="CTAH3"/>
      </w:pPr>
      <w:r>
        <w:t>Question 55</w:t>
      </w:r>
    </w:p>
    <w:p>
      <w:pPr>
        <w:pStyle w:val="CTABody"/>
      </w:pPr>
      <w:r>
        <w:t>A ASW meets with an experienced licensed peer for case consultation and plans to skip the week’s required contact with the ASW’s approved supervisor. Which statement is most accurate?</w:t>
      </w:r>
    </w:p>
    <w:p>
      <w:pPr>
        <w:pStyle w:val="CTAOption"/>
      </w:pPr>
      <w:r>
        <w:t>A. The peer consultation satisfies supervision because the peer is licensed</w:t>
      </w:r>
    </w:p>
    <w:p>
      <w:pPr>
        <w:pStyle w:val="CTAOption"/>
      </w:pPr>
      <w:r>
        <w:t>B. The ASW may substitute any professional meeting for direct supervisor contact</w:t>
      </w:r>
    </w:p>
    <w:p>
      <w:pPr>
        <w:pStyle w:val="CTAOption"/>
      </w:pPr>
      <w:r>
        <w:t>C. Peer consultation may supplement learning but does not replace required supervision with the approved supervisor</w:t>
      </w:r>
    </w:p>
    <w:p>
      <w:pPr>
        <w:pStyle w:val="CTAOption"/>
      </w:pPr>
      <w:r>
        <w:t>D. Consultation is prohibited for ASWs because all questions must remain private</w:t>
      </w:r>
    </w:p>
    <w:p>
      <w:pPr>
        <w:pStyle w:val="CTAH3"/>
      </w:pPr>
      <w:r>
        <w:t>Question 56</w:t>
      </w:r>
    </w:p>
    <w:p>
      <w:pPr>
        <w:pStyle w:val="CTABody"/>
      </w:pPr>
      <w:r>
        <w:t>Before disclosing identifiable client information to an outside consultant, what should the clinician do?</w:t>
      </w:r>
    </w:p>
    <w:p>
      <w:pPr>
        <w:pStyle w:val="CTAOption"/>
      </w:pPr>
      <w:r>
        <w:t>A. Assume any licensed colleague may receive the complete record</w:t>
      </w:r>
    </w:p>
    <w:p>
      <w:pPr>
        <w:pStyle w:val="CTAOption"/>
      </w:pPr>
      <w:r>
        <w:t>B. Obtain a written authorization in every consultation without considering any treatment exception</w:t>
      </w:r>
    </w:p>
    <w:p>
      <w:pPr>
        <w:pStyle w:val="CTAOption"/>
      </w:pPr>
      <w:r>
        <w:t>C. Share all available details so the consultant cannot ask follow-up questions</w:t>
      </w:r>
    </w:p>
    <w:p>
      <w:pPr>
        <w:pStyle w:val="CTAOption"/>
      </w:pPr>
      <w:r>
        <w:t>D. Identify the purpose and recipient, determine the legal disclosure basis, and limit information to the legitimate consultation need</w:t>
      </w:r>
    </w:p>
    <w:p>
      <w:pPr>
        <w:pStyle w:val="CTAH3"/>
      </w:pPr>
      <w:r>
        <w:t>Question 57</w:t>
      </w:r>
    </w:p>
    <w:p>
      <w:pPr>
        <w:pStyle w:val="CTABody"/>
      </w:pPr>
      <w:r>
        <w:t>A therapist notices intense frustration toward a client and has begun interpreting neutral statements as manipulative. What is the best response?</w:t>
      </w:r>
    </w:p>
    <w:p>
      <w:pPr>
        <w:pStyle w:val="CTAOption"/>
      </w:pPr>
      <w:r>
        <w:t>A. Tell the client that the client is causing the therapist’s reaction</w:t>
      </w:r>
    </w:p>
    <w:p>
      <w:pPr>
        <w:pStyle w:val="CTAOption"/>
      </w:pPr>
      <w:r>
        <w:t>B. Assess the effect on judgment, seek appropriate consultation or professional support, and add safeguards or modify care as needed</w:t>
      </w:r>
    </w:p>
    <w:p>
      <w:pPr>
        <w:pStyle w:val="CTAOption"/>
      </w:pPr>
      <w:r>
        <w:t>C. Terminate immediately without assessing risk or continuity</w:t>
      </w:r>
    </w:p>
    <w:p>
      <w:pPr>
        <w:pStyle w:val="CTAOption"/>
      </w:pPr>
      <w:r>
        <w:t>D. Continue unchanged because personal reactions are never relevant to competence</w:t>
      </w:r>
    </w:p>
    <w:p>
      <w:pPr>
        <w:pStyle w:val="CTAH3"/>
      </w:pPr>
      <w:r>
        <w:t>Question 58</w:t>
      </w:r>
    </w:p>
    <w:p>
      <w:pPr>
        <w:pStyle w:val="CTABody"/>
      </w:pPr>
      <w:r>
        <w:t>A therapist encounters a difficult case and is deciding whether consultation can provide the expertise needed while the therapist remains responsible for care. Which factor is most important when choosing a consultant?</w:t>
      </w:r>
    </w:p>
    <w:p>
      <w:pPr>
        <w:pStyle w:val="CTAOption"/>
      </w:pPr>
      <w:r>
        <w:t>A. Relevant expertise, an appropriate role, manageable conflicts, and the ability to protect information</w:t>
      </w:r>
    </w:p>
    <w:p>
      <w:pPr>
        <w:pStyle w:val="CTAOption"/>
      </w:pPr>
      <w:r>
        <w:t>B. Personal friendship with the clinician, even if the person lacks subject-matter expertise</w:t>
      </w:r>
    </w:p>
    <w:p>
      <w:pPr>
        <w:pStyle w:val="CTAOption"/>
      </w:pPr>
      <w:r>
        <w:t>C. Willingness to guarantee that the clinician’s preferred decision is correct</w:t>
      </w:r>
    </w:p>
    <w:p>
      <w:pPr>
        <w:pStyle w:val="CTAOption"/>
      </w:pPr>
      <w:r>
        <w:t>D. Availability alone, regardless of training, jurisdiction, or confidentiality</w:t>
      </w:r>
    </w:p>
    <w:p>
      <w:pPr>
        <w:pStyle w:val="CTAH3"/>
      </w:pPr>
      <w:r>
        <w:t>Question 59</w:t>
      </w:r>
    </w:p>
    <w:p>
      <w:pPr>
        <w:pStyle w:val="CTABody"/>
      </w:pPr>
      <w:r>
        <w:t>An LCSW wants input from a licensed health care professional who specializes in the client’s condition. Which approach is most accurate?</w:t>
      </w:r>
    </w:p>
    <w:p>
      <w:pPr>
        <w:pStyle w:val="CTAOption"/>
      </w:pPr>
      <w:r>
        <w:t>A. A signed authorization is always required before any treatment consultation</w:t>
      </w:r>
    </w:p>
    <w:p>
      <w:pPr>
        <w:pStyle w:val="CTAOption"/>
      </w:pPr>
      <w:r>
        <w:t>B. Because both people are licensed, the LCSW may disclose the full record for any purpose</w:t>
      </w:r>
    </w:p>
    <w:p>
      <w:pPr>
        <w:pStyle w:val="CTAOption"/>
      </w:pPr>
      <w:r>
        <w:t>C. The LCSW should confirm the treatment purpose and legal basis, use relevant information, and de-identify or limit details when feasible</w:t>
      </w:r>
    </w:p>
    <w:p>
      <w:pPr>
        <w:pStyle w:val="CTAOption"/>
      </w:pPr>
      <w:r>
        <w:t>D. The LCSW should post the facts in a closed professional group because membership makes the discussion confidential</w:t>
      </w:r>
    </w:p>
    <w:p>
      <w:pPr>
        <w:pStyle w:val="CTAH3"/>
      </w:pPr>
      <w:r>
        <w:t>Question 60</w:t>
      </w:r>
    </w:p>
    <w:p>
      <w:pPr>
        <w:pStyle w:val="CTABody"/>
      </w:pPr>
      <w:r>
        <w:t>A consultation materially changes a therapist’s suicide-risk formulation and safety plan. What documentation is most appropriate?</w:t>
      </w:r>
    </w:p>
    <w:p>
      <w:pPr>
        <w:pStyle w:val="CTAOption"/>
      </w:pPr>
      <w:r>
        <w:t>A. No documentation, because mentioning consultation automatically transfers responsibility</w:t>
      </w:r>
    </w:p>
    <w:p>
      <w:pPr>
        <w:pStyle w:val="CTAOption"/>
      </w:pPr>
      <w:r>
        <w:t>B. A verbatim transcript of every statement made by the consultant</w:t>
      </w:r>
    </w:p>
    <w:p>
      <w:pPr>
        <w:pStyle w:val="CTAOption"/>
      </w:pPr>
      <w:r>
        <w:t>C. A note created only if the client later files a complaint</w:t>
      </w:r>
    </w:p>
    <w:p>
      <w:pPr>
        <w:pStyle w:val="CTAOption"/>
      </w:pPr>
      <w:r>
        <w:t>D. A timely record of the reason for consultation, significant input, the therapist’s independent assessment, action, and follow-up</w:t>
      </w:r>
    </w:p>
    <w:p>
      <w:pPr>
        <w:pStyle w:val="CTAH3"/>
      </w:pPr>
      <w:r>
        <w:t>Question 61</w:t>
      </w:r>
    </w:p>
    <w:p>
      <w:pPr>
        <w:pStyle w:val="CTABody"/>
      </w:pPr>
      <w:r>
        <w:t>A client communicates a serious threat of physical violence against a reasonably identifiable victim. The therapist is uncertain about one detail of the law. What is the best response?</w:t>
      </w:r>
    </w:p>
    <w:p>
      <w:pPr>
        <w:pStyle w:val="CTAOption"/>
      </w:pPr>
      <w:r>
        <w:t>A. Wait for a routine consultation appointment next week before assessing or acting</w:t>
      </w:r>
    </w:p>
    <w:p>
      <w:pPr>
        <w:pStyle w:val="CTAOption"/>
      </w:pPr>
      <w:r>
        <w:t>B. Assess and take prompt protective action required by the circumstances while obtaining immediate qualified guidance without delaying protection</w:t>
      </w:r>
    </w:p>
    <w:p>
      <w:pPr>
        <w:pStyle w:val="CTAOption"/>
      </w:pPr>
      <w:r>
        <w:t>C. Disregard the threat because legal uncertainty eliminates responsibility</w:t>
      </w:r>
    </w:p>
    <w:p>
      <w:pPr>
        <w:pStyle w:val="CTAOption"/>
      </w:pPr>
      <w:r>
        <w:t>D. Transfer the decision entirely to a colleague who has never evaluated the client</w:t>
      </w:r>
    </w:p>
    <w:p>
      <w:pPr>
        <w:pStyle w:val="CTAH3"/>
      </w:pPr>
      <w:r>
        <w:t>Question 62</w:t>
      </w:r>
    </w:p>
    <w:p>
      <w:pPr>
        <w:pStyle w:val="CTABody"/>
      </w:pPr>
      <w:r>
        <w:t>A therapist has reasonable suspicion of child abuse. The therapist’s supervisor believes the facts are insufficient and directs the therapist not to report. What should the therapist do?</w:t>
      </w:r>
    </w:p>
    <w:p>
      <w:pPr>
        <w:pStyle w:val="CTAOption"/>
      </w:pPr>
      <w:r>
        <w:t>A. Make the report within the statutory timeframe because the mandated-reporting duty is individual</w:t>
      </w:r>
    </w:p>
    <w:p>
      <w:pPr>
        <w:pStyle w:val="CTAOption"/>
      </w:pPr>
      <w:r>
        <w:t>B. Follow the supervisor’s directive because supervision transfers the reporting duty</w:t>
      </w:r>
    </w:p>
    <w:p>
      <w:pPr>
        <w:pStyle w:val="CTAOption"/>
      </w:pPr>
      <w:r>
        <w:t>C. Wait until abuse is proven beyond doubt</w:t>
      </w:r>
    </w:p>
    <w:p>
      <w:pPr>
        <w:pStyle w:val="CTAOption"/>
      </w:pPr>
      <w:r>
        <w:t>D. Ask the suspected perpetrator for permission to report</w:t>
      </w:r>
    </w:p>
    <w:p>
      <w:pPr>
        <w:pStyle w:val="CTAH3"/>
      </w:pPr>
      <w:r>
        <w:t>Question 63</w:t>
      </w:r>
    </w:p>
    <w:p>
      <w:pPr>
        <w:pStyle w:val="CTABody"/>
      </w:pPr>
      <w:r>
        <w:t>A therapist has never been trained in a complex, high-risk intervention. After a one-hour consultation, a specialist says, “You should try it.” What is the best response?</w:t>
      </w:r>
    </w:p>
    <w:p>
      <w:pPr>
        <w:pStyle w:val="CTAOption"/>
      </w:pPr>
      <w:r>
        <w:t>A. Begin immediately because consultation establishes competence</w:t>
      </w:r>
    </w:p>
    <w:p>
      <w:pPr>
        <w:pStyle w:val="CTAOption"/>
      </w:pPr>
      <w:r>
        <w:t>B. Ask the client to waive the therapist’s competence limitation</w:t>
      </w:r>
    </w:p>
    <w:p>
      <w:pPr>
        <w:pStyle w:val="CTAOption"/>
      </w:pPr>
      <w:r>
        <w:t>C. Assess the remaining skill gap and obtain the training, supervision, collaboration, modification, or referral needed for safe care</w:t>
      </w:r>
    </w:p>
    <w:p>
      <w:pPr>
        <w:pStyle w:val="CTAOption"/>
      </w:pPr>
      <w:r>
        <w:t>D. Use the intervention secretly so the client’s consent is not affected</w:t>
      </w:r>
    </w:p>
    <w:p>
      <w:pPr>
        <w:pStyle w:val="CTAH3"/>
      </w:pPr>
      <w:r>
        <w:t>Question 64</w:t>
      </w:r>
    </w:p>
    <w:p>
      <w:pPr>
        <w:pStyle w:val="CTABody"/>
      </w:pPr>
      <w:r>
        <w:t>A therapist receives an out-of-state attorney’s subpoena demanding the complete psychotherapy record. A clinician friend says, “A subpoena means you must send everything today.” What should the therapist do first?</w:t>
      </w:r>
    </w:p>
    <w:p>
      <w:pPr>
        <w:pStyle w:val="CTAOption"/>
      </w:pPr>
      <w:r>
        <w:t>A. Send the entire file immediately because any subpoena overrides California confidentiality</w:t>
      </w:r>
    </w:p>
    <w:p>
      <w:pPr>
        <w:pStyle w:val="CTAOption"/>
      </w:pPr>
      <w:r>
        <w:t>B. Destroy the record to prevent disclosure</w:t>
      </w:r>
    </w:p>
    <w:p>
      <w:pPr>
        <w:pStyle w:val="CTAOption"/>
      </w:pPr>
      <w:r>
        <w:t>C. Ignore the demand permanently because psychotherapy records can never be disclosed</w:t>
      </w:r>
    </w:p>
    <w:p>
      <w:pPr>
        <w:pStyle w:val="CTAOption"/>
      </w:pPr>
      <w:r>
        <w:t>D. Preserve confidentiality and the record, verify the legal demand, and obtain qualified legal guidance before disclosing unless a clear duty requires otherwise</w:t>
      </w:r>
    </w:p>
    <w:p>
      <w:pPr>
        <w:pStyle w:val="CTAH3"/>
      </w:pPr>
      <w:r>
        <w:t>Question 65</w:t>
      </w:r>
    </w:p>
    <w:p>
      <w:pPr>
        <w:pStyle w:val="CTABody"/>
      </w:pPr>
      <w:r>
        <w:t>Two qualified consultants give opposite recommendations about whether to continue treatment during a planned transfer. What is the therapist’s best response?</w:t>
      </w:r>
    </w:p>
    <w:p>
      <w:pPr>
        <w:pStyle w:val="CTAOption"/>
      </w:pPr>
      <w:r>
        <w:t>A. Clarify the consultants’ assumptions, reassess risk and continuity, obtain further input if needed, and make and document an independent decision</w:t>
      </w:r>
    </w:p>
    <w:p>
      <w:pPr>
        <w:pStyle w:val="CTAOption"/>
      </w:pPr>
      <w:r>
        <w:t>B. Follow whichever consultant has practiced longer without reviewing the facts</w:t>
      </w:r>
    </w:p>
    <w:p>
      <w:pPr>
        <w:pStyle w:val="CTAOption"/>
      </w:pPr>
      <w:r>
        <w:t>C. Choose the recommendation that is most convenient for the therapist</w:t>
      </w:r>
    </w:p>
    <w:p>
      <w:pPr>
        <w:pStyle w:val="CTAOption"/>
      </w:pPr>
      <w:r>
        <w:t>D. Tell the client that the consultants are responsible for the disagreement</w:t>
      </w:r>
    </w:p>
    <w:p>
      <w:pPr>
        <w:pStyle w:val="CTAH3"/>
      </w:pPr>
      <w:r>
        <w:t>Question 66</w:t>
      </w:r>
    </w:p>
    <w:p>
      <w:pPr>
        <w:pStyle w:val="CTABody"/>
      </w:pPr>
      <w:r>
        <w:t>A rural clinician is the only local provider. A client needs specialized care that is within the profession’s scope but near the edge of the clinician’s competence. What is the best response?</w:t>
      </w:r>
    </w:p>
    <w:p>
      <w:pPr>
        <w:pStyle w:val="CTAOption"/>
      </w:pPr>
      <w:r>
        <w:t>A. Continue unchanged because lack of local services automatically establishes competence</w:t>
      </w:r>
    </w:p>
    <w:p>
      <w:pPr>
        <w:pStyle w:val="CTAOption"/>
      </w:pPr>
      <w:r>
        <w:t>B. Assess risk and the specific gap, obtain qualified consultation or collaboration, add needed training or supervision, and modify or refer/transfer if safe care cannot be maintained</w:t>
      </w:r>
    </w:p>
    <w:p>
      <w:pPr>
        <w:pStyle w:val="CTAOption"/>
      </w:pPr>
      <w:r>
        <w:t>C. Terminate immediately without transition planning because consultation is never sufficient</w:t>
      </w:r>
    </w:p>
    <w:p>
      <w:pPr>
        <w:pStyle w:val="CTAOption"/>
      </w:pPr>
      <w:r>
        <w:t>D. Have the client sign a waiver accepting any harm caused by the competence gap</w:t>
      </w:r>
    </w:p>
    <w:p>
      <w:pPr>
        <w:pStyle w:val="CTAH3"/>
      </w:pPr>
      <w:r>
        <w:t>Question 67</w:t>
      </w:r>
    </w:p>
    <w:p>
      <w:pPr>
        <w:pStyle w:val="CTABody"/>
      </w:pPr>
      <w:r>
        <w:t>A therapist wants culturally informed input from a respected community leader who is not a health care provider. The client refuses authorization for identifiable disclosure. What is the best response?</w:t>
      </w:r>
    </w:p>
    <w:p>
      <w:pPr>
        <w:pStyle w:val="CTAOption"/>
      </w:pPr>
      <w:r>
        <w:t>A. Disclose the client’s identity because cultural consultation is always treatment</w:t>
      </w:r>
    </w:p>
    <w:p>
      <w:pPr>
        <w:pStyle w:val="CTAOption"/>
      </w:pPr>
      <w:r>
        <w:t>B. Send the full record but ask the community leader not to repeat it</w:t>
      </w:r>
    </w:p>
    <w:p>
      <w:pPr>
        <w:pStyle w:val="CTAOption"/>
      </w:pPr>
      <w:r>
        <w:t>C. Do not disclose identifiable information without another lawful basis; seek de-identified general guidance or an authorized qualified resource</w:t>
      </w:r>
    </w:p>
    <w:p>
      <w:pPr>
        <w:pStyle w:val="CTAOption"/>
      </w:pPr>
      <w:r>
        <w:t>D. End treatment because the client declined authorization</w:t>
      </w:r>
    </w:p>
    <w:p>
      <w:pPr>
        <w:pStyle w:val="CTAH3"/>
      </w:pPr>
      <w:r>
        <w:t>Question 68</w:t>
      </w:r>
    </w:p>
    <w:p>
      <w:pPr>
        <w:pStyle w:val="CTABody"/>
      </w:pPr>
      <w:r>
        <w:t>A ASW is treating a client with a rapidly worsening eating disorder. The ASW has limited specialized training, feels unusually protective of the client, and has relied on an informal peer consultant instead of promptly involving the approved supervisor. The client now reports fainting and severe restriction. What is the best response?</w:t>
      </w:r>
    </w:p>
    <w:p>
      <w:pPr>
        <w:pStyle w:val="CTAOption"/>
      </w:pPr>
      <w:r>
        <w:t>A. Continue the same outpatient plan because the peer consultant has experience with eating disorders</w:t>
      </w:r>
    </w:p>
    <w:p>
      <w:pPr>
        <w:pStyle w:val="CTAOption"/>
      </w:pPr>
      <w:r>
        <w:t>B. Wait for the next routine supervision meeting so the client is not alarmed</w:t>
      </w:r>
    </w:p>
    <w:p>
      <w:pPr>
        <w:pStyle w:val="CTAOption"/>
      </w:pPr>
      <w:r>
        <w:t>C. Terminate by email immediately and state that the peer consultant required it</w:t>
      </w:r>
    </w:p>
    <w:p>
      <w:pPr>
        <w:pStyle w:val="CTAOption"/>
      </w:pPr>
      <w:r>
        <w:t>D. Assess immediate medical and safety risk, involve the approved supervisor promptly, obtain specialized consultation or collaboration as appropriate, arrange higher care or transfer if indicated, protect confidentiality, and document the ASW’s reasoning and actions</w:t>
      </w:r>
    </w:p>
    <w:p>
      <w:r>
        <w:br w:type="page"/>
      </w:r>
    </w:p>
    <w:p>
      <w:pPr>
        <w:pStyle w:val="CTAH1"/>
      </w:pPr>
      <w:r>
        <w:t>Chapter 5 Assessment</w:t>
      </w:r>
    </w:p>
    <w:p>
      <w:pPr>
        <w:pStyle w:val="CTASubtitle"/>
      </w:pPr>
      <w:r>
        <w:t>Clinical Supervision, Feedback, and Accountability</w:t>
      </w:r>
    </w:p>
    <w:p>
      <w:pPr>
        <w:pStyle w:val="CTAMeta"/>
      </w:pPr>
      <w:r>
        <w:t>17 questions | Select one best answer for each item | Record responses on the chapter answer sheet</w:t>
      </w:r>
    </w:p>
    <w:p>
      <w:pPr>
        <w:pStyle w:val="CTAH3"/>
      </w:pPr>
      <w:r>
        <w:t>Question 69</w:t>
      </w:r>
    </w:p>
    <w:p>
      <w:pPr>
        <w:pStyle w:val="CTABody"/>
      </w:pPr>
      <w:r>
        <w:t>Which statement BEST describes legal clinical supervision of an ASW?</w:t>
      </w:r>
    </w:p>
    <w:p>
      <w:pPr>
        <w:pStyle w:val="CTAOption"/>
      </w:pPr>
      <w:r>
        <w:t>A. A voluntary peer conversation that offers ideas but creates no responsibility for service quality.</w:t>
      </w:r>
    </w:p>
    <w:p>
      <w:pPr>
        <w:pStyle w:val="CTAOption"/>
      </w:pPr>
      <w:r>
        <w:t>B. A qualified supervisor accepts responsibility for and control of service quality, obtains enough information to evaluate the work, gives direction and feedback, and intervenes when needed.</w:t>
      </w:r>
    </w:p>
    <w:p>
      <w:pPr>
        <w:pStyle w:val="CTAOption"/>
      </w:pPr>
      <w:r>
        <w:t>C. An administrative meeting limited to productivity and scheduling.</w:t>
      </w:r>
    </w:p>
    <w:p>
      <w:pPr>
        <w:pStyle w:val="CTAOption"/>
      </w:pPr>
      <w:r>
        <w:t>D. A private therapy relationship for the ASW’s personal concerns.</w:t>
      </w:r>
    </w:p>
    <w:p>
      <w:pPr>
        <w:pStyle w:val="CTAH3"/>
      </w:pPr>
      <w:r>
        <w:t>Question 70</w:t>
      </w:r>
    </w:p>
    <w:p>
      <w:pPr>
        <w:pStyle w:val="CTABody"/>
      </w:pPr>
      <w:r>
        <w:t>An ASW discusses a case with a helpful licensed colleague who is not the approved supervisor and has no supervision agreement or evaluative authority. How should the contact be classified?</w:t>
      </w:r>
    </w:p>
    <w:p>
      <w:pPr>
        <w:pStyle w:val="CTAOption"/>
      </w:pPr>
      <w:r>
        <w:t>A. Individual supervision because the colleague is licensed.</w:t>
      </w:r>
    </w:p>
    <w:p>
      <w:pPr>
        <w:pStyle w:val="CTAOption"/>
      </w:pPr>
      <w:r>
        <w:t>B. Triadic supervision because two clinicians discussed the case.</w:t>
      </w:r>
    </w:p>
    <w:p>
      <w:pPr>
        <w:pStyle w:val="CTAOption"/>
      </w:pPr>
      <w:r>
        <w:t>C. Group supervision if the discussion lasts at least one hour.</w:t>
      </w:r>
    </w:p>
    <w:p>
      <w:pPr>
        <w:pStyle w:val="CTAOption"/>
      </w:pPr>
      <w:r>
        <w:t>D. Consultation or peer discussion, not required ASW supervision.</w:t>
      </w:r>
    </w:p>
    <w:p>
      <w:pPr>
        <w:pStyle w:val="CTAH3"/>
      </w:pPr>
      <w:r>
        <w:t>Question 71</w:t>
      </w:r>
    </w:p>
    <w:p>
      <w:pPr>
        <w:pStyle w:val="CTABody"/>
      </w:pPr>
      <w:r>
        <w:t>Which work arrangement is consistent with the ASW structure for gaining qualifying experience?</w:t>
      </w:r>
    </w:p>
    <w:p>
      <w:pPr>
        <w:pStyle w:val="CTAOption"/>
      </w:pPr>
      <w:r>
        <w:t>A. 1099 contractor who pays office rent and collects fees directly from clients.</w:t>
      </w:r>
    </w:p>
    <w:p>
      <w:pPr>
        <w:pStyle w:val="CTAOption"/>
      </w:pPr>
      <w:r>
        <w:t>B. Independent practitioner who sends the employer a percentage of fees after each session.</w:t>
      </w:r>
    </w:p>
    <w:p>
      <w:pPr>
        <w:pStyle w:val="CTAOption"/>
      </w:pPr>
      <w:r>
        <w:t>C. W-2 employee or volunteer in a lawful setting, with client payments handled through the employer rather than paid directly to the ASW.</w:t>
      </w:r>
    </w:p>
    <w:p>
      <w:pPr>
        <w:pStyle w:val="CTAOption"/>
      </w:pPr>
      <w:r>
        <w:t>D. Self-employed clinician who uses weekly consultation in place of formal supervision.</w:t>
      </w:r>
    </w:p>
    <w:p>
      <w:pPr>
        <w:pStyle w:val="CTAH3"/>
      </w:pPr>
      <w:r>
        <w:t>Question 72</w:t>
      </w:r>
    </w:p>
    <w:p>
      <w:pPr>
        <w:pStyle w:val="CTABody"/>
      </w:pPr>
      <w:r>
        <w:t>Can an ASW use a subsequent registration to gain experience in private practice or a professional corporation?</w:t>
      </w:r>
    </w:p>
    <w:p>
      <w:pPr>
        <w:pStyle w:val="CTAOption"/>
      </w:pPr>
      <w:r>
        <w:t>A. No. A subsequent ASW registration cannot be used in private practice or a professional corporation.</w:t>
      </w:r>
    </w:p>
    <w:p>
      <w:pPr>
        <w:pStyle w:val="CTAOption"/>
      </w:pPr>
      <w:r>
        <w:t>B. Yes, whenever an LCSW is available for consultation.</w:t>
      </w:r>
    </w:p>
    <w:p>
      <w:pPr>
        <w:pStyle w:val="CTAOption"/>
      </w:pPr>
      <w:r>
        <w:t>C. Yes, after the California Law and Ethics Examination has been passed.</w:t>
      </w:r>
    </w:p>
    <w:p>
      <w:pPr>
        <w:pStyle w:val="CTAOption"/>
      </w:pPr>
      <w:r>
        <w:t>D. Yes, if clients sign a disclosure acknowledging the subsequent registration.</w:t>
      </w:r>
    </w:p>
    <w:p>
      <w:pPr>
        <w:pStyle w:val="CTAH3"/>
      </w:pPr>
      <w:r>
        <w:t>Question 73</w:t>
      </w:r>
    </w:p>
    <w:p>
      <w:pPr>
        <w:pStyle w:val="CTABody"/>
      </w:pPr>
      <w:r>
        <w:t>What must be verified before an LCSW or other eligible clinician supervises an ASW?</w:t>
      </w:r>
    </w:p>
    <w:p>
      <w:pPr>
        <w:pStyle w:val="CTAOption"/>
      </w:pPr>
      <w:r>
        <w:t>A. Only that the person has ever held a behavioral-health license.</w:t>
      </w:r>
    </w:p>
    <w:p>
      <w:pPr>
        <w:pStyle w:val="CTAOption"/>
      </w:pPr>
      <w:r>
        <w:t>B. Only that the employer approves the person as a supervisor.</w:t>
      </w:r>
    </w:p>
    <w:p>
      <w:pPr>
        <w:pStyle w:val="CTAOption"/>
      </w:pPr>
      <w:r>
        <w:t>C. Only that the proposed supervisor has more years of experience than the ASW.</w:t>
      </w:r>
    </w:p>
    <w:p>
      <w:pPr>
        <w:pStyle w:val="CTAOption"/>
      </w:pPr>
      <w:r>
        <w:t>D. An eligible current and active California license in good standing, required licensure/practice history, supervision training, subject competence, and lawful relationship boundaries.</w:t>
      </w:r>
    </w:p>
    <w:p>
      <w:pPr>
        <w:pStyle w:val="CTAH3"/>
      </w:pPr>
      <w:r>
        <w:t>Question 74</w:t>
      </w:r>
    </w:p>
    <w:p>
      <w:pPr>
        <w:pStyle w:val="CTABody"/>
      </w:pPr>
      <w:r>
        <w:t>An ASW provides 14 qualifying clinical hours in one setting during one week and gains experience that week. What is the minimum required supervision for that setting?</w:t>
      </w:r>
    </w:p>
    <w:p>
      <w:pPr>
        <w:pStyle w:val="CTAOption"/>
      </w:pPr>
      <w:r>
        <w:t>A. One unit because the weekly minimum never changes.</w:t>
      </w:r>
    </w:p>
    <w:p>
      <w:pPr>
        <w:pStyle w:val="CTAOption"/>
      </w:pPr>
      <w:r>
        <w:t>B. Two supervision units because the ASW exceeded 10 qualifying clinical hours in that setting and week.</w:t>
      </w:r>
    </w:p>
    <w:p>
      <w:pPr>
        <w:pStyle w:val="CTAOption"/>
      </w:pPr>
      <w:r>
        <w:t>C. Three units because each additional block of five hours adds one unit.</w:t>
      </w:r>
    </w:p>
    <w:p>
      <w:pPr>
        <w:pStyle w:val="CTAOption"/>
      </w:pPr>
      <w:r>
        <w:t>D. No unit is required if the supervisor is available by telephone.</w:t>
      </w:r>
    </w:p>
    <w:p>
      <w:pPr>
        <w:pStyle w:val="CTAH3"/>
      </w:pPr>
      <w:r>
        <w:t>Question 75</w:t>
      </w:r>
    </w:p>
    <w:p>
      <w:pPr>
        <w:pStyle w:val="CTABody"/>
      </w:pPr>
      <w:r>
        <w:t>An ASW has 12 qualifying clinical hours at Setting A and 9 at Setting B in the same week. What is the minimum total supervision?</w:t>
      </w:r>
    </w:p>
    <w:p>
      <w:pPr>
        <w:pStyle w:val="CTAOption"/>
      </w:pPr>
      <w:r>
        <w:t>A. One unit total because the week is counted once.</w:t>
      </w:r>
    </w:p>
    <w:p>
      <w:pPr>
        <w:pStyle w:val="CTAOption"/>
      </w:pPr>
      <w:r>
        <w:t>B. Two units total because all clinical hours may be combined before applying the threshold.</w:t>
      </w:r>
    </w:p>
    <w:p>
      <w:pPr>
        <w:pStyle w:val="CTAOption"/>
      </w:pPr>
      <w:r>
        <w:t>C. Three units total: two for Setting A and one for Setting B.</w:t>
      </w:r>
    </w:p>
    <w:p>
      <w:pPr>
        <w:pStyle w:val="CTAOption"/>
      </w:pPr>
      <w:r>
        <w:t>D. Four units total because every setting automatically requires two units.</w:t>
      </w:r>
    </w:p>
    <w:p>
      <w:pPr>
        <w:pStyle w:val="CTAH3"/>
      </w:pPr>
      <w:r>
        <w:t>Question 76</w:t>
      </w:r>
    </w:p>
    <w:p>
      <w:pPr>
        <w:pStyle w:val="CTABody"/>
      </w:pPr>
      <w:r>
        <w:t>How many supervision units are legally required after 25 qualifying clinical hours in one setting during one week?</w:t>
      </w:r>
    </w:p>
    <w:p>
      <w:pPr>
        <w:pStyle w:val="CTAOption"/>
      </w:pPr>
      <w:r>
        <w:t>A. Two units. The threshold rule does not increase to three or more units merely because the ASW exceeds 20 clinical hours in that setting.</w:t>
      </w:r>
    </w:p>
    <w:p>
      <w:pPr>
        <w:pStyle w:val="CTAOption"/>
      </w:pPr>
      <w:r>
        <w:t>B. Three units, because there is one unit for every 10 hours plus a base unit.</w:t>
      </w:r>
    </w:p>
    <w:p>
      <w:pPr>
        <w:pStyle w:val="CTAOption"/>
      </w:pPr>
      <w:r>
        <w:t>C. Four units, because every additional five hours adds a unit.</w:t>
      </w:r>
    </w:p>
    <w:p>
      <w:pPr>
        <w:pStyle w:val="CTAOption"/>
      </w:pPr>
      <w:r>
        <w:t>D. No unit is required if a supervisor reviews the record at the end of the month.</w:t>
      </w:r>
    </w:p>
    <w:p>
      <w:pPr>
        <w:pStyle w:val="CTAH3"/>
      </w:pPr>
      <w:r>
        <w:t>Question 77</w:t>
      </w:r>
    </w:p>
    <w:p>
      <w:pPr>
        <w:pStyle w:val="CTABody"/>
      </w:pPr>
      <w:r>
        <w:t>Does telephone-only supervision satisfy the required face-to-face component for qualifying ASW experience?</w:t>
      </w:r>
    </w:p>
    <w:p>
      <w:pPr>
        <w:pStyle w:val="CTAOption"/>
      </w:pPr>
      <w:r>
        <w:t>A. Yes, if the call lasts at least one hour.</w:t>
      </w:r>
    </w:p>
    <w:p>
      <w:pPr>
        <w:pStyle w:val="CTAOption"/>
      </w:pPr>
      <w:r>
        <w:t>B. Yes, if the ASW and supervisor are employed by the same agency.</w:t>
      </w:r>
    </w:p>
    <w:p>
      <w:pPr>
        <w:pStyle w:val="CTAOption"/>
      </w:pPr>
      <w:r>
        <w:t>C. Yes, when the supervisor later signs the weekly log.</w:t>
      </w:r>
    </w:p>
    <w:p>
      <w:pPr>
        <w:pStyle w:val="CTAOption"/>
      </w:pPr>
      <w:r>
        <w:t>D. No. Appropriate live two-way videoconferencing may qualify when requirements are met, but telephone-only contact does not satisfy the face-to-face component.</w:t>
      </w:r>
    </w:p>
    <w:p>
      <w:pPr>
        <w:pStyle w:val="CTAH3"/>
      </w:pPr>
      <w:r>
        <w:t>Question 78</w:t>
      </w:r>
    </w:p>
    <w:p>
      <w:pPr>
        <w:pStyle w:val="CTABody"/>
      </w:pPr>
      <w:r>
        <w:t>What must the supervisor do after beginning regular videoconference supervision?</w:t>
      </w:r>
    </w:p>
    <w:p>
      <w:pPr>
        <w:pStyle w:val="CTAOption"/>
      </w:pPr>
      <w:r>
        <w:t>A. Assume video is appropriate permanently once the first session is completed.</w:t>
      </w:r>
    </w:p>
    <w:p>
      <w:pPr>
        <w:pStyle w:val="CTAOption"/>
      </w:pPr>
      <w:r>
        <w:t>B. Switch all supervision to telephone-only contact.</w:t>
      </w:r>
    </w:p>
    <w:p>
      <w:pPr>
        <w:pStyle w:val="CTAOption"/>
      </w:pPr>
      <w:r>
        <w:t>C. Within 60 days, assess and document whether videoconference supervision is appropriate and discontinue it if it is not suitable.</w:t>
      </w:r>
    </w:p>
    <w:p>
      <w:pPr>
        <w:pStyle w:val="CTAOption"/>
      </w:pPr>
      <w:r>
        <w:t>D. Wait until licensure application review to decide whether video supervision was appropriate.</w:t>
      </w:r>
    </w:p>
    <w:p>
      <w:pPr>
        <w:pStyle w:val="CTAH3"/>
      </w:pPr>
      <w:r>
        <w:t>Question 79</w:t>
      </w:r>
    </w:p>
    <w:p>
      <w:pPr>
        <w:pStyle w:val="CTABody"/>
      </w:pPr>
      <w:r>
        <w:t>What is needed before an external or voluntary supervisor begins supervising an ASW for an employer?</w:t>
      </w:r>
    </w:p>
    <w:p>
      <w:pPr>
        <w:pStyle w:val="CTAOption"/>
      </w:pPr>
      <w:r>
        <w:t>A. Only an oral promise between the ASW and the outside supervisor.</w:t>
      </w:r>
    </w:p>
    <w:p>
      <w:pPr>
        <w:pStyle w:val="CTAOption"/>
      </w:pPr>
      <w:r>
        <w:t>B. A written oversight agreement defining authority, record access, responsibilities, and protection from inappropriate organizational interference.</w:t>
      </w:r>
    </w:p>
    <w:p>
      <w:pPr>
        <w:pStyle w:val="CTAOption"/>
      </w:pPr>
      <w:r>
        <w:t>C. A client waiver stating that the employer has no responsibility for the supervision arrangement.</w:t>
      </w:r>
    </w:p>
    <w:p>
      <w:pPr>
        <w:pStyle w:val="CTAOption"/>
      </w:pPr>
      <w:r>
        <w:t>D. No agreement if the outside supervisor is independently licensed.</w:t>
      </w:r>
    </w:p>
    <w:p>
      <w:pPr>
        <w:pStyle w:val="CTAH3"/>
      </w:pPr>
      <w:r>
        <w:t>Question 80</w:t>
      </w:r>
    </w:p>
    <w:p>
      <w:pPr>
        <w:pStyle w:val="CTABody"/>
      </w:pPr>
      <w:r>
        <w:t>Which record is maintained by the ASW and signed by the supervisor every week?</w:t>
      </w:r>
    </w:p>
    <w:p>
      <w:pPr>
        <w:pStyle w:val="CTAOption"/>
      </w:pPr>
      <w:r>
        <w:t>A. The weekly log of experience and supervision; the experience verification is completed at the end of the supervisory relationship.</w:t>
      </w:r>
    </w:p>
    <w:p>
      <w:pPr>
        <w:pStyle w:val="CTAOption"/>
      </w:pPr>
      <w:r>
        <w:t>B. Only the final experience verification form; no weekly record is needed.</w:t>
      </w:r>
    </w:p>
    <w:p>
      <w:pPr>
        <w:pStyle w:val="CTAOption"/>
      </w:pPr>
      <w:r>
        <w:t>C. A monthly employer productivity report.</w:t>
      </w:r>
    </w:p>
    <w:p>
      <w:pPr>
        <w:pStyle w:val="CTAOption"/>
      </w:pPr>
      <w:r>
        <w:t>D. An informal case-note summary prepared by the supervisor.</w:t>
      </w:r>
    </w:p>
    <w:p>
      <w:pPr>
        <w:pStyle w:val="CTAH3"/>
      </w:pPr>
      <w:r>
        <w:t>Question 81</w:t>
      </w:r>
    </w:p>
    <w:p>
      <w:pPr>
        <w:pStyle w:val="CTABody"/>
      </w:pPr>
      <w:r>
        <w:t>A private-practice employer uses an external supervisor but refuses meaningful record access, allowing only verbal case summaries. What is the BEST response?</w:t>
      </w:r>
    </w:p>
    <w:p>
      <w:pPr>
        <w:pStyle w:val="CTAOption"/>
      </w:pPr>
      <w:r>
        <w:t>A. Count the hours because the supervisor is licensed and hears verbal summaries.</w:t>
      </w:r>
    </w:p>
    <w:p>
      <w:pPr>
        <w:pStyle w:val="CTAOption"/>
      </w:pPr>
      <w:r>
        <w:t>B. Ask clients to waive all confidentiality so the supervisor can receive the full file without limits.</w:t>
      </w:r>
    </w:p>
    <w:p>
      <w:pPr>
        <w:pStyle w:val="CTAOption"/>
      </w:pPr>
      <w:r>
        <w:t>C. Correct the written oversight, record-access, and client-authorization structure before treating the arrangement as lawful, meaningful supervision or assuming the hours are protected.</w:t>
      </w:r>
    </w:p>
    <w:p>
      <w:pPr>
        <w:pStyle w:val="CTAOption"/>
      </w:pPr>
      <w:r>
        <w:t>D. Stop all client services permanently without attempting to repair the supervision structure.</w:t>
      </w:r>
    </w:p>
    <w:p>
      <w:pPr>
        <w:pStyle w:val="CTAH3"/>
      </w:pPr>
      <w:r>
        <w:t>Question 82</w:t>
      </w:r>
    </w:p>
    <w:p>
      <w:pPr>
        <w:pStyle w:val="CTABody"/>
      </w:pPr>
      <w:r>
        <w:t>A repeated documentation error creates a current client-safety risk. What should the supervisor do FIRST?</w:t>
      </w:r>
    </w:p>
    <w:p>
      <w:pPr>
        <w:pStyle w:val="CTAOption"/>
      </w:pPr>
      <w:r>
        <w:t>A. Wait for the annual performance evaluation before changing the supervisee’s work.</w:t>
      </w:r>
    </w:p>
    <w:p>
      <w:pPr>
        <w:pStyle w:val="CTAOption"/>
      </w:pPr>
      <w:r>
        <w:t>B. Give a general reminder and continue the same duties without review.</w:t>
      </w:r>
    </w:p>
    <w:p>
      <w:pPr>
        <w:pStyle w:val="CTAOption"/>
      </w:pPr>
      <w:r>
        <w:t>C. Report the supervisee automatically to the Board before addressing the active safety problem.</w:t>
      </w:r>
    </w:p>
    <w:p>
      <w:pPr>
        <w:pStyle w:val="CTAOption"/>
      </w:pPr>
      <w:r>
        <w:t>D. Implement an immediate protective restriction, review, or coverage plan, then provide specific remediation, monitoring, feedback, and documentation.</w:t>
      </w:r>
    </w:p>
    <w:p>
      <w:pPr>
        <w:pStyle w:val="CTAH3"/>
      </w:pPr>
      <w:r>
        <w:t>Question 83</w:t>
      </w:r>
    </w:p>
    <w:p>
      <w:pPr>
        <w:pStyle w:val="CTABody"/>
      </w:pPr>
      <w:r>
        <w:t>An ASW reports escalating suicidal intent, but the regular supervisor says to wait until tomorrow before taking further action. What is the BEST response?</w:t>
      </w:r>
    </w:p>
    <w:p>
      <w:pPr>
        <w:pStyle w:val="CTAOption"/>
      </w:pPr>
      <w:r>
        <w:t>A. Follow the instruction because supervisor responsibility eliminates the ASW’s own duty to protect clients.</w:t>
      </w:r>
    </w:p>
    <w:p>
      <w:pPr>
        <w:pStyle w:val="CTAOption"/>
      </w:pPr>
      <w:r>
        <w:t>B. Take appropriate current protective action, use the written crisis or alternate-supervisor procedure, document, and escalate the inadequate supervisory response.</w:t>
      </w:r>
    </w:p>
    <w:p>
      <w:pPr>
        <w:pStyle w:val="CTAOption"/>
      </w:pPr>
      <w:r>
        <w:t>C. Ask the client to promise not to act until the regular supervisor returns.</w:t>
      </w:r>
    </w:p>
    <w:p>
      <w:pPr>
        <w:pStyle w:val="CTAOption"/>
      </w:pPr>
      <w:r>
        <w:t>D. End services immediately and provide no transition or emergency support.</w:t>
      </w:r>
    </w:p>
    <w:p>
      <w:pPr>
        <w:pStyle w:val="CTAH3"/>
      </w:pPr>
      <w:r>
        <w:t>Question 84</w:t>
      </w:r>
    </w:p>
    <w:p>
      <w:pPr>
        <w:pStyle w:val="CTABody"/>
      </w:pPr>
      <w:r>
        <w:t>An ASW receives a surprise negative evaluation with no examples or prior feedback. What is the BEST response?</w:t>
      </w:r>
    </w:p>
    <w:p>
      <w:pPr>
        <w:pStyle w:val="CTAOption"/>
      </w:pPr>
      <w:r>
        <w:t>A. Request the factual basis and clear criteria, preserve records, seek organizational review or alternate supervision as appropriate, protect current clients, and follow any legitimate safety restriction.</w:t>
      </w:r>
    </w:p>
    <w:p>
      <w:pPr>
        <w:pStyle w:val="CTAOption"/>
      </w:pPr>
      <w:r>
        <w:t>B. Ignore every concern because prior feedback was incomplete.</w:t>
      </w:r>
    </w:p>
    <w:p>
      <w:pPr>
        <w:pStyle w:val="CTAOption"/>
      </w:pPr>
      <w:r>
        <w:t>C. Alter the weekly logs to make the evaluation appear inconsistent.</w:t>
      </w:r>
    </w:p>
    <w:p>
      <w:pPr>
        <w:pStyle w:val="CTAOption"/>
      </w:pPr>
      <w:r>
        <w:t>D. Leave the placement immediately without planning for client continuity.</w:t>
      </w:r>
    </w:p>
    <w:p>
      <w:pPr>
        <w:pStyle w:val="CTAH3"/>
      </w:pPr>
      <w:r>
        <w:t>Question 85</w:t>
      </w:r>
    </w:p>
    <w:p>
      <w:pPr>
        <w:pStyle w:val="CTABody"/>
      </w:pPr>
      <w:r>
        <w:t>What sequence BEST applies when supervision is inadequate and a client may be at risk?</w:t>
      </w:r>
    </w:p>
    <w:p>
      <w:pPr>
        <w:pStyle w:val="CTAOption"/>
      </w:pPr>
      <w:r>
        <w:t>A. Document the problem first, then wait for management to decide whether any safety response is necessary.</w:t>
      </w:r>
    </w:p>
    <w:p>
      <w:pPr>
        <w:pStyle w:val="CTAOption"/>
      </w:pPr>
      <w:r>
        <w:t>B. Keep working unchanged until the next scheduled supervision session so the record remains simple.</w:t>
      </w:r>
    </w:p>
    <w:p>
      <w:pPr>
        <w:pStyle w:val="CTAOption"/>
      </w:pPr>
      <w:r>
        <w:t>C. Protect the client and stop active unsafe or unlawful conduct; obtain valid supervision and organizational help; document; repair the structure; protect continuity; and escalate as required.</w:t>
      </w:r>
    </w:p>
    <w:p>
      <w:pPr>
        <w:pStyle w:val="CTAOption"/>
      </w:pPr>
      <w:r>
        <w:t>D. Terminate all clients immediately and report every involved person to the Board before clarifying facts.</w:t>
      </w:r>
    </w:p>
    <w:p>
      <w:r>
        <w:br w:type="page"/>
      </w:r>
    </w:p>
    <w:p>
      <w:pPr>
        <w:pStyle w:val="CTAH1"/>
      </w:pPr>
      <w:r>
        <w:t>Chapter 6 Assessment</w:t>
      </w:r>
    </w:p>
    <w:p>
      <w:pPr>
        <w:pStyle w:val="CTASubtitle"/>
      </w:pPr>
      <w:r>
        <w:t>Professional Roles and Role Clarification</w:t>
      </w:r>
    </w:p>
    <w:p>
      <w:pPr>
        <w:pStyle w:val="CTAMeta"/>
      </w:pPr>
      <w:r>
        <w:t>17 questions | Select one best answer for each item | Record responses on the chapter answer sheet</w:t>
      </w:r>
    </w:p>
    <w:p>
      <w:pPr>
        <w:pStyle w:val="CTAH3"/>
      </w:pPr>
      <w:r>
        <w:t>Question 86</w:t>
      </w:r>
    </w:p>
    <w:p>
      <w:pPr>
        <w:pStyle w:val="CTABody"/>
      </w:pPr>
      <w:r>
        <w:t>Which statement BEST reflects the chapter’s central rule about professional roles?</w:t>
      </w:r>
    </w:p>
    <w:p>
      <w:pPr>
        <w:pStyle w:val="CTAOption"/>
      </w:pPr>
      <w:r>
        <w:t>A. The same confidentiality, loyalty, and decision rules apply whenever a social worker is involved.</w:t>
      </w:r>
    </w:p>
    <w:p>
      <w:pPr>
        <w:pStyle w:val="CTAOption"/>
      </w:pPr>
      <w:r>
        <w:t>B. The social worker should identify the actual role because purpose, audience, authority, confidentiality, and expected output may change.</w:t>
      </w:r>
    </w:p>
    <w:p>
      <w:pPr>
        <w:pStyle w:val="CTAOption"/>
      </w:pPr>
      <w:r>
        <w:t>C. Role clarification is necessary only when a court or attorney is involved.</w:t>
      </w:r>
    </w:p>
    <w:p>
      <w:pPr>
        <w:pStyle w:val="CTAOption"/>
      </w:pPr>
      <w:r>
        <w:t>D. A signed general consent form eliminates the need to clarify later role changes.</w:t>
      </w:r>
    </w:p>
    <w:p>
      <w:pPr>
        <w:pStyle w:val="CTAH3"/>
      </w:pPr>
      <w:r>
        <w:t>Question 87</w:t>
      </w:r>
    </w:p>
    <w:p>
      <w:pPr>
        <w:pStyle w:val="CTABody"/>
      </w:pPr>
      <w:r>
        <w:t>Before a third-party workplace evaluation begins, which information is MOST important to clarify?</w:t>
      </w:r>
    </w:p>
    <w:p>
      <w:pPr>
        <w:pStyle w:val="CTAOption"/>
      </w:pPr>
      <w:r>
        <w:t>A. Who retained the evaluator, the purpose, voluntariness, confidentiality limits, report recipient, and possible consequences.</w:t>
      </w:r>
    </w:p>
    <w:p>
      <w:pPr>
        <w:pStyle w:val="CTAOption"/>
      </w:pPr>
      <w:r>
        <w:t>B. Whether the employee would prefer long-term therapy after the evaluation.</w:t>
      </w:r>
    </w:p>
    <w:p>
      <w:pPr>
        <w:pStyle w:val="CTAOption"/>
      </w:pPr>
      <w:r>
        <w:t>C. Whether the employer has previously used the evaluator.</w:t>
      </w:r>
    </w:p>
    <w:p>
      <w:pPr>
        <w:pStyle w:val="CTAOption"/>
      </w:pPr>
      <w:r>
        <w:t>D. Whether the evaluator agrees with the employer’s preliminary conclusion.</w:t>
      </w:r>
    </w:p>
    <w:p>
      <w:pPr>
        <w:pStyle w:val="CTAH3"/>
      </w:pPr>
      <w:r>
        <w:t>Question 88</w:t>
      </w:r>
    </w:p>
    <w:p>
      <w:pPr>
        <w:pStyle w:val="CTABody"/>
      </w:pPr>
      <w:r>
        <w:t>An employer pays for an evaluation, an employee is examined, and a safety committee will receive the report. Which statement is BEST?</w:t>
      </w:r>
    </w:p>
    <w:p>
      <w:pPr>
        <w:pStyle w:val="CTAOption"/>
      </w:pPr>
      <w:r>
        <w:t>A. The employer, employee, and committee are all automatically the same client.</w:t>
      </w:r>
    </w:p>
    <w:p>
      <w:pPr>
        <w:pStyle w:val="CTAOption"/>
      </w:pPr>
      <w:r>
        <w:t>B. The payer is always the client because it controls payment.</w:t>
      </w:r>
    </w:p>
    <w:p>
      <w:pPr>
        <w:pStyle w:val="CTAOption"/>
      </w:pPr>
      <w:r>
        <w:t>C. The evaluator must separately identify the client, retaining party, evaluee, report recipient, and any privilege holder.</w:t>
      </w:r>
    </w:p>
    <w:p>
      <w:pPr>
        <w:pStyle w:val="CTAOption"/>
      </w:pPr>
      <w:r>
        <w:t>D. The employee becomes a treatment client once personal information is discussed.</w:t>
      </w:r>
    </w:p>
    <w:p>
      <w:pPr>
        <w:pStyle w:val="CTAH3"/>
      </w:pPr>
      <w:r>
        <w:t>Question 89</w:t>
      </w:r>
    </w:p>
    <w:p>
      <w:pPr>
        <w:pStyle w:val="CTABody"/>
      </w:pPr>
      <w:r>
        <w:t>A treating LCSW is asked by a parent to recommend which parent should receive custody. What should the LCSW do FIRST?</w:t>
      </w:r>
    </w:p>
    <w:p>
      <w:pPr>
        <w:pStyle w:val="CTAOption"/>
      </w:pPr>
      <w:r>
        <w:t>A. Provide the recommendation because the clinician knows the family well.</w:t>
      </w:r>
    </w:p>
    <w:p>
      <w:pPr>
        <w:pStyle w:val="CTAOption"/>
      </w:pPr>
      <w:r>
        <w:t>B. Interview the other parent and then issue a neutral custody opinion.</w:t>
      </w:r>
    </w:p>
    <w:p>
      <w:pPr>
        <w:pStyle w:val="CTAOption"/>
      </w:pPr>
      <w:r>
        <w:t>C. Send the complete treatment record to the court without further analysis.</w:t>
      </w:r>
    </w:p>
    <w:p>
      <w:pPr>
        <w:pStyle w:val="CTAOption"/>
      </w:pPr>
      <w:r>
        <w:t>D. Clarify the treatment role, avoid assuming an incompatible custody-evaluator role, and consider an independent qualified evaluator.</w:t>
      </w:r>
    </w:p>
    <w:p>
      <w:pPr>
        <w:pStyle w:val="CTAH3"/>
      </w:pPr>
      <w:r>
        <w:t>Question 90</w:t>
      </w:r>
    </w:p>
    <w:p>
      <w:pPr>
        <w:pStyle w:val="CTABody"/>
      </w:pPr>
      <w:r>
        <w:t>Which action BEST distinguishes treatment facts from forensic conclusions?</w:t>
      </w:r>
    </w:p>
    <w:p>
      <w:pPr>
        <w:pStyle w:val="CTAOption"/>
      </w:pPr>
      <w:r>
        <w:t>A. Describe documented treatment observations and decline conclusions about a person who was not appropriately evaluated.</w:t>
      </w:r>
    </w:p>
    <w:p>
      <w:pPr>
        <w:pStyle w:val="CTAOption"/>
      </w:pPr>
      <w:r>
        <w:t>B. Convert the treatment diagnosis into a custody recommendation when an attorney requests it.</w:t>
      </w:r>
    </w:p>
    <w:p>
      <w:pPr>
        <w:pStyle w:val="CTAOption"/>
      </w:pPr>
      <w:r>
        <w:t>C. Assume that long-term treatment creates expertise on every legal issue.</w:t>
      </w:r>
    </w:p>
    <w:p>
      <w:pPr>
        <w:pStyle w:val="CTAOption"/>
      </w:pPr>
      <w:r>
        <w:t>D. Use the client’s statements as proof of facts outside the treatment relationship.</w:t>
      </w:r>
    </w:p>
    <w:p>
      <w:pPr>
        <w:pStyle w:val="CTAH3"/>
      </w:pPr>
      <w:r>
        <w:t>Question 91</w:t>
      </w:r>
    </w:p>
    <w:p>
      <w:pPr>
        <w:pStyle w:val="CTABody"/>
      </w:pPr>
      <w:r>
        <w:t>An attorney sends a subpoena demanding the complete record and asks the treating LCSW to testify that an opposing parent is unfit, although the LCSW never examined that parent. What is the BEST response?</w:t>
      </w:r>
    </w:p>
    <w:p>
      <w:pPr>
        <w:pStyle w:val="CTAOption"/>
      </w:pPr>
      <w:r>
        <w:t>A. Release the complete record immediately because a subpoena eliminates confidentiality.</w:t>
      </w:r>
    </w:p>
    <w:p>
      <w:pPr>
        <w:pStyle w:val="CTAOption"/>
      </w:pPr>
      <w:r>
        <w:t>B. Ignore the subpoena because treating clinicians never testify.</w:t>
      </w:r>
    </w:p>
    <w:p>
      <w:pPr>
        <w:pStyle w:val="CTAOption"/>
      </w:pPr>
      <w:r>
        <w:t>C. Preserve the record, obtain legal analysis, address authorization and privilege, limit disclosure appropriately, and decline opinions beyond role, evidence, and competence.</w:t>
      </w:r>
    </w:p>
    <w:p>
      <w:pPr>
        <w:pStyle w:val="CTAOption"/>
      </w:pPr>
      <w:r>
        <w:t>D. Provide the requested opinion but state that it is based on the client’s report.</w:t>
      </w:r>
    </w:p>
    <w:p>
      <w:pPr>
        <w:pStyle w:val="CTAH3"/>
      </w:pPr>
      <w:r>
        <w:t>Question 92</w:t>
      </w:r>
    </w:p>
    <w:p>
      <w:pPr>
        <w:pStyle w:val="CTABody"/>
      </w:pPr>
      <w:r>
        <w:t>A clinician is providing therapy and is then asked to decide whether the same client remains eligible for housing support using information from treatment. What is the PRIMARY concern?</w:t>
      </w:r>
    </w:p>
    <w:p>
      <w:pPr>
        <w:pStyle w:val="CTAOption"/>
      </w:pPr>
      <w:r>
        <w:t>A. The clinician should automatically terminate treatment.</w:t>
      </w:r>
    </w:p>
    <w:p>
      <w:pPr>
        <w:pStyle w:val="CTAOption"/>
      </w:pPr>
      <w:r>
        <w:t>B. The overlapping treatment and gatekeeping roles may create power, loyalty, and information-use conflicts that require clarification and separation when feasible.</w:t>
      </w:r>
    </w:p>
    <w:p>
      <w:pPr>
        <w:pStyle w:val="CTAOption"/>
      </w:pPr>
      <w:r>
        <w:t>C. The client should decide eligibility without organizational involvement.</w:t>
      </w:r>
    </w:p>
    <w:p>
      <w:pPr>
        <w:pStyle w:val="CTAOption"/>
      </w:pPr>
      <w:r>
        <w:t>D. The role is acceptable as long as the clinician personally believes the client deserves housing.</w:t>
      </w:r>
    </w:p>
    <w:p>
      <w:pPr>
        <w:pStyle w:val="CTAH3"/>
      </w:pPr>
      <w:r>
        <w:t>Question 93</w:t>
      </w:r>
    </w:p>
    <w:p>
      <w:pPr>
        <w:pStyle w:val="CTABody"/>
      </w:pPr>
      <w:r>
        <w:t>An LCSW has publicly advocated for a program participant and is later asked to serve as the neutral reviewer of that participant’s grievance. What is the BEST response?</w:t>
      </w:r>
    </w:p>
    <w:p>
      <w:pPr>
        <w:pStyle w:val="CTAOption"/>
      </w:pPr>
      <w:r>
        <w:t>A. Accept because advocacy demonstrates knowledge of the case.</w:t>
      </w:r>
    </w:p>
    <w:p>
      <w:pPr>
        <w:pStyle w:val="CTAOption"/>
      </w:pPr>
      <w:r>
        <w:t>B. Accept if the participant signs a conflict waiver.</w:t>
      </w:r>
    </w:p>
    <w:p>
      <w:pPr>
        <w:pStyle w:val="CTAOption"/>
      </w:pPr>
      <w:r>
        <w:t>C. Refuse all future contact with the participant.</w:t>
      </w:r>
    </w:p>
    <w:p>
      <w:pPr>
        <w:pStyle w:val="CTAOption"/>
      </w:pPr>
      <w:r>
        <w:t>D. Disclose the prior advocacy and use an independent reviewer when impartiality or the appearance of neutrality cannot reasonably be maintained.</w:t>
      </w:r>
    </w:p>
    <w:p>
      <w:pPr>
        <w:pStyle w:val="CTAH3"/>
      </w:pPr>
      <w:r>
        <w:t>Question 94</w:t>
      </w:r>
    </w:p>
    <w:p>
      <w:pPr>
        <w:pStyle w:val="CTABody"/>
      </w:pPr>
      <w:r>
        <w:t>Which statement BEST describes ethically appropriate advocacy?</w:t>
      </w:r>
    </w:p>
    <w:p>
      <w:pPr>
        <w:pStyle w:val="CTAOption"/>
      </w:pPr>
      <w:r>
        <w:t>A. Advocacy should follow the social worker’s preferred outcome whenever the client is vulnerable.</w:t>
      </w:r>
    </w:p>
    <w:p>
      <w:pPr>
        <w:pStyle w:val="CTAOption"/>
      </w:pPr>
      <w:r>
        <w:t>B. Advocacy should remain connected to the client’s informed goals, consent, and authorized information sharing.</w:t>
      </w:r>
    </w:p>
    <w:p>
      <w:pPr>
        <w:pStyle w:val="CTAOption"/>
      </w:pPr>
      <w:r>
        <w:t>C. A social worker acting as an advocate should describe the role as a neutral evaluation.</w:t>
      </w:r>
    </w:p>
    <w:p>
      <w:pPr>
        <w:pStyle w:val="CTAOption"/>
      </w:pPr>
      <w:r>
        <w:t>D. Advocacy permits the social worker to guarantee an outcome controlled by another system.</w:t>
      </w:r>
    </w:p>
    <w:p>
      <w:pPr>
        <w:pStyle w:val="CTAH3"/>
      </w:pPr>
      <w:r>
        <w:t>Question 95</w:t>
      </w:r>
    </w:p>
    <w:p>
      <w:pPr>
        <w:pStyle w:val="CTABody"/>
      </w:pPr>
      <w:r>
        <w:t>A social worker’s role changes from therapist to organizational investigator. What should occur BEFORE sensitive investigative information is gathered?</w:t>
      </w:r>
    </w:p>
    <w:p>
      <w:pPr>
        <w:pStyle w:val="CTAOption"/>
      </w:pPr>
      <w:r>
        <w:t>A. Continue under the original treatment consent because the profession is unchanged.</w:t>
      </w:r>
    </w:p>
    <w:p>
      <w:pPr>
        <w:pStyle w:val="CTAOption"/>
      </w:pPr>
      <w:r>
        <w:t>B. The employer should decide what information the client needs to know.</w:t>
      </w:r>
    </w:p>
    <w:p>
      <w:pPr>
        <w:pStyle w:val="CTAOption"/>
      </w:pPr>
      <w:r>
        <w:t>C. Pause, clarify the new purpose, authority, audience, confidentiality limits, expected output, and consequences, and document the role change.</w:t>
      </w:r>
    </w:p>
    <w:p>
      <w:pPr>
        <w:pStyle w:val="CTAOption"/>
      </w:pPr>
      <w:r>
        <w:t>D. End all prior services without explanation.</w:t>
      </w:r>
    </w:p>
    <w:p>
      <w:pPr>
        <w:pStyle w:val="CTAH3"/>
      </w:pPr>
      <w:r>
        <w:t>Question 96</w:t>
      </w:r>
    </w:p>
    <w:p>
      <w:pPr>
        <w:pStyle w:val="CTABody"/>
      </w:pPr>
      <w:r>
        <w:t>Which situation MOST clearly requires an independent evaluator rather than the treating clinician?</w:t>
      </w:r>
    </w:p>
    <w:p>
      <w:pPr>
        <w:pStyle w:val="CTAOption"/>
      </w:pPr>
      <w:r>
        <w:t>A. A routine progress update requested by the client.</w:t>
      </w:r>
    </w:p>
    <w:p>
      <w:pPr>
        <w:pStyle w:val="CTAOption"/>
      </w:pPr>
      <w:r>
        <w:t>B. A court asks the treating clinician to provide existing treatment dates.</w:t>
      </w:r>
    </w:p>
    <w:p>
      <w:pPr>
        <w:pStyle w:val="CTAOption"/>
      </w:pPr>
      <w:r>
        <w:t>C. A treatment client asks for help locating community resources.</w:t>
      </w:r>
    </w:p>
    <w:p>
      <w:pPr>
        <w:pStyle w:val="CTAOption"/>
      </w:pPr>
      <w:r>
        <w:t>D. Treatment loyalties, missing forensic competence, or conflicting roles would make neutral evaluation unreliable.</w:t>
      </w:r>
    </w:p>
    <w:p>
      <w:pPr>
        <w:pStyle w:val="CTAH3"/>
      </w:pPr>
      <w:r>
        <w:t>Question 97</w:t>
      </w:r>
    </w:p>
    <w:p>
      <w:pPr>
        <w:pStyle w:val="CTABody"/>
      </w:pPr>
      <w:r>
        <w:t>An LCSW is serving on an interdisciplinary team. Which action is MOST appropriate?</w:t>
      </w:r>
    </w:p>
    <w:p>
      <w:pPr>
        <w:pStyle w:val="CTAOption"/>
      </w:pPr>
      <w:r>
        <w:t>A. Share all treatment information because team membership creates blanket authorization.</w:t>
      </w:r>
    </w:p>
    <w:p>
      <w:pPr>
        <w:pStyle w:val="CTAOption"/>
      </w:pPr>
      <w:r>
        <w:t>B. Clarify the social worker’s role, identify decision authority, share only relevant authorized information, and correct team misunderstandings.</w:t>
      </w:r>
    </w:p>
    <w:p>
      <w:pPr>
        <w:pStyle w:val="CTAOption"/>
      </w:pPr>
      <w:r>
        <w:t>C. Allow the team label to conceal whether the social worker is acting as therapist, evaluator, or benefits reviewer.</w:t>
      </w:r>
    </w:p>
    <w:p>
      <w:pPr>
        <w:pStyle w:val="CTAOption"/>
      </w:pPr>
      <w:r>
        <w:t>D. Follow the team’s majority decision even when it requires conduct outside the social worker’s role or competence.</w:t>
      </w:r>
    </w:p>
    <w:p>
      <w:pPr>
        <w:pStyle w:val="CTAH3"/>
      </w:pPr>
      <w:r>
        <w:t>Question 98</w:t>
      </w:r>
    </w:p>
    <w:p>
      <w:pPr>
        <w:pStyle w:val="CTABody"/>
      </w:pPr>
      <w:r>
        <w:t>A supervisor plans to use a supervisee’s difficult client session as a classroom example. What should the supervisor do FIRST?</w:t>
      </w:r>
    </w:p>
    <w:p>
      <w:pPr>
        <w:pStyle w:val="CTAOption"/>
      </w:pPr>
      <w:r>
        <w:t>A. Use the case because supervision gives the supervisor ownership of the information.</w:t>
      </w:r>
    </w:p>
    <w:p>
      <w:pPr>
        <w:pStyle w:val="CTAOption"/>
      </w:pPr>
      <w:r>
        <w:t>B. Ask students to keep the information confidential after the presentation.</w:t>
      </w:r>
    </w:p>
    <w:p>
      <w:pPr>
        <w:pStyle w:val="CTAOption"/>
      </w:pPr>
      <w:r>
        <w:t>C. De-identify the material or obtain appropriate consent and safeguards before using client information for teaching.</w:t>
      </w:r>
    </w:p>
    <w:p>
      <w:pPr>
        <w:pStyle w:val="CTAOption"/>
      </w:pPr>
      <w:r>
        <w:t>D. Use the full record because educational purposes automatically permit disclosure.</w:t>
      </w:r>
    </w:p>
    <w:p>
      <w:pPr>
        <w:pStyle w:val="CTAH3"/>
      </w:pPr>
      <w:r>
        <w:t>Question 99</w:t>
      </w:r>
    </w:p>
    <w:p>
      <w:pPr>
        <w:pStyle w:val="CTABody"/>
      </w:pPr>
      <w:r>
        <w:t>An LCSW recruits current therapy clients into a research study and implies that participation will show commitment to treatment. What is the BEST response?</w:t>
      </w:r>
    </w:p>
    <w:p>
      <w:pPr>
        <w:pStyle w:val="CTAOption"/>
      </w:pPr>
      <w:r>
        <w:t>A. Remove coercive pressure, clarify the research role, ensure voluntary informed consent and alternatives, protect confidentiality, and obtain appropriate oversight.</w:t>
      </w:r>
    </w:p>
    <w:p>
      <w:pPr>
        <w:pStyle w:val="CTAOption"/>
      </w:pPr>
      <w:r>
        <w:t>B. Proceed because current clients are the most relevant research participants.</w:t>
      </w:r>
    </w:p>
    <w:p>
      <w:pPr>
        <w:pStyle w:val="CTAOption"/>
      </w:pPr>
      <w:r>
        <w:t>C. Require participation when the study may improve treatment quality.</w:t>
      </w:r>
    </w:p>
    <w:p>
      <w:pPr>
        <w:pStyle w:val="CTAOption"/>
      </w:pPr>
      <w:r>
        <w:t>D. Obtain a general treatment consent and avoid discussing research risks.</w:t>
      </w:r>
    </w:p>
    <w:p>
      <w:pPr>
        <w:pStyle w:val="CTAH3"/>
      </w:pPr>
      <w:r>
        <w:t>Question 100</w:t>
      </w:r>
    </w:p>
    <w:p>
      <w:pPr>
        <w:pStyle w:val="CTABody"/>
      </w:pPr>
      <w:r>
        <w:t>A benefits reviewer wants to use the client’s entire psychotherapy record to decide eligibility, although only limited functional information is relevant. What should the social worker do?</w:t>
      </w:r>
    </w:p>
    <w:p>
      <w:pPr>
        <w:pStyle w:val="CTAOption"/>
      </w:pPr>
      <w:r>
        <w:t>A. Provide the entire record because the reviewer has organizational authority.</w:t>
      </w:r>
    </w:p>
    <w:p>
      <w:pPr>
        <w:pStyle w:val="CTAOption"/>
      </w:pPr>
      <w:r>
        <w:t>B. Refuse any communication even when the client authorizes limited relevant disclosure.</w:t>
      </w:r>
    </w:p>
    <w:p>
      <w:pPr>
        <w:pStyle w:val="CTAOption"/>
      </w:pPr>
      <w:r>
        <w:t>C. Use only information that is relevant and authorized for the eligibility purpose, clarify the information flow, and separate treatment and gatekeeping functions when feasible.</w:t>
      </w:r>
    </w:p>
    <w:p>
      <w:pPr>
        <w:pStyle w:val="CTAOption"/>
      </w:pPr>
      <w:r>
        <w:t>D. Tell the client that eligibility decisions are outside social-work ethics.</w:t>
      </w:r>
    </w:p>
    <w:p>
      <w:pPr>
        <w:pStyle w:val="CTAH3"/>
      </w:pPr>
      <w:r>
        <w:t>Question 101</w:t>
      </w:r>
    </w:p>
    <w:p>
      <w:pPr>
        <w:pStyle w:val="CTABody"/>
      </w:pPr>
      <w:r>
        <w:t>Which response BEST manages an unavoidable multiple professional relationship?</w:t>
      </w:r>
    </w:p>
    <w:p>
      <w:pPr>
        <w:pStyle w:val="CTAOption"/>
      </w:pPr>
      <w:r>
        <w:t>A. Keep the second role informal so it does not need to be documented.</w:t>
      </w:r>
    </w:p>
    <w:p>
      <w:pPr>
        <w:pStyle w:val="CTAOption"/>
      </w:pPr>
      <w:r>
        <w:t>B. Rely on a signature alone to eliminate all conflicts.</w:t>
      </w:r>
    </w:p>
    <w:p>
      <w:pPr>
        <w:pStyle w:val="CTAOption"/>
      </w:pPr>
      <w:r>
        <w:t>C. Proceed whenever the social worker believes good intentions will prevent harm.</w:t>
      </w:r>
    </w:p>
    <w:p>
      <w:pPr>
        <w:pStyle w:val="CTAOption"/>
      </w:pPr>
      <w:r>
        <w:t>D. Identify risks and alternatives, clarify culturally responsive boundaries, use safeguards, document, and monitor the effect on judgment and client welfare.</w:t>
      </w:r>
    </w:p>
    <w:p>
      <w:pPr>
        <w:pStyle w:val="CTAH3"/>
      </w:pPr>
      <w:r>
        <w:t>Question 102</w:t>
      </w:r>
    </w:p>
    <w:p>
      <w:pPr>
        <w:pStyle w:val="CTABody"/>
      </w:pPr>
      <w:r>
        <w:t>Which sequence BEST reflects the CTA R-O-L-E decision framework?</w:t>
      </w:r>
    </w:p>
    <w:p>
      <w:pPr>
        <w:pStyle w:val="CTAOption"/>
      </w:pPr>
      <w:r>
        <w:t>A. Identify the Role; identify Others and obligations; identify Limits on authority, confidentiality, competence, conflicts, and loyalties; Explain, document, establish safeguards, and evaluate as circumstances change.</w:t>
      </w:r>
    </w:p>
    <w:p>
      <w:pPr>
        <w:pStyle w:val="CTAOption"/>
      </w:pPr>
      <w:r>
        <w:t>B. Review the law; obtain a signature; limit documentation; end the relationship.</w:t>
      </w:r>
    </w:p>
    <w:p>
      <w:pPr>
        <w:pStyle w:val="CTAOption"/>
      </w:pPr>
      <w:r>
        <w:t>C. Rely on organizational policy; obey the requester; limit client questions; evaluate later.</w:t>
      </w:r>
    </w:p>
    <w:p>
      <w:pPr>
        <w:pStyle w:val="CTAOption"/>
      </w:pPr>
      <w:r>
        <w:t>D. Recognize the client’s preferred outcome; offer an opinion; list all records; expand the role.</w:t>
      </w:r>
    </w:p>
    <w:p>
      <w:r>
        <w:br w:type="page"/>
      </w:r>
    </w:p>
    <w:p>
      <w:pPr>
        <w:pStyle w:val="CTAH1"/>
      </w:pPr>
      <w:r>
        <w:t>Attempt Completion Record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tcMar>
              <w:top w:w="60" w:type="dxa"/>
              <w:start w:w="80" w:type="dxa"/>
              <w:bottom w:w="60" w:type="dxa"/>
              <w:end w:w="80" w:type="dxa"/>
            </w:tcMar>
            <w:vAlign w:val="center"/>
            <w:shd w:fill="102A43"/>
          </w:tcPr>
          <w:p>
            <w:r>
              <w:rPr>
                <w:rFonts w:ascii="Arial" w:hAnsi="Arial"/>
                <w:b/>
                <w:color w:val="FFFFFF"/>
                <w:sz w:val="18"/>
              </w:rPr>
              <w:t>Field</w:t>
            </w:r>
          </w:p>
        </w:tc>
        <w:tc>
          <w:tcPr>
            <w:tcW w:type="dxa" w:w="6768"/>
            <w:tcMar>
              <w:top w:w="60" w:type="dxa"/>
              <w:start w:w="80" w:type="dxa"/>
              <w:bottom w:w="60" w:type="dxa"/>
              <w:end w:w="80" w:type="dxa"/>
            </w:tcMar>
            <w:vAlign w:val="center"/>
            <w:shd w:fill="102A43"/>
          </w:tcPr>
          <w:p>
            <w:r>
              <w:rPr>
                <w:rFonts w:ascii="Arial" w:hAnsi="Arial"/>
                <w:b/>
                <w:color w:val="FFFFFF"/>
                <w:sz w:val="18"/>
              </w:rPr>
              <w:t>Candidate entry</w:t>
            </w:r>
          </w:p>
        </w:tc>
      </w:tr>
      <w:tr>
        <w:tc>
          <w:tcPr>
            <w:tcW w:type="dxa" w:w="3312"/>
            <w:tcMar>
              <w:top w:w="60" w:type="dxa"/>
              <w:start w:w="80" w:type="dxa"/>
              <w:bottom w:w="60" w:type="dxa"/>
              <w:end w:w="80" w:type="dxa"/>
            </w:tcMar>
            <w:vAlign w:val="center"/>
          </w:tcPr>
          <w:p>
            <w:r>
              <w:rPr>
                <w:rFonts w:ascii="Arial" w:hAnsi="Arial"/>
                <w:b w:val="0"/>
                <w:color w:val="1F2933"/>
                <w:sz w:val="18"/>
              </w:rPr>
              <w:t>Date completed</w:t>
            </w:r>
          </w:p>
        </w:tc>
        <w:tc>
          <w:tcPr>
            <w:tcW w:type="dxa" w:w="6768"/>
            <w:tcMar>
              <w:top w:w="60" w:type="dxa"/>
              <w:start w:w="80" w:type="dxa"/>
              <w:bottom w:w="60" w:type="dxa"/>
              <w:end w:w="80" w:type="dxa"/>
            </w:tcMar>
            <w:vAlign w:val="center"/>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shd w:fill="F3F5F7"/>
          </w:tcPr>
          <w:p>
            <w:r>
              <w:rPr>
                <w:rFonts w:ascii="Arial" w:hAnsi="Arial"/>
                <w:b w:val="0"/>
                <w:color w:val="1F2933"/>
                <w:sz w:val="18"/>
              </w:rPr>
              <w:t>Start time</w:t>
            </w:r>
          </w:p>
        </w:tc>
        <w:tc>
          <w:tcPr>
            <w:tcW w:type="dxa" w:w="6768"/>
            <w:tcMar>
              <w:top w:w="60" w:type="dxa"/>
              <w:start w:w="80" w:type="dxa"/>
              <w:bottom w:w="60" w:type="dxa"/>
              <w:end w:w="80" w:type="dxa"/>
            </w:tcMar>
            <w:vAlign w:val="center"/>
            <w:shd w:fill="F3F5F7"/>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tcPr>
          <w:p>
            <w:r>
              <w:rPr>
                <w:rFonts w:ascii="Arial" w:hAnsi="Arial"/>
                <w:b w:val="0"/>
                <w:color w:val="1F2933"/>
                <w:sz w:val="18"/>
              </w:rPr>
              <w:t>End time</w:t>
            </w:r>
          </w:p>
        </w:tc>
        <w:tc>
          <w:tcPr>
            <w:tcW w:type="dxa" w:w="6768"/>
            <w:tcMar>
              <w:top w:w="60" w:type="dxa"/>
              <w:start w:w="80" w:type="dxa"/>
              <w:bottom w:w="60" w:type="dxa"/>
              <w:end w:w="80" w:type="dxa"/>
            </w:tcMar>
            <w:vAlign w:val="center"/>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shd w:fill="F3F5F7"/>
          </w:tcPr>
          <w:p>
            <w:r>
              <w:rPr>
                <w:rFonts w:ascii="Arial" w:hAnsi="Arial"/>
                <w:b w:val="0"/>
                <w:color w:val="1F2933"/>
                <w:sz w:val="18"/>
              </w:rPr>
              <w:t>Total minutes</w:t>
            </w:r>
          </w:p>
        </w:tc>
        <w:tc>
          <w:tcPr>
            <w:tcW w:type="dxa" w:w="6768"/>
            <w:tcMar>
              <w:top w:w="60" w:type="dxa"/>
              <w:start w:w="80" w:type="dxa"/>
              <w:bottom w:w="60" w:type="dxa"/>
              <w:end w:w="80" w:type="dxa"/>
            </w:tcMar>
            <w:vAlign w:val="center"/>
            <w:shd w:fill="F3F5F7"/>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tcPr>
          <w:p>
            <w:r>
              <w:rPr>
                <w:rFonts w:ascii="Arial" w:hAnsi="Arial"/>
                <w:b w:val="0"/>
                <w:color w:val="1F2933"/>
                <w:sz w:val="18"/>
              </w:rPr>
              <w:t>First-attempt score</w:t>
            </w:r>
          </w:p>
        </w:tc>
        <w:tc>
          <w:tcPr>
            <w:tcW w:type="dxa" w:w="6768"/>
            <w:tcMar>
              <w:top w:w="60" w:type="dxa"/>
              <w:start w:w="80" w:type="dxa"/>
              <w:bottom w:w="60" w:type="dxa"/>
              <w:end w:w="80" w:type="dxa"/>
            </w:tcMar>
            <w:vAlign w:val="center"/>
          </w:tcPr>
          <w:p>
            <w:r>
              <w:rPr>
                <w:rFonts w:ascii="Arial" w:hAnsi="Arial"/>
                <w:b w:val="0"/>
                <w:color w:val="1F2933"/>
                <w:sz w:val="18"/>
              </w:rPr>
              <w:t>________ / 102</w:t>
            </w:r>
          </w:p>
        </w:tc>
      </w:tr>
      <w:tr>
        <w:tc>
          <w:tcPr>
            <w:tcW w:type="dxa" w:w="3312"/>
            <w:tcMar>
              <w:top w:w="60" w:type="dxa"/>
              <w:start w:w="80" w:type="dxa"/>
              <w:bottom w:w="60" w:type="dxa"/>
              <w:end w:w="80" w:type="dxa"/>
            </w:tcMar>
            <w:vAlign w:val="center"/>
            <w:shd w:fill="F3F5F7"/>
          </w:tcPr>
          <w:p>
            <w:r>
              <w:rPr>
                <w:rFonts w:ascii="Arial" w:hAnsi="Arial"/>
                <w:b w:val="0"/>
                <w:color w:val="1F2933"/>
                <w:sz w:val="18"/>
              </w:rPr>
              <w:t>Items marked for review</w:t>
            </w:r>
          </w:p>
        </w:tc>
        <w:tc>
          <w:tcPr>
            <w:tcW w:type="dxa" w:w="6768"/>
            <w:tcMar>
              <w:top w:w="60" w:type="dxa"/>
              <w:start w:w="80" w:type="dxa"/>
              <w:bottom w:w="60" w:type="dxa"/>
              <w:end w:w="80" w:type="dxa"/>
            </w:tcMar>
            <w:vAlign w:val="center"/>
            <w:shd w:fill="F3F5F7"/>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tcPr>
          <w:p>
            <w:r>
              <w:rPr>
                <w:rFonts w:ascii="Arial" w:hAnsi="Arial"/>
                <w:b w:val="0"/>
                <w:color w:val="1F2933"/>
                <w:sz w:val="18"/>
              </w:rPr>
              <w:t>Low-confidence correct items</w:t>
            </w:r>
          </w:p>
        </w:tc>
        <w:tc>
          <w:tcPr>
            <w:tcW w:type="dxa" w:w="6768"/>
            <w:tcMar>
              <w:top w:w="60" w:type="dxa"/>
              <w:start w:w="80" w:type="dxa"/>
              <w:bottom w:w="60" w:type="dxa"/>
              <w:end w:w="80" w:type="dxa"/>
            </w:tcMar>
            <w:vAlign w:val="center"/>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shd w:fill="F3F5F7"/>
          </w:tcPr>
          <w:p>
            <w:r>
              <w:rPr>
                <w:rFonts w:ascii="Arial" w:hAnsi="Arial"/>
                <w:b w:val="0"/>
                <w:color w:val="1F2933"/>
                <w:sz w:val="18"/>
              </w:rPr>
              <w:t>Primary remediation topics</w:t>
            </w:r>
          </w:p>
        </w:tc>
        <w:tc>
          <w:tcPr>
            <w:tcW w:type="dxa" w:w="6768"/>
            <w:tcMar>
              <w:top w:w="60" w:type="dxa"/>
              <w:start w:w="80" w:type="dxa"/>
              <w:bottom w:w="60" w:type="dxa"/>
              <w:end w:w="80" w:type="dxa"/>
            </w:tcMar>
            <w:vAlign w:val="center"/>
            <w:shd w:fill="F3F5F7"/>
          </w:tcPr>
          <w:p>
            <w:r>
              <w:rPr>
                <w:rFonts w:ascii="Arial" w:hAnsi="Arial"/>
                <w:b w:val="0"/>
                <w:color w:val="1F2933"/>
                <w:sz w:val="18"/>
              </w:rPr>
              <w:t>____________________________</w:t>
            </w:r>
          </w:p>
        </w:tc>
      </w:tr>
    </w:tbl>
    <w:p>
      <w:pPr>
        <w:pStyle w:val="CTAH2"/>
      </w:pPr>
      <w:r>
        <w:t>Post-Attempt Review Sequence</w:t>
      </w:r>
    </w:p>
    <w:p>
      <w:pPr>
        <w:pStyle w:val="CTABody"/>
      </w:pPr>
      <w:r>
        <w:t>1. Score the assessment using the separate controlled answer key.</w:t>
      </w:r>
    </w:p>
    <w:p>
      <w:pPr>
        <w:pStyle w:val="CTABody"/>
      </w:pPr>
      <w:r>
        <w:t>2. Read the rationale for the correct answer and all three alternatives.</w:t>
      </w:r>
    </w:p>
    <w:p>
      <w:pPr>
        <w:pStyle w:val="CTABody"/>
      </w:pPr>
      <w:r>
        <w:t>3. Return to the exact WB3 chapter/section for missed or low-confidence concepts.</w:t>
      </w:r>
    </w:p>
    <w:p>
      <w:pPr>
        <w:pStyle w:val="CTABody"/>
      </w:pPr>
      <w:r>
        <w:t>4. Use mapped flashcards and remediation routes after answer review.</w:t>
      </w:r>
    </w:p>
    <w:p>
      <w:pPr>
        <w:pStyle w:val="CTABody"/>
      </w:pPr>
      <w:r>
        <w:t>5. Practice applying the governing framework to a new scenario before retesting.</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ASSESSMENT BOUNDARY: This learner form intentionally excludes correct-answer letters, rationale text, difficulty labels, source citations, item-bank IDs, reserve/allocation metadata, and remediation keys from the question body.</w:t>
            </w:r>
          </w:p>
        </w:tc>
        <w:trPr>
          <w:tblHeader/>
        </w:trPr>
      </w:tr>
    </w:tbl>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6873"/>
        <w:sz w:val="16"/>
      </w:rPr>
      <w:t xml:space="preserve">CTA-EP-002 | WB3 LCSW Candidate Assessment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rPr>
      <w:rFonts w:ascii="Arial" w:hAnsi="Arial"/>
      <w:b/>
      <w:color w:val="102A43"/>
      <w:sz w:val="48"/>
    </w:rPr>
  </w:style>
  <w:style w:type="paragraph" w:customStyle="1" w:styleId="CTASubtitle">
    <w:name w:val="CTA Subtitle"/>
    <w:rPr>
      <w:rFonts w:ascii="Arial" w:hAnsi="Arial"/>
      <w:b/>
      <w:color w:val="176B78"/>
      <w:sz w:val="30"/>
    </w:rPr>
  </w:style>
  <w:style w:type="paragraph" w:customStyle="1" w:styleId="CTAH1">
    <w:name w:val="CTA H1"/>
    <w:pPr>
      <w:spacing w:before="160" w:after="80"/>
    </w:pPr>
    <w:rPr>
      <w:rFonts w:ascii="Arial" w:hAnsi="Arial"/>
      <w:b/>
      <w:color w:val="102A43"/>
      <w:sz w:val="32"/>
    </w:rPr>
  </w:style>
  <w:style w:type="paragraph" w:customStyle="1" w:styleId="CTAH2">
    <w:name w:val="CTA H2"/>
    <w:pPr>
      <w:spacing w:before="160" w:after="80"/>
    </w:pPr>
    <w:rPr>
      <w:rFonts w:ascii="Arial" w:hAnsi="Arial"/>
      <w:b/>
      <w:color w:val="102A43"/>
      <w:sz w:val="25"/>
    </w:rPr>
  </w:style>
  <w:style w:type="paragraph" w:customStyle="1" w:styleId="CTAH3">
    <w:name w:val="CTA H3"/>
    <w:pPr>
      <w:spacing w:before="160" w:after="80"/>
    </w:pPr>
    <w:rPr>
      <w:rFonts w:ascii="Arial" w:hAnsi="Arial"/>
      <w:b/>
      <w:color w:val="176B78"/>
      <w:sz w:val="21"/>
    </w:rPr>
  </w:style>
  <w:style w:type="paragraph" w:customStyle="1" w:styleId="CTABody">
    <w:name w:val="CTA Body"/>
    <w:pPr>
      <w:spacing w:after="60"/>
    </w:pPr>
    <w:rPr>
      <w:rFonts w:ascii="Arial" w:hAnsi="Arial"/>
      <w:b w:val="0"/>
      <w:color w:val="1F2933"/>
      <w:sz w:val="19"/>
    </w:rPr>
  </w:style>
  <w:style w:type="paragraph" w:customStyle="1" w:styleId="CTASmall">
    <w:name w:val="CTA Small"/>
    <w:rPr>
      <w:rFonts w:ascii="Arial" w:hAnsi="Arial"/>
      <w:b w:val="0"/>
      <w:color w:val="5D6873"/>
      <w:sz w:val="16"/>
    </w:rPr>
  </w:style>
  <w:style w:type="paragraph" w:customStyle="1" w:styleId="CTAOption">
    <w:name w:val="CTA Option"/>
    <w:pPr>
      <w:spacing w:after="30"/>
    </w:pPr>
    <w:rPr>
      <w:rFonts w:ascii="Arial" w:hAnsi="Arial"/>
      <w:b w:val="0"/>
      <w:color w:val="1F2933"/>
      <w:sz w:val="19"/>
    </w:rPr>
  </w:style>
  <w:style w:type="paragraph" w:customStyle="1" w:styleId="CTAMeta">
    <w:name w:val="CTA Meta"/>
    <w:rPr>
      <w:rFonts w:ascii="Arial" w:hAnsi="Arial"/>
      <w:b w:val="0"/>
      <w:color w:val="5D6873"/>
      <w:sz w:val="17"/>
    </w:rPr>
  </w:style>
  <w:style w:type="paragraph" w:customStyle="1" w:styleId="CTACallout">
    <w:name w:val="CTA Callout"/>
    <w:rPr>
      <w:rFonts w:ascii="Arial" w:hAnsi="Arial"/>
      <w:b/>
      <w:color w:val="102A4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&amp; Ethics EP WB3 102-Question Candidate Assessment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