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A6A6"/>
          <w:sz w:val="23"/>
        </w:rPr>
        <w:t>CONTROLLED | CALIFORNIA LAW &amp; ETHICS EXAM PREPARATION</w:t>
      </w:r>
    </w:p>
    <w:p>
      <w:pPr>
        <w:jc w:val="center"/>
      </w:pPr>
      <w:r>
        <w:rPr>
          <w:b/>
          <w:color w:val="17365D"/>
          <w:sz w:val="40"/>
        </w:rPr>
        <w:t>CTA LCSW California Law &amp; Ethics</w:t>
        <w:br/>
        <w:t>Exam Preparation Program</w:t>
      </w:r>
    </w:p>
    <w:p>
      <w:pPr>
        <w:jc w:val="center"/>
      </w:pPr>
      <w:r>
        <w:rPr>
          <w:b/>
          <w:color w:val="17365D"/>
          <w:sz w:val="34"/>
        </w:rPr>
        <w:t>Comprehensive Final Examination</w:t>
        <w:br/>
        <w:t>Controlled Answer Key and Detailed Rationales</w:t>
      </w:r>
    </w:p>
    <w:p>
      <w:pPr>
        <w:jc w:val="center"/>
      </w:pPr>
      <w:r>
        <w:rPr>
          <w:b/>
          <w:sz w:val="24"/>
        </w:rPr>
        <w:t>100 Released Questions | 400 Option Rationales</w:t>
      </w:r>
    </w:p>
    <w:p>
      <w:pPr>
        <w:jc w:val="center"/>
      </w:pPr>
      <w:r>
        <w:t>CTA-EP-002 | Version 1.3 | August 7, 2026</w:t>
      </w:r>
    </w:p>
    <w:p>
      <w:pPr>
        <w:jc w:val="center"/>
      </w:pPr>
      <w:r>
        <w:rPr>
          <w:i/>
          <w:color w:val="1AA6A6"/>
        </w:rPr>
        <w:t>Teaching Clinicians How to Think.</w:t>
      </w:r>
    </w:p>
    <w:tbl>
      <w:tblPr>
        <w:tblStyle w:val="TableGrid"/>
        <w:tblW w:type="auto" w:w="0"/>
        <w:jc w:val="center"/>
        <w:tblLook w:firstColumn="1" w:firstRow="1" w:lastColumn="0" w:lastRow="0" w:noHBand="0" w:noVBand="1" w:val="04A0"/>
      </w:tblPr>
      <w:tblGrid>
        <w:gridCol w:w="10454"/>
      </w:tblGrid>
      <w:tr>
        <w:trPr>
          <w:cantSplit/>
          <w:tblHeader/>
        </w:trPr>
        <w:tc>
          <w:tcPr>
            <w:tcW w:type="dxa" w:w="10454"/>
            <w:shd w:fill="EAF7F7"/>
            <w:tcMar>
              <w:top w:w="55" w:type="dxa"/>
              <w:start w:w="65" w:type="dxa"/>
              <w:bottom w:w="55" w:type="dxa"/>
              <w:end w:w="65" w:type="dxa"/>
            </w:tcMar>
            <w:vAlign w:val="center"/>
          </w:tcPr>
          <w:p>
            <w:pPr>
              <w:spacing w:after="0"/>
            </w:pPr>
            <w:r>
              <w:t>DETAILED RATIONALE STUDY EDITION</w:t>
              <w:br/>
              <w:t>Recommended for post-attempt learner review. Keep this printable rationale file accessible from enrollment; do not apply a prerequisite, score, or completion lock. This file contains correct answers, detailed rationales, and internal source/remediation controls.</w:t>
            </w:r>
          </w:p>
        </w:tc>
      </w:tr>
    </w:tbl>
    <w:p>
      <w:pPr>
        <w:pStyle w:val="Heading1"/>
      </w:pPr>
      <w:r>
        <w:t>Document Control</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5227"/>
            <w:shd w:fill="17365D"/>
            <w:tcMar>
              <w:top w:w="55" w:type="dxa"/>
              <w:start w:w="65" w:type="dxa"/>
              <w:bottom w:w="55" w:type="dxa"/>
              <w:end w:w="65" w:type="dxa"/>
            </w:tcMar>
            <w:vAlign w:val="center"/>
          </w:tcPr>
          <w:p>
            <w:pPr>
              <w:spacing w:after="0"/>
            </w:pPr>
            <w:r>
              <w:rPr>
                <w:sz w:val="16"/>
              </w:rPr>
            </w:r>
            <w:r>
              <w:rPr>
                <w:b/>
                <w:color w:val="FFFFFF"/>
                <w:sz w:val="16"/>
              </w:rPr>
              <w:t>Field</w:t>
            </w:r>
          </w:p>
        </w:tc>
        <w:tc>
          <w:tcPr>
            <w:tcW w:type="dxa" w:w="5227"/>
            <w:shd w:fill="17365D"/>
            <w:tcMar>
              <w:top w:w="55" w:type="dxa"/>
              <w:start w:w="65" w:type="dxa"/>
              <w:bottom w:w="55" w:type="dxa"/>
              <w:end w:w="65" w:type="dxa"/>
            </w:tcMar>
            <w:vAlign w:val="center"/>
          </w:tcPr>
          <w:p>
            <w:pPr>
              <w:spacing w:after="0"/>
            </w:pPr>
            <w:r>
              <w:rPr>
                <w:sz w:val="16"/>
              </w:rPr>
            </w:r>
            <w:r>
              <w:rPr>
                <w:b/>
                <w:color w:val="FFFFFF"/>
                <w:sz w:val="16"/>
              </w:rPr>
              <w:t>Controlling entry</w:t>
            </w:r>
          </w:p>
        </w:tc>
      </w:tr>
      <w:tr>
        <w:trPr>
          <w:cantSplit/>
        </w:trPr>
        <w:tc>
          <w:tcPr>
            <w:tcW w:type="dxa" w:w="5227"/>
            <w:vAlign w:val="center"/>
            <w:tcMar>
              <w:top w:w="55" w:type="dxa"/>
              <w:start w:w="65" w:type="dxa"/>
              <w:bottom w:w="55" w:type="dxa"/>
              <w:end w:w="65" w:type="dxa"/>
            </w:tcMar>
          </w:tcPr>
          <w:p>
            <w:pPr>
              <w:spacing w:after="0"/>
            </w:pPr>
            <w:r>
              <w:rPr>
                <w:sz w:val="16"/>
              </w:rPr>
              <w:t>Program</w:t>
            </w:r>
          </w:p>
        </w:tc>
        <w:tc>
          <w:tcPr>
            <w:tcW w:type="dxa" w:w="5227"/>
            <w:vAlign w:val="center"/>
            <w:tcMar>
              <w:top w:w="55" w:type="dxa"/>
              <w:start w:w="65" w:type="dxa"/>
              <w:bottom w:w="55" w:type="dxa"/>
              <w:end w:w="65" w:type="dxa"/>
            </w:tcMar>
          </w:tcPr>
          <w:p>
            <w:pPr>
              <w:spacing w:after="0"/>
            </w:pPr>
            <w:r>
              <w:rPr>
                <w:sz w:val="16"/>
              </w:rPr>
              <w:t>CTA LCSW California Law &amp; Ethics Exam Preparation Program</w:t>
            </w:r>
          </w:p>
        </w:tc>
      </w:tr>
      <w:tr>
        <w:trPr>
          <w:cantSplit/>
        </w:trPr>
        <w:tc>
          <w:tcPr>
            <w:tcW w:type="dxa" w:w="5227"/>
            <w:vAlign w:val="center"/>
            <w:tcMar>
              <w:top w:w="55" w:type="dxa"/>
              <w:start w:w="65" w:type="dxa"/>
              <w:bottom w:w="55" w:type="dxa"/>
              <w:end w:w="65" w:type="dxa"/>
            </w:tcMar>
            <w:shd w:fill="F2F4F7"/>
          </w:tcPr>
          <w:p>
            <w:pPr>
              <w:spacing w:after="0"/>
            </w:pPr>
            <w:r>
              <w:rPr>
                <w:sz w:val="16"/>
              </w:rPr>
              <w:t>Program code</w:t>
            </w:r>
          </w:p>
        </w:tc>
        <w:tc>
          <w:tcPr>
            <w:tcW w:type="dxa" w:w="5227"/>
            <w:vAlign w:val="center"/>
            <w:tcMar>
              <w:top w:w="55" w:type="dxa"/>
              <w:start w:w="65" w:type="dxa"/>
              <w:bottom w:w="55" w:type="dxa"/>
              <w:end w:w="65" w:type="dxa"/>
            </w:tcMar>
            <w:shd w:fill="F2F4F7"/>
          </w:tcPr>
          <w:p>
            <w:pPr>
              <w:spacing w:after="0"/>
            </w:pPr>
            <w:r>
              <w:rPr>
                <w:sz w:val="16"/>
              </w:rPr>
              <w:t>CTA-EP-002</w:t>
            </w:r>
          </w:p>
        </w:tc>
      </w:tr>
      <w:tr>
        <w:trPr>
          <w:cantSplit/>
        </w:trPr>
        <w:tc>
          <w:tcPr>
            <w:tcW w:type="dxa" w:w="5227"/>
            <w:vAlign w:val="center"/>
            <w:tcMar>
              <w:top w:w="55" w:type="dxa"/>
              <w:start w:w="65" w:type="dxa"/>
              <w:bottom w:w="55" w:type="dxa"/>
              <w:end w:w="65" w:type="dxa"/>
            </w:tcMar>
          </w:tcPr>
          <w:p>
            <w:pPr>
              <w:spacing w:after="0"/>
            </w:pPr>
            <w:r>
              <w:rPr>
                <w:sz w:val="16"/>
              </w:rPr>
              <w:t>Audience</w:t>
            </w:r>
          </w:p>
        </w:tc>
        <w:tc>
          <w:tcPr>
            <w:tcW w:type="dxa" w:w="5227"/>
            <w:vAlign w:val="center"/>
            <w:tcMar>
              <w:top w:w="55" w:type="dxa"/>
              <w:start w:w="65" w:type="dxa"/>
              <w:bottom w:w="55" w:type="dxa"/>
              <w:end w:w="65" w:type="dxa"/>
            </w:tcMar>
          </w:tcPr>
          <w:p>
            <w:pPr>
              <w:spacing w:after="0"/>
            </w:pPr>
            <w:r>
              <w:rPr>
                <w:sz w:val="16"/>
              </w:rPr>
              <w:t>LCSW and ASW candidates</w:t>
            </w:r>
          </w:p>
        </w:tc>
      </w:tr>
      <w:tr>
        <w:trPr>
          <w:cantSplit/>
        </w:trPr>
        <w:tc>
          <w:tcPr>
            <w:tcW w:type="dxa" w:w="5227"/>
            <w:vAlign w:val="center"/>
            <w:tcMar>
              <w:top w:w="55" w:type="dxa"/>
              <w:start w:w="65" w:type="dxa"/>
              <w:bottom w:w="55" w:type="dxa"/>
              <w:end w:w="65" w:type="dxa"/>
            </w:tcMar>
            <w:shd w:fill="F2F4F7"/>
          </w:tcPr>
          <w:p>
            <w:pPr>
              <w:spacing w:after="0"/>
            </w:pPr>
            <w:r>
              <w:rPr>
                <w:sz w:val="16"/>
              </w:rPr>
              <w:t>Component</w:t>
            </w:r>
          </w:p>
        </w:tc>
        <w:tc>
          <w:tcPr>
            <w:tcW w:type="dxa" w:w="5227"/>
            <w:vAlign w:val="center"/>
            <w:tcMar>
              <w:top w:w="55" w:type="dxa"/>
              <w:start w:w="65" w:type="dxa"/>
              <w:bottom w:w="55" w:type="dxa"/>
              <w:end w:w="65" w:type="dxa"/>
            </w:tcMar>
            <w:shd w:fill="F2F4F7"/>
          </w:tcPr>
          <w:p>
            <w:pPr>
              <w:spacing w:after="0"/>
            </w:pPr>
            <w:r>
              <w:rPr>
                <w:sz w:val="16"/>
              </w:rPr>
              <w:t>Comprehensive Final Examination - 100-question controlled answer key and detailed rationales</w:t>
            </w:r>
          </w:p>
        </w:tc>
      </w:tr>
      <w:tr>
        <w:trPr>
          <w:cantSplit/>
        </w:trPr>
        <w:tc>
          <w:tcPr>
            <w:tcW w:type="dxa" w:w="5227"/>
            <w:vAlign w:val="center"/>
            <w:tcMar>
              <w:top w:w="55" w:type="dxa"/>
              <w:start w:w="65" w:type="dxa"/>
              <w:bottom w:w="55" w:type="dxa"/>
              <w:end w:w="65" w:type="dxa"/>
            </w:tcMar>
          </w:tcPr>
          <w:p>
            <w:pPr>
              <w:spacing w:after="0"/>
            </w:pPr>
            <w:r>
              <w:rPr>
                <w:sz w:val="16"/>
              </w:rPr>
              <w:t>Item IDs</w:t>
            </w:r>
          </w:p>
        </w:tc>
        <w:tc>
          <w:tcPr>
            <w:tcW w:type="dxa" w:w="5227"/>
            <w:vAlign w:val="center"/>
            <w:tcMar>
              <w:top w:w="55" w:type="dxa"/>
              <w:start w:w="65" w:type="dxa"/>
              <w:bottom w:w="55" w:type="dxa"/>
              <w:end w:w="65" w:type="dxa"/>
            </w:tcMar>
          </w:tcPr>
          <w:p>
            <w:pPr>
              <w:spacing w:after="0"/>
            </w:pPr>
            <w:r>
              <w:rPr>
                <w:sz w:val="16"/>
              </w:rPr>
              <w:t>CTA-EP-002-CUM-F-001 through CTA-EP-002-CUM-F-100</w:t>
            </w:r>
          </w:p>
        </w:tc>
      </w:tr>
      <w:tr>
        <w:trPr>
          <w:cantSplit/>
        </w:trPr>
        <w:tc>
          <w:tcPr>
            <w:tcW w:type="dxa" w:w="5227"/>
            <w:vAlign w:val="center"/>
            <w:tcMar>
              <w:top w:w="55" w:type="dxa"/>
              <w:start w:w="65" w:type="dxa"/>
              <w:bottom w:w="55" w:type="dxa"/>
              <w:end w:w="65" w:type="dxa"/>
            </w:tcMar>
            <w:shd w:fill="F2F4F7"/>
          </w:tcPr>
          <w:p>
            <w:pPr>
              <w:spacing w:after="0"/>
            </w:pPr>
            <w:r>
              <w:rPr>
                <w:sz w:val="16"/>
              </w:rPr>
              <w:t>Release rule</w:t>
            </w:r>
          </w:p>
        </w:tc>
        <w:tc>
          <w:tcPr>
            <w:tcW w:type="dxa" w:w="5227"/>
            <w:vAlign w:val="center"/>
            <w:tcMar>
              <w:top w:w="55" w:type="dxa"/>
              <w:start w:w="65" w:type="dxa"/>
              <w:bottom w:w="55" w:type="dxa"/>
              <w:end w:w="65" w:type="dxa"/>
            </w:tcMar>
            <w:shd w:fill="F2F4F7"/>
          </w:tcPr>
          <w:p>
            <w:pPr>
              <w:spacing w:after="0"/>
            </w:pPr>
            <w:r>
              <w:rPr>
                <w:sz w:val="16"/>
              </w:rPr>
              <w:t>Open from enrollment; recommend post-attempt review for strongest diagnostic value; no technical access lock</w:t>
            </w:r>
          </w:p>
        </w:tc>
      </w:tr>
      <w:tr>
        <w:trPr>
          <w:cantSplit/>
        </w:trPr>
        <w:tc>
          <w:tcPr>
            <w:tcW w:type="dxa" w:w="5227"/>
            <w:vAlign w:val="center"/>
            <w:tcMar>
              <w:top w:w="55" w:type="dxa"/>
              <w:start w:w="65" w:type="dxa"/>
              <w:bottom w:w="55" w:type="dxa"/>
              <w:end w:w="65" w:type="dxa"/>
            </w:tcMar>
          </w:tcPr>
          <w:p>
            <w:pPr>
              <w:spacing w:after="0"/>
            </w:pPr>
            <w:r>
              <w:rPr>
                <w:sz w:val="16"/>
              </w:rPr>
              <w:t>Source review basis</w:t>
            </w:r>
          </w:p>
        </w:tc>
        <w:tc>
          <w:tcPr>
            <w:tcW w:type="dxa" w:w="5227"/>
            <w:vAlign w:val="center"/>
            <w:tcMar>
              <w:top w:w="55" w:type="dxa"/>
              <w:start w:w="65" w:type="dxa"/>
              <w:bottom w:w="55" w:type="dxa"/>
              <w:end w:w="65" w:type="dxa"/>
            </w:tcMar>
          </w:tcPr>
          <w:p>
            <w:pPr>
              <w:spacing w:after="0"/>
            </w:pPr>
            <w:r>
              <w:rPr>
                <w:sz w:val="16"/>
              </w:rPr>
              <w:t>BBS Statutes and Regulations issued January 2026; BBS 2026 telehealth, advertising, supervision, registration, and record materials; current California codes; NASW Code of Ethics with 2021 revisions; Stage 4D1 source-control records</w:t>
            </w:r>
          </w:p>
        </w:tc>
      </w:tr>
      <w:tr>
        <w:trPr>
          <w:cantSplit/>
        </w:trPr>
        <w:tc>
          <w:tcPr>
            <w:tcW w:type="dxa" w:w="5227"/>
            <w:vAlign w:val="center"/>
            <w:tcMar>
              <w:top w:w="55" w:type="dxa"/>
              <w:start w:w="65" w:type="dxa"/>
              <w:bottom w:w="55" w:type="dxa"/>
              <w:end w:w="65" w:type="dxa"/>
            </w:tcMar>
            <w:shd w:fill="F2F4F7"/>
          </w:tcPr>
          <w:p>
            <w:pPr>
              <w:spacing w:after="0"/>
            </w:pPr>
            <w:r>
              <w:rPr>
                <w:sz w:val="16"/>
              </w:rPr>
              <w:t>Current status</w:t>
            </w:r>
          </w:p>
        </w:tc>
        <w:tc>
          <w:tcPr>
            <w:tcW w:type="dxa" w:w="5227"/>
            <w:vAlign w:val="center"/>
            <w:tcMar>
              <w:top w:w="55" w:type="dxa"/>
              <w:start w:w="65" w:type="dxa"/>
              <w:bottom w:w="55" w:type="dxa"/>
              <w:end w:w="65" w:type="dxa"/>
            </w:tcMar>
            <w:shd w:fill="F2F4F7"/>
          </w:tcPr>
          <w:p>
            <w:pPr>
              <w:spacing w:after="0"/>
            </w:pPr>
            <w:r>
              <w:rPr>
                <w:sz w:val="16"/>
              </w:rPr>
              <w:t>STAGE 5D CURRENTNESS &amp; CONSISTENCY QA COMPLETE; Version 1.3 is the controlling implementation copy. Private staging is authorized; public activation remains blocked pending Stage 5E learner-view testing, defect closure, backup/rollback verification, and owner release approval</w:t>
            </w:r>
          </w:p>
        </w:tc>
      </w:tr>
      <w:tr>
        <w:trPr>
          <w:cantSplit/>
        </w:trPr>
        <w:tc>
          <w:tcPr>
            <w:tcW w:type="dxa" w:w="5227"/>
            <w:vAlign w:val="center"/>
            <w:tcMar>
              <w:top w:w="55" w:type="dxa"/>
              <w:start w:w="65" w:type="dxa"/>
              <w:bottom w:w="55" w:type="dxa"/>
              <w:end w:w="65" w:type="dxa"/>
            </w:tcMar>
          </w:tcPr>
          <w:p>
            <w:pPr>
              <w:spacing w:after="0"/>
            </w:pPr>
            <w:r>
              <w:rPr>
                <w:sz w:val="16"/>
              </w:rPr>
              <w:t>Public release</w:t>
            </w:r>
          </w:p>
        </w:tc>
        <w:tc>
          <w:tcPr>
            <w:tcW w:type="dxa" w:w="5227"/>
            <w:vAlign w:val="center"/>
            <w:tcMar>
              <w:top w:w="55" w:type="dxa"/>
              <w:start w:w="65" w:type="dxa"/>
              <w:bottom w:w="55" w:type="dxa"/>
              <w:end w:w="65" w:type="dxa"/>
            </w:tcMar>
          </w:tcPr>
          <w:p>
            <w:pPr>
              <w:spacing w:after="0"/>
            </w:pPr>
            <w:r>
              <w:t>PRIVATE STAGING ONLY - PUBLIC ACTIVATION PENDING STAGE 5E</w:t>
            </w:r>
          </w:p>
        </w:tc>
      </w:tr>
    </w:tbl>
    <w:p>
      <w:pPr>
        <w:pStyle w:val="Heading1"/>
      </w:pPr>
      <w:r>
        <w:t>Master Answer Key and Profile</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cantSplit/>
        </w:trPr>
        <w:tc>
          <w:tcPr>
            <w:tcW w:type="dxa" w:w="1493"/>
            <w:shd w:fill="17365D"/>
            <w:tcMar>
              <w:top w:w="55" w:type="dxa"/>
              <w:start w:w="65" w:type="dxa"/>
              <w:bottom w:w="55" w:type="dxa"/>
              <w:end w:w="65" w:type="dxa"/>
            </w:tcMar>
            <w:vAlign w:val="center"/>
          </w:tcPr>
          <w:p>
            <w:pPr>
              <w:spacing w:after="0"/>
            </w:pPr>
            <w:r>
              <w:rPr>
                <w:sz w:val="14"/>
              </w:rPr>
            </w:r>
            <w:r>
              <w:rPr>
                <w:b/>
                <w:color w:val="FFFFFF"/>
                <w:sz w:val="14"/>
              </w:rPr>
              <w:t>Item</w:t>
            </w:r>
          </w:p>
        </w:tc>
        <w:tc>
          <w:tcPr>
            <w:tcW w:type="dxa" w:w="1493"/>
            <w:shd w:fill="17365D"/>
            <w:tcMar>
              <w:top w:w="55" w:type="dxa"/>
              <w:start w:w="65" w:type="dxa"/>
              <w:bottom w:w="55" w:type="dxa"/>
              <w:end w:w="65" w:type="dxa"/>
            </w:tcMar>
            <w:vAlign w:val="center"/>
          </w:tcPr>
          <w:p>
            <w:pPr>
              <w:spacing w:after="0"/>
            </w:pPr>
            <w:r>
              <w:rPr>
                <w:sz w:val="14"/>
              </w:rPr>
            </w:r>
            <w:r>
              <w:rPr>
                <w:b/>
                <w:color w:val="FFFFFF"/>
                <w:sz w:val="14"/>
              </w:rPr>
              <w:t>Key</w:t>
            </w:r>
          </w:p>
        </w:tc>
        <w:tc>
          <w:tcPr>
            <w:tcW w:type="dxa" w:w="1493"/>
            <w:shd w:fill="17365D"/>
            <w:tcMar>
              <w:top w:w="55" w:type="dxa"/>
              <w:start w:w="65" w:type="dxa"/>
              <w:bottom w:w="55" w:type="dxa"/>
              <w:end w:w="65" w:type="dxa"/>
            </w:tcMar>
            <w:vAlign w:val="center"/>
          </w:tcPr>
          <w:p>
            <w:pPr>
              <w:spacing w:after="0"/>
            </w:pPr>
            <w:r>
              <w:rPr>
                <w:sz w:val="14"/>
              </w:rPr>
            </w:r>
            <w:r>
              <w:rPr>
                <w:b/>
                <w:color w:val="FFFFFF"/>
                <w:sz w:val="14"/>
              </w:rPr>
              <w:t>Domain</w:t>
            </w:r>
          </w:p>
        </w:tc>
        <w:tc>
          <w:tcPr>
            <w:tcW w:type="dxa" w:w="1493"/>
            <w:shd w:fill="17365D"/>
            <w:tcMar>
              <w:top w:w="55" w:type="dxa"/>
              <w:start w:w="65" w:type="dxa"/>
              <w:bottom w:w="55" w:type="dxa"/>
              <w:end w:w="65" w:type="dxa"/>
            </w:tcMar>
            <w:vAlign w:val="center"/>
          </w:tcPr>
          <w:p>
            <w:pPr>
              <w:spacing w:after="0"/>
            </w:pPr>
            <w:r>
              <w:rPr>
                <w:sz w:val="14"/>
              </w:rPr>
            </w:r>
            <w:r>
              <w:rPr>
                <w:b/>
                <w:color w:val="FFFFFF"/>
                <w:sz w:val="14"/>
              </w:rPr>
              <w:t>Difficulty</w:t>
            </w:r>
          </w:p>
        </w:tc>
        <w:tc>
          <w:tcPr>
            <w:tcW w:type="dxa" w:w="1493"/>
            <w:shd w:fill="17365D"/>
            <w:tcMar>
              <w:top w:w="55" w:type="dxa"/>
              <w:start w:w="65" w:type="dxa"/>
              <w:bottom w:w="55" w:type="dxa"/>
              <w:end w:w="65" w:type="dxa"/>
            </w:tcMar>
            <w:vAlign w:val="center"/>
          </w:tcPr>
          <w:p>
            <w:pPr>
              <w:spacing w:after="0"/>
            </w:pPr>
            <w:r>
              <w:rPr>
                <w:sz w:val="14"/>
              </w:rPr>
            </w:r>
            <w:r>
              <w:rPr>
                <w:b/>
                <w:color w:val="FFFFFF"/>
                <w:sz w:val="14"/>
              </w:rPr>
              <w:t>Type</w:t>
            </w:r>
          </w:p>
        </w:tc>
        <w:tc>
          <w:tcPr>
            <w:tcW w:type="dxa" w:w="1493"/>
            <w:shd w:fill="17365D"/>
            <w:tcMar>
              <w:top w:w="55" w:type="dxa"/>
              <w:start w:w="65" w:type="dxa"/>
              <w:bottom w:w="55" w:type="dxa"/>
              <w:end w:w="65" w:type="dxa"/>
            </w:tcMar>
            <w:vAlign w:val="center"/>
          </w:tcPr>
          <w:p>
            <w:pPr>
              <w:spacing w:after="0"/>
            </w:pPr>
            <w:r>
              <w:rPr>
                <w:sz w:val="14"/>
              </w:rPr>
            </w:r>
            <w:r>
              <w:rPr>
                <w:b/>
                <w:color w:val="FFFFFF"/>
                <w:sz w:val="14"/>
              </w:rPr>
              <w:t>Decision</w:t>
            </w:r>
          </w:p>
        </w:tc>
        <w:tc>
          <w:tcPr>
            <w:tcW w:type="dxa" w:w="1493"/>
            <w:shd w:fill="17365D"/>
            <w:tcMar>
              <w:top w:w="55" w:type="dxa"/>
              <w:start w:w="65" w:type="dxa"/>
              <w:bottom w:w="55" w:type="dxa"/>
              <w:end w:w="65" w:type="dxa"/>
            </w:tcMar>
            <w:vAlign w:val="center"/>
          </w:tcPr>
          <w:p>
            <w:pPr>
              <w:spacing w:after="0"/>
            </w:pPr>
            <w:r>
              <w:rPr>
                <w:sz w:val="14"/>
              </w:rPr>
            </w:r>
            <w:r>
              <w:rPr>
                <w:b/>
                <w:color w:val="FFFFFF"/>
                <w:sz w:val="14"/>
              </w:rPr>
              <w:t>Route</w:t>
            </w:r>
          </w:p>
        </w:tc>
      </w:tr>
      <w:tr>
        <w:trPr>
          <w:cantSplit/>
        </w:trPr>
        <w:tc>
          <w:tcPr>
            <w:tcW w:type="dxa" w:w="1493"/>
            <w:vAlign w:val="center"/>
            <w:tcMar>
              <w:top w:w="55" w:type="dxa"/>
              <w:start w:w="65" w:type="dxa"/>
              <w:bottom w:w="55" w:type="dxa"/>
              <w:end w:w="65" w:type="dxa"/>
            </w:tcMar>
          </w:tcPr>
          <w:p>
            <w:pPr>
              <w:spacing w:after="0"/>
            </w:pPr>
            <w:r>
              <w:rPr>
                <w:sz w:val="14"/>
              </w:rPr>
              <w:t>1</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2A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WB2</w:t>
            </w:r>
          </w:p>
        </w:tc>
      </w:tr>
      <w:tr>
        <w:trPr>
          <w:cantSplit/>
        </w:trPr>
        <w:tc>
          <w:tcPr>
            <w:tcW w:type="dxa" w:w="1493"/>
            <w:vAlign w:val="center"/>
            <w:tcMar>
              <w:top w:w="55" w:type="dxa"/>
              <w:start w:w="65" w:type="dxa"/>
              <w:bottom w:w="55" w:type="dxa"/>
              <w:end w:w="65" w:type="dxa"/>
            </w:tcMar>
            <w:shd w:fill="F2F4F7"/>
          </w:tcPr>
          <w:p>
            <w:pPr>
              <w:spacing w:after="0"/>
            </w:pPr>
            <w:r>
              <w:rPr>
                <w:sz w:val="14"/>
              </w:rPr>
              <w:t>2</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2B</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WB4</w:t>
            </w:r>
          </w:p>
        </w:tc>
      </w:tr>
      <w:tr>
        <w:trPr>
          <w:cantSplit/>
        </w:trPr>
        <w:tc>
          <w:tcPr>
            <w:tcW w:type="dxa" w:w="1493"/>
            <w:vAlign w:val="center"/>
            <w:tcMar>
              <w:top w:w="55" w:type="dxa"/>
              <w:start w:w="65" w:type="dxa"/>
              <w:bottom w:w="55" w:type="dxa"/>
              <w:end w:w="65" w:type="dxa"/>
            </w:tcMar>
          </w:tcPr>
          <w:p>
            <w:pPr>
              <w:spacing w:after="0"/>
            </w:pPr>
            <w:r>
              <w:rPr>
                <w:sz w:val="14"/>
              </w:rPr>
              <w:t>3</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1A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WB1</w:t>
            </w:r>
          </w:p>
        </w:tc>
      </w:tr>
      <w:tr>
        <w:trPr>
          <w:cantSplit/>
        </w:trPr>
        <w:tc>
          <w:tcPr>
            <w:tcW w:type="dxa" w:w="1493"/>
            <w:vAlign w:val="center"/>
            <w:tcMar>
              <w:top w:w="55" w:type="dxa"/>
              <w:start w:w="65" w:type="dxa"/>
              <w:bottom w:w="55" w:type="dxa"/>
              <w:end w:w="65" w:type="dxa"/>
            </w:tcMar>
            <w:shd w:fill="F2F4F7"/>
          </w:tcPr>
          <w:p>
            <w:pPr>
              <w:spacing w:after="0"/>
            </w:pPr>
            <w:r>
              <w:rPr>
                <w:sz w:val="14"/>
              </w:rPr>
              <w:t>4</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2B</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WB4</w:t>
            </w:r>
          </w:p>
        </w:tc>
      </w:tr>
      <w:tr>
        <w:trPr>
          <w:cantSplit/>
        </w:trPr>
        <w:tc>
          <w:tcPr>
            <w:tcW w:type="dxa" w:w="1493"/>
            <w:vAlign w:val="center"/>
            <w:tcMar>
              <w:top w:w="55" w:type="dxa"/>
              <w:start w:w="65" w:type="dxa"/>
              <w:bottom w:w="55" w:type="dxa"/>
              <w:end w:w="65" w:type="dxa"/>
            </w:tcMar>
          </w:tcPr>
          <w:p>
            <w:pPr>
              <w:spacing w:after="0"/>
            </w:pPr>
            <w:r>
              <w:rPr>
                <w:sz w:val="14"/>
              </w:rPr>
              <w:t>5</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1A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WB1</w:t>
            </w:r>
          </w:p>
        </w:tc>
      </w:tr>
      <w:tr>
        <w:trPr>
          <w:cantSplit/>
        </w:trPr>
        <w:tc>
          <w:tcPr>
            <w:tcW w:type="dxa" w:w="1493"/>
            <w:vAlign w:val="center"/>
            <w:tcMar>
              <w:top w:w="55" w:type="dxa"/>
              <w:start w:w="65" w:type="dxa"/>
              <w:bottom w:w="55" w:type="dxa"/>
              <w:end w:w="65" w:type="dxa"/>
            </w:tcMar>
            <w:shd w:fill="F2F4F7"/>
          </w:tcPr>
          <w:p>
            <w:pPr>
              <w:spacing w:after="0"/>
            </w:pPr>
            <w:r>
              <w:rPr>
                <w:sz w:val="14"/>
              </w:rPr>
              <w:t>6</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2B</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WB4</w:t>
            </w:r>
          </w:p>
        </w:tc>
      </w:tr>
      <w:tr>
        <w:trPr>
          <w:cantSplit/>
        </w:trPr>
        <w:tc>
          <w:tcPr>
            <w:tcW w:type="dxa" w:w="1493"/>
            <w:vAlign w:val="center"/>
            <w:tcMar>
              <w:top w:w="55" w:type="dxa"/>
              <w:start w:w="65" w:type="dxa"/>
              <w:bottom w:w="55" w:type="dxa"/>
              <w:end w:w="65" w:type="dxa"/>
            </w:tcMar>
          </w:tcPr>
          <w:p>
            <w:pPr>
              <w:spacing w:after="0"/>
            </w:pPr>
            <w:r>
              <w:rPr>
                <w:sz w:val="14"/>
              </w:rPr>
              <w:t>7</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1C</w:t>
            </w:r>
          </w:p>
        </w:tc>
        <w:tc>
          <w:tcPr>
            <w:tcW w:type="dxa" w:w="1493"/>
            <w:vAlign w:val="center"/>
            <w:tcMar>
              <w:top w:w="55" w:type="dxa"/>
              <w:start w:w="65" w:type="dxa"/>
              <w:bottom w:w="55" w:type="dxa"/>
              <w:end w:w="65" w:type="dxa"/>
            </w:tcMar>
          </w:tcPr>
          <w:p>
            <w:pPr>
              <w:spacing w:after="0"/>
            </w:pPr>
            <w:r>
              <w:rPr>
                <w:sz w:val="14"/>
              </w:rPr>
              <w:t>Difficult</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WB9</w:t>
            </w:r>
          </w:p>
        </w:tc>
      </w:tr>
      <w:tr>
        <w:trPr>
          <w:cantSplit/>
        </w:trPr>
        <w:tc>
          <w:tcPr>
            <w:tcW w:type="dxa" w:w="1493"/>
            <w:vAlign w:val="center"/>
            <w:tcMar>
              <w:top w:w="55" w:type="dxa"/>
              <w:start w:w="65" w:type="dxa"/>
              <w:bottom w:w="55" w:type="dxa"/>
              <w:end w:w="65" w:type="dxa"/>
            </w:tcMar>
            <w:shd w:fill="F2F4F7"/>
          </w:tcPr>
          <w:p>
            <w:pPr>
              <w:spacing w:after="0"/>
            </w:pPr>
            <w:r>
              <w:rPr>
                <w:sz w:val="14"/>
              </w:rPr>
              <w:t>8</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2B</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WB6</w:t>
            </w:r>
          </w:p>
        </w:tc>
      </w:tr>
      <w:tr>
        <w:trPr>
          <w:cantSplit/>
        </w:trPr>
        <w:tc>
          <w:tcPr>
            <w:tcW w:type="dxa" w:w="1493"/>
            <w:vAlign w:val="center"/>
            <w:tcMar>
              <w:top w:w="55" w:type="dxa"/>
              <w:start w:w="65" w:type="dxa"/>
              <w:bottom w:w="55" w:type="dxa"/>
              <w:end w:w="65" w:type="dxa"/>
            </w:tcMar>
          </w:tcPr>
          <w:p>
            <w:pPr>
              <w:spacing w:after="0"/>
            </w:pPr>
            <w:r>
              <w:rPr>
                <w:sz w:val="14"/>
              </w:rPr>
              <w:t>9</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Difficult</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WB1</w:t>
            </w:r>
          </w:p>
        </w:tc>
      </w:tr>
      <w:tr>
        <w:trPr>
          <w:cantSplit/>
        </w:trPr>
        <w:tc>
          <w:tcPr>
            <w:tcW w:type="dxa" w:w="1493"/>
            <w:vAlign w:val="center"/>
            <w:tcMar>
              <w:top w:w="55" w:type="dxa"/>
              <w:start w:w="65" w:type="dxa"/>
              <w:bottom w:w="55" w:type="dxa"/>
              <w:end w:w="65" w:type="dxa"/>
            </w:tcMar>
            <w:shd w:fill="F2F4F7"/>
          </w:tcPr>
          <w:p>
            <w:pPr>
              <w:spacing w:after="0"/>
            </w:pPr>
            <w:r>
              <w:rPr>
                <w:sz w:val="14"/>
              </w:rPr>
              <w:t>10</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2C</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WB3</w:t>
            </w:r>
          </w:p>
        </w:tc>
      </w:tr>
      <w:tr>
        <w:trPr>
          <w:cantSplit/>
        </w:trPr>
        <w:tc>
          <w:tcPr>
            <w:tcW w:type="dxa" w:w="1493"/>
            <w:vAlign w:val="center"/>
            <w:tcMar>
              <w:top w:w="55" w:type="dxa"/>
              <w:start w:w="65" w:type="dxa"/>
              <w:bottom w:w="55" w:type="dxa"/>
              <w:end w:w="65" w:type="dxa"/>
            </w:tcMar>
          </w:tcPr>
          <w:p>
            <w:pPr>
              <w:spacing w:after="0"/>
            </w:pPr>
            <w:r>
              <w:rPr>
                <w:sz w:val="14"/>
              </w:rPr>
              <w:t>11</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1C</w:t>
            </w:r>
          </w:p>
        </w:tc>
        <w:tc>
          <w:tcPr>
            <w:tcW w:type="dxa" w:w="1493"/>
            <w:vAlign w:val="center"/>
            <w:tcMar>
              <w:top w:w="55" w:type="dxa"/>
              <w:start w:w="65" w:type="dxa"/>
              <w:bottom w:w="55" w:type="dxa"/>
              <w:end w:w="65" w:type="dxa"/>
            </w:tcMar>
          </w:tcPr>
          <w:p>
            <w:pPr>
              <w:spacing w:after="0"/>
            </w:pPr>
            <w:r>
              <w:rPr>
                <w:sz w:val="14"/>
              </w:rPr>
              <w:t>Easy</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WB3</w:t>
            </w:r>
          </w:p>
        </w:tc>
      </w:tr>
      <w:tr>
        <w:trPr>
          <w:cantSplit/>
        </w:trPr>
        <w:tc>
          <w:tcPr>
            <w:tcW w:type="dxa" w:w="1493"/>
            <w:vAlign w:val="center"/>
            <w:tcMar>
              <w:top w:w="55" w:type="dxa"/>
              <w:start w:w="65" w:type="dxa"/>
              <w:bottom w:w="55" w:type="dxa"/>
              <w:end w:w="65" w:type="dxa"/>
            </w:tcMar>
            <w:shd w:fill="F2F4F7"/>
          </w:tcPr>
          <w:p>
            <w:pPr>
              <w:spacing w:after="0"/>
            </w:pPr>
            <w:r>
              <w:rPr>
                <w:sz w:val="14"/>
              </w:rPr>
              <w:t>12</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1C</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LS Module</w:t>
            </w:r>
          </w:p>
        </w:tc>
      </w:tr>
      <w:tr>
        <w:trPr>
          <w:cantSplit/>
        </w:trPr>
        <w:tc>
          <w:tcPr>
            <w:tcW w:type="dxa" w:w="1493"/>
            <w:vAlign w:val="center"/>
            <w:tcMar>
              <w:top w:w="55" w:type="dxa"/>
              <w:start w:w="65" w:type="dxa"/>
              <w:bottom w:w="55" w:type="dxa"/>
              <w:end w:w="65" w:type="dxa"/>
            </w:tcMar>
          </w:tcPr>
          <w:p>
            <w:pPr>
              <w:spacing w:after="0"/>
            </w:pPr>
            <w:r>
              <w:rPr>
                <w:sz w:val="14"/>
              </w:rPr>
              <w:t>13</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2A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WB2</w:t>
            </w:r>
          </w:p>
        </w:tc>
      </w:tr>
      <w:tr>
        <w:trPr>
          <w:cantSplit/>
        </w:trPr>
        <w:tc>
          <w:tcPr>
            <w:tcW w:type="dxa" w:w="1493"/>
            <w:vAlign w:val="center"/>
            <w:tcMar>
              <w:top w:w="55" w:type="dxa"/>
              <w:start w:w="65" w:type="dxa"/>
              <w:bottom w:w="55" w:type="dxa"/>
              <w:end w:w="65" w:type="dxa"/>
            </w:tcMar>
            <w:shd w:fill="F2F4F7"/>
          </w:tcPr>
          <w:p>
            <w:pPr>
              <w:spacing w:after="0"/>
            </w:pPr>
            <w:r>
              <w:rPr>
                <w:sz w:val="14"/>
              </w:rPr>
              <w:t>14</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2C</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WB4</w:t>
            </w:r>
          </w:p>
        </w:tc>
      </w:tr>
      <w:tr>
        <w:trPr>
          <w:cantSplit/>
        </w:trPr>
        <w:tc>
          <w:tcPr>
            <w:tcW w:type="dxa" w:w="1493"/>
            <w:vAlign w:val="center"/>
            <w:tcMar>
              <w:top w:w="55" w:type="dxa"/>
              <w:start w:w="65" w:type="dxa"/>
              <w:bottom w:w="55" w:type="dxa"/>
              <w:end w:w="65" w:type="dxa"/>
            </w:tcMar>
          </w:tcPr>
          <w:p>
            <w:pPr>
              <w:spacing w:after="0"/>
            </w:pPr>
            <w:r>
              <w:rPr>
                <w:sz w:val="14"/>
              </w:rPr>
              <w:t>15</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Difficult</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WB5</w:t>
            </w:r>
          </w:p>
        </w:tc>
      </w:tr>
      <w:tr>
        <w:trPr>
          <w:cantSplit/>
        </w:trPr>
        <w:tc>
          <w:tcPr>
            <w:tcW w:type="dxa" w:w="1493"/>
            <w:vAlign w:val="center"/>
            <w:tcMar>
              <w:top w:w="55" w:type="dxa"/>
              <w:start w:w="65" w:type="dxa"/>
              <w:bottom w:w="55" w:type="dxa"/>
              <w:end w:w="65" w:type="dxa"/>
            </w:tcMar>
            <w:shd w:fill="F2F4F7"/>
          </w:tcPr>
          <w:p>
            <w:pPr>
              <w:spacing w:after="0"/>
            </w:pPr>
            <w:r>
              <w:rPr>
                <w:sz w:val="14"/>
              </w:rPr>
              <w:t>16</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2C</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Foundational</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WB9</w:t>
            </w:r>
          </w:p>
        </w:tc>
      </w:tr>
      <w:tr>
        <w:trPr>
          <w:cantSplit/>
        </w:trPr>
        <w:tc>
          <w:tcPr>
            <w:tcW w:type="dxa" w:w="1493"/>
            <w:vAlign w:val="center"/>
            <w:tcMar>
              <w:top w:w="55" w:type="dxa"/>
              <w:start w:w="65" w:type="dxa"/>
              <w:bottom w:w="55" w:type="dxa"/>
              <w:end w:w="65" w:type="dxa"/>
            </w:tcMar>
          </w:tcPr>
          <w:p>
            <w:pPr>
              <w:spacing w:after="0"/>
            </w:pPr>
            <w:r>
              <w:rPr>
                <w:sz w:val="14"/>
              </w:rPr>
              <w:t>17</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1A</w:t>
            </w:r>
          </w:p>
        </w:tc>
        <w:tc>
          <w:tcPr>
            <w:tcW w:type="dxa" w:w="1493"/>
            <w:vAlign w:val="center"/>
            <w:tcMar>
              <w:top w:w="55" w:type="dxa"/>
              <w:start w:w="65" w:type="dxa"/>
              <w:bottom w:w="55" w:type="dxa"/>
              <w:end w:w="65" w:type="dxa"/>
            </w:tcMar>
          </w:tcPr>
          <w:p>
            <w:pPr>
              <w:spacing w:after="0"/>
            </w:pPr>
            <w:r>
              <w:rPr>
                <w:sz w:val="14"/>
              </w:rPr>
              <w:t>Difficult</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WB1</w:t>
            </w:r>
          </w:p>
        </w:tc>
      </w:tr>
      <w:tr>
        <w:trPr>
          <w:cantSplit/>
        </w:trPr>
        <w:tc>
          <w:tcPr>
            <w:tcW w:type="dxa" w:w="1493"/>
            <w:vAlign w:val="center"/>
            <w:tcMar>
              <w:top w:w="55" w:type="dxa"/>
              <w:start w:w="65" w:type="dxa"/>
              <w:bottom w:w="55" w:type="dxa"/>
              <w:end w:w="65" w:type="dxa"/>
            </w:tcMar>
            <w:shd w:fill="F2F4F7"/>
          </w:tcPr>
          <w:p>
            <w:pPr>
              <w:spacing w:after="0"/>
            </w:pPr>
            <w:r>
              <w:rPr>
                <w:sz w:val="14"/>
              </w:rPr>
              <w:t>18</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1A</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WB8</w:t>
            </w:r>
          </w:p>
        </w:tc>
      </w:tr>
      <w:tr>
        <w:trPr>
          <w:cantSplit/>
        </w:trPr>
        <w:tc>
          <w:tcPr>
            <w:tcW w:type="dxa" w:w="1493"/>
            <w:vAlign w:val="center"/>
            <w:tcMar>
              <w:top w:w="55" w:type="dxa"/>
              <w:start w:w="65" w:type="dxa"/>
              <w:bottom w:w="55" w:type="dxa"/>
              <w:end w:w="65" w:type="dxa"/>
            </w:tcMar>
          </w:tcPr>
          <w:p>
            <w:pPr>
              <w:spacing w:after="0"/>
            </w:pPr>
            <w:r>
              <w:rPr>
                <w:sz w:val="14"/>
              </w:rPr>
              <w:t>19</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2A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WB3</w:t>
            </w:r>
          </w:p>
        </w:tc>
      </w:tr>
      <w:tr>
        <w:trPr>
          <w:cantSplit/>
        </w:trPr>
        <w:tc>
          <w:tcPr>
            <w:tcW w:type="dxa" w:w="1493"/>
            <w:vAlign w:val="center"/>
            <w:tcMar>
              <w:top w:w="55" w:type="dxa"/>
              <w:start w:w="65" w:type="dxa"/>
              <w:bottom w:w="55" w:type="dxa"/>
              <w:end w:w="65" w:type="dxa"/>
            </w:tcMar>
            <w:shd w:fill="F2F4F7"/>
          </w:tcPr>
          <w:p>
            <w:pPr>
              <w:spacing w:after="0"/>
            </w:pPr>
            <w:r>
              <w:rPr>
                <w:sz w:val="14"/>
              </w:rPr>
              <w:t>20</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1A</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WB2</w:t>
            </w:r>
          </w:p>
        </w:tc>
      </w:tr>
      <w:tr>
        <w:trPr>
          <w:cantSplit/>
        </w:trPr>
        <w:tc>
          <w:tcPr>
            <w:tcW w:type="dxa" w:w="1493"/>
            <w:vAlign w:val="center"/>
            <w:tcMar>
              <w:top w:w="55" w:type="dxa"/>
              <w:start w:w="65" w:type="dxa"/>
              <w:bottom w:w="55" w:type="dxa"/>
              <w:end w:w="65" w:type="dxa"/>
            </w:tcMar>
          </w:tcPr>
          <w:p>
            <w:pPr>
              <w:spacing w:after="0"/>
            </w:pPr>
            <w:r>
              <w:rPr>
                <w:sz w:val="14"/>
              </w:rPr>
              <w:t>21</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WB4</w:t>
            </w:r>
          </w:p>
        </w:tc>
      </w:tr>
      <w:tr>
        <w:trPr>
          <w:cantSplit/>
        </w:trPr>
        <w:tc>
          <w:tcPr>
            <w:tcW w:type="dxa" w:w="1493"/>
            <w:vAlign w:val="center"/>
            <w:tcMar>
              <w:top w:w="55" w:type="dxa"/>
              <w:start w:w="65" w:type="dxa"/>
              <w:bottom w:w="55" w:type="dxa"/>
              <w:end w:w="65" w:type="dxa"/>
            </w:tcMar>
            <w:shd w:fill="F2F4F7"/>
          </w:tcPr>
          <w:p>
            <w:pPr>
              <w:spacing w:after="0"/>
            </w:pPr>
            <w:r>
              <w:rPr>
                <w:sz w:val="14"/>
              </w:rPr>
              <w:t>22</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2A</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WB3</w:t>
            </w:r>
          </w:p>
        </w:tc>
      </w:tr>
      <w:tr>
        <w:trPr>
          <w:cantSplit/>
        </w:trPr>
        <w:tc>
          <w:tcPr>
            <w:tcW w:type="dxa" w:w="1493"/>
            <w:vAlign w:val="center"/>
            <w:tcMar>
              <w:top w:w="55" w:type="dxa"/>
              <w:start w:w="65" w:type="dxa"/>
              <w:bottom w:w="55" w:type="dxa"/>
              <w:end w:w="65" w:type="dxa"/>
            </w:tcMar>
          </w:tcPr>
          <w:p>
            <w:pPr>
              <w:spacing w:after="0"/>
            </w:pPr>
            <w:r>
              <w:rPr>
                <w:sz w:val="14"/>
              </w:rPr>
              <w:t>23</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WB6</w:t>
            </w:r>
          </w:p>
        </w:tc>
      </w:tr>
      <w:tr>
        <w:trPr>
          <w:cantSplit/>
        </w:trPr>
        <w:tc>
          <w:tcPr>
            <w:tcW w:type="dxa" w:w="1493"/>
            <w:vAlign w:val="center"/>
            <w:tcMar>
              <w:top w:w="55" w:type="dxa"/>
              <w:start w:w="65" w:type="dxa"/>
              <w:bottom w:w="55" w:type="dxa"/>
              <w:end w:w="65" w:type="dxa"/>
            </w:tcMar>
            <w:shd w:fill="F2F4F7"/>
          </w:tcPr>
          <w:p>
            <w:pPr>
              <w:spacing w:after="0"/>
            </w:pPr>
            <w:r>
              <w:rPr>
                <w:sz w:val="14"/>
              </w:rPr>
              <w:t>24</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1A</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WB2</w:t>
            </w:r>
          </w:p>
        </w:tc>
      </w:tr>
      <w:tr>
        <w:trPr>
          <w:cantSplit/>
        </w:trPr>
        <w:tc>
          <w:tcPr>
            <w:tcW w:type="dxa" w:w="1493"/>
            <w:vAlign w:val="center"/>
            <w:tcMar>
              <w:top w:w="55" w:type="dxa"/>
              <w:start w:w="65" w:type="dxa"/>
              <w:bottom w:w="55" w:type="dxa"/>
              <w:end w:w="65" w:type="dxa"/>
            </w:tcMar>
          </w:tcPr>
          <w:p>
            <w:pPr>
              <w:spacing w:after="0"/>
            </w:pPr>
            <w:r>
              <w:rPr>
                <w:sz w:val="14"/>
              </w:rPr>
              <w:t>25</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2A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WB2</w:t>
            </w:r>
          </w:p>
        </w:tc>
      </w:tr>
      <w:tr>
        <w:trPr>
          <w:cantSplit/>
        </w:trPr>
        <w:tc>
          <w:tcPr>
            <w:tcW w:type="dxa" w:w="1493"/>
            <w:vAlign w:val="center"/>
            <w:tcMar>
              <w:top w:w="55" w:type="dxa"/>
              <w:start w:w="65" w:type="dxa"/>
              <w:bottom w:w="55" w:type="dxa"/>
              <w:end w:w="65" w:type="dxa"/>
            </w:tcMar>
            <w:shd w:fill="F2F4F7"/>
          </w:tcPr>
          <w:p>
            <w:pPr>
              <w:spacing w:after="0"/>
            </w:pPr>
            <w:r>
              <w:rPr>
                <w:sz w:val="14"/>
              </w:rPr>
              <w:t>26</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1B</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WB5</w:t>
            </w:r>
          </w:p>
        </w:tc>
      </w:tr>
      <w:tr>
        <w:trPr>
          <w:cantSplit/>
        </w:trPr>
        <w:tc>
          <w:tcPr>
            <w:tcW w:type="dxa" w:w="1493"/>
            <w:vAlign w:val="center"/>
            <w:tcMar>
              <w:top w:w="55" w:type="dxa"/>
              <w:start w:w="65" w:type="dxa"/>
              <w:bottom w:w="55" w:type="dxa"/>
              <w:end w:w="65" w:type="dxa"/>
            </w:tcMar>
          </w:tcPr>
          <w:p>
            <w:pPr>
              <w:spacing w:after="0"/>
            </w:pPr>
            <w:r>
              <w:rPr>
                <w:sz w:val="14"/>
              </w:rPr>
              <w:t>27</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Difficult</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WB6</w:t>
            </w:r>
          </w:p>
        </w:tc>
      </w:tr>
      <w:tr>
        <w:trPr>
          <w:cantSplit/>
        </w:trPr>
        <w:tc>
          <w:tcPr>
            <w:tcW w:type="dxa" w:w="1493"/>
            <w:vAlign w:val="center"/>
            <w:tcMar>
              <w:top w:w="55" w:type="dxa"/>
              <w:start w:w="65" w:type="dxa"/>
              <w:bottom w:w="55" w:type="dxa"/>
              <w:end w:w="65" w:type="dxa"/>
            </w:tcMar>
            <w:shd w:fill="F2F4F7"/>
          </w:tcPr>
          <w:p>
            <w:pPr>
              <w:spacing w:after="0"/>
            </w:pPr>
            <w:r>
              <w:rPr>
                <w:sz w:val="14"/>
              </w:rPr>
              <w:t>28</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1C</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LS Module</w:t>
            </w:r>
          </w:p>
        </w:tc>
      </w:tr>
      <w:tr>
        <w:trPr>
          <w:cantSplit/>
        </w:trPr>
        <w:tc>
          <w:tcPr>
            <w:tcW w:type="dxa" w:w="1493"/>
            <w:vAlign w:val="center"/>
            <w:tcMar>
              <w:top w:w="55" w:type="dxa"/>
              <w:start w:w="65" w:type="dxa"/>
              <w:bottom w:w="55" w:type="dxa"/>
              <w:end w:w="65" w:type="dxa"/>
            </w:tcMar>
          </w:tcPr>
          <w:p>
            <w:pPr>
              <w:spacing w:after="0"/>
            </w:pPr>
            <w:r>
              <w:rPr>
                <w:sz w:val="14"/>
              </w:rPr>
              <w:t>29</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1C</w:t>
            </w:r>
          </w:p>
        </w:tc>
        <w:tc>
          <w:tcPr>
            <w:tcW w:type="dxa" w:w="1493"/>
            <w:vAlign w:val="center"/>
            <w:tcMar>
              <w:top w:w="55" w:type="dxa"/>
              <w:start w:w="65" w:type="dxa"/>
              <w:bottom w:w="55" w:type="dxa"/>
              <w:end w:w="65" w:type="dxa"/>
            </w:tcMar>
          </w:tcPr>
          <w:p>
            <w:pPr>
              <w:spacing w:after="0"/>
            </w:pPr>
            <w:r>
              <w:rPr>
                <w:sz w:val="14"/>
              </w:rPr>
              <w:t>Difficult</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WB9</w:t>
            </w:r>
          </w:p>
        </w:tc>
      </w:tr>
      <w:tr>
        <w:trPr>
          <w:cantSplit/>
        </w:trPr>
        <w:tc>
          <w:tcPr>
            <w:tcW w:type="dxa" w:w="1493"/>
            <w:vAlign w:val="center"/>
            <w:tcMar>
              <w:top w:w="55" w:type="dxa"/>
              <w:start w:w="65" w:type="dxa"/>
              <w:bottom w:w="55" w:type="dxa"/>
              <w:end w:w="65" w:type="dxa"/>
            </w:tcMar>
            <w:shd w:fill="F2F4F7"/>
          </w:tcPr>
          <w:p>
            <w:pPr>
              <w:spacing w:after="0"/>
            </w:pPr>
            <w:r>
              <w:rPr>
                <w:sz w:val="14"/>
              </w:rPr>
              <w:t>30</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1B</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WB8</w:t>
            </w:r>
          </w:p>
        </w:tc>
      </w:tr>
      <w:tr>
        <w:trPr>
          <w:cantSplit/>
        </w:trPr>
        <w:tc>
          <w:tcPr>
            <w:tcW w:type="dxa" w:w="1493"/>
            <w:vAlign w:val="center"/>
            <w:tcMar>
              <w:top w:w="55" w:type="dxa"/>
              <w:start w:w="65" w:type="dxa"/>
              <w:bottom w:w="55" w:type="dxa"/>
              <w:end w:w="65" w:type="dxa"/>
            </w:tcMar>
          </w:tcPr>
          <w:p>
            <w:pPr>
              <w:spacing w:after="0"/>
            </w:pPr>
            <w:r>
              <w:rPr>
                <w:sz w:val="14"/>
              </w:rPr>
              <w:t>31</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2C</w:t>
            </w:r>
          </w:p>
        </w:tc>
        <w:tc>
          <w:tcPr>
            <w:tcW w:type="dxa" w:w="1493"/>
            <w:vAlign w:val="center"/>
            <w:tcMar>
              <w:top w:w="55" w:type="dxa"/>
              <w:start w:w="65" w:type="dxa"/>
              <w:bottom w:w="55" w:type="dxa"/>
              <w:end w:w="65" w:type="dxa"/>
            </w:tcMar>
          </w:tcPr>
          <w:p>
            <w:pPr>
              <w:spacing w:after="0"/>
            </w:pPr>
            <w:r>
              <w:rPr>
                <w:sz w:val="14"/>
              </w:rPr>
              <w:t>Easy</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WB6</w:t>
            </w:r>
          </w:p>
        </w:tc>
      </w:tr>
      <w:tr>
        <w:trPr>
          <w:cantSplit/>
        </w:trPr>
        <w:tc>
          <w:tcPr>
            <w:tcW w:type="dxa" w:w="1493"/>
            <w:vAlign w:val="center"/>
            <w:tcMar>
              <w:top w:w="55" w:type="dxa"/>
              <w:start w:w="65" w:type="dxa"/>
              <w:bottom w:w="55" w:type="dxa"/>
              <w:end w:w="65" w:type="dxa"/>
            </w:tcMar>
            <w:shd w:fill="F2F4F7"/>
          </w:tcPr>
          <w:p>
            <w:pPr>
              <w:spacing w:after="0"/>
            </w:pPr>
            <w:r>
              <w:rPr>
                <w:sz w:val="14"/>
              </w:rPr>
              <w:t>32</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2C</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WB9</w:t>
            </w:r>
          </w:p>
        </w:tc>
      </w:tr>
      <w:tr>
        <w:trPr>
          <w:cantSplit/>
        </w:trPr>
        <w:tc>
          <w:tcPr>
            <w:tcW w:type="dxa" w:w="1493"/>
            <w:vAlign w:val="center"/>
            <w:tcMar>
              <w:top w:w="55" w:type="dxa"/>
              <w:start w:w="65" w:type="dxa"/>
              <w:bottom w:w="55" w:type="dxa"/>
              <w:end w:w="65" w:type="dxa"/>
            </w:tcMar>
          </w:tcPr>
          <w:p>
            <w:pPr>
              <w:spacing w:after="0"/>
            </w:pPr>
            <w:r>
              <w:rPr>
                <w:sz w:val="14"/>
              </w:rPr>
              <w:t>33</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Easy</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WB5</w:t>
            </w:r>
          </w:p>
        </w:tc>
      </w:tr>
      <w:tr>
        <w:trPr>
          <w:cantSplit/>
        </w:trPr>
        <w:tc>
          <w:tcPr>
            <w:tcW w:type="dxa" w:w="1493"/>
            <w:vAlign w:val="center"/>
            <w:tcMar>
              <w:top w:w="55" w:type="dxa"/>
              <w:start w:w="65" w:type="dxa"/>
              <w:bottom w:w="55" w:type="dxa"/>
              <w:end w:w="65" w:type="dxa"/>
            </w:tcMar>
            <w:shd w:fill="F2F4F7"/>
          </w:tcPr>
          <w:p>
            <w:pPr>
              <w:spacing w:after="0"/>
            </w:pPr>
            <w:r>
              <w:rPr>
                <w:sz w:val="14"/>
              </w:rPr>
              <w:t>34</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1B</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WB9</w:t>
            </w:r>
          </w:p>
        </w:tc>
      </w:tr>
      <w:tr>
        <w:trPr>
          <w:cantSplit/>
        </w:trPr>
        <w:tc>
          <w:tcPr>
            <w:tcW w:type="dxa" w:w="1493"/>
            <w:vAlign w:val="center"/>
            <w:tcMar>
              <w:top w:w="55" w:type="dxa"/>
              <w:start w:w="65" w:type="dxa"/>
              <w:bottom w:w="55" w:type="dxa"/>
              <w:end w:w="65" w:type="dxa"/>
            </w:tcMar>
          </w:tcPr>
          <w:p>
            <w:pPr>
              <w:spacing w:after="0"/>
            </w:pPr>
            <w:r>
              <w:rPr>
                <w:sz w:val="14"/>
              </w:rPr>
              <w:t>35</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1A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WB1</w:t>
            </w:r>
          </w:p>
        </w:tc>
      </w:tr>
      <w:tr>
        <w:trPr>
          <w:cantSplit/>
        </w:trPr>
        <w:tc>
          <w:tcPr>
            <w:tcW w:type="dxa" w:w="1493"/>
            <w:vAlign w:val="center"/>
            <w:tcMar>
              <w:top w:w="55" w:type="dxa"/>
              <w:start w:w="65" w:type="dxa"/>
              <w:bottom w:w="55" w:type="dxa"/>
              <w:end w:w="65" w:type="dxa"/>
            </w:tcMar>
            <w:shd w:fill="F2F4F7"/>
          </w:tcPr>
          <w:p>
            <w:pPr>
              <w:spacing w:after="0"/>
            </w:pPr>
            <w:r>
              <w:rPr>
                <w:sz w:val="14"/>
              </w:rPr>
              <w:t>36</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1C</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WB9</w:t>
            </w:r>
          </w:p>
        </w:tc>
      </w:tr>
      <w:tr>
        <w:trPr>
          <w:cantSplit/>
        </w:trPr>
        <w:tc>
          <w:tcPr>
            <w:tcW w:type="dxa" w:w="1493"/>
            <w:vAlign w:val="center"/>
            <w:tcMar>
              <w:top w:w="55" w:type="dxa"/>
              <w:start w:w="65" w:type="dxa"/>
              <w:bottom w:w="55" w:type="dxa"/>
              <w:end w:w="65" w:type="dxa"/>
            </w:tcMar>
          </w:tcPr>
          <w:p>
            <w:pPr>
              <w:spacing w:after="0"/>
            </w:pPr>
            <w:r>
              <w:rPr>
                <w:sz w:val="14"/>
              </w:rPr>
              <w:t>37</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1C</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WB3</w:t>
            </w:r>
          </w:p>
        </w:tc>
      </w:tr>
      <w:tr>
        <w:trPr>
          <w:cantSplit/>
        </w:trPr>
        <w:tc>
          <w:tcPr>
            <w:tcW w:type="dxa" w:w="1493"/>
            <w:vAlign w:val="center"/>
            <w:tcMar>
              <w:top w:w="55" w:type="dxa"/>
              <w:start w:w="65" w:type="dxa"/>
              <w:bottom w:w="55" w:type="dxa"/>
              <w:end w:w="65" w:type="dxa"/>
            </w:tcMar>
            <w:shd w:fill="F2F4F7"/>
          </w:tcPr>
          <w:p>
            <w:pPr>
              <w:spacing w:after="0"/>
            </w:pPr>
            <w:r>
              <w:rPr>
                <w:sz w:val="14"/>
              </w:rPr>
              <w:t>38</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2C</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WB7</w:t>
            </w:r>
          </w:p>
        </w:tc>
      </w:tr>
      <w:tr>
        <w:trPr>
          <w:cantSplit/>
        </w:trPr>
        <w:tc>
          <w:tcPr>
            <w:tcW w:type="dxa" w:w="1493"/>
            <w:vAlign w:val="center"/>
            <w:tcMar>
              <w:top w:w="55" w:type="dxa"/>
              <w:start w:w="65" w:type="dxa"/>
              <w:bottom w:w="55" w:type="dxa"/>
              <w:end w:w="65" w:type="dxa"/>
            </w:tcMar>
          </w:tcPr>
          <w:p>
            <w:pPr>
              <w:spacing w:after="0"/>
            </w:pPr>
            <w:r>
              <w:rPr>
                <w:sz w:val="14"/>
              </w:rPr>
              <w:t>39</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2C</w:t>
            </w:r>
          </w:p>
        </w:tc>
        <w:tc>
          <w:tcPr>
            <w:tcW w:type="dxa" w:w="1493"/>
            <w:vAlign w:val="center"/>
            <w:tcMar>
              <w:top w:w="55" w:type="dxa"/>
              <w:start w:w="65" w:type="dxa"/>
              <w:bottom w:w="55" w:type="dxa"/>
              <w:end w:w="65" w:type="dxa"/>
            </w:tcMar>
          </w:tcPr>
          <w:p>
            <w:pPr>
              <w:spacing w:after="0"/>
            </w:pPr>
            <w:r>
              <w:rPr>
                <w:sz w:val="14"/>
              </w:rPr>
              <w:t>Difficult</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WB2</w:t>
            </w:r>
          </w:p>
        </w:tc>
      </w:tr>
      <w:tr>
        <w:trPr>
          <w:cantSplit/>
        </w:trPr>
        <w:tc>
          <w:tcPr>
            <w:tcW w:type="dxa" w:w="1493"/>
            <w:vAlign w:val="center"/>
            <w:tcMar>
              <w:top w:w="55" w:type="dxa"/>
              <w:start w:w="65" w:type="dxa"/>
              <w:bottom w:w="55" w:type="dxa"/>
              <w:end w:w="65" w:type="dxa"/>
            </w:tcMar>
            <w:shd w:fill="F2F4F7"/>
          </w:tcPr>
          <w:p>
            <w:pPr>
              <w:spacing w:after="0"/>
            </w:pPr>
            <w:r>
              <w:rPr>
                <w:sz w:val="14"/>
              </w:rPr>
              <w:t>40</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1A</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Foundational</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WB8</w:t>
            </w:r>
          </w:p>
        </w:tc>
      </w:tr>
      <w:tr>
        <w:trPr>
          <w:cantSplit/>
        </w:trPr>
        <w:tc>
          <w:tcPr>
            <w:tcW w:type="dxa" w:w="1493"/>
            <w:vAlign w:val="center"/>
            <w:tcMar>
              <w:top w:w="55" w:type="dxa"/>
              <w:start w:w="65" w:type="dxa"/>
              <w:bottom w:w="55" w:type="dxa"/>
              <w:end w:w="65" w:type="dxa"/>
            </w:tcMar>
          </w:tcPr>
          <w:p>
            <w:pPr>
              <w:spacing w:after="0"/>
            </w:pPr>
            <w:r>
              <w:rPr>
                <w:sz w:val="14"/>
              </w:rPr>
              <w:t>41</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1C</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WB3</w:t>
            </w:r>
          </w:p>
        </w:tc>
      </w:tr>
      <w:tr>
        <w:trPr>
          <w:cantSplit/>
        </w:trPr>
        <w:tc>
          <w:tcPr>
            <w:tcW w:type="dxa" w:w="1493"/>
            <w:vAlign w:val="center"/>
            <w:tcMar>
              <w:top w:w="55" w:type="dxa"/>
              <w:start w:w="65" w:type="dxa"/>
              <w:bottom w:w="55" w:type="dxa"/>
              <w:end w:w="65" w:type="dxa"/>
            </w:tcMar>
            <w:shd w:fill="F2F4F7"/>
          </w:tcPr>
          <w:p>
            <w:pPr>
              <w:spacing w:after="0"/>
            </w:pPr>
            <w:r>
              <w:rPr>
                <w:sz w:val="14"/>
              </w:rPr>
              <w:t>42</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1B</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WB9</w:t>
            </w:r>
          </w:p>
        </w:tc>
      </w:tr>
      <w:tr>
        <w:trPr>
          <w:cantSplit/>
        </w:trPr>
        <w:tc>
          <w:tcPr>
            <w:tcW w:type="dxa" w:w="1493"/>
            <w:vAlign w:val="center"/>
            <w:tcMar>
              <w:top w:w="55" w:type="dxa"/>
              <w:start w:w="65" w:type="dxa"/>
              <w:bottom w:w="55" w:type="dxa"/>
              <w:end w:w="65" w:type="dxa"/>
            </w:tcMar>
          </w:tcPr>
          <w:p>
            <w:pPr>
              <w:spacing w:after="0"/>
            </w:pPr>
            <w:r>
              <w:rPr>
                <w:sz w:val="14"/>
              </w:rPr>
              <w:t>43</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2A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WB7</w:t>
            </w:r>
          </w:p>
        </w:tc>
      </w:tr>
      <w:tr>
        <w:trPr>
          <w:cantSplit/>
        </w:trPr>
        <w:tc>
          <w:tcPr>
            <w:tcW w:type="dxa" w:w="1493"/>
            <w:vAlign w:val="center"/>
            <w:tcMar>
              <w:top w:w="55" w:type="dxa"/>
              <w:start w:w="65" w:type="dxa"/>
              <w:bottom w:w="55" w:type="dxa"/>
              <w:end w:w="65" w:type="dxa"/>
            </w:tcMar>
            <w:shd w:fill="F2F4F7"/>
          </w:tcPr>
          <w:p>
            <w:pPr>
              <w:spacing w:after="0"/>
            </w:pPr>
            <w:r>
              <w:rPr>
                <w:sz w:val="14"/>
              </w:rPr>
              <w:t>44</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1C</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WB3</w:t>
            </w:r>
          </w:p>
        </w:tc>
      </w:tr>
      <w:tr>
        <w:trPr>
          <w:cantSplit/>
        </w:trPr>
        <w:tc>
          <w:tcPr>
            <w:tcW w:type="dxa" w:w="1493"/>
            <w:vAlign w:val="center"/>
            <w:tcMar>
              <w:top w:w="55" w:type="dxa"/>
              <w:start w:w="65" w:type="dxa"/>
              <w:bottom w:w="55" w:type="dxa"/>
              <w:end w:w="65" w:type="dxa"/>
            </w:tcMar>
          </w:tcPr>
          <w:p>
            <w:pPr>
              <w:spacing w:after="0"/>
            </w:pPr>
            <w:r>
              <w:rPr>
                <w:sz w:val="14"/>
              </w:rPr>
              <w:t>45</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WB1</w:t>
            </w:r>
          </w:p>
        </w:tc>
      </w:tr>
      <w:tr>
        <w:trPr>
          <w:cantSplit/>
        </w:trPr>
        <w:tc>
          <w:tcPr>
            <w:tcW w:type="dxa" w:w="1493"/>
            <w:vAlign w:val="center"/>
            <w:tcMar>
              <w:top w:w="55" w:type="dxa"/>
              <w:start w:w="65" w:type="dxa"/>
              <w:bottom w:w="55" w:type="dxa"/>
              <w:end w:w="65" w:type="dxa"/>
            </w:tcMar>
            <w:shd w:fill="F2F4F7"/>
          </w:tcPr>
          <w:p>
            <w:pPr>
              <w:spacing w:after="0"/>
            </w:pPr>
            <w:r>
              <w:rPr>
                <w:sz w:val="14"/>
              </w:rPr>
              <w:t>46</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2B</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WB5</w:t>
            </w:r>
          </w:p>
        </w:tc>
      </w:tr>
      <w:tr>
        <w:trPr>
          <w:cantSplit/>
        </w:trPr>
        <w:tc>
          <w:tcPr>
            <w:tcW w:type="dxa" w:w="1493"/>
            <w:vAlign w:val="center"/>
            <w:tcMar>
              <w:top w:w="55" w:type="dxa"/>
              <w:start w:w="65" w:type="dxa"/>
              <w:bottom w:w="55" w:type="dxa"/>
              <w:end w:w="65" w:type="dxa"/>
            </w:tcMar>
          </w:tcPr>
          <w:p>
            <w:pPr>
              <w:spacing w:after="0"/>
            </w:pPr>
            <w:r>
              <w:rPr>
                <w:sz w:val="14"/>
              </w:rPr>
              <w:t>47</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WB1</w:t>
            </w:r>
          </w:p>
        </w:tc>
      </w:tr>
      <w:tr>
        <w:trPr>
          <w:cantSplit/>
        </w:trPr>
        <w:tc>
          <w:tcPr>
            <w:tcW w:type="dxa" w:w="1493"/>
            <w:vAlign w:val="center"/>
            <w:tcMar>
              <w:top w:w="55" w:type="dxa"/>
              <w:start w:w="65" w:type="dxa"/>
              <w:bottom w:w="55" w:type="dxa"/>
              <w:end w:w="65" w:type="dxa"/>
            </w:tcMar>
            <w:shd w:fill="F2F4F7"/>
          </w:tcPr>
          <w:p>
            <w:pPr>
              <w:spacing w:after="0"/>
            </w:pPr>
            <w:r>
              <w:rPr>
                <w:sz w:val="14"/>
              </w:rPr>
              <w:t>48</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2C</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WB3</w:t>
            </w:r>
          </w:p>
        </w:tc>
      </w:tr>
      <w:tr>
        <w:trPr>
          <w:cantSplit/>
        </w:trPr>
        <w:tc>
          <w:tcPr>
            <w:tcW w:type="dxa" w:w="1493"/>
            <w:vAlign w:val="center"/>
            <w:tcMar>
              <w:top w:w="55" w:type="dxa"/>
              <w:start w:w="65" w:type="dxa"/>
              <w:bottom w:w="55" w:type="dxa"/>
              <w:end w:w="65" w:type="dxa"/>
            </w:tcMar>
          </w:tcPr>
          <w:p>
            <w:pPr>
              <w:spacing w:after="0"/>
            </w:pPr>
            <w:r>
              <w:rPr>
                <w:sz w:val="14"/>
              </w:rPr>
              <w:t>49</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1B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WB5</w:t>
            </w:r>
          </w:p>
        </w:tc>
      </w:tr>
      <w:tr>
        <w:trPr>
          <w:cantSplit/>
        </w:trPr>
        <w:tc>
          <w:tcPr>
            <w:tcW w:type="dxa" w:w="1493"/>
            <w:vAlign w:val="center"/>
            <w:tcMar>
              <w:top w:w="55" w:type="dxa"/>
              <w:start w:w="65" w:type="dxa"/>
              <w:bottom w:w="55" w:type="dxa"/>
              <w:end w:w="65" w:type="dxa"/>
            </w:tcMar>
            <w:shd w:fill="F2F4F7"/>
          </w:tcPr>
          <w:p>
            <w:pPr>
              <w:spacing w:after="0"/>
            </w:pPr>
            <w:r>
              <w:rPr>
                <w:sz w:val="14"/>
              </w:rPr>
              <w:t>50</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2C</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WB3</w:t>
            </w:r>
          </w:p>
        </w:tc>
      </w:tr>
      <w:tr>
        <w:trPr>
          <w:cantSplit/>
        </w:trPr>
        <w:tc>
          <w:tcPr>
            <w:tcW w:type="dxa" w:w="1493"/>
            <w:vAlign w:val="center"/>
            <w:tcMar>
              <w:top w:w="55" w:type="dxa"/>
              <w:start w:w="65" w:type="dxa"/>
              <w:bottom w:w="55" w:type="dxa"/>
              <w:end w:w="65" w:type="dxa"/>
            </w:tcMar>
          </w:tcPr>
          <w:p>
            <w:pPr>
              <w:spacing w:after="0"/>
            </w:pPr>
            <w:r>
              <w:rPr>
                <w:sz w:val="14"/>
              </w:rPr>
              <w:t>51</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2C</w:t>
            </w:r>
          </w:p>
        </w:tc>
        <w:tc>
          <w:tcPr>
            <w:tcW w:type="dxa" w:w="1493"/>
            <w:vAlign w:val="center"/>
            <w:tcMar>
              <w:top w:w="55" w:type="dxa"/>
              <w:start w:w="65" w:type="dxa"/>
              <w:bottom w:w="55" w:type="dxa"/>
              <w:end w:w="65" w:type="dxa"/>
            </w:tcMar>
          </w:tcPr>
          <w:p>
            <w:pPr>
              <w:spacing w:after="0"/>
            </w:pPr>
            <w:r>
              <w:rPr>
                <w:sz w:val="14"/>
              </w:rPr>
              <w:t>Easy</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WB2</w:t>
            </w:r>
          </w:p>
        </w:tc>
      </w:tr>
      <w:tr>
        <w:trPr>
          <w:cantSplit/>
        </w:trPr>
        <w:tc>
          <w:tcPr>
            <w:tcW w:type="dxa" w:w="1493"/>
            <w:vAlign w:val="center"/>
            <w:tcMar>
              <w:top w:w="55" w:type="dxa"/>
              <w:start w:w="65" w:type="dxa"/>
              <w:bottom w:w="55" w:type="dxa"/>
              <w:end w:w="65" w:type="dxa"/>
            </w:tcMar>
            <w:shd w:fill="F2F4F7"/>
          </w:tcPr>
          <w:p>
            <w:pPr>
              <w:spacing w:after="0"/>
            </w:pPr>
            <w:r>
              <w:rPr>
                <w:sz w:val="14"/>
              </w:rPr>
              <w:t>52</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1B</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Foundational</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WB9</w:t>
            </w:r>
          </w:p>
        </w:tc>
      </w:tr>
      <w:tr>
        <w:trPr>
          <w:cantSplit/>
        </w:trPr>
        <w:tc>
          <w:tcPr>
            <w:tcW w:type="dxa" w:w="1493"/>
            <w:vAlign w:val="center"/>
            <w:tcMar>
              <w:top w:w="55" w:type="dxa"/>
              <w:start w:w="65" w:type="dxa"/>
              <w:bottom w:w="55" w:type="dxa"/>
              <w:end w:w="65" w:type="dxa"/>
            </w:tcMar>
          </w:tcPr>
          <w:p>
            <w:pPr>
              <w:spacing w:after="0"/>
            </w:pPr>
            <w:r>
              <w:rPr>
                <w:sz w:val="14"/>
              </w:rPr>
              <w:t>53</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1A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WB1</w:t>
            </w:r>
          </w:p>
        </w:tc>
      </w:tr>
      <w:tr>
        <w:trPr>
          <w:cantSplit/>
        </w:trPr>
        <w:tc>
          <w:tcPr>
            <w:tcW w:type="dxa" w:w="1493"/>
            <w:vAlign w:val="center"/>
            <w:tcMar>
              <w:top w:w="55" w:type="dxa"/>
              <w:start w:w="65" w:type="dxa"/>
              <w:bottom w:w="55" w:type="dxa"/>
              <w:end w:w="65" w:type="dxa"/>
            </w:tcMar>
            <w:shd w:fill="F2F4F7"/>
          </w:tcPr>
          <w:p>
            <w:pPr>
              <w:spacing w:after="0"/>
            </w:pPr>
            <w:r>
              <w:rPr>
                <w:sz w:val="14"/>
              </w:rPr>
              <w:t>54</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2B</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Foundational</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WB1</w:t>
            </w:r>
          </w:p>
        </w:tc>
      </w:tr>
      <w:tr>
        <w:trPr>
          <w:cantSplit/>
        </w:trPr>
        <w:tc>
          <w:tcPr>
            <w:tcW w:type="dxa" w:w="1493"/>
            <w:vAlign w:val="center"/>
            <w:tcMar>
              <w:top w:w="55" w:type="dxa"/>
              <w:start w:w="65" w:type="dxa"/>
              <w:bottom w:w="55" w:type="dxa"/>
              <w:end w:w="65" w:type="dxa"/>
            </w:tcMar>
          </w:tcPr>
          <w:p>
            <w:pPr>
              <w:spacing w:after="0"/>
            </w:pPr>
            <w:r>
              <w:rPr>
                <w:sz w:val="14"/>
              </w:rPr>
              <w:t>55</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1A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WB1</w:t>
            </w:r>
          </w:p>
        </w:tc>
      </w:tr>
      <w:tr>
        <w:trPr>
          <w:cantSplit/>
        </w:trPr>
        <w:tc>
          <w:tcPr>
            <w:tcW w:type="dxa" w:w="1493"/>
            <w:vAlign w:val="center"/>
            <w:tcMar>
              <w:top w:w="55" w:type="dxa"/>
              <w:start w:w="65" w:type="dxa"/>
              <w:bottom w:w="55" w:type="dxa"/>
              <w:end w:w="65" w:type="dxa"/>
            </w:tcMar>
            <w:shd w:fill="F2F4F7"/>
          </w:tcPr>
          <w:p>
            <w:pPr>
              <w:spacing w:after="0"/>
            </w:pPr>
            <w:r>
              <w:rPr>
                <w:sz w:val="14"/>
              </w:rPr>
              <w:t>56</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2B</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WB1</w:t>
            </w:r>
          </w:p>
        </w:tc>
      </w:tr>
      <w:tr>
        <w:trPr>
          <w:cantSplit/>
        </w:trPr>
        <w:tc>
          <w:tcPr>
            <w:tcW w:type="dxa" w:w="1493"/>
            <w:vAlign w:val="center"/>
            <w:tcMar>
              <w:top w:w="55" w:type="dxa"/>
              <w:start w:w="65" w:type="dxa"/>
              <w:bottom w:w="55" w:type="dxa"/>
              <w:end w:w="65" w:type="dxa"/>
            </w:tcMar>
          </w:tcPr>
          <w:p>
            <w:pPr>
              <w:spacing w:after="0"/>
            </w:pPr>
            <w:r>
              <w:rPr>
                <w:sz w:val="14"/>
              </w:rPr>
              <w:t>57</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Easy</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WB7</w:t>
            </w:r>
          </w:p>
        </w:tc>
      </w:tr>
      <w:tr>
        <w:trPr>
          <w:cantSplit/>
        </w:trPr>
        <w:tc>
          <w:tcPr>
            <w:tcW w:type="dxa" w:w="1493"/>
            <w:vAlign w:val="center"/>
            <w:tcMar>
              <w:top w:w="55" w:type="dxa"/>
              <w:start w:w="65" w:type="dxa"/>
              <w:bottom w:w="55" w:type="dxa"/>
              <w:end w:w="65" w:type="dxa"/>
            </w:tcMar>
            <w:shd w:fill="F2F4F7"/>
          </w:tcPr>
          <w:p>
            <w:pPr>
              <w:spacing w:after="0"/>
            </w:pPr>
            <w:r>
              <w:rPr>
                <w:sz w:val="14"/>
              </w:rPr>
              <w:t>58</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1B</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WB2</w:t>
            </w:r>
          </w:p>
        </w:tc>
      </w:tr>
      <w:tr>
        <w:trPr>
          <w:cantSplit/>
        </w:trPr>
        <w:tc>
          <w:tcPr>
            <w:tcW w:type="dxa" w:w="1493"/>
            <w:vAlign w:val="center"/>
            <w:tcMar>
              <w:top w:w="55" w:type="dxa"/>
              <w:start w:w="65" w:type="dxa"/>
              <w:bottom w:w="55" w:type="dxa"/>
              <w:end w:w="65" w:type="dxa"/>
            </w:tcMar>
          </w:tcPr>
          <w:p>
            <w:pPr>
              <w:spacing w:after="0"/>
            </w:pPr>
            <w:r>
              <w:rPr>
                <w:sz w:val="14"/>
              </w:rPr>
              <w:t>59</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2A</w:t>
            </w:r>
          </w:p>
        </w:tc>
        <w:tc>
          <w:tcPr>
            <w:tcW w:type="dxa" w:w="1493"/>
            <w:vAlign w:val="center"/>
            <w:tcMar>
              <w:top w:w="55" w:type="dxa"/>
              <w:start w:w="65" w:type="dxa"/>
              <w:bottom w:w="55" w:type="dxa"/>
              <w:end w:w="65" w:type="dxa"/>
            </w:tcMar>
          </w:tcPr>
          <w:p>
            <w:pPr>
              <w:spacing w:after="0"/>
            </w:pPr>
            <w:r>
              <w:rPr>
                <w:sz w:val="14"/>
              </w:rPr>
              <w:t>Easy</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WB4</w:t>
            </w:r>
          </w:p>
        </w:tc>
      </w:tr>
      <w:tr>
        <w:trPr>
          <w:cantSplit/>
        </w:trPr>
        <w:tc>
          <w:tcPr>
            <w:tcW w:type="dxa" w:w="1493"/>
            <w:vAlign w:val="center"/>
            <w:tcMar>
              <w:top w:w="55" w:type="dxa"/>
              <w:start w:w="65" w:type="dxa"/>
              <w:bottom w:w="55" w:type="dxa"/>
              <w:end w:w="65" w:type="dxa"/>
            </w:tcMar>
            <w:shd w:fill="F2F4F7"/>
          </w:tcPr>
          <w:p>
            <w:pPr>
              <w:spacing w:after="0"/>
            </w:pPr>
            <w:r>
              <w:rPr>
                <w:sz w:val="14"/>
              </w:rPr>
              <w:t>60</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1B</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WB8</w:t>
            </w:r>
          </w:p>
        </w:tc>
      </w:tr>
      <w:tr>
        <w:trPr>
          <w:cantSplit/>
        </w:trPr>
        <w:tc>
          <w:tcPr>
            <w:tcW w:type="dxa" w:w="1493"/>
            <w:vAlign w:val="center"/>
            <w:tcMar>
              <w:top w:w="55" w:type="dxa"/>
              <w:start w:w="65" w:type="dxa"/>
              <w:bottom w:w="55" w:type="dxa"/>
              <w:end w:w="65" w:type="dxa"/>
            </w:tcMar>
          </w:tcPr>
          <w:p>
            <w:pPr>
              <w:spacing w:after="0"/>
            </w:pPr>
            <w:r>
              <w:rPr>
                <w:sz w:val="14"/>
              </w:rPr>
              <w:t>61</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2C</w:t>
            </w:r>
          </w:p>
        </w:tc>
        <w:tc>
          <w:tcPr>
            <w:tcW w:type="dxa" w:w="1493"/>
            <w:vAlign w:val="center"/>
            <w:tcMar>
              <w:top w:w="55" w:type="dxa"/>
              <w:start w:w="65" w:type="dxa"/>
              <w:bottom w:w="55" w:type="dxa"/>
              <w:end w:w="65" w:type="dxa"/>
            </w:tcMar>
          </w:tcPr>
          <w:p>
            <w:pPr>
              <w:spacing w:after="0"/>
            </w:pPr>
            <w:r>
              <w:rPr>
                <w:sz w:val="14"/>
              </w:rPr>
              <w:t>Easy</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WB4</w:t>
            </w:r>
          </w:p>
        </w:tc>
      </w:tr>
      <w:tr>
        <w:trPr>
          <w:cantSplit/>
        </w:trPr>
        <w:tc>
          <w:tcPr>
            <w:tcW w:type="dxa" w:w="1493"/>
            <w:vAlign w:val="center"/>
            <w:tcMar>
              <w:top w:w="55" w:type="dxa"/>
              <w:start w:w="65" w:type="dxa"/>
              <w:bottom w:w="55" w:type="dxa"/>
              <w:end w:w="65" w:type="dxa"/>
            </w:tcMar>
            <w:shd w:fill="F2F4F7"/>
          </w:tcPr>
          <w:p>
            <w:pPr>
              <w:spacing w:after="0"/>
            </w:pPr>
            <w:r>
              <w:rPr>
                <w:sz w:val="14"/>
              </w:rPr>
              <w:t>62</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1C</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WB6</w:t>
            </w:r>
          </w:p>
        </w:tc>
      </w:tr>
      <w:tr>
        <w:trPr>
          <w:cantSplit/>
        </w:trPr>
        <w:tc>
          <w:tcPr>
            <w:tcW w:type="dxa" w:w="1493"/>
            <w:vAlign w:val="center"/>
            <w:tcMar>
              <w:top w:w="55" w:type="dxa"/>
              <w:start w:w="65" w:type="dxa"/>
              <w:bottom w:w="55" w:type="dxa"/>
              <w:end w:w="65" w:type="dxa"/>
            </w:tcMar>
          </w:tcPr>
          <w:p>
            <w:pPr>
              <w:spacing w:after="0"/>
            </w:pPr>
            <w:r>
              <w:rPr>
                <w:sz w:val="14"/>
              </w:rPr>
              <w:t>63</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2A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WB4</w:t>
            </w:r>
          </w:p>
        </w:tc>
      </w:tr>
      <w:tr>
        <w:trPr>
          <w:cantSplit/>
        </w:trPr>
        <w:tc>
          <w:tcPr>
            <w:tcW w:type="dxa" w:w="1493"/>
            <w:vAlign w:val="center"/>
            <w:tcMar>
              <w:top w:w="55" w:type="dxa"/>
              <w:start w:w="65" w:type="dxa"/>
              <w:bottom w:w="55" w:type="dxa"/>
              <w:end w:w="65" w:type="dxa"/>
            </w:tcMar>
            <w:shd w:fill="F2F4F7"/>
          </w:tcPr>
          <w:p>
            <w:pPr>
              <w:spacing w:after="0"/>
            </w:pPr>
            <w:r>
              <w:rPr>
                <w:sz w:val="14"/>
              </w:rPr>
              <w:t>64</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1B</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WB5</w:t>
            </w:r>
          </w:p>
        </w:tc>
      </w:tr>
      <w:tr>
        <w:trPr>
          <w:cantSplit/>
        </w:trPr>
        <w:tc>
          <w:tcPr>
            <w:tcW w:type="dxa" w:w="1493"/>
            <w:vAlign w:val="center"/>
            <w:tcMar>
              <w:top w:w="55" w:type="dxa"/>
              <w:start w:w="65" w:type="dxa"/>
              <w:bottom w:w="55" w:type="dxa"/>
              <w:end w:w="65" w:type="dxa"/>
            </w:tcMar>
          </w:tcPr>
          <w:p>
            <w:pPr>
              <w:spacing w:after="0"/>
            </w:pPr>
            <w:r>
              <w:rPr>
                <w:sz w:val="14"/>
              </w:rPr>
              <w:t>65</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1B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WB5</w:t>
            </w:r>
          </w:p>
        </w:tc>
      </w:tr>
      <w:tr>
        <w:trPr>
          <w:cantSplit/>
        </w:trPr>
        <w:tc>
          <w:tcPr>
            <w:tcW w:type="dxa" w:w="1493"/>
            <w:vAlign w:val="center"/>
            <w:tcMar>
              <w:top w:w="55" w:type="dxa"/>
              <w:start w:w="65" w:type="dxa"/>
              <w:bottom w:w="55" w:type="dxa"/>
              <w:end w:w="65" w:type="dxa"/>
            </w:tcMar>
            <w:shd w:fill="F2F4F7"/>
          </w:tcPr>
          <w:p>
            <w:pPr>
              <w:spacing w:after="0"/>
            </w:pPr>
            <w:r>
              <w:rPr>
                <w:sz w:val="14"/>
              </w:rPr>
              <w:t>66</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1A</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WB2</w:t>
            </w:r>
          </w:p>
        </w:tc>
      </w:tr>
      <w:tr>
        <w:trPr>
          <w:cantSplit/>
        </w:trPr>
        <w:tc>
          <w:tcPr>
            <w:tcW w:type="dxa" w:w="1493"/>
            <w:vAlign w:val="center"/>
            <w:tcMar>
              <w:top w:w="55" w:type="dxa"/>
              <w:start w:w="65" w:type="dxa"/>
              <w:bottom w:w="55" w:type="dxa"/>
              <w:end w:w="65" w:type="dxa"/>
            </w:tcMar>
          </w:tcPr>
          <w:p>
            <w:pPr>
              <w:spacing w:after="0"/>
            </w:pPr>
            <w:r>
              <w:rPr>
                <w:sz w:val="14"/>
              </w:rPr>
              <w:t>67</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1A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WB8</w:t>
            </w:r>
          </w:p>
        </w:tc>
      </w:tr>
      <w:tr>
        <w:trPr>
          <w:cantSplit/>
        </w:trPr>
        <w:tc>
          <w:tcPr>
            <w:tcW w:type="dxa" w:w="1493"/>
            <w:vAlign w:val="center"/>
            <w:tcMar>
              <w:top w:w="55" w:type="dxa"/>
              <w:start w:w="65" w:type="dxa"/>
              <w:bottom w:w="55" w:type="dxa"/>
              <w:end w:w="65" w:type="dxa"/>
            </w:tcMar>
            <w:shd w:fill="F2F4F7"/>
          </w:tcPr>
          <w:p>
            <w:pPr>
              <w:spacing w:after="0"/>
            </w:pPr>
            <w:r>
              <w:rPr>
                <w:sz w:val="14"/>
              </w:rPr>
              <w:t>68</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2B</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WB5</w:t>
            </w:r>
          </w:p>
        </w:tc>
      </w:tr>
      <w:tr>
        <w:trPr>
          <w:cantSplit/>
        </w:trPr>
        <w:tc>
          <w:tcPr>
            <w:tcW w:type="dxa" w:w="1493"/>
            <w:vAlign w:val="center"/>
            <w:tcMar>
              <w:top w:w="55" w:type="dxa"/>
              <w:start w:w="65" w:type="dxa"/>
              <w:bottom w:w="55" w:type="dxa"/>
              <w:end w:w="65" w:type="dxa"/>
            </w:tcMar>
          </w:tcPr>
          <w:p>
            <w:pPr>
              <w:spacing w:after="0"/>
            </w:pPr>
            <w:r>
              <w:rPr>
                <w:sz w:val="14"/>
              </w:rPr>
              <w:t>69</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1A</w:t>
            </w:r>
          </w:p>
        </w:tc>
        <w:tc>
          <w:tcPr>
            <w:tcW w:type="dxa" w:w="1493"/>
            <w:vAlign w:val="center"/>
            <w:tcMar>
              <w:top w:w="55" w:type="dxa"/>
              <w:start w:w="65" w:type="dxa"/>
              <w:bottom w:w="55" w:type="dxa"/>
              <w:end w:w="65" w:type="dxa"/>
            </w:tcMar>
          </w:tcPr>
          <w:p>
            <w:pPr>
              <w:spacing w:after="0"/>
            </w:pPr>
            <w:r>
              <w:rPr>
                <w:sz w:val="14"/>
              </w:rPr>
              <w:t>Difficult</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WB2</w:t>
            </w:r>
          </w:p>
        </w:tc>
      </w:tr>
      <w:tr>
        <w:trPr>
          <w:cantSplit/>
        </w:trPr>
        <w:tc>
          <w:tcPr>
            <w:tcW w:type="dxa" w:w="1493"/>
            <w:vAlign w:val="center"/>
            <w:tcMar>
              <w:top w:w="55" w:type="dxa"/>
              <w:start w:w="65" w:type="dxa"/>
              <w:bottom w:w="55" w:type="dxa"/>
              <w:end w:w="65" w:type="dxa"/>
            </w:tcMar>
            <w:shd w:fill="F2F4F7"/>
          </w:tcPr>
          <w:p>
            <w:pPr>
              <w:spacing w:after="0"/>
            </w:pPr>
            <w:r>
              <w:rPr>
                <w:sz w:val="14"/>
              </w:rPr>
              <w:t>70</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2A</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WB6</w:t>
            </w:r>
          </w:p>
        </w:tc>
      </w:tr>
      <w:tr>
        <w:trPr>
          <w:cantSplit/>
        </w:trPr>
        <w:tc>
          <w:tcPr>
            <w:tcW w:type="dxa" w:w="1493"/>
            <w:vAlign w:val="center"/>
            <w:tcMar>
              <w:top w:w="55" w:type="dxa"/>
              <w:start w:w="65" w:type="dxa"/>
              <w:bottom w:w="55" w:type="dxa"/>
              <w:end w:w="65" w:type="dxa"/>
            </w:tcMar>
          </w:tcPr>
          <w:p>
            <w:pPr>
              <w:spacing w:after="0"/>
            </w:pPr>
            <w:r>
              <w:rPr>
                <w:sz w:val="14"/>
              </w:rPr>
              <w:t>71</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1B</w:t>
            </w:r>
          </w:p>
        </w:tc>
        <w:tc>
          <w:tcPr>
            <w:tcW w:type="dxa" w:w="1493"/>
            <w:vAlign w:val="center"/>
            <w:tcMar>
              <w:top w:w="55" w:type="dxa"/>
              <w:start w:w="65" w:type="dxa"/>
              <w:bottom w:w="55" w:type="dxa"/>
              <w:end w:w="65" w:type="dxa"/>
            </w:tcMar>
          </w:tcPr>
          <w:p>
            <w:pPr>
              <w:spacing w:after="0"/>
            </w:pPr>
            <w:r>
              <w:rPr>
                <w:sz w:val="14"/>
              </w:rPr>
              <w:t>Easy</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WB9</w:t>
            </w:r>
          </w:p>
        </w:tc>
      </w:tr>
      <w:tr>
        <w:trPr>
          <w:cantSplit/>
        </w:trPr>
        <w:tc>
          <w:tcPr>
            <w:tcW w:type="dxa" w:w="1493"/>
            <w:vAlign w:val="center"/>
            <w:tcMar>
              <w:top w:w="55" w:type="dxa"/>
              <w:start w:w="65" w:type="dxa"/>
              <w:bottom w:w="55" w:type="dxa"/>
              <w:end w:w="65" w:type="dxa"/>
            </w:tcMar>
            <w:shd w:fill="F2F4F7"/>
          </w:tcPr>
          <w:p>
            <w:pPr>
              <w:spacing w:after="0"/>
            </w:pPr>
            <w:r>
              <w:rPr>
                <w:sz w:val="14"/>
              </w:rPr>
              <w:t>72</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1C</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LS Module</w:t>
            </w:r>
          </w:p>
        </w:tc>
      </w:tr>
      <w:tr>
        <w:trPr>
          <w:cantSplit/>
        </w:trPr>
        <w:tc>
          <w:tcPr>
            <w:tcW w:type="dxa" w:w="1493"/>
            <w:vAlign w:val="center"/>
            <w:tcMar>
              <w:top w:w="55" w:type="dxa"/>
              <w:start w:w="65" w:type="dxa"/>
              <w:bottom w:w="55" w:type="dxa"/>
              <w:end w:w="65" w:type="dxa"/>
            </w:tcMar>
          </w:tcPr>
          <w:p>
            <w:pPr>
              <w:spacing w:after="0"/>
            </w:pPr>
            <w:r>
              <w:rPr>
                <w:sz w:val="14"/>
              </w:rPr>
              <w:t>73</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1B</w:t>
            </w:r>
          </w:p>
        </w:tc>
        <w:tc>
          <w:tcPr>
            <w:tcW w:type="dxa" w:w="1493"/>
            <w:vAlign w:val="center"/>
            <w:tcMar>
              <w:top w:w="55" w:type="dxa"/>
              <w:start w:w="65" w:type="dxa"/>
              <w:bottom w:w="55" w:type="dxa"/>
              <w:end w:w="65" w:type="dxa"/>
            </w:tcMar>
          </w:tcPr>
          <w:p>
            <w:pPr>
              <w:spacing w:after="0"/>
            </w:pPr>
            <w:r>
              <w:rPr>
                <w:sz w:val="14"/>
              </w:rPr>
              <w:t>Difficult</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WB5</w:t>
            </w:r>
          </w:p>
        </w:tc>
      </w:tr>
      <w:tr>
        <w:trPr>
          <w:cantSplit/>
        </w:trPr>
        <w:tc>
          <w:tcPr>
            <w:tcW w:type="dxa" w:w="1493"/>
            <w:vAlign w:val="center"/>
            <w:tcMar>
              <w:top w:w="55" w:type="dxa"/>
              <w:start w:w="65" w:type="dxa"/>
              <w:bottom w:w="55" w:type="dxa"/>
              <w:end w:w="65" w:type="dxa"/>
            </w:tcMar>
            <w:shd w:fill="F2F4F7"/>
          </w:tcPr>
          <w:p>
            <w:pPr>
              <w:spacing w:after="0"/>
            </w:pPr>
            <w:r>
              <w:rPr>
                <w:sz w:val="14"/>
              </w:rPr>
              <w:t>74</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2B</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WB1</w:t>
            </w:r>
          </w:p>
        </w:tc>
      </w:tr>
      <w:tr>
        <w:trPr>
          <w:cantSplit/>
        </w:trPr>
        <w:tc>
          <w:tcPr>
            <w:tcW w:type="dxa" w:w="1493"/>
            <w:vAlign w:val="center"/>
            <w:tcMar>
              <w:top w:w="55" w:type="dxa"/>
              <w:start w:w="65" w:type="dxa"/>
              <w:bottom w:w="55" w:type="dxa"/>
              <w:end w:w="65" w:type="dxa"/>
            </w:tcMar>
          </w:tcPr>
          <w:p>
            <w:pPr>
              <w:spacing w:after="0"/>
            </w:pPr>
            <w:r>
              <w:rPr>
                <w:sz w:val="14"/>
              </w:rPr>
              <w:t>75</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1A</w:t>
            </w:r>
          </w:p>
        </w:tc>
        <w:tc>
          <w:tcPr>
            <w:tcW w:type="dxa" w:w="1493"/>
            <w:vAlign w:val="center"/>
            <w:tcMar>
              <w:top w:w="55" w:type="dxa"/>
              <w:start w:w="65" w:type="dxa"/>
              <w:bottom w:w="55" w:type="dxa"/>
              <w:end w:w="65" w:type="dxa"/>
            </w:tcMar>
          </w:tcPr>
          <w:p>
            <w:pPr>
              <w:spacing w:after="0"/>
            </w:pPr>
            <w:r>
              <w:rPr>
                <w:sz w:val="14"/>
              </w:rPr>
              <w:t>Easy</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WB8</w:t>
            </w:r>
          </w:p>
        </w:tc>
      </w:tr>
      <w:tr>
        <w:trPr>
          <w:cantSplit/>
        </w:trPr>
        <w:tc>
          <w:tcPr>
            <w:tcW w:type="dxa" w:w="1493"/>
            <w:vAlign w:val="center"/>
            <w:tcMar>
              <w:top w:w="55" w:type="dxa"/>
              <w:start w:w="65" w:type="dxa"/>
              <w:bottom w:w="55" w:type="dxa"/>
              <w:end w:w="65" w:type="dxa"/>
            </w:tcMar>
            <w:shd w:fill="F2F4F7"/>
          </w:tcPr>
          <w:p>
            <w:pPr>
              <w:spacing w:after="0"/>
            </w:pPr>
            <w:r>
              <w:rPr>
                <w:sz w:val="14"/>
              </w:rPr>
              <w:t>76</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2A</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WB6</w:t>
            </w:r>
          </w:p>
        </w:tc>
      </w:tr>
      <w:tr>
        <w:trPr>
          <w:cantSplit/>
        </w:trPr>
        <w:tc>
          <w:tcPr>
            <w:tcW w:type="dxa" w:w="1493"/>
            <w:vAlign w:val="center"/>
            <w:tcMar>
              <w:top w:w="55" w:type="dxa"/>
              <w:start w:w="65" w:type="dxa"/>
              <w:bottom w:w="55" w:type="dxa"/>
              <w:end w:w="65" w:type="dxa"/>
            </w:tcMar>
          </w:tcPr>
          <w:p>
            <w:pPr>
              <w:spacing w:after="0"/>
            </w:pPr>
            <w:r>
              <w:rPr>
                <w:sz w:val="14"/>
              </w:rPr>
              <w:t>77</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2C</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WB7</w:t>
            </w:r>
          </w:p>
        </w:tc>
      </w:tr>
      <w:tr>
        <w:trPr>
          <w:cantSplit/>
        </w:trPr>
        <w:tc>
          <w:tcPr>
            <w:tcW w:type="dxa" w:w="1493"/>
            <w:vAlign w:val="center"/>
            <w:tcMar>
              <w:top w:w="55" w:type="dxa"/>
              <w:start w:w="65" w:type="dxa"/>
              <w:bottom w:w="55" w:type="dxa"/>
              <w:end w:w="65" w:type="dxa"/>
            </w:tcMar>
            <w:shd w:fill="F2F4F7"/>
          </w:tcPr>
          <w:p>
            <w:pPr>
              <w:spacing w:after="0"/>
            </w:pPr>
            <w:r>
              <w:rPr>
                <w:sz w:val="14"/>
              </w:rPr>
              <w:t>78</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2A</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WB3</w:t>
            </w:r>
          </w:p>
        </w:tc>
      </w:tr>
      <w:tr>
        <w:trPr>
          <w:cantSplit/>
        </w:trPr>
        <w:tc>
          <w:tcPr>
            <w:tcW w:type="dxa" w:w="1493"/>
            <w:vAlign w:val="center"/>
            <w:tcMar>
              <w:top w:w="55" w:type="dxa"/>
              <w:start w:w="65" w:type="dxa"/>
              <w:bottom w:w="55" w:type="dxa"/>
              <w:end w:w="65" w:type="dxa"/>
            </w:tcMar>
          </w:tcPr>
          <w:p>
            <w:pPr>
              <w:spacing w:after="0"/>
            </w:pPr>
            <w:r>
              <w:rPr>
                <w:sz w:val="14"/>
              </w:rPr>
              <w:t>79</w:t>
            </w:r>
          </w:p>
        </w:tc>
        <w:tc>
          <w:tcPr>
            <w:tcW w:type="dxa" w:w="1493"/>
            <w:vAlign w:val="center"/>
            <w:tcMar>
              <w:top w:w="55" w:type="dxa"/>
              <w:start w:w="65" w:type="dxa"/>
              <w:bottom w:w="55" w:type="dxa"/>
              <w:end w:w="65" w:type="dxa"/>
            </w:tcMar>
          </w:tcPr>
          <w:p>
            <w:pPr>
              <w:spacing w:after="0"/>
            </w:pPr>
            <w:r>
              <w:rPr>
                <w:sz w:val="14"/>
              </w:rPr>
              <w:t>D</w:t>
            </w:r>
          </w:p>
        </w:tc>
        <w:tc>
          <w:tcPr>
            <w:tcW w:type="dxa" w:w="1493"/>
            <w:vAlign w:val="center"/>
            <w:tcMar>
              <w:top w:w="55" w:type="dxa"/>
              <w:start w:w="65" w:type="dxa"/>
              <w:bottom w:w="55" w:type="dxa"/>
              <w:end w:w="65" w:type="dxa"/>
            </w:tcMar>
          </w:tcPr>
          <w:p>
            <w:pPr>
              <w:spacing w:after="0"/>
            </w:pPr>
            <w:r>
              <w:rPr>
                <w:sz w:val="14"/>
              </w:rPr>
              <w:t>2A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WB4</w:t>
            </w:r>
          </w:p>
        </w:tc>
      </w:tr>
      <w:tr>
        <w:trPr>
          <w:cantSplit/>
        </w:trPr>
        <w:tc>
          <w:tcPr>
            <w:tcW w:type="dxa" w:w="1493"/>
            <w:vAlign w:val="center"/>
            <w:tcMar>
              <w:top w:w="55" w:type="dxa"/>
              <w:start w:w="65" w:type="dxa"/>
              <w:bottom w:w="55" w:type="dxa"/>
              <w:end w:w="65" w:type="dxa"/>
            </w:tcMar>
            <w:shd w:fill="F2F4F7"/>
          </w:tcPr>
          <w:p>
            <w:pPr>
              <w:spacing w:after="0"/>
            </w:pPr>
            <w:r>
              <w:rPr>
                <w:sz w:val="14"/>
              </w:rPr>
              <w:t>80</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2A</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LS Module</w:t>
            </w:r>
          </w:p>
        </w:tc>
      </w:tr>
      <w:tr>
        <w:trPr>
          <w:cantSplit/>
        </w:trPr>
        <w:tc>
          <w:tcPr>
            <w:tcW w:type="dxa" w:w="1493"/>
            <w:vAlign w:val="center"/>
            <w:tcMar>
              <w:top w:w="55" w:type="dxa"/>
              <w:start w:w="65" w:type="dxa"/>
              <w:bottom w:w="55" w:type="dxa"/>
              <w:end w:w="65" w:type="dxa"/>
            </w:tcMar>
          </w:tcPr>
          <w:p>
            <w:pPr>
              <w:spacing w:after="0"/>
            </w:pPr>
            <w:r>
              <w:rPr>
                <w:sz w:val="14"/>
              </w:rPr>
              <w:t>81</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LS Module</w:t>
            </w:r>
          </w:p>
        </w:tc>
      </w:tr>
      <w:tr>
        <w:trPr>
          <w:cantSplit/>
        </w:trPr>
        <w:tc>
          <w:tcPr>
            <w:tcW w:type="dxa" w:w="1493"/>
            <w:vAlign w:val="center"/>
            <w:tcMar>
              <w:top w:w="55" w:type="dxa"/>
              <w:start w:w="65" w:type="dxa"/>
              <w:bottom w:w="55" w:type="dxa"/>
              <w:end w:w="65" w:type="dxa"/>
            </w:tcMar>
            <w:shd w:fill="F2F4F7"/>
          </w:tcPr>
          <w:p>
            <w:pPr>
              <w:spacing w:after="0"/>
            </w:pPr>
            <w:r>
              <w:rPr>
                <w:sz w:val="14"/>
              </w:rPr>
              <w:t>82</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1B</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WB9</w:t>
            </w:r>
          </w:p>
        </w:tc>
      </w:tr>
      <w:tr>
        <w:trPr>
          <w:cantSplit/>
        </w:trPr>
        <w:tc>
          <w:tcPr>
            <w:tcW w:type="dxa" w:w="1493"/>
            <w:vAlign w:val="center"/>
            <w:tcMar>
              <w:top w:w="55" w:type="dxa"/>
              <w:start w:w="65" w:type="dxa"/>
              <w:bottom w:w="55" w:type="dxa"/>
              <w:end w:w="65" w:type="dxa"/>
            </w:tcMar>
          </w:tcPr>
          <w:p>
            <w:pPr>
              <w:spacing w:after="0"/>
            </w:pPr>
            <w:r>
              <w:rPr>
                <w:sz w:val="14"/>
              </w:rPr>
              <w:t>83</w:t>
            </w:r>
          </w:p>
        </w:tc>
        <w:tc>
          <w:tcPr>
            <w:tcW w:type="dxa" w:w="1493"/>
            <w:vAlign w:val="center"/>
            <w:tcMar>
              <w:top w:w="55" w:type="dxa"/>
              <w:start w:w="65" w:type="dxa"/>
              <w:bottom w:w="55" w:type="dxa"/>
              <w:end w:w="65" w:type="dxa"/>
            </w:tcMar>
          </w:tcPr>
          <w:p>
            <w:pPr>
              <w:spacing w:after="0"/>
            </w:pPr>
            <w:r>
              <w:rPr>
                <w:sz w:val="14"/>
              </w:rPr>
              <w:t>A</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Applied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LS Module</w:t>
            </w:r>
          </w:p>
        </w:tc>
      </w:tr>
      <w:tr>
        <w:trPr>
          <w:cantSplit/>
        </w:trPr>
        <w:tc>
          <w:tcPr>
            <w:tcW w:type="dxa" w:w="1493"/>
            <w:vAlign w:val="center"/>
            <w:tcMar>
              <w:top w:w="55" w:type="dxa"/>
              <w:start w:w="65" w:type="dxa"/>
              <w:bottom w:w="55" w:type="dxa"/>
              <w:end w:w="65" w:type="dxa"/>
            </w:tcMar>
            <w:shd w:fill="F2F4F7"/>
          </w:tcPr>
          <w:p>
            <w:pPr>
              <w:spacing w:after="0"/>
            </w:pPr>
            <w:r>
              <w:rPr>
                <w:sz w:val="14"/>
              </w:rPr>
              <w:t>84</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2C</w:t>
            </w:r>
          </w:p>
        </w:tc>
        <w:tc>
          <w:tcPr>
            <w:tcW w:type="dxa" w:w="1493"/>
            <w:vAlign w:val="center"/>
            <w:tcMar>
              <w:top w:w="55" w:type="dxa"/>
              <w:start w:w="65" w:type="dxa"/>
              <w:bottom w:w="55" w:type="dxa"/>
              <w:end w:w="65" w:type="dxa"/>
            </w:tcMar>
            <w:shd w:fill="F2F4F7"/>
          </w:tcPr>
          <w:p>
            <w:pPr>
              <w:spacing w:after="0"/>
            </w:pPr>
            <w:r>
              <w:rPr>
                <w:sz w:val="14"/>
              </w:rPr>
              <w:t>Easy</w:t>
            </w:r>
          </w:p>
        </w:tc>
        <w:tc>
          <w:tcPr>
            <w:tcW w:type="dxa" w:w="1493"/>
            <w:vAlign w:val="center"/>
            <w:tcMar>
              <w:top w:w="55" w:type="dxa"/>
              <w:start w:w="65" w:type="dxa"/>
              <w:bottom w:w="55" w:type="dxa"/>
              <w:end w:w="65" w:type="dxa"/>
            </w:tcMar>
            <w:shd w:fill="F2F4F7"/>
          </w:tcPr>
          <w:p>
            <w:pPr>
              <w:spacing w:after="0"/>
            </w:pPr>
            <w:r>
              <w:rPr>
                <w:sz w:val="14"/>
              </w:rPr>
              <w:t>Foundational</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WB6</w:t>
            </w:r>
          </w:p>
        </w:tc>
      </w:tr>
      <w:tr>
        <w:trPr>
          <w:cantSplit/>
        </w:trPr>
        <w:tc>
          <w:tcPr>
            <w:tcW w:type="dxa" w:w="1493"/>
            <w:vAlign w:val="center"/>
            <w:tcMar>
              <w:top w:w="55" w:type="dxa"/>
              <w:start w:w="65" w:type="dxa"/>
              <w:bottom w:w="55" w:type="dxa"/>
              <w:end w:w="65" w:type="dxa"/>
            </w:tcMar>
          </w:tcPr>
          <w:p>
            <w:pPr>
              <w:spacing w:after="0"/>
            </w:pPr>
            <w:r>
              <w:rPr>
                <w:sz w:val="14"/>
              </w:rPr>
              <w:t>85</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1C</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WB6</w:t>
            </w:r>
          </w:p>
        </w:tc>
      </w:tr>
      <w:tr>
        <w:trPr>
          <w:cantSplit/>
        </w:trPr>
        <w:tc>
          <w:tcPr>
            <w:tcW w:type="dxa" w:w="1493"/>
            <w:vAlign w:val="center"/>
            <w:tcMar>
              <w:top w:w="55" w:type="dxa"/>
              <w:start w:w="65" w:type="dxa"/>
              <w:bottom w:w="55" w:type="dxa"/>
              <w:end w:w="65" w:type="dxa"/>
            </w:tcMar>
            <w:shd w:fill="F2F4F7"/>
          </w:tcPr>
          <w:p>
            <w:pPr>
              <w:spacing w:after="0"/>
            </w:pPr>
            <w:r>
              <w:rPr>
                <w:sz w:val="14"/>
              </w:rPr>
              <w:t>86</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2B</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WB6</w:t>
            </w:r>
          </w:p>
        </w:tc>
      </w:tr>
      <w:tr>
        <w:trPr>
          <w:cantSplit/>
        </w:trPr>
        <w:tc>
          <w:tcPr>
            <w:tcW w:type="dxa" w:w="1493"/>
            <w:vAlign w:val="center"/>
            <w:tcMar>
              <w:top w:w="55" w:type="dxa"/>
              <w:start w:w="65" w:type="dxa"/>
              <w:bottom w:w="55" w:type="dxa"/>
              <w:end w:w="65" w:type="dxa"/>
            </w:tcMar>
          </w:tcPr>
          <w:p>
            <w:pPr>
              <w:spacing w:after="0"/>
            </w:pPr>
            <w:r>
              <w:rPr>
                <w:sz w:val="14"/>
              </w:rPr>
              <w:t>87</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1B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WB8</w:t>
            </w:r>
          </w:p>
        </w:tc>
      </w:tr>
      <w:tr>
        <w:trPr>
          <w:cantSplit/>
        </w:trPr>
        <w:tc>
          <w:tcPr>
            <w:tcW w:type="dxa" w:w="1493"/>
            <w:vAlign w:val="center"/>
            <w:tcMar>
              <w:top w:w="55" w:type="dxa"/>
              <w:start w:w="65" w:type="dxa"/>
              <w:bottom w:w="55" w:type="dxa"/>
              <w:end w:w="65" w:type="dxa"/>
            </w:tcMar>
            <w:shd w:fill="F2F4F7"/>
          </w:tcPr>
          <w:p>
            <w:pPr>
              <w:spacing w:after="0"/>
            </w:pPr>
            <w:r>
              <w:rPr>
                <w:sz w:val="14"/>
              </w:rPr>
              <w:t>88</w:t>
            </w:r>
          </w:p>
        </w:tc>
        <w:tc>
          <w:tcPr>
            <w:tcW w:type="dxa" w:w="1493"/>
            <w:vAlign w:val="center"/>
            <w:tcMar>
              <w:top w:w="55" w:type="dxa"/>
              <w:start w:w="65" w:type="dxa"/>
              <w:bottom w:w="55" w:type="dxa"/>
              <w:end w:w="65" w:type="dxa"/>
            </w:tcMar>
            <w:shd w:fill="F2F4F7"/>
          </w:tcPr>
          <w:p>
            <w:pPr>
              <w:spacing w:after="0"/>
            </w:pPr>
            <w:r>
              <w:rPr>
                <w:sz w:val="14"/>
              </w:rPr>
              <w:t>A</w:t>
            </w:r>
          </w:p>
        </w:tc>
        <w:tc>
          <w:tcPr>
            <w:tcW w:type="dxa" w:w="1493"/>
            <w:vAlign w:val="center"/>
            <w:tcMar>
              <w:top w:w="55" w:type="dxa"/>
              <w:start w:w="65" w:type="dxa"/>
              <w:bottom w:w="55" w:type="dxa"/>
              <w:end w:w="65" w:type="dxa"/>
            </w:tcMar>
            <w:shd w:fill="F2F4F7"/>
          </w:tcPr>
          <w:p>
            <w:pPr>
              <w:spacing w:after="0"/>
            </w:pPr>
            <w:r>
              <w:rPr>
                <w:sz w:val="14"/>
              </w:rPr>
              <w:t>1A</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WB1</w:t>
            </w:r>
          </w:p>
        </w:tc>
      </w:tr>
      <w:tr>
        <w:trPr>
          <w:cantSplit/>
        </w:trPr>
        <w:tc>
          <w:tcPr>
            <w:tcW w:type="dxa" w:w="1493"/>
            <w:vAlign w:val="center"/>
            <w:tcMar>
              <w:top w:w="55" w:type="dxa"/>
              <w:start w:w="65" w:type="dxa"/>
              <w:bottom w:w="55" w:type="dxa"/>
              <w:end w:w="65" w:type="dxa"/>
            </w:tcMar>
          </w:tcPr>
          <w:p>
            <w:pPr>
              <w:spacing w:after="0"/>
            </w:pPr>
            <w:r>
              <w:rPr>
                <w:sz w:val="14"/>
              </w:rPr>
              <w:t>89</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1A</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WB8</w:t>
            </w:r>
          </w:p>
        </w:tc>
      </w:tr>
      <w:tr>
        <w:trPr>
          <w:cantSplit/>
        </w:trPr>
        <w:tc>
          <w:tcPr>
            <w:tcW w:type="dxa" w:w="1493"/>
            <w:vAlign w:val="center"/>
            <w:tcMar>
              <w:top w:w="55" w:type="dxa"/>
              <w:start w:w="65" w:type="dxa"/>
              <w:bottom w:w="55" w:type="dxa"/>
              <w:end w:w="65" w:type="dxa"/>
            </w:tcMar>
            <w:shd w:fill="F2F4F7"/>
          </w:tcPr>
          <w:p>
            <w:pPr>
              <w:spacing w:after="0"/>
            </w:pPr>
            <w:r>
              <w:rPr>
                <w:sz w:val="14"/>
              </w:rPr>
              <w:t>90</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2C</w:t>
            </w:r>
          </w:p>
        </w:tc>
        <w:tc>
          <w:tcPr>
            <w:tcW w:type="dxa" w:w="1493"/>
            <w:vAlign w:val="center"/>
            <w:tcMar>
              <w:top w:w="55" w:type="dxa"/>
              <w:start w:w="65" w:type="dxa"/>
              <w:bottom w:w="55" w:type="dxa"/>
              <w:end w:w="65" w:type="dxa"/>
            </w:tcMar>
            <w:shd w:fill="F2F4F7"/>
          </w:tcPr>
          <w:p>
            <w:pPr>
              <w:spacing w:after="0"/>
            </w:pPr>
            <w:r>
              <w:rPr>
                <w:sz w:val="14"/>
              </w:rPr>
              <w:t>Moderate</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LS Module</w:t>
            </w:r>
          </w:p>
        </w:tc>
      </w:tr>
      <w:tr>
        <w:trPr>
          <w:cantSplit/>
        </w:trPr>
        <w:tc>
          <w:tcPr>
            <w:tcW w:type="dxa" w:w="1493"/>
            <w:vAlign w:val="center"/>
            <w:tcMar>
              <w:top w:w="55" w:type="dxa"/>
              <w:start w:w="65" w:type="dxa"/>
              <w:bottom w:w="55" w:type="dxa"/>
              <w:end w:w="65" w:type="dxa"/>
            </w:tcMar>
          </w:tcPr>
          <w:p>
            <w:pPr>
              <w:spacing w:after="0"/>
            </w:pPr>
            <w:r>
              <w:rPr>
                <w:sz w:val="14"/>
              </w:rPr>
              <w:t>91</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2C</w:t>
            </w:r>
          </w:p>
        </w:tc>
        <w:tc>
          <w:tcPr>
            <w:tcW w:type="dxa" w:w="1493"/>
            <w:vAlign w:val="center"/>
            <w:tcMar>
              <w:top w:w="55" w:type="dxa"/>
              <w:start w:w="65" w:type="dxa"/>
              <w:bottom w:w="55" w:type="dxa"/>
              <w:end w:w="65" w:type="dxa"/>
            </w:tcMar>
          </w:tcPr>
          <w:p>
            <w:pPr>
              <w:spacing w:after="0"/>
            </w:pPr>
            <w:r>
              <w:rPr>
                <w:sz w:val="14"/>
              </w:rPr>
              <w:t>Easy</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WB2</w:t>
            </w:r>
          </w:p>
        </w:tc>
      </w:tr>
      <w:tr>
        <w:trPr>
          <w:cantSplit/>
        </w:trPr>
        <w:tc>
          <w:tcPr>
            <w:tcW w:type="dxa" w:w="1493"/>
            <w:vAlign w:val="center"/>
            <w:tcMar>
              <w:top w:w="55" w:type="dxa"/>
              <w:start w:w="65" w:type="dxa"/>
              <w:bottom w:w="55" w:type="dxa"/>
              <w:end w:w="65" w:type="dxa"/>
            </w:tcMar>
            <w:shd w:fill="F2F4F7"/>
          </w:tcPr>
          <w:p>
            <w:pPr>
              <w:spacing w:after="0"/>
            </w:pPr>
            <w:r>
              <w:rPr>
                <w:sz w:val="14"/>
              </w:rPr>
              <w:t>92</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2B</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WB7</w:t>
            </w:r>
          </w:p>
        </w:tc>
      </w:tr>
      <w:tr>
        <w:trPr>
          <w:cantSplit/>
        </w:trPr>
        <w:tc>
          <w:tcPr>
            <w:tcW w:type="dxa" w:w="1493"/>
            <w:vAlign w:val="center"/>
            <w:tcMar>
              <w:top w:w="55" w:type="dxa"/>
              <w:start w:w="65" w:type="dxa"/>
              <w:bottom w:w="55" w:type="dxa"/>
              <w:end w:w="65" w:type="dxa"/>
            </w:tcMar>
          </w:tcPr>
          <w:p>
            <w:pPr>
              <w:spacing w:after="0"/>
            </w:pPr>
            <w:r>
              <w:rPr>
                <w:sz w:val="14"/>
              </w:rPr>
              <w:t>93</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2C</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WB3</w:t>
            </w:r>
          </w:p>
        </w:tc>
      </w:tr>
      <w:tr>
        <w:trPr>
          <w:cantSplit/>
        </w:trPr>
        <w:tc>
          <w:tcPr>
            <w:tcW w:type="dxa" w:w="1493"/>
            <w:vAlign w:val="center"/>
            <w:tcMar>
              <w:top w:w="55" w:type="dxa"/>
              <w:start w:w="65" w:type="dxa"/>
              <w:bottom w:w="55" w:type="dxa"/>
              <w:end w:w="65" w:type="dxa"/>
            </w:tcMar>
            <w:shd w:fill="F2F4F7"/>
          </w:tcPr>
          <w:p>
            <w:pPr>
              <w:spacing w:after="0"/>
            </w:pPr>
            <w:r>
              <w:rPr>
                <w:sz w:val="14"/>
              </w:rPr>
              <w:t>94</w:t>
            </w:r>
          </w:p>
        </w:tc>
        <w:tc>
          <w:tcPr>
            <w:tcW w:type="dxa" w:w="1493"/>
            <w:vAlign w:val="center"/>
            <w:tcMar>
              <w:top w:w="55" w:type="dxa"/>
              <w:start w:w="65" w:type="dxa"/>
              <w:bottom w:w="55" w:type="dxa"/>
              <w:end w:w="65" w:type="dxa"/>
            </w:tcMar>
            <w:shd w:fill="F2F4F7"/>
          </w:tcPr>
          <w:p>
            <w:pPr>
              <w:spacing w:after="0"/>
            </w:pPr>
            <w:r>
              <w:rPr>
                <w:sz w:val="14"/>
              </w:rPr>
              <w:t>B</w:t>
            </w:r>
          </w:p>
        </w:tc>
        <w:tc>
          <w:tcPr>
            <w:tcW w:type="dxa" w:w="1493"/>
            <w:vAlign w:val="center"/>
            <w:tcMar>
              <w:top w:w="55" w:type="dxa"/>
              <w:start w:w="65" w:type="dxa"/>
              <w:bottom w:w="55" w:type="dxa"/>
              <w:end w:w="65" w:type="dxa"/>
            </w:tcMar>
            <w:shd w:fill="F2F4F7"/>
          </w:tcPr>
          <w:p>
            <w:pPr>
              <w:spacing w:after="0"/>
            </w:pPr>
            <w:r>
              <w:rPr>
                <w:sz w:val="14"/>
              </w:rPr>
              <w:t>1B</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Foundational</w:t>
            </w:r>
          </w:p>
        </w:tc>
        <w:tc>
          <w:tcPr>
            <w:tcW w:type="dxa" w:w="1493"/>
            <w:vAlign w:val="center"/>
            <w:tcMar>
              <w:top w:w="55" w:type="dxa"/>
              <w:start w:w="65" w:type="dxa"/>
              <w:bottom w:w="55" w:type="dxa"/>
              <w:end w:w="65" w:type="dxa"/>
            </w:tcMar>
            <w:shd w:fill="F2F4F7"/>
          </w:tcPr>
          <w:p>
            <w:pPr>
              <w:spacing w:after="0"/>
            </w:pPr>
            <w:r>
              <w:rPr>
                <w:sz w:val="14"/>
              </w:rPr>
              <w:t>Sequence</w:t>
            </w:r>
          </w:p>
        </w:tc>
        <w:tc>
          <w:tcPr>
            <w:tcW w:type="dxa" w:w="1493"/>
            <w:vAlign w:val="center"/>
            <w:tcMar>
              <w:top w:w="55" w:type="dxa"/>
              <w:start w:w="65" w:type="dxa"/>
              <w:bottom w:w="55" w:type="dxa"/>
              <w:end w:w="65" w:type="dxa"/>
            </w:tcMar>
            <w:shd w:fill="F2F4F7"/>
          </w:tcPr>
          <w:p>
            <w:pPr>
              <w:spacing w:after="0"/>
            </w:pPr>
            <w:r>
              <w:rPr>
                <w:sz w:val="14"/>
              </w:rPr>
              <w:t>WB8</w:t>
            </w:r>
          </w:p>
        </w:tc>
      </w:tr>
      <w:tr>
        <w:trPr>
          <w:cantSplit/>
        </w:trPr>
        <w:tc>
          <w:tcPr>
            <w:tcW w:type="dxa" w:w="1493"/>
            <w:vAlign w:val="center"/>
            <w:tcMar>
              <w:top w:w="55" w:type="dxa"/>
              <w:start w:w="65" w:type="dxa"/>
              <w:bottom w:w="55" w:type="dxa"/>
              <w:end w:w="65" w:type="dxa"/>
            </w:tcMar>
          </w:tcPr>
          <w:p>
            <w:pPr>
              <w:spacing w:after="0"/>
            </w:pPr>
            <w:r>
              <w:rPr>
                <w:sz w:val="14"/>
              </w:rPr>
              <w:t>95</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1B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Foundational</w:t>
            </w:r>
          </w:p>
        </w:tc>
        <w:tc>
          <w:tcPr>
            <w:tcW w:type="dxa" w:w="1493"/>
            <w:vAlign w:val="center"/>
            <w:tcMar>
              <w:top w:w="55" w:type="dxa"/>
              <w:start w:w="65" w:type="dxa"/>
              <w:bottom w:w="55" w:type="dxa"/>
              <w:end w:w="65" w:type="dxa"/>
            </w:tcMar>
          </w:tcPr>
          <w:p>
            <w:pPr>
              <w:spacing w:after="0"/>
            </w:pPr>
            <w:r>
              <w:rPr>
                <w:sz w:val="14"/>
              </w:rPr>
              <w:t>Sequence</w:t>
            </w:r>
          </w:p>
        </w:tc>
        <w:tc>
          <w:tcPr>
            <w:tcW w:type="dxa" w:w="1493"/>
            <w:vAlign w:val="center"/>
            <w:tcMar>
              <w:top w:w="55" w:type="dxa"/>
              <w:start w:w="65" w:type="dxa"/>
              <w:bottom w:w="55" w:type="dxa"/>
              <w:end w:w="65" w:type="dxa"/>
            </w:tcMar>
          </w:tcPr>
          <w:p>
            <w:pPr>
              <w:spacing w:after="0"/>
            </w:pPr>
            <w:r>
              <w:rPr>
                <w:sz w:val="14"/>
              </w:rPr>
              <w:t>WB5</w:t>
            </w:r>
          </w:p>
        </w:tc>
      </w:tr>
      <w:tr>
        <w:trPr>
          <w:cantSplit/>
        </w:trPr>
        <w:tc>
          <w:tcPr>
            <w:tcW w:type="dxa" w:w="1493"/>
            <w:vAlign w:val="center"/>
            <w:tcMar>
              <w:top w:w="55" w:type="dxa"/>
              <w:start w:w="65" w:type="dxa"/>
              <w:bottom w:w="55" w:type="dxa"/>
              <w:end w:w="65" w:type="dxa"/>
            </w:tcMar>
            <w:shd w:fill="F2F4F7"/>
          </w:tcPr>
          <w:p>
            <w:pPr>
              <w:spacing w:after="0"/>
            </w:pPr>
            <w:r>
              <w:rPr>
                <w:sz w:val="14"/>
              </w:rPr>
              <w:t>96</w:t>
            </w:r>
          </w:p>
        </w:tc>
        <w:tc>
          <w:tcPr>
            <w:tcW w:type="dxa" w:w="1493"/>
            <w:vAlign w:val="center"/>
            <w:tcMar>
              <w:top w:w="55" w:type="dxa"/>
              <w:start w:w="65" w:type="dxa"/>
              <w:bottom w:w="55" w:type="dxa"/>
              <w:end w:w="65" w:type="dxa"/>
            </w:tcMar>
            <w:shd w:fill="F2F4F7"/>
          </w:tcPr>
          <w:p>
            <w:pPr>
              <w:spacing w:after="0"/>
            </w:pPr>
            <w:r>
              <w:rPr>
                <w:sz w:val="14"/>
              </w:rPr>
              <w:t>C</w:t>
            </w:r>
          </w:p>
        </w:tc>
        <w:tc>
          <w:tcPr>
            <w:tcW w:type="dxa" w:w="1493"/>
            <w:vAlign w:val="center"/>
            <w:tcMar>
              <w:top w:w="55" w:type="dxa"/>
              <w:start w:w="65" w:type="dxa"/>
              <w:bottom w:w="55" w:type="dxa"/>
              <w:end w:w="65" w:type="dxa"/>
            </w:tcMar>
            <w:shd w:fill="F2F4F7"/>
          </w:tcPr>
          <w:p>
            <w:pPr>
              <w:spacing w:after="0"/>
            </w:pPr>
            <w:r>
              <w:rPr>
                <w:sz w:val="14"/>
              </w:rPr>
              <w:t>2A</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WB4</w:t>
            </w:r>
          </w:p>
        </w:tc>
      </w:tr>
      <w:tr>
        <w:trPr>
          <w:cantSplit/>
        </w:trPr>
        <w:tc>
          <w:tcPr>
            <w:tcW w:type="dxa" w:w="1493"/>
            <w:vAlign w:val="center"/>
            <w:tcMar>
              <w:top w:w="55" w:type="dxa"/>
              <w:start w:w="65" w:type="dxa"/>
              <w:bottom w:w="55" w:type="dxa"/>
              <w:end w:w="65" w:type="dxa"/>
            </w:tcMar>
          </w:tcPr>
          <w:p>
            <w:pPr>
              <w:spacing w:after="0"/>
            </w:pPr>
            <w:r>
              <w:rPr>
                <w:sz w:val="14"/>
              </w:rPr>
              <w:t>97</w:t>
            </w:r>
          </w:p>
        </w:tc>
        <w:tc>
          <w:tcPr>
            <w:tcW w:type="dxa" w:w="1493"/>
            <w:vAlign w:val="center"/>
            <w:tcMar>
              <w:top w:w="55" w:type="dxa"/>
              <w:start w:w="65" w:type="dxa"/>
              <w:bottom w:w="55" w:type="dxa"/>
              <w:end w:w="65" w:type="dxa"/>
            </w:tcMar>
          </w:tcPr>
          <w:p>
            <w:pPr>
              <w:spacing w:after="0"/>
            </w:pPr>
            <w:r>
              <w:rPr>
                <w:sz w:val="14"/>
              </w:rPr>
              <w:t>B</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BEST/MOST</w:t>
            </w:r>
          </w:p>
        </w:tc>
        <w:tc>
          <w:tcPr>
            <w:tcW w:type="dxa" w:w="1493"/>
            <w:vAlign w:val="center"/>
            <w:tcMar>
              <w:top w:w="55" w:type="dxa"/>
              <w:start w:w="65" w:type="dxa"/>
              <w:bottom w:w="55" w:type="dxa"/>
              <w:end w:w="65" w:type="dxa"/>
            </w:tcMar>
          </w:tcPr>
          <w:p>
            <w:pPr>
              <w:spacing w:after="0"/>
            </w:pPr>
            <w:r>
              <w:rPr>
                <w:sz w:val="14"/>
              </w:rPr>
              <w:t>WB7</w:t>
            </w:r>
          </w:p>
        </w:tc>
      </w:tr>
      <w:tr>
        <w:trPr>
          <w:cantSplit/>
        </w:trPr>
        <w:tc>
          <w:tcPr>
            <w:tcW w:type="dxa" w:w="1493"/>
            <w:vAlign w:val="center"/>
            <w:tcMar>
              <w:top w:w="55" w:type="dxa"/>
              <w:start w:w="65" w:type="dxa"/>
              <w:bottom w:w="55" w:type="dxa"/>
              <w:end w:w="65" w:type="dxa"/>
            </w:tcMar>
            <w:shd w:fill="F2F4F7"/>
          </w:tcPr>
          <w:p>
            <w:pPr>
              <w:spacing w:after="0"/>
            </w:pPr>
            <w:r>
              <w:rPr>
                <w:sz w:val="14"/>
              </w:rPr>
              <w:t>98</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2A</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Integrated</w:t>
            </w:r>
          </w:p>
        </w:tc>
        <w:tc>
          <w:tcPr>
            <w:tcW w:type="dxa" w:w="1493"/>
            <w:vAlign w:val="center"/>
            <w:tcMar>
              <w:top w:w="55" w:type="dxa"/>
              <w:start w:w="65" w:type="dxa"/>
              <w:bottom w:w="55" w:type="dxa"/>
              <w:end w:w="65" w:type="dxa"/>
            </w:tcMar>
            <w:shd w:fill="F2F4F7"/>
          </w:tcPr>
          <w:p>
            <w:pPr>
              <w:spacing w:after="0"/>
            </w:pPr>
            <w:r>
              <w:rPr>
                <w:sz w:val="14"/>
              </w:rPr>
              <w:t>BEST/MOST</w:t>
            </w:r>
          </w:p>
        </w:tc>
        <w:tc>
          <w:tcPr>
            <w:tcW w:type="dxa" w:w="1493"/>
            <w:vAlign w:val="center"/>
            <w:tcMar>
              <w:top w:w="55" w:type="dxa"/>
              <w:start w:w="65" w:type="dxa"/>
              <w:bottom w:w="55" w:type="dxa"/>
              <w:end w:w="65" w:type="dxa"/>
            </w:tcMar>
            <w:shd w:fill="F2F4F7"/>
          </w:tcPr>
          <w:p>
            <w:pPr>
              <w:spacing w:after="0"/>
            </w:pPr>
            <w:r>
              <w:rPr>
                <w:sz w:val="14"/>
              </w:rPr>
              <w:t>WB7</w:t>
            </w:r>
          </w:p>
        </w:tc>
      </w:tr>
      <w:tr>
        <w:trPr>
          <w:cantSplit/>
        </w:trPr>
        <w:tc>
          <w:tcPr>
            <w:tcW w:type="dxa" w:w="1493"/>
            <w:vAlign w:val="center"/>
            <w:tcMar>
              <w:top w:w="55" w:type="dxa"/>
              <w:start w:w="65" w:type="dxa"/>
              <w:bottom w:w="55" w:type="dxa"/>
              <w:end w:w="65" w:type="dxa"/>
            </w:tcMar>
          </w:tcPr>
          <w:p>
            <w:pPr>
              <w:spacing w:after="0"/>
            </w:pPr>
            <w:r>
              <w:rPr>
                <w:sz w:val="14"/>
              </w:rPr>
              <w:t>99</w:t>
            </w:r>
          </w:p>
        </w:tc>
        <w:tc>
          <w:tcPr>
            <w:tcW w:type="dxa" w:w="1493"/>
            <w:vAlign w:val="center"/>
            <w:tcMar>
              <w:top w:w="55" w:type="dxa"/>
              <w:start w:w="65" w:type="dxa"/>
              <w:bottom w:w="55" w:type="dxa"/>
              <w:end w:w="65" w:type="dxa"/>
            </w:tcMar>
          </w:tcPr>
          <w:p>
            <w:pPr>
              <w:spacing w:after="0"/>
            </w:pPr>
            <w:r>
              <w:rPr>
                <w:sz w:val="14"/>
              </w:rPr>
              <w:t>C</w:t>
            </w:r>
          </w:p>
        </w:tc>
        <w:tc>
          <w:tcPr>
            <w:tcW w:type="dxa" w:w="1493"/>
            <w:vAlign w:val="center"/>
            <w:tcMar>
              <w:top w:w="55" w:type="dxa"/>
              <w:start w:w="65" w:type="dxa"/>
              <w:bottom w:w="55" w:type="dxa"/>
              <w:end w:w="65" w:type="dxa"/>
            </w:tcMar>
          </w:tcPr>
          <w:p>
            <w:pPr>
              <w:spacing w:after="0"/>
            </w:pPr>
            <w:r>
              <w:rPr>
                <w:sz w:val="14"/>
              </w:rPr>
              <w:t>2B</w:t>
            </w:r>
          </w:p>
        </w:tc>
        <w:tc>
          <w:tcPr>
            <w:tcW w:type="dxa" w:w="1493"/>
            <w:vAlign w:val="center"/>
            <w:tcMar>
              <w:top w:w="55" w:type="dxa"/>
              <w:start w:w="65" w:type="dxa"/>
              <w:bottom w:w="55" w:type="dxa"/>
              <w:end w:w="65" w:type="dxa"/>
            </w:tcMar>
          </w:tcPr>
          <w:p>
            <w:pPr>
              <w:spacing w:after="0"/>
            </w:pPr>
            <w:r>
              <w:rPr>
                <w:sz w:val="14"/>
              </w:rPr>
              <w:t>Moderate</w:t>
            </w:r>
          </w:p>
        </w:tc>
        <w:tc>
          <w:tcPr>
            <w:tcW w:type="dxa" w:w="1493"/>
            <w:vAlign w:val="center"/>
            <w:tcMar>
              <w:top w:w="55" w:type="dxa"/>
              <w:start w:w="65" w:type="dxa"/>
              <w:bottom w:w="55" w:type="dxa"/>
              <w:end w:w="65" w:type="dxa"/>
            </w:tcMar>
          </w:tcPr>
          <w:p>
            <w:pPr>
              <w:spacing w:after="0"/>
            </w:pPr>
            <w:r>
              <w:rPr>
                <w:sz w:val="14"/>
              </w:rPr>
              <w:t>Integrated</w:t>
            </w:r>
          </w:p>
        </w:tc>
        <w:tc>
          <w:tcPr>
            <w:tcW w:type="dxa" w:w="1493"/>
            <w:vAlign w:val="center"/>
            <w:tcMar>
              <w:top w:w="55" w:type="dxa"/>
              <w:start w:w="65" w:type="dxa"/>
              <w:bottom w:w="55" w:type="dxa"/>
              <w:end w:w="65" w:type="dxa"/>
            </w:tcMar>
          </w:tcPr>
          <w:p>
            <w:pPr>
              <w:spacing w:after="0"/>
            </w:pPr>
            <w:r>
              <w:rPr>
                <w:sz w:val="14"/>
              </w:rPr>
              <w:t>Direct</w:t>
            </w:r>
          </w:p>
        </w:tc>
        <w:tc>
          <w:tcPr>
            <w:tcW w:type="dxa" w:w="1493"/>
            <w:vAlign w:val="center"/>
            <w:tcMar>
              <w:top w:w="55" w:type="dxa"/>
              <w:start w:w="65" w:type="dxa"/>
              <w:bottom w:w="55" w:type="dxa"/>
              <w:end w:w="65" w:type="dxa"/>
            </w:tcMar>
          </w:tcPr>
          <w:p>
            <w:pPr>
              <w:spacing w:after="0"/>
            </w:pPr>
            <w:r>
              <w:rPr>
                <w:sz w:val="14"/>
              </w:rPr>
              <w:t>WB8</w:t>
            </w:r>
          </w:p>
        </w:tc>
      </w:tr>
      <w:tr>
        <w:trPr>
          <w:cantSplit/>
        </w:trPr>
        <w:tc>
          <w:tcPr>
            <w:tcW w:type="dxa" w:w="1493"/>
            <w:vAlign w:val="center"/>
            <w:tcMar>
              <w:top w:w="55" w:type="dxa"/>
              <w:start w:w="65" w:type="dxa"/>
              <w:bottom w:w="55" w:type="dxa"/>
              <w:end w:w="65" w:type="dxa"/>
            </w:tcMar>
            <w:shd w:fill="F2F4F7"/>
          </w:tcPr>
          <w:p>
            <w:pPr>
              <w:spacing w:after="0"/>
            </w:pPr>
            <w:r>
              <w:rPr>
                <w:sz w:val="14"/>
              </w:rPr>
              <w:t>100</w:t>
            </w:r>
          </w:p>
        </w:tc>
        <w:tc>
          <w:tcPr>
            <w:tcW w:type="dxa" w:w="1493"/>
            <w:vAlign w:val="center"/>
            <w:tcMar>
              <w:top w:w="55" w:type="dxa"/>
              <w:start w:w="65" w:type="dxa"/>
              <w:bottom w:w="55" w:type="dxa"/>
              <w:end w:w="65" w:type="dxa"/>
            </w:tcMar>
            <w:shd w:fill="F2F4F7"/>
          </w:tcPr>
          <w:p>
            <w:pPr>
              <w:spacing w:after="0"/>
            </w:pPr>
            <w:r>
              <w:rPr>
                <w:sz w:val="14"/>
              </w:rPr>
              <w:t>D</w:t>
            </w:r>
          </w:p>
        </w:tc>
        <w:tc>
          <w:tcPr>
            <w:tcW w:type="dxa" w:w="1493"/>
            <w:vAlign w:val="center"/>
            <w:tcMar>
              <w:top w:w="55" w:type="dxa"/>
              <w:start w:w="65" w:type="dxa"/>
              <w:bottom w:w="55" w:type="dxa"/>
              <w:end w:w="65" w:type="dxa"/>
            </w:tcMar>
            <w:shd w:fill="F2F4F7"/>
          </w:tcPr>
          <w:p>
            <w:pPr>
              <w:spacing w:after="0"/>
            </w:pPr>
            <w:r>
              <w:rPr>
                <w:sz w:val="14"/>
              </w:rPr>
              <w:t>2A</w:t>
            </w:r>
          </w:p>
        </w:tc>
        <w:tc>
          <w:tcPr>
            <w:tcW w:type="dxa" w:w="1493"/>
            <w:vAlign w:val="center"/>
            <w:tcMar>
              <w:top w:w="55" w:type="dxa"/>
              <w:start w:w="65" w:type="dxa"/>
              <w:bottom w:w="55" w:type="dxa"/>
              <w:end w:w="65" w:type="dxa"/>
            </w:tcMar>
            <w:shd w:fill="F2F4F7"/>
          </w:tcPr>
          <w:p>
            <w:pPr>
              <w:spacing w:after="0"/>
            </w:pPr>
            <w:r>
              <w:rPr>
                <w:sz w:val="14"/>
              </w:rPr>
              <w:t>Difficult</w:t>
            </w:r>
          </w:p>
        </w:tc>
        <w:tc>
          <w:tcPr>
            <w:tcW w:type="dxa" w:w="1493"/>
            <w:vAlign w:val="center"/>
            <w:tcMar>
              <w:top w:w="55" w:type="dxa"/>
              <w:start w:w="65" w:type="dxa"/>
              <w:bottom w:w="55" w:type="dxa"/>
              <w:end w:w="65" w:type="dxa"/>
            </w:tcMar>
            <w:shd w:fill="F2F4F7"/>
          </w:tcPr>
          <w:p>
            <w:pPr>
              <w:spacing w:after="0"/>
            </w:pPr>
            <w:r>
              <w:rPr>
                <w:sz w:val="14"/>
              </w:rPr>
              <w:t>Applied</w:t>
            </w:r>
          </w:p>
        </w:tc>
        <w:tc>
          <w:tcPr>
            <w:tcW w:type="dxa" w:w="1493"/>
            <w:vAlign w:val="center"/>
            <w:tcMar>
              <w:top w:w="55" w:type="dxa"/>
              <w:start w:w="65" w:type="dxa"/>
              <w:bottom w:w="55" w:type="dxa"/>
              <w:end w:w="65" w:type="dxa"/>
            </w:tcMar>
            <w:shd w:fill="F2F4F7"/>
          </w:tcPr>
          <w:p>
            <w:pPr>
              <w:spacing w:after="0"/>
            </w:pPr>
            <w:r>
              <w:rPr>
                <w:sz w:val="14"/>
              </w:rPr>
              <w:t>Direct</w:t>
            </w:r>
          </w:p>
        </w:tc>
        <w:tc>
          <w:tcPr>
            <w:tcW w:type="dxa" w:w="1493"/>
            <w:vAlign w:val="center"/>
            <w:tcMar>
              <w:top w:w="55" w:type="dxa"/>
              <w:start w:w="65" w:type="dxa"/>
              <w:bottom w:w="55" w:type="dxa"/>
              <w:end w:w="65" w:type="dxa"/>
            </w:tcMar>
            <w:shd w:fill="F2F4F7"/>
          </w:tcPr>
          <w:p>
            <w:pPr>
              <w:spacing w:after="0"/>
            </w:pPr>
            <w:r>
              <w:rPr>
                <w:sz w:val="14"/>
              </w:rPr>
              <w:t>LS Module</w:t>
            </w:r>
          </w:p>
        </w:tc>
      </w:tr>
    </w:tbl>
    <w:p>
      <w:r>
        <w:rPr>
          <w:b/>
        </w:rPr>
        <w:t xml:space="preserve">Answer balance: </w:t>
      </w:r>
      <w:r>
        <w:t>A25 / B25 / C25 / D25</w:t>
      </w:r>
      <w:r>
        <w:rPr>
          <w:b/>
        </w:rPr>
        <w:t xml:space="preserve">    Difficulty: </w:t>
      </w:r>
      <w:r>
        <w:t>Easy 25 / Moderate 50 / Difficult 25</w:t>
      </w:r>
    </w:p>
    <w:p>
      <w:pPr>
        <w:pStyle w:val="Heading1"/>
        <w:pageBreakBefore/>
      </w:pPr>
      <w:r>
        <w:t>Item 1 - Controlled Rationale</w:t>
      </w:r>
    </w:p>
    <w:p>
      <w:r>
        <w:rPr>
          <w:b/>
        </w:rPr>
        <w:t xml:space="preserve">Item ID: </w:t>
      </w:r>
      <w:r>
        <w:t>CTA-EP-002-CUM-F-001</w:t>
      </w:r>
    </w:p>
    <w:p>
      <w:r>
        <w:rPr>
          <w:b/>
        </w:rPr>
        <w:t xml:space="preserve">Stem: </w:t>
      </w:r>
      <w:r>
        <w:t>An organization requires clinicians to begin using a new telehealth platform tomorrow, but the LCSW has not been trained on privacy settings, waiting rooms, or emergency functions. What is the appropriate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Obtain training and test essential privacy, accessibility, and emergency features before relying on the platform for client care.</w:t>
            </w:r>
          </w:p>
        </w:tc>
        <w:tc>
          <w:tcPr>
            <w:tcW w:type="dxa" w:w="3485"/>
            <w:shd w:fill="EAF7F7"/>
            <w:vAlign w:val="center"/>
            <w:tcMar>
              <w:top w:w="55" w:type="dxa"/>
              <w:start w:w="65" w:type="dxa"/>
              <w:bottom w:w="55" w:type="dxa"/>
              <w:end w:w="65" w:type="dxa"/>
            </w:tcMar>
          </w:tcPr>
          <w:p>
            <w:pPr>
              <w:spacing w:after="0"/>
            </w:pPr>
            <w:r>
              <w:rPr>
                <w:sz w:val="16"/>
              </w:rPr>
              <w:t>Correct. This option directly addresses competence with a new telehealth platform through immediate client protection and proportionate risk management and competence support through consultation, training, or qualified supervision.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Use the platform immediately because organizational approval establishes competence.</w:t>
            </w:r>
          </w:p>
        </w:tc>
        <w:tc>
          <w:tcPr>
            <w:tcW w:type="dxa" w:w="3485"/>
            <w:vAlign w:val="center"/>
            <w:tcMar>
              <w:top w:w="55" w:type="dxa"/>
              <w:start w:w="65" w:type="dxa"/>
              <w:bottom w:w="55" w:type="dxa"/>
              <w:end w:w="65" w:type="dxa"/>
            </w:tcMar>
          </w:tcPr>
          <w:p>
            <w:pPr>
              <w:spacing w:after="0"/>
            </w:pPr>
            <w:r>
              <w:rPr>
                <w:sz w:val="16"/>
              </w:rPr>
              <w:t>Incorrect. Organizational, supervisory, or requester pressure does not override the social worker’s independent legal and ethical duties. The keyed response is superior because it instead requires the social worker to obtain training and test essential privacy, accessibility, and emergency features before relying on the platform for client care.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clients to troubleshoot the platform during paid sessions.</w:t>
            </w:r>
          </w:p>
        </w:tc>
        <w:tc>
          <w:tcPr>
            <w:tcW w:type="dxa" w:w="3485"/>
            <w:vAlign w:val="center"/>
            <w:tcMar>
              <w:top w:w="55" w:type="dxa"/>
              <w:start w:w="65" w:type="dxa"/>
              <w:bottom w:w="55" w:type="dxa"/>
              <w:end w:w="65" w:type="dxa"/>
            </w:tcMar>
          </w:tcPr>
          <w:p>
            <w:pPr>
              <w:spacing w:after="0"/>
            </w:pPr>
            <w:r>
              <w:rPr>
                <w:sz w:val="16"/>
              </w:rPr>
              <w:t>Incorrect. It does not adequately address competence with a new telehealth platform and omits the role, authority, timing, proportionality, documentation, or continuity controls needed for competence, integrity, impairment, bias, consultation, and truthful professional conduct. The keyed response is superior because it instead requires the social worker to obtain training and test essential privacy, accessibility, and emergency features before relying on the platform for client care.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Disable privacy settings to reduce the chance of technical failure.</w:t>
            </w:r>
          </w:p>
        </w:tc>
        <w:tc>
          <w:tcPr>
            <w:tcW w:type="dxa" w:w="3485"/>
            <w:vAlign w:val="center"/>
            <w:tcMar>
              <w:top w:w="55" w:type="dxa"/>
              <w:start w:w="65" w:type="dxa"/>
              <w:bottom w:w="55" w:type="dxa"/>
              <w:end w:w="65" w:type="dxa"/>
            </w:tcMar>
          </w:tcPr>
          <w:p>
            <w:pPr>
              <w:spacing w:after="0"/>
            </w:pPr>
            <w:r>
              <w:rPr>
                <w:sz w:val="16"/>
              </w:rPr>
              <w:t>Incorrect. It increases privacy and security risk and bypasses required technology, identity, and contingency controls. The keyed response is superior because it instead requires the social worker to obtain training and test essential privacy, accessibility, and emergency features before relying on the platform for client care.</w:t>
            </w:r>
          </w:p>
        </w:tc>
      </w:tr>
    </w:tbl>
    <w:p>
      <w:pPr>
        <w:pStyle w:val="Heading2"/>
      </w:pPr>
      <w:r>
        <w:t>Why the Key Controls</w:t>
      </w:r>
    </w:p>
    <w:p>
      <w:r>
        <w:t>The controlling issue is competence with a new telehealth platform. The keyed response is the most complete because it requires immediate client protection and proportionate risk management and competence support through consultation, training, or qualified supervision. That approach is consistent with the cited source family (NASW Code 1.04, 1.07, and 1.15; BBS telehealth guidance)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Competence with a new telehealth platform</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COMPETENCE-WITH-A-NEW-TELEHEALTH-PLATFORM</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1.04, 1.07, and 1.15; BBS telehealth guidance</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2 - Controlled Rationale</w:t>
      </w:r>
    </w:p>
    <w:p>
      <w:r>
        <w:rPr>
          <w:b/>
        </w:rPr>
        <w:t xml:space="preserve">Item ID: </w:t>
      </w:r>
      <w:r>
        <w:t>CTA-EP-002-CUM-F-002</w:t>
      </w:r>
    </w:p>
    <w:p>
      <w:r>
        <w:rPr>
          <w:b/>
        </w:rPr>
        <w:t xml:space="preserve">Stem: </w:t>
      </w:r>
      <w:r>
        <w:t>A supervisor learns that an ASW documented a suicide-risk reassessment that did not occur, and the same high-risk client is scheduled next. What should the supervisor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Allow the ASW to conduct the session and discuss the documentation concern afterward.</w:t>
            </w:r>
          </w:p>
        </w:tc>
        <w:tc>
          <w:tcPr>
            <w:tcW w:type="dxa" w:w="3485"/>
            <w:vAlign w:val="center"/>
            <w:tcMar>
              <w:top w:w="55" w:type="dxa"/>
              <w:start w:w="65" w:type="dxa"/>
              <w:bottom w:w="55" w:type="dxa"/>
              <w:end w:w="65" w:type="dxa"/>
            </w:tcMar>
          </w:tcPr>
          <w:p>
            <w:pPr>
              <w:spacing w:after="0"/>
            </w:pPr>
            <w:r>
              <w:rPr>
                <w:sz w:val="16"/>
              </w:rPr>
              <w:t>Incorrect. Allowing the ASW to continue leaves an immediate high-risk client exposed and delays review of a serious integrity and competence concern.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client whether the prior risk reassessment seemed thorough.</w:t>
            </w:r>
          </w:p>
        </w:tc>
        <w:tc>
          <w:tcPr>
            <w:tcW w:type="dxa" w:w="3485"/>
            <w:vAlign w:val="center"/>
            <w:tcMar>
              <w:top w:w="55" w:type="dxa"/>
              <w:start w:w="65" w:type="dxa"/>
              <w:bottom w:w="55" w:type="dxa"/>
              <w:end w:w="65" w:type="dxa"/>
            </w:tcMar>
          </w:tcPr>
          <w:p>
            <w:pPr>
              <w:spacing w:after="0"/>
            </w:pPr>
            <w:r>
              <w:rPr>
                <w:sz w:val="16"/>
              </w:rPr>
              <w:t>Incorrect. The client should not be asked to evaluate whether a required professional assessment occurred or whether documentation is reliable.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Delete the inaccurate note and let the ASW continue under closer observation.</w:t>
            </w:r>
          </w:p>
        </w:tc>
        <w:tc>
          <w:tcPr>
            <w:tcW w:type="dxa" w:w="3485"/>
            <w:vAlign w:val="center"/>
            <w:tcMar>
              <w:top w:w="55" w:type="dxa"/>
              <w:start w:w="65" w:type="dxa"/>
              <w:bottom w:w="55" w:type="dxa"/>
              <w:end w:w="65" w:type="dxa"/>
            </w:tcMar>
          </w:tcPr>
          <w:p>
            <w:pPr>
              <w:spacing w:after="0"/>
            </w:pPr>
            <w:r>
              <w:rPr>
                <w:sz w:val="16"/>
              </w:rPr>
              <w:t>Incorrect. Deleting the note compromises record integrity and does not provide immediate client protection or a lawful correction process.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Remove the ASW from unsupervised high-risk care, arrange an immediate qualified assessment and continuity plan, preserve the record, document objective facts, and activate appropriate review procedures.</w:t>
            </w:r>
          </w:p>
        </w:tc>
        <w:tc>
          <w:tcPr>
            <w:tcW w:type="dxa" w:w="3485"/>
            <w:shd w:fill="EAF7F7"/>
            <w:vAlign w:val="center"/>
            <w:tcMar>
              <w:top w:w="55" w:type="dxa"/>
              <w:start w:w="65" w:type="dxa"/>
              <w:bottom w:w="55" w:type="dxa"/>
              <w:end w:w="65" w:type="dxa"/>
            </w:tcMar>
          </w:tcPr>
          <w:p>
            <w:pPr>
              <w:spacing w:after="0"/>
            </w:pPr>
            <w:r>
              <w:rPr>
                <w:sz w:val="16"/>
              </w:rPr>
              <w:t>Correct. This response contains the risk, provides qualified care, preserves evidence, supports accurate correction, and initiates proportionate supervisory and organizational review.</w:t>
            </w:r>
          </w:p>
        </w:tc>
      </w:tr>
    </w:tbl>
    <w:p>
      <w:pPr>
        <w:pStyle w:val="Heading2"/>
      </w:pPr>
      <w:r>
        <w:t>Why the Key Controls</w:t>
      </w:r>
    </w:p>
    <w:p>
      <w:r>
        <w:t>The supervisor must protect the client and preserve the integrity of both care and records. Removing the ASW from unsupervised high-risk work, arranging an immediate qualified assessment and continuity plan, preserving the inaccurate record for proper correction, documenting objective facts, and activating review procedures addresses safety, supervision, falsification, and accountability together.</w:t>
      </w:r>
    </w:p>
    <w:p>
      <w:pPr>
        <w:pStyle w:val="Heading2"/>
      </w:pPr>
      <w:r>
        <w:t>CTA Exam Strategy</w:t>
      </w:r>
    </w:p>
    <w:p>
      <w:r>
        <w:t>When falsified high-risk documentation is discovered, protect the client first, preserve the record, obtain qualified care, document objective facts, and then investigate and remediate.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Immediate supervision response to falsified high-risk documentation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WB4 - Professional Impairment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HIGH-RISK-DOCUMENTATION-INTEGRITY</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1.01, 3.01, 3.03, 4.04, and 4.05; BPC 4992.3</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3 - Controlled Rationale</w:t>
      </w:r>
    </w:p>
    <w:p>
      <w:r>
        <w:rPr>
          <w:b/>
        </w:rPr>
        <w:t xml:space="preserve">Item ID: </w:t>
      </w:r>
      <w:r>
        <w:t>CTA-EP-002-CUM-F-003</w:t>
      </w:r>
    </w:p>
    <w:p>
      <w:r>
        <w:rPr>
          <w:b/>
        </w:rPr>
        <w:t xml:space="preserve">Stem: </w:t>
      </w:r>
      <w:r>
        <w:t>An LCSW plans to increase the private-pay fee and add a late-cancellation charge for existing clients. What is the appropriate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Provide advance clear notice, discuss the effect on care and alternatives, document updated agreement, and avoid coercive implementation.</w:t>
            </w:r>
          </w:p>
        </w:tc>
        <w:tc>
          <w:tcPr>
            <w:tcW w:type="dxa" w:w="3485"/>
            <w:shd w:fill="EAF7F7"/>
            <w:vAlign w:val="center"/>
            <w:tcMar>
              <w:top w:w="55" w:type="dxa"/>
              <w:start w:w="65" w:type="dxa"/>
              <w:bottom w:w="55" w:type="dxa"/>
              <w:end w:w="65" w:type="dxa"/>
            </w:tcMar>
          </w:tcPr>
          <w:p>
            <w:pPr>
              <w:spacing w:after="0"/>
            </w:pPr>
            <w:r>
              <w:rPr>
                <w:sz w:val="16"/>
              </w:rPr>
              <w:t>Correct. This option directly addresses material fee change and renewed informed consent through clear role, consent, and expectation-setting and accurate documentation and accountability.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Apply the new fees at the next appointment because the original consent permits any future change.</w:t>
            </w:r>
          </w:p>
        </w:tc>
        <w:tc>
          <w:tcPr>
            <w:tcW w:type="dxa" w:w="3485"/>
            <w:vAlign w:val="center"/>
            <w:tcMar>
              <w:top w:w="55" w:type="dxa"/>
              <w:start w:w="65" w:type="dxa"/>
              <w:bottom w:w="55" w:type="dxa"/>
              <w:end w:w="65" w:type="dxa"/>
            </w:tcMar>
          </w:tcPr>
          <w:p>
            <w:pPr>
              <w:spacing w:after="0"/>
            </w:pPr>
            <w:r>
              <w:rPr>
                <w:sz w:val="16"/>
              </w:rPr>
              <w:t>Incorrect. It does not adequately address material fee change and renewed informed consent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provide advance clear notice, discuss the effect on care and alternatives, document updated agreement, and avoid coercive implementation.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Notify only clients who object after seeing the charge.</w:t>
            </w:r>
          </w:p>
        </w:tc>
        <w:tc>
          <w:tcPr>
            <w:tcW w:type="dxa" w:w="3485"/>
            <w:vAlign w:val="center"/>
            <w:tcMar>
              <w:top w:w="55" w:type="dxa"/>
              <w:start w:w="65" w:type="dxa"/>
              <w:bottom w:w="55" w:type="dxa"/>
              <w:end w:w="65" w:type="dxa"/>
            </w:tcMar>
          </w:tcPr>
          <w:p>
            <w:pPr>
              <w:spacing w:after="0"/>
            </w:pPr>
            <w:r>
              <w:rPr>
                <w:sz w:val="16"/>
              </w:rPr>
              <w:t>Incorrect. It does not adequately address material fee change and renewed informed consent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provide advance clear notice, discuss the effect on care and alternatives, document updated agreement, and avoid coercive implementation.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Require clients to waive termination rights before discussing alternatives.</w:t>
            </w:r>
          </w:p>
        </w:tc>
        <w:tc>
          <w:tcPr>
            <w:tcW w:type="dxa" w:w="3485"/>
            <w:vAlign w:val="center"/>
            <w:tcMar>
              <w:top w:w="55" w:type="dxa"/>
              <w:start w:w="65" w:type="dxa"/>
              <w:bottom w:w="55" w:type="dxa"/>
              <w:end w:w="65" w:type="dxa"/>
            </w:tcMar>
          </w:tcPr>
          <w:p>
            <w:pPr>
              <w:spacing w:after="0"/>
            </w:pPr>
            <w:r>
              <w:rPr>
                <w:sz w:val="16"/>
              </w:rPr>
              <w:t>Incorrect. It compromises record integrity and may conceal rather than correct the underlying problem. The keyed response is superior because it instead requires the social worker to provide advance clear notice, discuss the effect on care and alternatives, document updated agreement, and avoid coercive implementation.</w:t>
            </w:r>
          </w:p>
        </w:tc>
      </w:tr>
    </w:tbl>
    <w:p>
      <w:pPr>
        <w:pStyle w:val="Heading2"/>
      </w:pPr>
      <w:r>
        <w:t>Why the Key Controls</w:t>
      </w:r>
    </w:p>
    <w:p>
      <w:r>
        <w:t>The controlling issue is material fee change and renewed informed consent. The keyed response is the most complete because it requires clear role, consent, and expectation-setting and accurate documentation and accountability. That approach is consistent with the cited source family (NASW Code 1.03 and 1.13; applicable California consent and fee-disclosure requirements)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Material fee change and renewed informed consent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MATERIAL-FEE-CHANGE-AND-RENEWED-INFORMED-CON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1.03 and 1.13; applicable California consent and fee-disclosure requirements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4 - Controlled Rationale</w:t>
      </w:r>
    </w:p>
    <w:p>
      <w:r>
        <w:rPr>
          <w:b/>
        </w:rPr>
        <w:t xml:space="preserve">Item ID: </w:t>
      </w:r>
      <w:r>
        <w:t>CTA-EP-002-CUM-F-004</w:t>
      </w:r>
    </w:p>
    <w:p>
      <w:r>
        <w:rPr>
          <w:b/>
        </w:rPr>
        <w:t xml:space="preserve">Stem: </w:t>
      </w:r>
      <w:r>
        <w:t>A solo practitioner is hospitalized unexpectedly and cannot contact clients for several days. What should the social worker do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Wait until discharge because only the treating clinician may contact clients.</w:t>
            </w:r>
          </w:p>
        </w:tc>
        <w:tc>
          <w:tcPr>
            <w:tcW w:type="dxa" w:w="3485"/>
            <w:vAlign w:val="center"/>
            <w:tcMar>
              <w:top w:w="55" w:type="dxa"/>
              <w:start w:w="65" w:type="dxa"/>
              <w:bottom w:w="55" w:type="dxa"/>
              <w:end w:w="65" w:type="dxa"/>
            </w:tcMar>
          </w:tcPr>
          <w:p>
            <w:pPr>
              <w:spacing w:after="0"/>
            </w:pPr>
            <w:r>
              <w:rPr>
                <w:sz w:val="16"/>
              </w:rPr>
              <w:t>Incorrect. It delays a current safety, status, correction, or continuity responsibility and may allow preventable harm to continue. The keyed response is superior because it instead requires the social worker to activate the professional-will or emergency coverage plan, protect records, provide appropriate continuity information, and avoid unnecessary disclosure.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Give a neighbor unrestricted access to all records.</w:t>
            </w:r>
          </w:p>
        </w:tc>
        <w:tc>
          <w:tcPr>
            <w:tcW w:type="dxa" w:w="3485"/>
            <w:vAlign w:val="center"/>
            <w:tcMar>
              <w:top w:w="55" w:type="dxa"/>
              <w:start w:w="65" w:type="dxa"/>
              <w:bottom w:w="55" w:type="dxa"/>
              <w:end w:w="65" w:type="dxa"/>
            </w:tcMar>
          </w:tcPr>
          <w:p>
            <w:pPr>
              <w:spacing w:after="0"/>
            </w:pPr>
            <w:r>
              <w:rPr>
                <w:sz w:val="16"/>
              </w:rPr>
              <w:t>Incorrect. It authorizes overdisclosure and ignores purpose, authority, minimum-necessary analysis, and confidentiality limits. The keyed response is superior because it instead requires the social worker to activate the professional-will or emergency coverage plan, protect records, provide appropriate continuity information, and avoid unnecessary disclosure.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Activate the professional-will or emergency coverage plan, protect records, provide appropriate continuity information, and avoid unnecessary disclosure.</w:t>
            </w:r>
          </w:p>
        </w:tc>
        <w:tc>
          <w:tcPr>
            <w:tcW w:type="dxa" w:w="3485"/>
            <w:shd w:fill="EAF7F7"/>
            <w:vAlign w:val="center"/>
            <w:tcMar>
              <w:top w:w="55" w:type="dxa"/>
              <w:start w:w="65" w:type="dxa"/>
              <w:bottom w:w="55" w:type="dxa"/>
              <w:end w:w="65" w:type="dxa"/>
            </w:tcMar>
          </w:tcPr>
          <w:p>
            <w:pPr>
              <w:spacing w:after="0"/>
            </w:pPr>
            <w:r>
              <w:rPr>
                <w:sz w:val="16"/>
              </w:rPr>
              <w:t>Correct. This option directly addresses continuity after clinician hospitalization through immediate client protection and proportionate risk management, clear role, consent, and expectation-setting, accurate documentation and accountability and continuity of care and avoidance of abandonment.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Post client names and appointment times publicly so someone can notify them.</w:t>
            </w:r>
          </w:p>
        </w:tc>
        <w:tc>
          <w:tcPr>
            <w:tcW w:type="dxa" w:w="3485"/>
            <w:vAlign w:val="center"/>
            <w:tcMar>
              <w:top w:w="55" w:type="dxa"/>
              <w:start w:w="65" w:type="dxa"/>
              <w:bottom w:w="55" w:type="dxa"/>
              <w:end w:w="65" w:type="dxa"/>
            </w:tcMar>
          </w:tcPr>
          <w:p>
            <w:pPr>
              <w:spacing w:after="0"/>
            </w:pPr>
            <w:r>
              <w:rPr>
                <w:sz w:val="16"/>
              </w:rPr>
              <w:t>Incorrect. It creates an unnecessary confidentiality and privacy breach and is not a proportionate professional response. The keyed response is superior because it instead requires the social worker to activate the professional-will or emergency coverage plan, protect records, provide appropriate continuity information, and avoid unnecessary disclosure.</w:t>
            </w:r>
          </w:p>
        </w:tc>
      </w:tr>
    </w:tbl>
    <w:p>
      <w:pPr>
        <w:pStyle w:val="Heading2"/>
      </w:pPr>
      <w:r>
        <w:t>Why the Key Controls</w:t>
      </w:r>
    </w:p>
    <w:p>
      <w:r>
        <w:t>The controlling issue is continuity after clinician hospitalization. The keyed response is the most complete because it requires immediate client protection and proportionate risk management, clear role, consent, and expectation-setting, accurate documentation and accountability, and continuity of care and avoidance of abandonment. That approach is consistent with the cited source family (NASW Code 1.15 and 1.16; applicable record and emergency-planning requirements)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Continuity after clinician hospitalization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WB4 - Professional Impairment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CONTINUITY-AFTER-CLINICIAN-HOSPITALIZATION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1.15 and 1.16; applicable record and emergency-planning requirements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5 - Controlled Rationale</w:t>
      </w:r>
    </w:p>
    <w:p>
      <w:r>
        <w:rPr>
          <w:b/>
        </w:rPr>
        <w:t xml:space="preserve">Item ID: </w:t>
      </w:r>
      <w:r>
        <w:t>CTA-EP-002-CUM-F-005</w:t>
      </w:r>
    </w:p>
    <w:p>
      <w:r>
        <w:rPr>
          <w:b/>
        </w:rPr>
        <w:t xml:space="preserve">Stem: </w:t>
      </w:r>
      <w:r>
        <w:t>An employee is ordered to attend an assessment through an employer program and believes the meeting is confidential therapy. What is the appropriate response?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Proceed as ordinary therapy because the employee scheduled the appointment.</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clarify the actual role, voluntariness limits, information recipient, confidentiality limits, expected report, and possible consequences before gathering sensitive information.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Promise that nothing will be shared because confidentiality applies to all professional contacts.</w:t>
            </w:r>
          </w:p>
        </w:tc>
        <w:tc>
          <w:tcPr>
            <w:tcW w:type="dxa" w:w="3485"/>
            <w:vAlign w:val="center"/>
            <w:tcMar>
              <w:top w:w="55" w:type="dxa"/>
              <w:start w:w="65" w:type="dxa"/>
              <w:bottom w:w="55" w:type="dxa"/>
              <w:end w:w="65" w:type="dxa"/>
            </w:tcMar>
          </w:tcPr>
          <w:p>
            <w:pPr>
              <w:spacing w:after="0"/>
            </w:pPr>
            <w:r>
              <w:rPr>
                <w:sz w:val="16"/>
              </w:rPr>
              <w:t>Incorrect. It is overbroad because lawful, authorized, or safety-related communication may still be required or permitted. The keyed response is superior because it instead requires the social worker to clarify the actual role, voluntariness limits, information recipient, confidentiality limits, expected report, and possible consequences before gathering sensitive information.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Allow the employer to explain the limits after the assessment is complete.</w:t>
            </w:r>
          </w:p>
        </w:tc>
        <w:tc>
          <w:tcPr>
            <w:tcW w:type="dxa" w:w="3485"/>
            <w:vAlign w:val="center"/>
            <w:tcMar>
              <w:top w:w="55" w:type="dxa"/>
              <w:start w:w="65" w:type="dxa"/>
              <w:bottom w:w="55" w:type="dxa"/>
              <w:end w:w="65" w:type="dxa"/>
            </w:tcMar>
          </w:tcPr>
          <w:p>
            <w:pPr>
              <w:spacing w:after="0"/>
            </w:pPr>
            <w:r>
              <w:rPr>
                <w:sz w:val="16"/>
              </w:rPr>
              <w:t>Incorrect. It does not adequately address mandated or employer-referred service consent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clarify the actual role, voluntariness limits, information recipient, confidentiality limits, expected report, and possible consequences before gathering sensitive information.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Clarify the actual role, voluntariness limits, information recipient, confidentiality limits, expected report, and possible consequences before gathering sensitive information.</w:t>
            </w:r>
          </w:p>
        </w:tc>
        <w:tc>
          <w:tcPr>
            <w:tcW w:type="dxa" w:w="3485"/>
            <w:shd w:fill="EAF7F7"/>
            <w:vAlign w:val="center"/>
            <w:tcMar>
              <w:top w:w="55" w:type="dxa"/>
              <w:start w:w="65" w:type="dxa"/>
              <w:bottom w:w="55" w:type="dxa"/>
              <w:end w:w="65" w:type="dxa"/>
            </w:tcMar>
          </w:tcPr>
          <w:p>
            <w:pPr>
              <w:spacing w:after="0"/>
            </w:pPr>
            <w:r>
              <w:rPr>
                <w:sz w:val="16"/>
              </w:rPr>
              <w:t>Correct. This option directly addresses mandated or employer-referred service consent through clear role, consent, and expectation-setting and limited and purpose-specific information use.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mandated or employer-referred service consent. The keyed response is the most complete because it requires clear role, consent, and expectation-setting and limited and purpose-specific information use. That approach is consistent with the cited source family (NASW Code 1.03 and 1.07; applicable setting and contract requirements)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Mandated or employer-referred service consent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MANDATED-OR-EMPLOYER-REFERRED-SERVICE-CONSEN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1.03 and 1.07; applicable setting and contract requirements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6 - Controlled Rationale</w:t>
      </w:r>
    </w:p>
    <w:p>
      <w:r>
        <w:rPr>
          <w:b/>
        </w:rPr>
        <w:t xml:space="preserve">Item ID: </w:t>
      </w:r>
      <w:r>
        <w:t>CTA-EP-002-CUM-F-006</w:t>
      </w:r>
    </w:p>
    <w:p>
      <w:r>
        <w:rPr>
          <w:b/>
        </w:rPr>
        <w:t xml:space="preserve">Stem: </w:t>
      </w:r>
      <w:r>
        <w:t>An LCSW discovers that concentration problems contributed to an incorrect referral that delayed a client’s needed evaluation. Which response is BEST?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Alter the original record so the error is not visible.</w:t>
            </w:r>
          </w:p>
        </w:tc>
        <w:tc>
          <w:tcPr>
            <w:tcW w:type="dxa" w:w="3485"/>
            <w:vAlign w:val="center"/>
            <w:tcMar>
              <w:top w:w="55" w:type="dxa"/>
              <w:start w:w="65" w:type="dxa"/>
              <w:bottom w:w="55" w:type="dxa"/>
              <w:end w:w="65" w:type="dxa"/>
            </w:tcMar>
          </w:tcPr>
          <w:p>
            <w:pPr>
              <w:spacing w:after="0"/>
            </w:pPr>
            <w:r>
              <w:rPr>
                <w:sz w:val="16"/>
              </w:rPr>
              <w:t>Incorrect. It compromises record integrity and may conceal rather than correct the underlying problem. The keyed response is superior because it instead requires the social worker to address current harm, correct the referral, communicate appropriately, document facts, seek consultation, and modify practice to prevent recurrence.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Blame the client for not noticing the wrong referral.</w:t>
            </w:r>
          </w:p>
        </w:tc>
        <w:tc>
          <w:tcPr>
            <w:tcW w:type="dxa" w:w="3485"/>
            <w:vAlign w:val="center"/>
            <w:tcMar>
              <w:top w:w="55" w:type="dxa"/>
              <w:start w:w="65" w:type="dxa"/>
              <w:bottom w:w="55" w:type="dxa"/>
              <w:end w:w="65" w:type="dxa"/>
            </w:tcMar>
          </w:tcPr>
          <w:p>
            <w:pPr>
              <w:spacing w:after="0"/>
            </w:pPr>
            <w:r>
              <w:rPr>
                <w:sz w:val="16"/>
              </w:rPr>
              <w:t>Incorrect. It does not adequately address repairing an error associated with impairment and omits the role, authority, timing, proportionality, documentation, or continuity controls needed for client welfare, self-determination, boundaries, conflicts, exploitation, and continuity. The keyed response is superior because it instead requires the social worker to address current harm, correct the referral, communicate appropriately, document facts, seek consultation, and modify practice to prevent recurrence.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Wait to see whether harm occurs before correcting anything.</w:t>
            </w:r>
          </w:p>
        </w:tc>
        <w:tc>
          <w:tcPr>
            <w:tcW w:type="dxa" w:w="3485"/>
            <w:vAlign w:val="center"/>
            <w:tcMar>
              <w:top w:w="55" w:type="dxa"/>
              <w:start w:w="65" w:type="dxa"/>
              <w:bottom w:w="55" w:type="dxa"/>
              <w:end w:w="65" w:type="dxa"/>
            </w:tcMar>
          </w:tcPr>
          <w:p>
            <w:pPr>
              <w:spacing w:after="0"/>
            </w:pPr>
            <w:r>
              <w:rPr>
                <w:sz w:val="16"/>
              </w:rPr>
              <w:t>Incorrect. It delays a current safety, status, correction, or continuity responsibility and may allow preventable harm to continue. The keyed response is superior because it instead requires the social worker to address current harm, correct the referral, communicate appropriately, document facts, seek consultation, and modify practice to prevent recurrence.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Address current harm, correct the referral, communicate appropriately, document facts, seek consultation, and modify practice to prevent recurrence.</w:t>
            </w:r>
          </w:p>
        </w:tc>
        <w:tc>
          <w:tcPr>
            <w:tcW w:type="dxa" w:w="3485"/>
            <w:shd w:fill="EAF7F7"/>
            <w:vAlign w:val="center"/>
            <w:tcMar>
              <w:top w:w="55" w:type="dxa"/>
              <w:start w:w="65" w:type="dxa"/>
              <w:bottom w:w="55" w:type="dxa"/>
              <w:end w:w="65" w:type="dxa"/>
            </w:tcMar>
          </w:tcPr>
          <w:p>
            <w:pPr>
              <w:spacing w:after="0"/>
            </w:pPr>
            <w:r>
              <w:rPr>
                <w:sz w:val="16"/>
              </w:rPr>
              <w:t>Correct. This option directly addresses repairing an error associated with impairment through accurate documentation and accountability, competence support through consultation, training, or qualified supervision, continuity of care and avoidance of abandonment and current law and applicability review.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repairing an error associated with impairment. The keyed response is the most complete because it requires accurate documentation and accountability, competence support through consultation, training, or qualified supervision, continuity of care and avoidance of abandonment, and current law and applicability review. That approach is consistent with the cited source family (NASW Code 1.01, 1.04, 4.04, and 4.05; applicable disclosure and documentation standards)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Repairing an error associated with impairment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WB4 - Professional Impairment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REPAIRING-AN-ERROR-ASSOCIATED-WITH-IMPAIRMEN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1.01, 1.04, 4.04, and 4.05; applicable disclosure and documentation standards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7 - Controlled Rationale</w:t>
      </w:r>
    </w:p>
    <w:p>
      <w:r>
        <w:rPr>
          <w:b/>
        </w:rPr>
        <w:t xml:space="preserve">Item ID: </w:t>
      </w:r>
      <w:r>
        <w:t>CTA-EP-002-CUM-F-007</w:t>
      </w:r>
    </w:p>
    <w:p>
      <w:r>
        <w:rPr>
          <w:b/>
        </w:rPr>
        <w:t xml:space="preserve">Stem: </w:t>
      </w:r>
      <w:r>
        <w:t>A manager tells an LCSW to change service dates so the agency can bill for sessions that did not occur. What should the social worker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Change the dates because billing rules are administrative.</w:t>
            </w:r>
          </w:p>
        </w:tc>
        <w:tc>
          <w:tcPr>
            <w:tcW w:type="dxa" w:w="3485"/>
            <w:vAlign w:val="center"/>
            <w:tcMar>
              <w:top w:w="55" w:type="dxa"/>
              <w:start w:w="65" w:type="dxa"/>
              <w:bottom w:w="55" w:type="dxa"/>
              <w:end w:w="65" w:type="dxa"/>
            </w:tcMar>
          </w:tcPr>
          <w:p>
            <w:pPr>
              <w:spacing w:after="0"/>
            </w:pPr>
            <w:r>
              <w:rPr>
                <w:sz w:val="16"/>
              </w:rPr>
              <w:t>Incorrect. It does not adequately address falsification or deceptive alteration of records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refuse to falsify the record, preserve accurate documentation, use appropriate organizational or legal channels, and protect clients from resulting harm.</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client to sign the false entries.</w:t>
            </w:r>
          </w:p>
        </w:tc>
        <w:tc>
          <w:tcPr>
            <w:tcW w:type="dxa" w:w="3485"/>
            <w:vAlign w:val="center"/>
            <w:tcMar>
              <w:top w:w="55" w:type="dxa"/>
              <w:start w:w="65" w:type="dxa"/>
              <w:bottom w:w="55" w:type="dxa"/>
              <w:end w:w="65" w:type="dxa"/>
            </w:tcMar>
          </w:tcPr>
          <w:p>
            <w:pPr>
              <w:spacing w:after="0"/>
            </w:pPr>
            <w:r>
              <w:rPr>
                <w:sz w:val="16"/>
              </w:rPr>
              <w:t>Incorrect. It compromises record integrity and may conceal rather than correct the underlying problem. The keyed response is superior because it instead requires the social worker to refuse to falsify the record, preserve accurate documentation, use appropriate organizational or legal channels, and protect clients from resulting harm.</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Delete all notes from the period.</w:t>
            </w:r>
          </w:p>
        </w:tc>
        <w:tc>
          <w:tcPr>
            <w:tcW w:type="dxa" w:w="3485"/>
            <w:vAlign w:val="center"/>
            <w:tcMar>
              <w:top w:w="55" w:type="dxa"/>
              <w:start w:w="65" w:type="dxa"/>
              <w:bottom w:w="55" w:type="dxa"/>
              <w:end w:w="65" w:type="dxa"/>
            </w:tcMar>
          </w:tcPr>
          <w:p>
            <w:pPr>
              <w:spacing w:after="0"/>
            </w:pPr>
            <w:r>
              <w:rPr>
                <w:sz w:val="16"/>
              </w:rPr>
              <w:t>Incorrect. It compromises record integrity and may conceal rather than correct the underlying problem. The keyed response is superior because it instead requires the social worker to refuse to falsify the record, preserve accurate documentation, use appropriate organizational or legal channels, and protect clients from resulting harm.</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Refuse to falsify the record, preserve accurate documentation, use appropriate organizational or legal channels, and protect clients from resulting harm.</w:t>
            </w:r>
          </w:p>
        </w:tc>
        <w:tc>
          <w:tcPr>
            <w:tcW w:type="dxa" w:w="3485"/>
            <w:shd w:fill="EAF7F7"/>
            <w:vAlign w:val="center"/>
            <w:tcMar>
              <w:top w:w="55" w:type="dxa"/>
              <w:start w:w="65" w:type="dxa"/>
              <w:bottom w:w="55" w:type="dxa"/>
              <w:end w:w="65" w:type="dxa"/>
            </w:tcMar>
          </w:tcPr>
          <w:p>
            <w:pPr>
              <w:spacing w:after="0"/>
            </w:pPr>
            <w:r>
              <w:rPr>
                <w:sz w:val="16"/>
              </w:rPr>
              <w:t>Correct. This option directly addresses falsification or deceptive alteration of records through immediate client protection and proportionate risk management, accurate documentation and accountability and containment of unlawful, unsafe, or incompetent conduct.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falsification or deceptive alteration of records. The keyed response is the most complete because it requires immediate client protection and proportionate risk management, accurate documentation and accountability, and containment of unlawful, unsafe, or incompetent conduct. That approach is consistent with the cited source family (BPC 4992.3; NASW Code 3.04 and 4.04)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Falsification or deceptive alteration of records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Foundational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FALSIFICATION-OR-DECEPTIVE-ALTERATION-OF-REC</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4992.3; NASW Code 3.04 and 4.04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8 - Controlled Rationale</w:t>
      </w:r>
    </w:p>
    <w:p>
      <w:r>
        <w:rPr>
          <w:b/>
        </w:rPr>
        <w:t xml:space="preserve">Item ID: </w:t>
      </w:r>
      <w:r>
        <w:t>CTA-EP-002-CUM-F-008</w:t>
      </w:r>
    </w:p>
    <w:p>
      <w:r>
        <w:rPr>
          <w:b/>
        </w:rPr>
        <w:t xml:space="preserve">Stem: </w:t>
      </w:r>
      <w:r>
        <w:t>A long-term client offers to finance the LCSW’s office expansion in exchange for reduced fees and priority scheduling.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Decline the financial entanglement, explore the offer’s meaning and treatment impact, preserve appropriate boundaries and continuity, and document the discussion.</w:t>
            </w:r>
          </w:p>
        </w:tc>
        <w:tc>
          <w:tcPr>
            <w:tcW w:type="dxa" w:w="3485"/>
            <w:shd w:fill="EAF7F7"/>
            <w:vAlign w:val="center"/>
            <w:tcMar>
              <w:top w:w="55" w:type="dxa"/>
              <w:start w:w="65" w:type="dxa"/>
              <w:bottom w:w="55" w:type="dxa"/>
              <w:end w:w="65" w:type="dxa"/>
            </w:tcMar>
          </w:tcPr>
          <w:p>
            <w:pPr>
              <w:spacing w:after="0"/>
            </w:pPr>
            <w:r>
              <w:rPr>
                <w:sz w:val="16"/>
              </w:rPr>
              <w:t>Correct. This response protects professional judgment, avoids exploitation or preferential access, and addresses the relational meaning without abandoning the client.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Accept if a private loan agreement is signed outside the therapy session.</w:t>
            </w:r>
          </w:p>
        </w:tc>
        <w:tc>
          <w:tcPr>
            <w:tcW w:type="dxa" w:w="3485"/>
            <w:vAlign w:val="center"/>
            <w:tcMar>
              <w:top w:w="55" w:type="dxa"/>
              <w:start w:w="65" w:type="dxa"/>
              <w:bottom w:w="55" w:type="dxa"/>
              <w:end w:w="65" w:type="dxa"/>
            </w:tcMar>
          </w:tcPr>
          <w:p>
            <w:pPr>
              <w:spacing w:after="0"/>
            </w:pPr>
            <w:r>
              <w:rPr>
                <w:sz w:val="16"/>
              </w:rPr>
              <w:t>Incorrect. A private contract does not remove the treatment power imbalance or the conflict created by client financing and preferential scheduling.</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Accept because the client proposed the arrangement voluntarily and can afford it.</w:t>
            </w:r>
          </w:p>
        </w:tc>
        <w:tc>
          <w:tcPr>
            <w:tcW w:type="dxa" w:w="3485"/>
            <w:vAlign w:val="center"/>
            <w:tcMar>
              <w:top w:w="55" w:type="dxa"/>
              <w:start w:w="65" w:type="dxa"/>
              <w:bottom w:w="55" w:type="dxa"/>
              <w:end w:w="65" w:type="dxa"/>
            </w:tcMar>
          </w:tcPr>
          <w:p>
            <w:pPr>
              <w:spacing w:after="0"/>
            </w:pPr>
            <w:r>
              <w:rPr>
                <w:sz w:val="16"/>
              </w:rPr>
              <w:t>Incorrect. Voluntariness and ability to pay do not cure the boundary, exploitation, and professional-judgment risks.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Terminate treatment immediately without discussing the offer or arranging continuity.</w:t>
            </w:r>
          </w:p>
        </w:tc>
        <w:tc>
          <w:tcPr>
            <w:tcW w:type="dxa" w:w="3485"/>
            <w:vAlign w:val="center"/>
            <w:tcMar>
              <w:top w:w="55" w:type="dxa"/>
              <w:start w:w="65" w:type="dxa"/>
              <w:bottom w:w="55" w:type="dxa"/>
              <w:end w:w="65" w:type="dxa"/>
            </w:tcMar>
          </w:tcPr>
          <w:p>
            <w:pPr>
              <w:spacing w:after="0"/>
            </w:pPr>
            <w:r>
              <w:rPr>
                <w:sz w:val="16"/>
              </w:rPr>
              <w:t>Incorrect. Immediate termination without discussion or continuity is disproportionate and may create abandonment risk.</w:t>
            </w:r>
          </w:p>
        </w:tc>
      </w:tr>
    </w:tbl>
    <w:p>
      <w:pPr>
        <w:pStyle w:val="Heading2"/>
      </w:pPr>
      <w:r>
        <w:t>Why the Key Controls</w:t>
      </w:r>
    </w:p>
    <w:p>
      <w:r>
        <w:t>A client loan tied to fees and priority access creates a financial and power conflict within treatment. The LCSW should decline the entanglement, explore meaning and treatment impact, preserve boundaries and continuity, and document the discussion.</w:t>
      </w:r>
    </w:p>
    <w:p>
      <w:pPr>
        <w:pStyle w:val="Heading2"/>
      </w:pPr>
      <w:r>
        <w:t>CTA Exam Strategy</w:t>
      </w:r>
    </w:p>
    <w:p>
      <w:r>
        <w:t>Financial-boundary questions turn on power, professional judgment, preferential treatment, exploitation risk, and continuity—not merely the client’s consent.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Client financing offer and financial-boundary conflict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FINANCIAL-ENTANGLEMENT</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1.06 and 1.13; applicable exploitation and conflict-of-interest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9 - Controlled Rationale</w:t>
      </w:r>
    </w:p>
    <w:p>
      <w:r>
        <w:rPr>
          <w:b/>
        </w:rPr>
        <w:t xml:space="preserve">Item ID: </w:t>
      </w:r>
      <w:r>
        <w:t>CTA-EP-002-CUM-F-009</w:t>
      </w:r>
    </w:p>
    <w:p>
      <w:r>
        <w:rPr>
          <w:b/>
        </w:rPr>
        <w:t xml:space="preserve">Stem: </w:t>
      </w:r>
      <w:r>
        <w:t>A parent demands that the LCSW change an adolescent client’s treatment goal from anxiety management to obedience at home, while no immediate safety concern is present. What is the appropriate response?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Adopt the parent’s goal because the parent is financially responsible.</w:t>
            </w:r>
          </w:p>
        </w:tc>
        <w:tc>
          <w:tcPr>
            <w:tcW w:type="dxa" w:w="3485"/>
            <w:vAlign w:val="center"/>
            <w:tcMar>
              <w:top w:w="55" w:type="dxa"/>
              <w:start w:w="65" w:type="dxa"/>
              <w:bottom w:w="55" w:type="dxa"/>
              <w:end w:w="65" w:type="dxa"/>
            </w:tcMar>
          </w:tcPr>
          <w:p>
            <w:pPr>
              <w:spacing w:after="0"/>
            </w:pPr>
            <w:r>
              <w:rPr>
                <w:sz w:val="16"/>
              </w:rPr>
              <w:t>Incorrect. It does not adequately address adolescent goals and parental pressure and omits the role, authority, timing, proportionality, documentation, or continuity controls needed for client welfare, self-determination, boundaries, conflicts, exploitation, and continuity. The keyed response is superior because it instead requires the social worker to clarify the treatment relationship and legal authority, preserve the adolescent’s participation and dignity, and address family concerns without substituting the parent’s preferred goal automatically.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Exclude the parent from every future communication without reviewing the consent structure.</w:t>
            </w:r>
          </w:p>
        </w:tc>
        <w:tc>
          <w:tcPr>
            <w:tcW w:type="dxa" w:w="3485"/>
            <w:vAlign w:val="center"/>
            <w:tcMar>
              <w:top w:w="55" w:type="dxa"/>
              <w:start w:w="65" w:type="dxa"/>
              <w:bottom w:w="55" w:type="dxa"/>
              <w:end w:w="65" w:type="dxa"/>
            </w:tcMar>
          </w:tcPr>
          <w:p>
            <w:pPr>
              <w:spacing w:after="0"/>
            </w:pPr>
            <w:r>
              <w:rPr>
                <w:sz w:val="16"/>
              </w:rPr>
              <w:t>Incorrect. It does not adequately address adolescent goals and parental pressure and omits the role, authority, timing, proportionality, documentation, or continuity controls needed for client welfare, self-determination, boundaries, conflicts, exploitation, and continuity. The keyed response is superior because it instead requires the social worker to clarify the treatment relationship and legal authority, preserve the adolescent’s participation and dignity, and address family concerns without substituting the parent’s preferred goal automatically.</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Tell the adolescent to choose between therapy and family contact.</w:t>
            </w:r>
          </w:p>
        </w:tc>
        <w:tc>
          <w:tcPr>
            <w:tcW w:type="dxa" w:w="3485"/>
            <w:vAlign w:val="center"/>
            <w:tcMar>
              <w:top w:w="55" w:type="dxa"/>
              <w:start w:w="65" w:type="dxa"/>
              <w:bottom w:w="55" w:type="dxa"/>
              <w:end w:w="65" w:type="dxa"/>
            </w:tcMar>
          </w:tcPr>
          <w:p>
            <w:pPr>
              <w:spacing w:after="0"/>
            </w:pPr>
            <w:r>
              <w:rPr>
                <w:sz w:val="16"/>
              </w:rPr>
              <w:t>Incorrect. It does not adequately address adolescent goals and parental pressure and omits the role, authority, timing, proportionality, documentation, or continuity controls needed for client welfare, self-determination, boundaries, conflicts, exploitation, and continuity. The keyed response is superior because it instead requires the social worker to clarify the treatment relationship and legal authority, preserve the adolescent’s participation and dignity, and address family concerns without substituting the parent’s preferred goal automatically.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Clarify the treatment relationship and legal authority, preserve the adolescent’s participation and dignity, and address family concerns without substituting the parent’s preferred goal automatically.</w:t>
            </w:r>
          </w:p>
        </w:tc>
        <w:tc>
          <w:tcPr>
            <w:tcW w:type="dxa" w:w="3485"/>
            <w:shd w:fill="EAF7F7"/>
            <w:vAlign w:val="center"/>
            <w:tcMar>
              <w:top w:w="55" w:type="dxa"/>
              <w:start w:w="65" w:type="dxa"/>
              <w:bottom w:w="55" w:type="dxa"/>
              <w:end w:w="65" w:type="dxa"/>
            </w:tcMar>
          </w:tcPr>
          <w:p>
            <w:pPr>
              <w:spacing w:after="0"/>
            </w:pPr>
            <w:r>
              <w:rPr>
                <w:sz w:val="16"/>
              </w:rPr>
              <w:t>Correct. This option directly addresses adolescent goals and parental pressure through clear role, consent, and expectation-setting, accurate documentation and accountability and current law and applicability review.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adolescent goals and parental pressure. The keyed response is the most complete because it requires clear role, consent, and expectation-setting, accurate documentation and accountability, and current law and applicability review. That approach is consistent with the cited source family (NASW Code 1.01, 1.02, 1.03, and 1.07; applicable minor-consent law)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Adolescent goals and parental pressure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ADOLESCENT-GOALS-AND-PARENTAL-PRESSURE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1.01, 1.02, 1.03, and 1.07; applicable minor-consent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10 - Controlled Rationale</w:t>
      </w:r>
    </w:p>
    <w:p>
      <w:r>
        <w:rPr>
          <w:b/>
        </w:rPr>
        <w:t xml:space="preserve">Item ID: </w:t>
      </w:r>
      <w:r>
        <w:t>CTA-EP-002-CUM-F-010</w:t>
      </w:r>
    </w:p>
    <w:p>
      <w:r>
        <w:rPr>
          <w:b/>
        </w:rPr>
        <w:t xml:space="preserve">Stem: </w:t>
      </w:r>
      <w:r>
        <w:t>An LCSW obtains consultation that materially changes a high-risk client’s assessment and plan.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Document the clinically relevant consultation, reasoning, resulting plan, and follow-through without adding irrelevant consultant details.</w:t>
            </w:r>
          </w:p>
        </w:tc>
        <w:tc>
          <w:tcPr>
            <w:tcW w:type="dxa" w:w="3485"/>
            <w:shd w:fill="EAF7F7"/>
            <w:vAlign w:val="center"/>
            <w:tcMar>
              <w:top w:w="55" w:type="dxa"/>
              <w:start w:w="65" w:type="dxa"/>
              <w:bottom w:w="55" w:type="dxa"/>
              <w:end w:w="65" w:type="dxa"/>
            </w:tcMar>
          </w:tcPr>
          <w:p>
            <w:pPr>
              <w:spacing w:after="0"/>
            </w:pPr>
            <w:r>
              <w:rPr>
                <w:sz w:val="16"/>
              </w:rPr>
              <w:t>Correct. This option directly addresses documenting significant consultation through accurate documentation and accountability, competence support through consultation, training, or qualified supervision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Omit the consultation because only direct services belong in the record.</w:t>
            </w:r>
          </w:p>
        </w:tc>
        <w:tc>
          <w:tcPr>
            <w:tcW w:type="dxa" w:w="3485"/>
            <w:vAlign w:val="center"/>
            <w:tcMar>
              <w:top w:w="55" w:type="dxa"/>
              <w:start w:w="65" w:type="dxa"/>
              <w:bottom w:w="55" w:type="dxa"/>
              <w:end w:w="65" w:type="dxa"/>
            </w:tcMar>
          </w:tcPr>
          <w:p>
            <w:pPr>
              <w:spacing w:after="0"/>
            </w:pPr>
            <w:r>
              <w:rPr>
                <w:sz w:val="16"/>
              </w:rPr>
              <w:t>Incorrect. It undermines transparency, documentation integrity, review, and the ability to protect the client or correct the problem. The keyed response is superior because it instead requires the social worker to document the clinically relevant consultation, reasoning, resulting plan, and follow-through without adding irrelevant consultant details.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Copy the consultant’s entire unrelated history into the client chart.</w:t>
            </w:r>
          </w:p>
        </w:tc>
        <w:tc>
          <w:tcPr>
            <w:tcW w:type="dxa" w:w="3485"/>
            <w:vAlign w:val="center"/>
            <w:tcMar>
              <w:top w:w="55" w:type="dxa"/>
              <w:start w:w="65" w:type="dxa"/>
              <w:bottom w:w="55" w:type="dxa"/>
              <w:end w:w="65" w:type="dxa"/>
            </w:tcMar>
          </w:tcPr>
          <w:p>
            <w:pPr>
              <w:spacing w:after="0"/>
            </w:pPr>
            <w:r>
              <w:rPr>
                <w:sz w:val="16"/>
              </w:rPr>
              <w:t>Incorrect. It does not adequately address documenting significant consultation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document the clinically relevant consultation, reasoning, resulting plan, and follow-through without adding irrelevant consultant details.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Record only that the consultant agreed with the clinician.</w:t>
            </w:r>
          </w:p>
        </w:tc>
        <w:tc>
          <w:tcPr>
            <w:tcW w:type="dxa" w:w="3485"/>
            <w:vAlign w:val="center"/>
            <w:tcMar>
              <w:top w:w="55" w:type="dxa"/>
              <w:start w:w="65" w:type="dxa"/>
              <w:bottom w:w="55" w:type="dxa"/>
              <w:end w:w="65" w:type="dxa"/>
            </w:tcMar>
          </w:tcPr>
          <w:p>
            <w:pPr>
              <w:spacing w:after="0"/>
            </w:pPr>
            <w:r>
              <w:rPr>
                <w:sz w:val="16"/>
              </w:rPr>
              <w:t>Incorrect. It does not adequately address documenting significant consultation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document the clinically relevant consultation, reasoning, resulting plan, and follow-through without adding irrelevant consultant details.</w:t>
            </w:r>
          </w:p>
        </w:tc>
      </w:tr>
    </w:tbl>
    <w:p>
      <w:pPr>
        <w:pStyle w:val="Heading2"/>
      </w:pPr>
      <w:r>
        <w:t>Why the Key Controls</w:t>
      </w:r>
    </w:p>
    <w:p>
      <w:r>
        <w:t>The controlling issue is documenting significant consultation. The keyed response is the most complete because it requires accurate documentation and accountability, competence support through consultation, training, or qualified supervision, and limited and purpose-specific information use. That approach is consistent with the cited source family (NASW Code 2.05 and 3.04; applicable documentation standards)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Documenting significant consultation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WB3 - Professional Competence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DOCUMENTING-SIGNIFICANT-CONSULTATION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2.05 and 3.04; applicable documentation standards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11 - Controlled Rationale</w:t>
      </w:r>
    </w:p>
    <w:p>
      <w:r>
        <w:rPr>
          <w:b/>
        </w:rPr>
        <w:t xml:space="preserve">Item ID: </w:t>
      </w:r>
      <w:r>
        <w:t>CTA-EP-002-CUM-F-011</w:t>
      </w:r>
    </w:p>
    <w:p>
      <w:r>
        <w:rPr>
          <w:b/>
        </w:rPr>
        <w:t xml:space="preserve">Stem: </w:t>
      </w:r>
      <w:r>
        <w:t>An LCSW is legally permitted to provide a service category but has never been trained in the specialized intervention requested by a client. What is the appropriate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Distinguish legal scope from personal competence and obtain training, consultation, supervised practice, adaptation, or referral before providing the service.</w:t>
            </w:r>
          </w:p>
        </w:tc>
        <w:tc>
          <w:tcPr>
            <w:tcW w:type="dxa" w:w="3485"/>
            <w:shd w:fill="EAF7F7"/>
            <w:vAlign w:val="center"/>
            <w:tcMar>
              <w:top w:w="55" w:type="dxa"/>
              <w:start w:w="65" w:type="dxa"/>
              <w:bottom w:w="55" w:type="dxa"/>
              <w:end w:w="65" w:type="dxa"/>
            </w:tcMar>
          </w:tcPr>
          <w:p>
            <w:pPr>
              <w:spacing w:after="0"/>
            </w:pPr>
            <w:r>
              <w:rPr>
                <w:sz w:val="16"/>
              </w:rPr>
              <w:t>Correct. This option directly addresses scope of practice versus scope of competence through competence support through consultation, training, or qualified supervision and continuity of care and avoidance of abandonment.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Provide the service because legal scope automatically proves competence.</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distinguish legal scope from personal competence and obtain training, consultation, supervised practice, adaptation, or referral before providing the service.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the client to waive the competence concern.</w:t>
            </w:r>
          </w:p>
        </w:tc>
        <w:tc>
          <w:tcPr>
            <w:tcW w:type="dxa" w:w="3485"/>
            <w:vAlign w:val="center"/>
            <w:tcMar>
              <w:top w:w="55" w:type="dxa"/>
              <w:start w:w="65" w:type="dxa"/>
              <w:bottom w:w="55" w:type="dxa"/>
              <w:end w:w="65" w:type="dxa"/>
            </w:tcMar>
          </w:tcPr>
          <w:p>
            <w:pPr>
              <w:spacing w:after="0"/>
            </w:pPr>
            <w:r>
              <w:rPr>
                <w:sz w:val="16"/>
              </w:rPr>
              <w:t>Incorrect. A client signature cannot create legal authority, competence, truthful status, safety, or freedom from a professional duty. The keyed response is superior because it instead requires the social worker to distinguish legal scope from personal competence and obtain training, consultation, supervised practice, adaptation, or referral before providing the service.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Advertise expertise first and obtain training after several cases.</w:t>
            </w:r>
          </w:p>
        </w:tc>
        <w:tc>
          <w:tcPr>
            <w:tcW w:type="dxa" w:w="3485"/>
            <w:vAlign w:val="center"/>
            <w:tcMar>
              <w:top w:w="55" w:type="dxa"/>
              <w:start w:w="65" w:type="dxa"/>
              <w:bottom w:w="55" w:type="dxa"/>
              <w:end w:w="65" w:type="dxa"/>
            </w:tcMar>
          </w:tcPr>
          <w:p>
            <w:pPr>
              <w:spacing w:after="0"/>
            </w:pPr>
            <w:r>
              <w:rPr>
                <w:sz w:val="16"/>
              </w:rPr>
              <w:t>Incorrect. It does not adequately address scope of practice versus scope of competence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distinguish legal scope from personal competence and obtain training, consultation, supervised practice, adaptation, or referral before providing the service.</w:t>
            </w:r>
          </w:p>
        </w:tc>
      </w:tr>
    </w:tbl>
    <w:p>
      <w:pPr>
        <w:pStyle w:val="Heading2"/>
      </w:pPr>
      <w:r>
        <w:t>Why the Key Controls</w:t>
      </w:r>
    </w:p>
    <w:p>
      <w:r>
        <w:t>The controlling issue is scope of practice versus scope of competence. The keyed response is the most complete because it requires competence support through consultation, training, or qualified supervision and continuity of care and avoidance of abandonment. That approach is consistent with the cited source family (BPC 4996.9 and 4992.3; NASW Code 1.04)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Scope of practice versus scope of competence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WB3 - Professional Competence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SCOPE-OF-PRACTICE-VERSUS-SCOPE-OF-COMPETENCE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4996.9 and 4992.3; NASW Code 1.04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12 - Controlled Rationale</w:t>
      </w:r>
    </w:p>
    <w:p>
      <w:r>
        <w:rPr>
          <w:b/>
        </w:rPr>
        <w:t xml:space="preserve">Item ID: </w:t>
      </w:r>
      <w:r>
        <w:t>CTA-EP-002-CUM-F-012</w:t>
      </w:r>
    </w:p>
    <w:p>
      <w:r>
        <w:rPr>
          <w:b/>
        </w:rPr>
        <w:t xml:space="preserve">Stem: </w:t>
      </w:r>
      <w:r>
        <w:t>Before the first appointment, an ASW discovers that the designated supervisor’s California license expired and no qualified alternate supervisor has been assigned. What should occur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Continue because the signed supervision agreement remains valid until the employer replaces the supervisor.</w:t>
            </w:r>
          </w:p>
        </w:tc>
        <w:tc>
          <w:tcPr>
            <w:tcW w:type="dxa" w:w="3485"/>
            <w:vAlign w:val="center"/>
            <w:tcMar>
              <w:top w:w="55" w:type="dxa"/>
              <w:start w:w="65" w:type="dxa"/>
              <w:bottom w:w="55" w:type="dxa"/>
              <w:end w:w="65" w:type="dxa"/>
            </w:tcMar>
          </w:tcPr>
          <w:p>
            <w:pPr>
              <w:spacing w:after="0"/>
            </w:pPr>
            <w:r>
              <w:rPr>
                <w:sz w:val="16"/>
              </w:rPr>
              <w:t>Incorrect. A prior agreement does not keep a supervisor legally qualified after the underlying license expires.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Pause services and experience that depend on lawful supervision, notify the employer, arrange qualified coverage and client continuity, and verify the new supervision structure before resuming.</w:t>
            </w:r>
          </w:p>
        </w:tc>
        <w:tc>
          <w:tcPr>
            <w:tcW w:type="dxa" w:w="3485"/>
            <w:shd w:fill="EAF7F7"/>
            <w:vAlign w:val="center"/>
            <w:tcMar>
              <w:top w:w="55" w:type="dxa"/>
              <w:start w:w="65" w:type="dxa"/>
              <w:bottom w:w="55" w:type="dxa"/>
              <w:end w:w="65" w:type="dxa"/>
            </w:tcMar>
          </w:tcPr>
          <w:p>
            <w:pPr>
              <w:spacing w:after="0"/>
            </w:pPr>
            <w:r>
              <w:rPr>
                <w:sz w:val="16"/>
              </w:rPr>
              <w:t>Correct. This response protects clients, prevents unlawful supervised practice or uncreditable hours, and repairs the supervision structure before work resumes.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each client to approve temporary supervision by the unlicensed supervisor.</w:t>
            </w:r>
          </w:p>
        </w:tc>
        <w:tc>
          <w:tcPr>
            <w:tcW w:type="dxa" w:w="3485"/>
            <w:vAlign w:val="center"/>
            <w:tcMar>
              <w:top w:w="55" w:type="dxa"/>
              <w:start w:w="65" w:type="dxa"/>
              <w:bottom w:w="55" w:type="dxa"/>
              <w:end w:w="65" w:type="dxa"/>
            </w:tcMar>
          </w:tcPr>
          <w:p>
            <w:pPr>
              <w:spacing w:after="0"/>
            </w:pPr>
            <w:r>
              <w:rPr>
                <w:sz w:val="16"/>
              </w:rPr>
              <w:t>Incorrect. Client consent cannot create a qualified supervisor or waive licensure requirements.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Count the hours as consultation until the supervisor renews the license.</w:t>
            </w:r>
          </w:p>
        </w:tc>
        <w:tc>
          <w:tcPr>
            <w:tcW w:type="dxa" w:w="3485"/>
            <w:vAlign w:val="center"/>
            <w:tcMar>
              <w:top w:w="55" w:type="dxa"/>
              <w:start w:w="65" w:type="dxa"/>
              <w:bottom w:w="55" w:type="dxa"/>
              <w:end w:w="65" w:type="dxa"/>
            </w:tcMar>
          </w:tcPr>
          <w:p>
            <w:pPr>
              <w:spacing w:after="0"/>
            </w:pPr>
            <w:r>
              <w:rPr>
                <w:sz w:val="16"/>
              </w:rPr>
              <w:t>Incorrect. Consultation is not a substitute for lawful supervision and does not make experience creditable.</w:t>
            </w:r>
          </w:p>
        </w:tc>
      </w:tr>
    </w:tbl>
    <w:p>
      <w:pPr>
        <w:pStyle w:val="Heading2"/>
      </w:pPr>
      <w:r>
        <w:t>Why the Key Controls</w:t>
      </w:r>
    </w:p>
    <w:p>
      <w:r>
        <w:t>ASW services and experience that require legal supervision cannot continue under a supervisor whose license is expired. The ASW and employer must pause the affected work, arrange qualified coverage and continuity, and verify the replacement supervision structure before resuming.</w:t>
      </w:r>
    </w:p>
    <w:p>
      <w:pPr>
        <w:pStyle w:val="Heading2"/>
      </w:pPr>
      <w:r>
        <w:t>CTA Exam Strategy</w:t>
      </w:r>
    </w:p>
    <w:p>
      <w:r>
        <w:t>Check the supervisor’s current license and qualification, not only the existence of a signed agreement. If qualification fails, pause, protect continuity, and repair the structure.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Supervisor license lapse and lawful ASW supervision structure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Applied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SUPERVISOR-LICENSE-STATUS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4996.23 and 4996.23.1; BBS ASW Supervisor Information and Supervision Agreement revised May 2026</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13 - Controlled Rationale</w:t>
      </w:r>
    </w:p>
    <w:p>
      <w:r>
        <w:rPr>
          <w:b/>
        </w:rPr>
        <w:t xml:space="preserve">Item ID: </w:t>
      </w:r>
      <w:r>
        <w:t>CTA-EP-002-CUM-F-013</w:t>
      </w:r>
    </w:p>
    <w:p>
      <w:r>
        <w:rPr>
          <w:b/>
        </w:rPr>
        <w:t xml:space="preserve">Stem: </w:t>
      </w:r>
      <w:r>
        <w:t>A California LCSW learns that a continuing client has temporarily moved to another jurisdiction and wants to continue telehealth without interruption. What is the appropriate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Determine the legal authority and practice requirements where the client is located, assess continuity and risk, and use consultation or referral as needed before continuing.</w:t>
            </w:r>
          </w:p>
        </w:tc>
        <w:tc>
          <w:tcPr>
            <w:tcW w:type="dxa" w:w="3485"/>
            <w:shd w:fill="EAF7F7"/>
            <w:vAlign w:val="center"/>
            <w:tcMar>
              <w:top w:w="55" w:type="dxa"/>
              <w:start w:w="65" w:type="dxa"/>
              <w:bottom w:w="55" w:type="dxa"/>
              <w:end w:w="65" w:type="dxa"/>
            </w:tcMar>
          </w:tcPr>
          <w:p>
            <w:pPr>
              <w:spacing w:after="0"/>
            </w:pPr>
            <w:r>
              <w:rPr>
                <w:sz w:val="16"/>
              </w:rPr>
              <w:t>Correct. This option directly addresses client located outside california during telehealth through immediate client protection and proportionate risk management, verification of the controlling facts and authority, competence support through consultation, training, or qualified supervision and continuity of care and avoidance of abandonment.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Continue because the clinician is licensed where the office is located.</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determine the legal authority and practice requirements where the client is located, assess continuity and risk, and use consultation or referral as needed before continuing.</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Tell the client to keep the location secret in the record.</w:t>
            </w:r>
          </w:p>
        </w:tc>
        <w:tc>
          <w:tcPr>
            <w:tcW w:type="dxa" w:w="3485"/>
            <w:vAlign w:val="center"/>
            <w:tcMar>
              <w:top w:w="55" w:type="dxa"/>
              <w:start w:w="65" w:type="dxa"/>
              <w:bottom w:w="55" w:type="dxa"/>
              <w:end w:w="65" w:type="dxa"/>
            </w:tcMar>
          </w:tcPr>
          <w:p>
            <w:pPr>
              <w:spacing w:after="0"/>
            </w:pPr>
            <w:r>
              <w:rPr>
                <w:sz w:val="16"/>
              </w:rPr>
              <w:t>Incorrect. It does not adequately address client located outside california during telehealth and omits the role, authority, timing, proportionality, documentation, or continuity controls needed for competence, integrity, impairment, bias, consultation, and truthful professional conduct. The keyed response is superior because it instead requires the social worker to determine the legal authority and practice requirements where the client is located, assess continuity and risk, and use consultation or referral as needed before continuing.</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Assume a prior California treatment relationship creates nationwide practice authority.</w:t>
            </w:r>
          </w:p>
        </w:tc>
        <w:tc>
          <w:tcPr>
            <w:tcW w:type="dxa" w:w="3485"/>
            <w:vAlign w:val="center"/>
            <w:tcMar>
              <w:top w:w="55" w:type="dxa"/>
              <w:start w:w="65" w:type="dxa"/>
              <w:bottom w:w="55" w:type="dxa"/>
              <w:end w:w="65" w:type="dxa"/>
            </w:tcMar>
          </w:tcPr>
          <w:p>
            <w:pPr>
              <w:spacing w:after="0"/>
            </w:pPr>
            <w:r>
              <w:rPr>
                <w:sz w:val="16"/>
              </w:rPr>
              <w:t>Incorrect. It does not adequately address client located outside california during telehealth and omits the role, authority, timing, proportionality, documentation, or continuity controls needed for competence, integrity, impairment, bias, consultation, and truthful professional conduct. The keyed response is superior because it instead requires the social worker to determine the legal authority and practice requirements where the client is located, assess continuity and risk, and use consultation or referral as needed before continuing.</w:t>
            </w:r>
          </w:p>
        </w:tc>
      </w:tr>
    </w:tbl>
    <w:p>
      <w:pPr>
        <w:pStyle w:val="Heading2"/>
      </w:pPr>
      <w:r>
        <w:t>Why the Key Controls</w:t>
      </w:r>
    </w:p>
    <w:p>
      <w:r>
        <w:t>The controlling issue is client located outside california during telehealth. The keyed response is the most complete because it requires immediate client protection and proportionate risk management, verification of the controlling facts and authority, competence support through consultation, training, or qualified supervision, and continuity of care and avoidance of abandonment. That approach is consistent with the cited source family (BBS telehealth guidance; laws of the client location; NASW Code 1.04 and 1.15)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Client located outside California during telehealth</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CLIENT-LOCATED-OUTSIDE-CALIFORNIA-DURING-TEL</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BBS telehealth guidance; laws of the client location; NASW Code 1.04 and 1.15</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14 - Controlled Rationale</w:t>
      </w:r>
    </w:p>
    <w:p>
      <w:r>
        <w:rPr>
          <w:b/>
        </w:rPr>
        <w:t xml:space="preserve">Item ID: </w:t>
      </w:r>
      <w:r>
        <w:t>CTA-EP-002-CUM-F-014</w:t>
      </w:r>
    </w:p>
    <w:p>
      <w:r>
        <w:rPr>
          <w:b/>
        </w:rPr>
        <w:t xml:space="preserve">Stem: </w:t>
      </w:r>
      <w:r>
        <w:t>An agency repeatedly assigns caseloads that prevent timely risk follow-up and accurate documentation despite staff warnings. Which response is BEST?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Accept the workload because employees must follow productivity targets.</w:t>
            </w:r>
          </w:p>
        </w:tc>
        <w:tc>
          <w:tcPr>
            <w:tcW w:type="dxa" w:w="3485"/>
            <w:vAlign w:val="center"/>
            <w:tcMar>
              <w:top w:w="55" w:type="dxa"/>
              <w:start w:w="65" w:type="dxa"/>
              <w:bottom w:w="55" w:type="dxa"/>
              <w:end w:w="65" w:type="dxa"/>
            </w:tcMar>
          </w:tcPr>
          <w:p>
            <w:pPr>
              <w:spacing w:after="0"/>
            </w:pPr>
            <w:r>
              <w:rPr>
                <w:sz w:val="16"/>
              </w:rPr>
              <w:t>Incorrect. It does not adequately address organizational workload and unsafe practice conditions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protect current clients, document the pattern, use supervisory and organizational channels, propose corrective staffing or workflow changes, and escalate as required.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Stop documenting risk to save time.</w:t>
            </w:r>
          </w:p>
        </w:tc>
        <w:tc>
          <w:tcPr>
            <w:tcW w:type="dxa" w:w="3485"/>
            <w:vAlign w:val="center"/>
            <w:tcMar>
              <w:top w:w="55" w:type="dxa"/>
              <w:start w:w="65" w:type="dxa"/>
              <w:bottom w:w="55" w:type="dxa"/>
              <w:end w:w="65" w:type="dxa"/>
            </w:tcMar>
          </w:tcPr>
          <w:p>
            <w:pPr>
              <w:spacing w:after="0"/>
            </w:pPr>
            <w:r>
              <w:rPr>
                <w:sz w:val="16"/>
              </w:rPr>
              <w:t>Incorrect. It does not adequately address organizational workload and unsafe practice conditions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protect current clients, document the pattern, use supervisory and organizational channels, propose corrective staffing or workflow changes, and escalate as required.</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Tell clients that agency policy eliminates professional responsibility.</w:t>
            </w:r>
          </w:p>
        </w:tc>
        <w:tc>
          <w:tcPr>
            <w:tcW w:type="dxa" w:w="3485"/>
            <w:vAlign w:val="center"/>
            <w:tcMar>
              <w:top w:w="55" w:type="dxa"/>
              <w:start w:w="65" w:type="dxa"/>
              <w:bottom w:w="55" w:type="dxa"/>
              <w:end w:w="65" w:type="dxa"/>
            </w:tcMar>
          </w:tcPr>
          <w:p>
            <w:pPr>
              <w:spacing w:after="0"/>
            </w:pPr>
            <w:r>
              <w:rPr>
                <w:sz w:val="16"/>
              </w:rPr>
              <w:t>Incorrect. It does not adequately address organizational workload and unsafe practice conditions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protect current clients, document the pattern, use supervisory and organizational channels, propose corrective staffing or workflow changes, and escalate as required.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Protect current clients, document the pattern, use supervisory and organizational channels, propose corrective staffing or workflow changes, and escalate as required.</w:t>
            </w:r>
          </w:p>
        </w:tc>
        <w:tc>
          <w:tcPr>
            <w:tcW w:type="dxa" w:w="3485"/>
            <w:shd w:fill="EAF7F7"/>
            <w:vAlign w:val="center"/>
            <w:tcMar>
              <w:top w:w="55" w:type="dxa"/>
              <w:start w:w="65" w:type="dxa"/>
              <w:bottom w:w="55" w:type="dxa"/>
              <w:end w:w="65" w:type="dxa"/>
            </w:tcMar>
          </w:tcPr>
          <w:p>
            <w:pPr>
              <w:spacing w:after="0"/>
            </w:pPr>
            <w:r>
              <w:rPr>
                <w:sz w:val="16"/>
              </w:rPr>
              <w:t>Correct. This option directly addresses organizational workload and unsafe practice conditions through immediate client protection and proportionate risk management, accurate documentation and accountability, current law and applicability review and correction and prevention of recurrence.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organizational workload and unsafe practice conditions. The keyed response is the most complete because it requires immediate client protection and proportionate risk management, accurate documentation and accountability, current law and applicability review, and correction and prevention of recurrence. That approach is consistent with the cited source family (NASW Code 3.07 and 3.09; applicable professional-conduct law)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Organizational workload and unsafe practice conditions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WB4 - Professional Impairment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ORGANIZATIONAL-WORKLOAD-AND-UNSAFE-PRACTICE-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3.07 and 3.09; applicable professional-conduct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15 - Controlled Rationale</w:t>
      </w:r>
    </w:p>
    <w:p>
      <w:r>
        <w:rPr>
          <w:b/>
        </w:rPr>
        <w:t xml:space="preserve">Item ID: </w:t>
      </w:r>
      <w:r>
        <w:t>CTA-EP-002-CUM-F-015</w:t>
      </w:r>
    </w:p>
    <w:p>
      <w:r>
        <w:rPr>
          <w:b/>
        </w:rPr>
        <w:t xml:space="preserve">Stem: </w:t>
      </w:r>
      <w:r>
        <w:t>A client reports passive death wishes but denies intent, plan, means, or inability to maintain safety, and has strong supports and follow-up access.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Initiate involuntary intervention solely because death was mentioned.</w:t>
            </w:r>
          </w:p>
        </w:tc>
        <w:tc>
          <w:tcPr>
            <w:tcW w:type="dxa" w:w="3485"/>
            <w:vAlign w:val="center"/>
            <w:tcMar>
              <w:top w:w="55" w:type="dxa"/>
              <w:start w:w="65" w:type="dxa"/>
              <w:bottom w:w="55" w:type="dxa"/>
              <w:end w:w="65" w:type="dxa"/>
            </w:tcMar>
          </w:tcPr>
          <w:p>
            <w:pPr>
              <w:spacing w:after="0"/>
            </w:pPr>
            <w:r>
              <w:rPr>
                <w:sz w:val="16"/>
              </w:rPr>
              <w:t>Incorrect. It does not adequately address least restrictive safety response and omits the role, authority, timing, proportionality, documentation, or continuity controls needed for client welfare, self-determination, boundaries, conflicts, exploitation, and continuity. The keyed response is superior because it instead requires the social worker to complete a structured assessment and use a proportionate plan matched to actual risk rather than choosing the most restrictive response automatically.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Complete a structured assessment and use a proportionate plan matched to actual risk rather than choosing the most restrictive response automatically.</w:t>
            </w:r>
          </w:p>
        </w:tc>
        <w:tc>
          <w:tcPr>
            <w:tcW w:type="dxa" w:w="3485"/>
            <w:shd w:fill="EAF7F7"/>
            <w:vAlign w:val="center"/>
            <w:tcMar>
              <w:top w:w="55" w:type="dxa"/>
              <w:start w:w="65" w:type="dxa"/>
              <w:bottom w:w="55" w:type="dxa"/>
              <w:end w:w="65" w:type="dxa"/>
            </w:tcMar>
          </w:tcPr>
          <w:p>
            <w:pPr>
              <w:spacing w:after="0"/>
            </w:pPr>
            <w:r>
              <w:rPr>
                <w:sz w:val="16"/>
              </w:rPr>
              <w:t>Correct. This option directly addresses least restrictive safety response through immediate client protection and proportionate risk management.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Ignore the statement because there is no plan.</w:t>
            </w:r>
          </w:p>
        </w:tc>
        <w:tc>
          <w:tcPr>
            <w:tcW w:type="dxa" w:w="3485"/>
            <w:vAlign w:val="center"/>
            <w:tcMar>
              <w:top w:w="55" w:type="dxa"/>
              <w:start w:w="65" w:type="dxa"/>
              <w:bottom w:w="55" w:type="dxa"/>
              <w:end w:w="65" w:type="dxa"/>
            </w:tcMar>
          </w:tcPr>
          <w:p>
            <w:pPr>
              <w:spacing w:after="0"/>
            </w:pPr>
            <w:r>
              <w:rPr>
                <w:sz w:val="16"/>
              </w:rPr>
              <w:t>Incorrect. It does not adequately address least restrictive safety response and omits the role, authority, timing, proportionality, documentation, or continuity controls needed for client welfare, self-determination, boundaries, conflicts, exploitation, and continuity. The keyed response is superior because it instead requires the social worker to complete a structured assessment and use a proportionate plan matched to actual risk rather than choosing the most restrictive response automatically.</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client to sign a form releasing the clinician from all responsibility.</w:t>
            </w:r>
          </w:p>
        </w:tc>
        <w:tc>
          <w:tcPr>
            <w:tcW w:type="dxa" w:w="3485"/>
            <w:vAlign w:val="center"/>
            <w:tcMar>
              <w:top w:w="55" w:type="dxa"/>
              <w:start w:w="65" w:type="dxa"/>
              <w:bottom w:w="55" w:type="dxa"/>
              <w:end w:w="65" w:type="dxa"/>
            </w:tcMar>
          </w:tcPr>
          <w:p>
            <w:pPr>
              <w:spacing w:after="0"/>
            </w:pPr>
            <w:r>
              <w:rPr>
                <w:sz w:val="16"/>
              </w:rPr>
              <w:t>Incorrect. A client signature cannot create legal authority, competence, truthful status, safety, or freedom from a professional duty. The keyed response is superior because it instead requires the social worker to complete a structured assessment and use a proportionate plan matched to actual risk rather than choosing the most restrictive response automatically.</w:t>
            </w:r>
          </w:p>
        </w:tc>
      </w:tr>
    </w:tbl>
    <w:p>
      <w:pPr>
        <w:pStyle w:val="Heading2"/>
      </w:pPr>
      <w:r>
        <w:t>Why the Key Controls</w:t>
      </w:r>
    </w:p>
    <w:p>
      <w:r>
        <w:t>The controlling issue is least restrictive safety response. The keyed response is the most complete because it requires immediate client protection and proportionate risk management. That approach is consistent with the cited source family (NASW Code 1.01, 1.02, 1.03, and 1.15; applicable safety law)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Least restrictive safety response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LEAST-RESTRICTIVE-SAFETY-RESPONSE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1.01, 1.02, 1.03, and 1.15; applicable safety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16 - Controlled Rationale</w:t>
      </w:r>
    </w:p>
    <w:p>
      <w:r>
        <w:rPr>
          <w:b/>
        </w:rPr>
        <w:t xml:space="preserve">Item ID: </w:t>
      </w:r>
      <w:r>
        <w:t>CTA-EP-002-CUM-F-016</w:t>
      </w:r>
    </w:p>
    <w:p>
      <w:r>
        <w:rPr>
          <w:b/>
        </w:rPr>
        <w:t xml:space="preserve">Stem: </w:t>
      </w:r>
      <w:r>
        <w:t>An electronic template automatically inserts interventions and risk findings that were not actually assessed unless the clinician deletes them manually. What should the social worker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Leave the defaults because standardized language improves efficiency.</w:t>
            </w:r>
          </w:p>
        </w:tc>
        <w:tc>
          <w:tcPr>
            <w:tcW w:type="dxa" w:w="3485"/>
            <w:vAlign w:val="center"/>
            <w:tcMar>
              <w:top w:w="55" w:type="dxa"/>
              <w:start w:w="65" w:type="dxa"/>
              <w:bottom w:w="55" w:type="dxa"/>
              <w:end w:w="65" w:type="dxa"/>
            </w:tcMar>
          </w:tcPr>
          <w:p>
            <w:pPr>
              <w:spacing w:after="0"/>
            </w:pPr>
            <w:r>
              <w:rPr>
                <w:sz w:val="16"/>
              </w:rPr>
              <w:t>Incorrect. It does not adequately address ehr template integrity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correct the template and each affected note, document only services and findings that occurred, and report the system risk through appropriate channels.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Assume the vendor is responsible for all false information.</w:t>
            </w:r>
          </w:p>
        </w:tc>
        <w:tc>
          <w:tcPr>
            <w:tcW w:type="dxa" w:w="3485"/>
            <w:vAlign w:val="center"/>
            <w:tcMar>
              <w:top w:w="55" w:type="dxa"/>
              <w:start w:w="65" w:type="dxa"/>
              <w:bottom w:w="55" w:type="dxa"/>
              <w:end w:w="65" w:type="dxa"/>
            </w:tcMar>
          </w:tcPr>
          <w:p>
            <w:pPr>
              <w:spacing w:after="0"/>
            </w:pPr>
            <w:r>
              <w:rPr>
                <w:sz w:val="16"/>
              </w:rPr>
              <w:t>Incorrect. It compromises record integrity and may conceal rather than correct the underlying problem. The keyed response is superior because it instead requires the social worker to correct the template and each affected note, document only services and findings that occurred, and report the system risk through appropriate channels.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Tell clients that templates may contain inaccurate facts.</w:t>
            </w:r>
          </w:p>
        </w:tc>
        <w:tc>
          <w:tcPr>
            <w:tcW w:type="dxa" w:w="3485"/>
            <w:vAlign w:val="center"/>
            <w:tcMar>
              <w:top w:w="55" w:type="dxa"/>
              <w:start w:w="65" w:type="dxa"/>
              <w:bottom w:w="55" w:type="dxa"/>
              <w:end w:w="65" w:type="dxa"/>
            </w:tcMar>
          </w:tcPr>
          <w:p>
            <w:pPr>
              <w:spacing w:after="0"/>
            </w:pPr>
            <w:r>
              <w:rPr>
                <w:sz w:val="16"/>
              </w:rPr>
              <w:t>Incorrect. It does not adequately address ehr template integrity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correct the template and each affected note, document only services and findings that occurred, and report the system risk through appropriate channels.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Correct the template and each affected note, document only services and findings that occurred, and report the system risk through appropriate channels.</w:t>
            </w:r>
          </w:p>
        </w:tc>
        <w:tc>
          <w:tcPr>
            <w:tcW w:type="dxa" w:w="3485"/>
            <w:shd w:fill="EAF7F7"/>
            <w:vAlign w:val="center"/>
            <w:tcMar>
              <w:top w:w="55" w:type="dxa"/>
              <w:start w:w="65" w:type="dxa"/>
              <w:bottom w:w="55" w:type="dxa"/>
              <w:end w:w="65" w:type="dxa"/>
            </w:tcMar>
          </w:tcPr>
          <w:p>
            <w:pPr>
              <w:spacing w:after="0"/>
            </w:pPr>
            <w:r>
              <w:rPr>
                <w:sz w:val="16"/>
              </w:rPr>
              <w:t>Correct. This option directly addresses ehr template integrity through immediate client protection and proportionate risk management, accurate documentation and accountability and correction and prevention of recurrence.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ehr template integrity. The keyed response is the most complete because it requires immediate client protection and proportionate risk management, accurate documentation and accountability, and correction and prevention of recurrence. That approach is consistent with the cited source family (NASW Code 3.04; applicable documentation and billing law)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EHR template integrity</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Foundational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EHR-TEMPLATE-INTEGRITY</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3.04; applicable documentation and billing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17 - Controlled Rationale</w:t>
      </w:r>
    </w:p>
    <w:p>
      <w:r>
        <w:rPr>
          <w:b/>
        </w:rPr>
        <w:t xml:space="preserve">Item ID: </w:t>
      </w:r>
      <w:r>
        <w:t>CTA-EP-002-CUM-F-017</w:t>
      </w:r>
    </w:p>
    <w:p>
      <w:r>
        <w:rPr>
          <w:b/>
        </w:rPr>
        <w:t xml:space="preserve">Stem: </w:t>
      </w:r>
      <w:r>
        <w:t>A 16-year-old seeks outpatient counseling without a parent and asks the LCSW to guarantee that no parent will ever be contacted.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Guarantee absolute secrecy because the client is older than 12.</w:t>
            </w:r>
          </w:p>
        </w:tc>
        <w:tc>
          <w:tcPr>
            <w:tcW w:type="dxa" w:w="3485"/>
            <w:vAlign w:val="center"/>
            <w:tcMar>
              <w:top w:w="55" w:type="dxa"/>
              <w:start w:w="65" w:type="dxa"/>
              <w:bottom w:w="55" w:type="dxa"/>
              <w:end w:w="65" w:type="dxa"/>
            </w:tcMar>
          </w:tcPr>
          <w:p>
            <w:pPr>
              <w:spacing w:after="0"/>
            </w:pPr>
            <w:r>
              <w:rPr>
                <w:sz w:val="16"/>
              </w:rPr>
              <w:t>Incorrect. It promises an outcome the clinician cannot control and misstates the limits of law, confidentiality, or third-party behavior. The keyed response is superior because it instead requires the social worker to determine the applicable legal basis for minor consent, explain confidentiality and involvement limits, assess safety, and discuss how supportive adult involvement may be handled.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Determine the applicable legal basis for minor consent, explain confidentiality and involvement limits, assess safety, and discuss how supportive adult involvement may be handled.</w:t>
            </w:r>
          </w:p>
        </w:tc>
        <w:tc>
          <w:tcPr>
            <w:tcW w:type="dxa" w:w="3485"/>
            <w:shd w:fill="EAF7F7"/>
            <w:vAlign w:val="center"/>
            <w:tcMar>
              <w:top w:w="55" w:type="dxa"/>
              <w:start w:w="65" w:type="dxa"/>
              <w:bottom w:w="55" w:type="dxa"/>
              <w:end w:w="65" w:type="dxa"/>
            </w:tcMar>
          </w:tcPr>
          <w:p>
            <w:pPr>
              <w:spacing w:after="0"/>
            </w:pPr>
            <w:r>
              <w:rPr>
                <w:sz w:val="16"/>
              </w:rPr>
              <w:t>Correct. This option directly addresses minor consent and parent involvement analysis through immediate client protection and proportionate risk management, clear role, consent, and expectation-setting, verification of the controlling facts and authority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Refuse all services until both parents sign every form.</w:t>
            </w:r>
          </w:p>
        </w:tc>
        <w:tc>
          <w:tcPr>
            <w:tcW w:type="dxa" w:w="3485"/>
            <w:vAlign w:val="center"/>
            <w:tcMar>
              <w:top w:w="55" w:type="dxa"/>
              <w:start w:w="65" w:type="dxa"/>
              <w:bottom w:w="55" w:type="dxa"/>
              <w:end w:w="65" w:type="dxa"/>
            </w:tcMar>
          </w:tcPr>
          <w:p>
            <w:pPr>
              <w:spacing w:after="0"/>
            </w:pPr>
            <w:r>
              <w:rPr>
                <w:sz w:val="16"/>
              </w:rPr>
              <w:t>Incorrect. It is overbroad because lawful, authorized, or safety-related communication may still be required or permitted. The keyed response is superior because it instead requires the social worker to determine the applicable legal basis for minor consent, explain confidentiality and involvement limits, assess safety, and discuss how supportive adult involvement may be handled.</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Contact the parents before assessing the minor’s legal authority or safety needs.</w:t>
            </w:r>
          </w:p>
        </w:tc>
        <w:tc>
          <w:tcPr>
            <w:tcW w:type="dxa" w:w="3485"/>
            <w:vAlign w:val="center"/>
            <w:tcMar>
              <w:top w:w="55" w:type="dxa"/>
              <w:start w:w="65" w:type="dxa"/>
              <w:bottom w:w="55" w:type="dxa"/>
              <w:end w:w="65" w:type="dxa"/>
            </w:tcMar>
          </w:tcPr>
          <w:p>
            <w:pPr>
              <w:spacing w:after="0"/>
            </w:pPr>
            <w:r>
              <w:rPr>
                <w:sz w:val="16"/>
              </w:rPr>
              <w:t>Incorrect. It does not adequately address minor consent and parent involvement analysis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determine the applicable legal basis for minor consent, explain confidentiality and involvement limits, assess safety, and discuss how supportive adult involvement may be handled.</w:t>
            </w:r>
          </w:p>
        </w:tc>
      </w:tr>
    </w:tbl>
    <w:p>
      <w:pPr>
        <w:pStyle w:val="Heading2"/>
      </w:pPr>
      <w:r>
        <w:t>Why the Key Controls</w:t>
      </w:r>
    </w:p>
    <w:p>
      <w:r>
        <w:t>The controlling issue is minor consent and parent involvement analysis. The keyed response is the most complete because it requires immediate client protection and proportionate risk management, clear role, consent, and expectation-setting, verification of the controlling facts and authority, and limited and purpose-specific information use. That approach is consistent with the cited source family (Applicable California minor-consent law; NASW Code 1.02, 1.03, and 1.07)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Minor consent and parent involvement analysis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MINOR-CONSENT-AND-PARENT-INVOLVEMENT-ANALYSI</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Applicable California minor-consent law; NASW Code 1.02, 1.03,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18 - Controlled Rationale</w:t>
      </w:r>
    </w:p>
    <w:p>
      <w:r>
        <w:rPr>
          <w:b/>
        </w:rPr>
        <w:t xml:space="preserve">Item ID: </w:t>
      </w:r>
      <w:r>
        <w:t>CTA-EP-002-CUM-F-018</w:t>
      </w:r>
    </w:p>
    <w:p>
      <w:r>
        <w:rPr>
          <w:b/>
        </w:rPr>
        <w:t xml:space="preserve">Stem: </w:t>
      </w:r>
      <w:r>
        <w:t>A client authorized a housing advocate to receive a one-page functional-status letter for 30 days. Two months later, the advocate asks for the client’s complete progress notes.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Do not disclose beyond the expired, scope-limited authorization; obtain a new valid authorization or another lawful basis before releasing additional information.</w:t>
            </w:r>
          </w:p>
        </w:tc>
        <w:tc>
          <w:tcPr>
            <w:tcW w:type="dxa" w:w="3485"/>
            <w:shd w:fill="EAF7F7"/>
            <w:vAlign w:val="center"/>
            <w:tcMar>
              <w:top w:w="55" w:type="dxa"/>
              <w:start w:w="65" w:type="dxa"/>
              <w:bottom w:w="55" w:type="dxa"/>
              <w:end w:w="65" w:type="dxa"/>
            </w:tcMar>
          </w:tcPr>
          <w:p>
            <w:pPr>
              <w:spacing w:after="0"/>
            </w:pPr>
            <w:r>
              <w:rPr>
                <w:sz w:val="16"/>
              </w:rPr>
              <w:t>Correct. This response applies both the time limit and the content limit of the authorization and avoids overdisclosure.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Send the complete notes because the advocate previously received information.</w:t>
            </w:r>
          </w:p>
        </w:tc>
        <w:tc>
          <w:tcPr>
            <w:tcW w:type="dxa" w:w="3485"/>
            <w:vAlign w:val="center"/>
            <w:tcMar>
              <w:top w:w="55" w:type="dxa"/>
              <w:start w:w="65" w:type="dxa"/>
              <w:bottom w:w="55" w:type="dxa"/>
              <w:end w:w="65" w:type="dxa"/>
            </w:tcMar>
          </w:tcPr>
          <w:p>
            <w:pPr>
              <w:spacing w:after="0"/>
            </w:pPr>
            <w:r>
              <w:rPr>
                <w:sz w:val="16"/>
              </w:rPr>
              <w:t>Incorrect. Prior lawful disclosure does not create ongoing authority for broader or later disclosure.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Send only the diagnosis because it is shorter than the progress notes.</w:t>
            </w:r>
          </w:p>
        </w:tc>
        <w:tc>
          <w:tcPr>
            <w:tcW w:type="dxa" w:w="3485"/>
            <w:vAlign w:val="center"/>
            <w:tcMar>
              <w:top w:w="55" w:type="dxa"/>
              <w:start w:w="65" w:type="dxa"/>
              <w:bottom w:w="55" w:type="dxa"/>
              <w:end w:w="65" w:type="dxa"/>
            </w:tcMar>
          </w:tcPr>
          <w:p>
            <w:pPr>
              <w:spacing w:after="0"/>
            </w:pPr>
            <w:r>
              <w:rPr>
                <w:sz w:val="16"/>
              </w:rPr>
              <w:t>Incorrect. A shorter disclosure is still unauthorized when it exceeds the permitted purpose and content.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Refuse all future communication even if the client later signs a valid new authorization.</w:t>
            </w:r>
          </w:p>
        </w:tc>
        <w:tc>
          <w:tcPr>
            <w:tcW w:type="dxa" w:w="3485"/>
            <w:vAlign w:val="center"/>
            <w:tcMar>
              <w:top w:w="55" w:type="dxa"/>
              <w:start w:w="65" w:type="dxa"/>
              <w:bottom w:w="55" w:type="dxa"/>
              <w:end w:w="65" w:type="dxa"/>
            </w:tcMar>
          </w:tcPr>
          <w:p>
            <w:pPr>
              <w:spacing w:after="0"/>
            </w:pPr>
            <w:r>
              <w:rPr>
                <w:sz w:val="16"/>
              </w:rPr>
              <w:t>Incorrect. The clinician may communicate later if a valid new authorization or another lawful basis exists.</w:t>
            </w:r>
          </w:p>
        </w:tc>
      </w:tr>
    </w:tbl>
    <w:p>
      <w:pPr>
        <w:pStyle w:val="Heading2"/>
      </w:pPr>
      <w:r>
        <w:t>Why the Key Controls</w:t>
      </w:r>
    </w:p>
    <w:p>
      <w:r>
        <w:t>The prior authorization was limited by recipient, purpose, content, and time. Once it expired, it no longer supports release of additional records. A new valid authorization or another lawful basis is required.</w:t>
      </w:r>
    </w:p>
    <w:p>
      <w:pPr>
        <w:pStyle w:val="Heading2"/>
      </w:pPr>
      <w:r>
        <w:t>CTA Exam Strategy</w:t>
      </w:r>
    </w:p>
    <w:p>
      <w:r>
        <w:t>Read every authorization for who, what, why, and how long. Prior disclosure does not create permanent or unlimited access.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Expired and scope-limited authorization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AUTHORIZATION-SCOPE-AND-DURATION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confidentiality and authorization law; NASW Code 1.03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19 - Controlled Rationale</w:t>
      </w:r>
    </w:p>
    <w:p>
      <w:r>
        <w:rPr>
          <w:b/>
        </w:rPr>
        <w:t xml:space="preserve">Item ID: </w:t>
      </w:r>
      <w:r>
        <w:t>CTA-EP-002-CUM-F-019</w:t>
      </w:r>
    </w:p>
    <w:p>
      <w:r>
        <w:rPr>
          <w:b/>
        </w:rPr>
        <w:t xml:space="preserve">Stem: </w:t>
      </w:r>
      <w:r>
        <w:t>A client presents with symptoms the LCSW has rarely assessed, and the preliminary formulation could lead to very different levels of care.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Use structured assessment, obtain qualified consultation, and avoid high-stakes conclusions until competence and evidence are adequate.</w:t>
            </w:r>
          </w:p>
        </w:tc>
        <w:tc>
          <w:tcPr>
            <w:tcW w:type="dxa" w:w="3485"/>
            <w:shd w:fill="EAF7F7"/>
            <w:vAlign w:val="center"/>
            <w:tcMar>
              <w:top w:w="55" w:type="dxa"/>
              <w:start w:w="65" w:type="dxa"/>
              <w:bottom w:w="55" w:type="dxa"/>
              <w:end w:w="65" w:type="dxa"/>
            </w:tcMar>
          </w:tcPr>
          <w:p>
            <w:pPr>
              <w:spacing w:after="0"/>
            </w:pPr>
            <w:r>
              <w:rPr>
                <w:sz w:val="16"/>
              </w:rPr>
              <w:t>Correct. This option directly addresses consultation for an unfamiliar diagnostic presentation through competence support through consultation, training, or qualified supervision.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Choose the most severe diagnosis to reduce liability.</w:t>
            </w:r>
          </w:p>
        </w:tc>
        <w:tc>
          <w:tcPr>
            <w:tcW w:type="dxa" w:w="3485"/>
            <w:vAlign w:val="center"/>
            <w:tcMar>
              <w:top w:w="55" w:type="dxa"/>
              <w:start w:w="65" w:type="dxa"/>
              <w:bottom w:w="55" w:type="dxa"/>
              <w:end w:w="65" w:type="dxa"/>
            </w:tcMar>
          </w:tcPr>
          <w:p>
            <w:pPr>
              <w:spacing w:after="0"/>
            </w:pPr>
            <w:r>
              <w:rPr>
                <w:sz w:val="16"/>
              </w:rPr>
              <w:t>Incorrect. It does not adequately address consultation for an unfamiliar diagnostic presentation and omits the role, authority, timing, proportionality, documentation, or continuity controls needed for competence, integrity, impairment, bias, consultation, and truthful professional conduct. The keyed response is superior because it instead requires the social worker to use structured assessment, obtain qualified consultation, and avoid high-stakes conclusions until competence and evidence are adequate.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Avoid consultation because it may reveal uncertainty.</w:t>
            </w:r>
          </w:p>
        </w:tc>
        <w:tc>
          <w:tcPr>
            <w:tcW w:type="dxa" w:w="3485"/>
            <w:vAlign w:val="center"/>
            <w:tcMar>
              <w:top w:w="55" w:type="dxa"/>
              <w:start w:w="65" w:type="dxa"/>
              <w:bottom w:w="55" w:type="dxa"/>
              <w:end w:w="65" w:type="dxa"/>
            </w:tcMar>
          </w:tcPr>
          <w:p>
            <w:pPr>
              <w:spacing w:after="0"/>
            </w:pPr>
            <w:r>
              <w:rPr>
                <w:sz w:val="16"/>
              </w:rPr>
              <w:t>Incorrect. It does not adequately address consultation for an unfamiliar diagnostic presentation and omits the role, authority, timing, proportionality, documentation, or continuity controls needed for competence, integrity, impairment, bias, consultation, and truthful professional conduct. The keyed response is superior because it instead requires the social worker to use structured assessment, obtain qualified consultation, and avoid high-stakes conclusions until competence and evidence are adequate.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Tell the client to select the diagnosis that feels most accurate.</w:t>
            </w:r>
          </w:p>
        </w:tc>
        <w:tc>
          <w:tcPr>
            <w:tcW w:type="dxa" w:w="3485"/>
            <w:vAlign w:val="center"/>
            <w:tcMar>
              <w:top w:w="55" w:type="dxa"/>
              <w:start w:w="65" w:type="dxa"/>
              <w:bottom w:w="55" w:type="dxa"/>
              <w:end w:w="65" w:type="dxa"/>
            </w:tcMar>
          </w:tcPr>
          <w:p>
            <w:pPr>
              <w:spacing w:after="0"/>
            </w:pPr>
            <w:r>
              <w:rPr>
                <w:sz w:val="16"/>
              </w:rPr>
              <w:t>Incorrect. It does not adequately address consultation for an unfamiliar diagnostic presentation and omits the role, authority, timing, proportionality, documentation, or continuity controls needed for competence, integrity, impairment, bias, consultation, and truthful professional conduct. The keyed response is superior because it instead requires the social worker to use structured assessment, obtain qualified consultation, and avoid high-stakes conclusions until competence and evidence are adequate.</w:t>
            </w:r>
          </w:p>
        </w:tc>
      </w:tr>
    </w:tbl>
    <w:p>
      <w:pPr>
        <w:pStyle w:val="Heading2"/>
      </w:pPr>
      <w:r>
        <w:t>Why the Key Controls</w:t>
      </w:r>
    </w:p>
    <w:p>
      <w:r>
        <w:t>The controlling issue is consultation for an unfamiliar diagnostic presentation. The keyed response is the most complete because it requires competence support through consultation, training, or qualified supervision. That approach is consistent with the cited source family (NASW Code 1.04 and 2.05)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Consultation for an unfamiliar diagnostic presentation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WB3 - Professional Competence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CONSULTATION-FOR-AN-UNFAMILIAR-DIAGNOSTIC-PR</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1.04 and 2.05</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20 - Controlled Rationale</w:t>
      </w:r>
    </w:p>
    <w:p>
      <w:r>
        <w:rPr>
          <w:b/>
        </w:rPr>
        <w:t xml:space="preserve">Item ID: </w:t>
      </w:r>
      <w:r>
        <w:t>CTA-EP-002-CUM-F-020</w:t>
      </w:r>
    </w:p>
    <w:p>
      <w:r>
        <w:rPr>
          <w:b/>
        </w:rPr>
        <w:t xml:space="preserve">Stem: </w:t>
      </w:r>
      <w:r>
        <w:t>At the start of a video session, the client says they are staying somewhere new and refuses to give the location because “the app already knows.”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Assume the location from the client’s phone area code.</w:t>
            </w:r>
          </w:p>
        </w:tc>
        <w:tc>
          <w:tcPr>
            <w:tcW w:type="dxa" w:w="3485"/>
            <w:vAlign w:val="center"/>
            <w:tcMar>
              <w:top w:w="55" w:type="dxa"/>
              <w:start w:w="65" w:type="dxa"/>
              <w:bottom w:w="55" w:type="dxa"/>
              <w:end w:w="65" w:type="dxa"/>
            </w:tcMar>
          </w:tcPr>
          <w:p>
            <w:pPr>
              <w:spacing w:after="0"/>
            </w:pPr>
            <w:r>
              <w:rPr>
                <w:sz w:val="16"/>
              </w:rPr>
              <w:t>Incorrect. It does not adequately address telehealth location and emergency information at session start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explain why current location and emergency information are needed, obtain what is necessary for safe service, and address whether the session can proceed responsibly.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Continue without location because telehealth consent was signed at intake.</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explain why current location and emergency information are needed, obtain what is necessary for safe service, and address whether the session can proceed responsibly.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Explain why current location and emergency information are needed, obtain what is necessary for safe service, and address whether the session can proceed responsibly.</w:t>
            </w:r>
          </w:p>
        </w:tc>
        <w:tc>
          <w:tcPr>
            <w:tcW w:type="dxa" w:w="3485"/>
            <w:shd w:fill="EAF7F7"/>
            <w:vAlign w:val="center"/>
            <w:tcMar>
              <w:top w:w="55" w:type="dxa"/>
              <w:start w:w="65" w:type="dxa"/>
              <w:bottom w:w="55" w:type="dxa"/>
              <w:end w:w="65" w:type="dxa"/>
            </w:tcMar>
          </w:tcPr>
          <w:p>
            <w:pPr>
              <w:spacing w:after="0"/>
            </w:pPr>
            <w:r>
              <w:rPr>
                <w:sz w:val="16"/>
              </w:rPr>
              <w:t>Correct. This option directly addresses telehealth location and emergency information at session start through immediate client protection and proportionate risk management, clear role, consent, and expectation-setting and current law and applicability review.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End all future care immediately without discussing alternatives or continuity.</w:t>
            </w:r>
          </w:p>
        </w:tc>
        <w:tc>
          <w:tcPr>
            <w:tcW w:type="dxa" w:w="3485"/>
            <w:vAlign w:val="center"/>
            <w:tcMar>
              <w:top w:w="55" w:type="dxa"/>
              <w:start w:w="65" w:type="dxa"/>
              <w:bottom w:w="55" w:type="dxa"/>
              <w:end w:w="65" w:type="dxa"/>
            </w:tcMar>
          </w:tcPr>
          <w:p>
            <w:pPr>
              <w:spacing w:after="0"/>
            </w:pPr>
            <w:r>
              <w:rPr>
                <w:sz w:val="16"/>
              </w:rPr>
              <w:t>Incorrect. It compromises record integrity and may conceal rather than correct the underlying problem. The keyed response is superior because it instead requires the social worker to explain why current location and emergency information are needed, obtain what is necessary for safe service, and address whether the session can proceed responsibly.</w:t>
            </w:r>
          </w:p>
        </w:tc>
      </w:tr>
    </w:tbl>
    <w:p>
      <w:pPr>
        <w:pStyle w:val="Heading2"/>
      </w:pPr>
      <w:r>
        <w:t>Why the Key Controls</w:t>
      </w:r>
    </w:p>
    <w:p>
      <w:r>
        <w:t>The controlling issue is telehealth location and emergency information at session start. The keyed response is the most complete because it requires immediate client protection and proportionate risk management, clear role, consent, and expectation-setting, and current law and applicability review. That approach is consistent with the cited source family (BPC 2290.5; applicable BBS telehealth guidance; NASW Code 1.15)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Telehealth location and emergency information at session start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TELEHEALTH-LOCATION-AND-EMERGENCY-INFORMATIO</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2290.5; applicable BBS telehealth guidance; NASW Code 1.15</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21 - Controlled Rationale</w:t>
      </w:r>
    </w:p>
    <w:p>
      <w:r>
        <w:rPr>
          <w:b/>
        </w:rPr>
        <w:t xml:space="preserve">Item ID: </w:t>
      </w:r>
      <w:r>
        <w:t>CTA-EP-002-CUM-F-021</w:t>
      </w:r>
    </w:p>
    <w:p>
      <w:r>
        <w:rPr>
          <w:b/>
        </w:rPr>
        <w:t xml:space="preserve">Stem: </w:t>
      </w:r>
      <w:r>
        <w:t>An LCSW must rapidly reduce a caseload because of a health limitation. What should the social worker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Terminate the newest clients first without assessing risk.</w:t>
            </w:r>
          </w:p>
        </w:tc>
        <w:tc>
          <w:tcPr>
            <w:tcW w:type="dxa" w:w="3485"/>
            <w:vAlign w:val="center"/>
            <w:tcMar>
              <w:top w:w="55" w:type="dxa"/>
              <w:start w:w="65" w:type="dxa"/>
              <w:bottom w:w="55" w:type="dxa"/>
              <w:end w:w="65" w:type="dxa"/>
            </w:tcMar>
          </w:tcPr>
          <w:p>
            <w:pPr>
              <w:spacing w:after="0"/>
            </w:pPr>
            <w:r>
              <w:rPr>
                <w:sz w:val="16"/>
              </w:rPr>
              <w:t>Incorrect. It does not adequately address client welfare when reducing caseload and omits the role, authority, timing, proportionality, documentation, or continuity controls needed for client welfare, self-determination, boundaries, conflicts, exploitation, and continuity. The keyed response is superior because it instead requires the social worker to prioritize risk and continuity, communicate appropriately, arrange referrals or coverage, transfer needed information lawfully, and document transitions.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Continue the full caseload until every client independently finds another provider.</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prioritize risk and continuity, communicate appropriately, arrange referrals or coverage, transfer needed information lawfully, and document transitions.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Transfer complete records to several clinicians without authorization or legal basis.</w:t>
            </w:r>
          </w:p>
        </w:tc>
        <w:tc>
          <w:tcPr>
            <w:tcW w:type="dxa" w:w="3485"/>
            <w:vAlign w:val="center"/>
            <w:tcMar>
              <w:top w:w="55" w:type="dxa"/>
              <w:start w:w="65" w:type="dxa"/>
              <w:bottom w:w="55" w:type="dxa"/>
              <w:end w:w="65" w:type="dxa"/>
            </w:tcMar>
          </w:tcPr>
          <w:p>
            <w:pPr>
              <w:spacing w:after="0"/>
            </w:pPr>
            <w:r>
              <w:rPr>
                <w:sz w:val="16"/>
              </w:rPr>
              <w:t>Incorrect. It authorizes overdisclosure and ignores purpose, authority, minimum-necessary analysis, and confidentiality limits. The keyed response is superior because it instead requires the social worker to prioritize risk and continuity, communicate appropriately, arrange referrals or coverage, transfer needed information lawfully, and document transitions.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Prioritize risk and continuity, communicate appropriately, arrange referrals or coverage, transfer needed information lawfully, and document transitions.</w:t>
            </w:r>
          </w:p>
        </w:tc>
        <w:tc>
          <w:tcPr>
            <w:tcW w:type="dxa" w:w="3485"/>
            <w:shd w:fill="EAF7F7"/>
            <w:vAlign w:val="center"/>
            <w:tcMar>
              <w:top w:w="55" w:type="dxa"/>
              <w:start w:w="65" w:type="dxa"/>
              <w:bottom w:w="55" w:type="dxa"/>
              <w:end w:w="65" w:type="dxa"/>
            </w:tcMar>
          </w:tcPr>
          <w:p>
            <w:pPr>
              <w:spacing w:after="0"/>
            </w:pPr>
            <w:r>
              <w:rPr>
                <w:sz w:val="16"/>
              </w:rPr>
              <w:t>Correct. This option directly addresses client welfare when reducing caseload through immediate client protection and proportionate risk management, clear role, consent, and expectation-setting, accurate documentation and accountability and continuity of care and avoidance of abandonment.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client welfare when reducing caseload. The keyed response is the most complete because it requires immediate client protection and proportionate risk management, clear role, consent, and expectation-setting, accurate documentation and accountability, and continuity of care and avoidance of abandonment. That approach is consistent with the cited source family (NASW Code 1.15, 1.16, and 4.05)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Client welfare when reducing caseload</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Foundational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WB4 - Professional Impairment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CLIENT-WELFARE-WHEN-REDUCING-CASELOAD</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1.15, 1.16, and 4.05</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22 - Controlled Rationale</w:t>
      </w:r>
    </w:p>
    <w:p>
      <w:r>
        <w:rPr>
          <w:b/>
        </w:rPr>
        <w:t xml:space="preserve">Item ID: </w:t>
      </w:r>
      <w:r>
        <w:t>CTA-EP-002-CUM-F-022</w:t>
      </w:r>
    </w:p>
    <w:p>
      <w:r>
        <w:rPr>
          <w:b/>
        </w:rPr>
        <w:t xml:space="preserve">Stem: </w:t>
      </w:r>
      <w:r>
        <w:t>A supervisor recognizes that neither the supervisor nor the ASW understands a culturally specific context affecting the client’s symptoms and service access. Which response is BEST?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Use general stereotypes about the client’s community to fill the gap.</w:t>
            </w:r>
          </w:p>
        </w:tc>
        <w:tc>
          <w:tcPr>
            <w:tcW w:type="dxa" w:w="3485"/>
            <w:vAlign w:val="center"/>
            <w:tcMar>
              <w:top w:w="55" w:type="dxa"/>
              <w:start w:w="65" w:type="dxa"/>
              <w:bottom w:w="55" w:type="dxa"/>
              <w:end w:w="65" w:type="dxa"/>
            </w:tcMar>
          </w:tcPr>
          <w:p>
            <w:pPr>
              <w:spacing w:after="0"/>
            </w:pPr>
            <w:r>
              <w:rPr>
                <w:sz w:val="16"/>
              </w:rPr>
              <w:t>Incorrect. It does not adequately address supervisor competence and cultural responsiveness and omits the role, authority, timing, proportionality, documentation, or continuity controls needed for competence, integrity, impairment, bias, consultation, and truthful professional conduct. The keyed response is superior because it instead requires the social worker to acknowledge the gap, seek culturally responsive consultation or training, involve the client appropriately, and revise the plan as needed.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Avoid discussing culture so supervision remains objective.</w:t>
            </w:r>
          </w:p>
        </w:tc>
        <w:tc>
          <w:tcPr>
            <w:tcW w:type="dxa" w:w="3485"/>
            <w:vAlign w:val="center"/>
            <w:tcMar>
              <w:top w:w="55" w:type="dxa"/>
              <w:start w:w="65" w:type="dxa"/>
              <w:bottom w:w="55" w:type="dxa"/>
              <w:end w:w="65" w:type="dxa"/>
            </w:tcMar>
          </w:tcPr>
          <w:p>
            <w:pPr>
              <w:spacing w:after="0"/>
            </w:pPr>
            <w:r>
              <w:rPr>
                <w:sz w:val="16"/>
              </w:rPr>
              <w:t>Incorrect. It does not adequately address supervisor competence and cultural responsiveness and omits the role, authority, timing, proportionality, documentation, or continuity controls needed for competence, integrity, impairment, bias, consultation, and truthful professional conduct. The keyed response is superior because it instead requires the social worker to acknowledge the gap, seek culturally responsive consultation or training, involve the client appropriately, and revise the plan as needed.</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Transfer the client automatically without assessing whether consultation can support competent care.</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acknowledge the gap, seek culturally responsive consultation or training, involve the client appropriately, and revise the plan as needed.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Acknowledge the gap, seek culturally responsive consultation or training, involve the client appropriately, and revise the plan as needed.</w:t>
            </w:r>
          </w:p>
        </w:tc>
        <w:tc>
          <w:tcPr>
            <w:tcW w:type="dxa" w:w="3485"/>
            <w:shd w:fill="EAF7F7"/>
            <w:vAlign w:val="center"/>
            <w:tcMar>
              <w:top w:w="55" w:type="dxa"/>
              <w:start w:w="65" w:type="dxa"/>
              <w:bottom w:w="55" w:type="dxa"/>
              <w:end w:w="65" w:type="dxa"/>
            </w:tcMar>
          </w:tcPr>
          <w:p>
            <w:pPr>
              <w:spacing w:after="0"/>
            </w:pPr>
            <w:r>
              <w:rPr>
                <w:sz w:val="16"/>
              </w:rPr>
              <w:t>Correct. This option directly addresses supervisor competence and cultural responsiveness through competence support through consultation, training, or qualified supervision.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supervisor competence and cultural responsiveness. The keyed response is the most complete because it requires competence support through consultation, training, or qualified supervision. That approach is consistent with the cited source family (NASW Code 1.05, 2.05, and 3.01)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Supervisor competence and cultural responsiveness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WB3 - Professional Competence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SUPERVISOR-COMPETENCE-AND-CULTURAL-RESPONSIV</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1.05, 2.05, and 3.01</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23 - Controlled Rationale</w:t>
      </w:r>
    </w:p>
    <w:p>
      <w:r>
        <w:rPr>
          <w:b/>
        </w:rPr>
        <w:t xml:space="preserve">Item ID: </w:t>
      </w:r>
      <w:r>
        <w:t>CTA-EP-002-CUM-F-023</w:t>
      </w:r>
    </w:p>
    <w:p>
      <w:r>
        <w:rPr>
          <w:b/>
        </w:rPr>
        <w:t xml:space="preserve">Stem: </w:t>
      </w:r>
      <w:r>
        <w:t>A financially stressed client offers extensive home-repair labor in exchange for therapy sessions. What is the appropriate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Accept because noncash payment is never exploitation.</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assess whether bartering is customary and nonexploitative, consider value and power risks, and use a safer fee or referral arrangement when those risks cannot be controlled.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Set the labor value unilaterally after the work is complete.</w:t>
            </w:r>
          </w:p>
        </w:tc>
        <w:tc>
          <w:tcPr>
            <w:tcW w:type="dxa" w:w="3485"/>
            <w:vAlign w:val="center"/>
            <w:tcMar>
              <w:top w:w="55" w:type="dxa"/>
              <w:start w:w="65" w:type="dxa"/>
              <w:bottom w:w="55" w:type="dxa"/>
              <w:end w:w="65" w:type="dxa"/>
            </w:tcMar>
          </w:tcPr>
          <w:p>
            <w:pPr>
              <w:spacing w:after="0"/>
            </w:pPr>
            <w:r>
              <w:rPr>
                <w:sz w:val="16"/>
              </w:rPr>
              <w:t>Incorrect. It does not adequately address bartering and exploitation risk and omits the role, authority, timing, proportionality, documentation, or continuity controls needed for client welfare, self-determination, boundaries, conflicts, exploitation, and continuity. The keyed response is superior because it instead requires the social worker to assess whether bartering is customary and nonexploitative, consider value and power risks, and use a safer fee or referral arrangement when those risks cannot be controlled.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Assess whether bartering is customary and nonexploitative, consider value and power risks, and use a safer fee or referral arrangement when those risks cannot be controlled.</w:t>
            </w:r>
          </w:p>
        </w:tc>
        <w:tc>
          <w:tcPr>
            <w:tcW w:type="dxa" w:w="3485"/>
            <w:shd w:fill="EAF7F7"/>
            <w:vAlign w:val="center"/>
            <w:tcMar>
              <w:top w:w="55" w:type="dxa"/>
              <w:start w:w="65" w:type="dxa"/>
              <w:bottom w:w="55" w:type="dxa"/>
              <w:end w:w="65" w:type="dxa"/>
            </w:tcMar>
          </w:tcPr>
          <w:p>
            <w:pPr>
              <w:spacing w:after="0"/>
            </w:pPr>
            <w:r>
              <w:rPr>
                <w:sz w:val="16"/>
              </w:rPr>
              <w:t>Correct. This option directly addresses bartering and exploitation risk through immediate client protection and proportionate risk management, continuity of care and avoidance of abandonment and boundary and conflict-of-interest safeguards.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Require additional unpaid labor if the client misses a session.</w:t>
            </w:r>
          </w:p>
        </w:tc>
        <w:tc>
          <w:tcPr>
            <w:tcW w:type="dxa" w:w="3485"/>
            <w:vAlign w:val="center"/>
            <w:tcMar>
              <w:top w:w="55" w:type="dxa"/>
              <w:start w:w="65" w:type="dxa"/>
              <w:bottom w:w="55" w:type="dxa"/>
              <w:end w:w="65" w:type="dxa"/>
            </w:tcMar>
          </w:tcPr>
          <w:p>
            <w:pPr>
              <w:spacing w:after="0"/>
            </w:pPr>
            <w:r>
              <w:rPr>
                <w:sz w:val="16"/>
              </w:rPr>
              <w:t>Incorrect. It does not adequately address bartering and exploitation risk and omits the role, authority, timing, proportionality, documentation, or continuity controls needed for client welfare, self-determination, boundaries, conflicts, exploitation, and continuity. The keyed response is superior because it instead requires the social worker to assess whether bartering is customary and nonexploitative, consider value and power risks, and use a safer fee or referral arrangement when those risks cannot be controlled.</w:t>
            </w:r>
          </w:p>
        </w:tc>
      </w:tr>
    </w:tbl>
    <w:p>
      <w:pPr>
        <w:pStyle w:val="Heading2"/>
      </w:pPr>
      <w:r>
        <w:t>Why the Key Controls</w:t>
      </w:r>
    </w:p>
    <w:p>
      <w:r>
        <w:t>The controlling issue is bartering and exploitation risk. The keyed response is the most complete because it requires immediate client protection and proportionate risk management, continuity of care and avoidance of abandonment, and boundary and conflict-of-interest safeguards. That approach is consistent with the cited source family (NASW Code 1.13; applicable fee and exploitation law)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Bartering and exploitation risk</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BARTERING-AND-EXPLOITATION-RISK</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1.13; applicable fee and exploitation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24 - Controlled Rationale</w:t>
      </w:r>
    </w:p>
    <w:p>
      <w:r>
        <w:rPr>
          <w:b/>
        </w:rPr>
        <w:t xml:space="preserve">Item ID: </w:t>
      </w:r>
      <w:r>
        <w:t>CTA-EP-002-CUM-F-024</w:t>
      </w:r>
    </w:p>
    <w:p>
      <w:r>
        <w:rPr>
          <w:b/>
        </w:rPr>
        <w:t xml:space="preserve">Stem: </w:t>
      </w:r>
      <w:r>
        <w:t>A client asks to record a telehealth session on a personal device so a family member can review it later. What is the appropriate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Discuss purpose, consent of all affected parties, privacy and security risks, record implications, and alternatives before any recording occurs.</w:t>
            </w:r>
          </w:p>
        </w:tc>
        <w:tc>
          <w:tcPr>
            <w:tcW w:type="dxa" w:w="3485"/>
            <w:shd w:fill="EAF7F7"/>
            <w:vAlign w:val="center"/>
            <w:tcMar>
              <w:top w:w="55" w:type="dxa"/>
              <w:start w:w="65" w:type="dxa"/>
              <w:bottom w:w="55" w:type="dxa"/>
              <w:end w:w="65" w:type="dxa"/>
            </w:tcMar>
          </w:tcPr>
          <w:p>
            <w:pPr>
              <w:spacing w:after="0"/>
            </w:pPr>
            <w:r>
              <w:rPr>
                <w:sz w:val="16"/>
              </w:rPr>
              <w:t>Correct. This option directly addresses recording a telehealth session through immediate client protection and proportionate risk management, clear role, consent, and expectation-setting and accurate documentation and accountability.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Allow recording automatically because the client owns everything said in therapy.</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discuss purpose, consent of all affected parties, privacy and security risks, record implications, and alternatives before any recording occurs.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Record secretly on the clinician’s device to maintain an identical copy.</w:t>
            </w:r>
          </w:p>
        </w:tc>
        <w:tc>
          <w:tcPr>
            <w:tcW w:type="dxa" w:w="3485"/>
            <w:vAlign w:val="center"/>
            <w:tcMar>
              <w:top w:w="55" w:type="dxa"/>
              <w:start w:w="65" w:type="dxa"/>
              <w:bottom w:w="55" w:type="dxa"/>
              <w:end w:w="65" w:type="dxa"/>
            </w:tcMar>
          </w:tcPr>
          <w:p>
            <w:pPr>
              <w:spacing w:after="0"/>
            </w:pPr>
            <w:r>
              <w:rPr>
                <w:sz w:val="16"/>
              </w:rPr>
              <w:t>Incorrect. It does not adequately address recording a telehealth session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discuss purpose, consent of all affected parties, privacy and security risks, record implications, and alternatives before any recording occurs.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Refuse to discuss the request because personal recordings are never permitted under any circumstance.</w:t>
            </w:r>
          </w:p>
        </w:tc>
        <w:tc>
          <w:tcPr>
            <w:tcW w:type="dxa" w:w="3485"/>
            <w:vAlign w:val="center"/>
            <w:tcMar>
              <w:top w:w="55" w:type="dxa"/>
              <w:start w:w="65" w:type="dxa"/>
              <w:bottom w:w="55" w:type="dxa"/>
              <w:end w:w="65" w:type="dxa"/>
            </w:tcMar>
          </w:tcPr>
          <w:p>
            <w:pPr>
              <w:spacing w:after="0"/>
            </w:pPr>
            <w:r>
              <w:rPr>
                <w:sz w:val="16"/>
              </w:rPr>
              <w:t>Incorrect. It does not adequately address recording a telehealth session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discuss purpose, consent of all affected parties, privacy and security risks, record implications, and alternatives before any recording occurs.</w:t>
            </w:r>
          </w:p>
        </w:tc>
      </w:tr>
    </w:tbl>
    <w:p>
      <w:pPr>
        <w:pStyle w:val="Heading2"/>
      </w:pPr>
      <w:r>
        <w:t>Why the Key Controls</w:t>
      </w:r>
    </w:p>
    <w:p>
      <w:r>
        <w:t>The controlling issue is recording a telehealth session. The keyed response is the most complete because it requires immediate client protection and proportionate risk management, clear role, consent, and expectation-setting, and accurate documentation and accountability. That approach is consistent with the cited source family (California consent and privacy law; NASW Code 1.03 and 1.07)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Recording a telehealth session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RECORDING-A-TELEHEALTH-SESSION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consent and privacy law; NASW Code 1.03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25 - Controlled Rationale</w:t>
      </w:r>
    </w:p>
    <w:p>
      <w:r>
        <w:rPr>
          <w:b/>
        </w:rPr>
        <w:t xml:space="preserve">Item ID: </w:t>
      </w:r>
      <w:r>
        <w:t>CTA-EP-002-CUM-F-025</w:t>
      </w:r>
    </w:p>
    <w:p>
      <w:r>
        <w:rPr>
          <w:b/>
        </w:rPr>
        <w:t xml:space="preserve">Stem: </w:t>
      </w:r>
      <w:r>
        <w:t>A deaf client reports that the clinic’s video platform does not support the communication method needed for effective sessions. What is the appropriate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Consult the client about effective communication, arrange an accessible method or qualified support, and avoid shifting the burden to family by default.</w:t>
            </w:r>
          </w:p>
        </w:tc>
        <w:tc>
          <w:tcPr>
            <w:tcW w:type="dxa" w:w="3485"/>
            <w:shd w:fill="EAF7F7"/>
            <w:vAlign w:val="center"/>
            <w:tcMar>
              <w:top w:w="55" w:type="dxa"/>
              <w:start w:w="65" w:type="dxa"/>
              <w:bottom w:w="55" w:type="dxa"/>
              <w:end w:w="65" w:type="dxa"/>
            </w:tcMar>
          </w:tcPr>
          <w:p>
            <w:pPr>
              <w:spacing w:after="0"/>
            </w:pPr>
            <w:r>
              <w:rPr>
                <w:sz w:val="16"/>
              </w:rPr>
              <w:t>Correct. This option directly addresses accessible digital communication through competence support through consultation, training, or qualified supervision and effective access and communication.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Require the client to use written chat because it is easiest for the clinic.</w:t>
            </w:r>
          </w:p>
        </w:tc>
        <w:tc>
          <w:tcPr>
            <w:tcW w:type="dxa" w:w="3485"/>
            <w:vAlign w:val="center"/>
            <w:tcMar>
              <w:top w:w="55" w:type="dxa"/>
              <w:start w:w="65" w:type="dxa"/>
              <w:bottom w:w="55" w:type="dxa"/>
              <w:end w:w="65" w:type="dxa"/>
            </w:tcMar>
          </w:tcPr>
          <w:p>
            <w:pPr>
              <w:spacing w:after="0"/>
            </w:pPr>
            <w:r>
              <w:rPr>
                <w:sz w:val="16"/>
              </w:rPr>
              <w:t>Incorrect. It does not adequately address accessible digital communication and omits the role, authority, timing, proportionality, documentation, or continuity controls needed for competence, integrity, impairment, bias, consultation, and truthful professional conduct. The keyed response is superior because it instead requires the social worker to consult the client about effective communication, arrange an accessible method or qualified support, and avoid shifting the burden to family by default.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a family member to interpret every session without discussing privacy or qualifications.</w:t>
            </w:r>
          </w:p>
        </w:tc>
        <w:tc>
          <w:tcPr>
            <w:tcW w:type="dxa" w:w="3485"/>
            <w:vAlign w:val="center"/>
            <w:tcMar>
              <w:top w:w="55" w:type="dxa"/>
              <w:start w:w="65" w:type="dxa"/>
              <w:bottom w:w="55" w:type="dxa"/>
              <w:end w:w="65" w:type="dxa"/>
            </w:tcMar>
          </w:tcPr>
          <w:p>
            <w:pPr>
              <w:spacing w:after="0"/>
            </w:pPr>
            <w:r>
              <w:rPr>
                <w:sz w:val="16"/>
              </w:rPr>
              <w:t>Incorrect. It assumes a support person can replace a qualified, authorized, and confidentiality-protective professional process. The keyed response is superior because it instead requires the social worker to consult the client about effective communication, arrange an accessible method or qualified support, and avoid shifting the burden to family by default.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Terminate because accessibility is an administrative issue outside clinical duties.</w:t>
            </w:r>
          </w:p>
        </w:tc>
        <w:tc>
          <w:tcPr>
            <w:tcW w:type="dxa" w:w="3485"/>
            <w:vAlign w:val="center"/>
            <w:tcMar>
              <w:top w:w="55" w:type="dxa"/>
              <w:start w:w="65" w:type="dxa"/>
              <w:bottom w:w="55" w:type="dxa"/>
              <w:end w:w="65" w:type="dxa"/>
            </w:tcMar>
          </w:tcPr>
          <w:p>
            <w:pPr>
              <w:spacing w:after="0"/>
            </w:pPr>
            <w:r>
              <w:rPr>
                <w:sz w:val="16"/>
              </w:rPr>
              <w:t>Incorrect. It does not adequately address accessible digital communication and omits the role, authority, timing, proportionality, documentation, or continuity controls needed for competence, integrity, impairment, bias, consultation, and truthful professional conduct. The keyed response is superior because it instead requires the social worker to consult the client about effective communication, arrange an accessible method or qualified support, and avoid shifting the burden to family by default.</w:t>
            </w:r>
          </w:p>
        </w:tc>
      </w:tr>
    </w:tbl>
    <w:p>
      <w:pPr>
        <w:pStyle w:val="Heading2"/>
      </w:pPr>
      <w:r>
        <w:t>Why the Key Controls</w:t>
      </w:r>
    </w:p>
    <w:p>
      <w:r>
        <w:t>The controlling issue is accessible digital communication. The keyed response is the most complete because it requires competence support through consultation, training, or qualified supervision and effective access and communication. That approach is consistent with the cited source family (ADA and California access principles as applicable; NASW Code 1.03, 1.05, and 1.15)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Accessible digital communication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ACCESSIBLE-DIGITAL-COMMUNICATION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ADA and California access principles as applicable; NASW Code 1.03, 1.05, and 1.15</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26 - Controlled Rationale</w:t>
      </w:r>
    </w:p>
    <w:p>
      <w:r>
        <w:rPr>
          <w:b/>
        </w:rPr>
        <w:t xml:space="preserve">Item ID: </w:t>
      </w:r>
      <w:r>
        <w:t>CTA-EP-002-CUM-F-026</w:t>
      </w:r>
    </w:p>
    <w:p>
      <w:r>
        <w:rPr>
          <w:b/>
        </w:rPr>
        <w:t xml:space="preserve">Stem: </w:t>
      </w:r>
      <w:r>
        <w:t>A child describes conduct that gives the LCSW reasonable suspicion of reportable abuse, while the caregiver demands that the clinician investigate privately before contacting anyone.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Wait for proof beyond a reasonable doubt.</w:t>
            </w:r>
          </w:p>
        </w:tc>
        <w:tc>
          <w:tcPr>
            <w:tcW w:type="dxa" w:w="3485"/>
            <w:vAlign w:val="center"/>
            <w:tcMar>
              <w:top w:w="55" w:type="dxa"/>
              <w:start w:w="65" w:type="dxa"/>
              <w:bottom w:w="55" w:type="dxa"/>
              <w:end w:w="65" w:type="dxa"/>
            </w:tcMar>
          </w:tcPr>
          <w:p>
            <w:pPr>
              <w:spacing w:after="0"/>
            </w:pPr>
            <w:r>
              <w:rPr>
                <w:sz w:val="16"/>
              </w:rPr>
              <w:t>Incorrect. It delays a current safety, status, correction, or continuity responsibility and may allow preventable harm to continue. The keyed response is superior because it instead requires the social worker to follow the mandated-reporting duty based on reasonable suspicion, address immediate safety, and document without delaying for a private investigation.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alleged perpetrator for permission to report.</w:t>
            </w:r>
          </w:p>
        </w:tc>
        <w:tc>
          <w:tcPr>
            <w:tcW w:type="dxa" w:w="3485"/>
            <w:vAlign w:val="center"/>
            <w:tcMar>
              <w:top w:w="55" w:type="dxa"/>
              <w:start w:w="65" w:type="dxa"/>
              <w:bottom w:w="55" w:type="dxa"/>
              <w:end w:w="65" w:type="dxa"/>
            </w:tcMar>
          </w:tcPr>
          <w:p>
            <w:pPr>
              <w:spacing w:after="0"/>
            </w:pPr>
            <w:r>
              <w:rPr>
                <w:sz w:val="16"/>
              </w:rPr>
              <w:t>Incorrect. It does not adequately address reasonable-suspicion child abuse reporting and omits the role, authority, timing, proportionality, documentation, or continuity controls needed for mandated action, emergency protection, risk assessment, disclosure limits, and follow-through. The keyed response is superior because it instead requires the social worker to follow the mandated-reporting duty based on reasonable suspicion, address immediate safety, and document without delaying for a private investigation.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Follow the mandated-reporting duty based on reasonable suspicion, address immediate safety, and document without delaying for a private investigation.</w:t>
            </w:r>
          </w:p>
        </w:tc>
        <w:tc>
          <w:tcPr>
            <w:tcW w:type="dxa" w:w="3485"/>
            <w:shd w:fill="EAF7F7"/>
            <w:vAlign w:val="center"/>
            <w:tcMar>
              <w:top w:w="55" w:type="dxa"/>
              <w:start w:w="65" w:type="dxa"/>
              <w:bottom w:w="55" w:type="dxa"/>
              <w:end w:w="65" w:type="dxa"/>
            </w:tcMar>
          </w:tcPr>
          <w:p>
            <w:pPr>
              <w:spacing w:after="0"/>
            </w:pPr>
            <w:r>
              <w:rPr>
                <w:sz w:val="16"/>
              </w:rPr>
              <w:t>Correct. This option directly addresses reasonable-suspicion child abuse reporting through immediate client protection and proportionate risk management and accurate documentation and accountability.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Transfer the child to another therapist so the new clinician makes the decision.</w:t>
            </w:r>
          </w:p>
        </w:tc>
        <w:tc>
          <w:tcPr>
            <w:tcW w:type="dxa" w:w="3485"/>
            <w:vAlign w:val="center"/>
            <w:tcMar>
              <w:top w:w="55" w:type="dxa"/>
              <w:start w:w="65" w:type="dxa"/>
              <w:bottom w:w="55" w:type="dxa"/>
              <w:end w:w="65" w:type="dxa"/>
            </w:tcMar>
          </w:tcPr>
          <w:p>
            <w:pPr>
              <w:spacing w:after="0"/>
            </w:pPr>
            <w:r>
              <w:rPr>
                <w:sz w:val="16"/>
              </w:rPr>
              <w:t>Incorrect. It does not adequately address reasonable-suspicion child abuse reporting and omits the role, authority, timing, proportionality, documentation, or continuity controls needed for mandated action, emergency protection, risk assessment, disclosure limits, and follow-through. The keyed response is superior because it instead requires the social worker to follow the mandated-reporting duty based on reasonable suspicion, address immediate safety, and document without delaying for a private investigation.</w:t>
            </w:r>
          </w:p>
        </w:tc>
      </w:tr>
    </w:tbl>
    <w:p>
      <w:pPr>
        <w:pStyle w:val="Heading2"/>
      </w:pPr>
      <w:r>
        <w:t>Why the Key Controls</w:t>
      </w:r>
    </w:p>
    <w:p>
      <w:r>
        <w:t>The controlling issue is reasonable-suspicion child abuse reporting. The keyed response is the most complete because it requires immediate client protection and proportionate risk management and accurate documentation and accountability. That approach is consistent with the cited source family (California Child Abuse and Neglect Reporting Act; NASW Code 1.01 and 1.07)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Reasonable-suspicion child abuse reporting</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REASONABLE-SUSPICION-CHILD-ABUSE-REPORTING</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Child Abuse and Neglect Reporting Act; NASW Code 1.01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27 - Controlled Rationale</w:t>
      </w:r>
    </w:p>
    <w:p>
      <w:r>
        <w:rPr>
          <w:b/>
        </w:rPr>
        <w:t xml:space="preserve">Item ID: </w:t>
      </w:r>
      <w:r>
        <w:t>CTA-EP-002-CUM-F-027</w:t>
      </w:r>
    </w:p>
    <w:p>
      <w:r>
        <w:rPr>
          <w:b/>
        </w:rPr>
        <w:t xml:space="preserve">Stem: </w:t>
      </w:r>
      <w:r>
        <w:t>A recently terminated client invites the LCSW into a close friendship and continues discussing unresolved treatment issues. What should the social worker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Accept because termination ends every professional duty.</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consider ongoing power, vulnerability, confidentiality, treatment meaning, and risk of exploitation; maintain boundaries and avoid a relationship that could harm the former client.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Accept if the former client signs a friendship consent form.</w:t>
            </w:r>
          </w:p>
        </w:tc>
        <w:tc>
          <w:tcPr>
            <w:tcW w:type="dxa" w:w="3485"/>
            <w:vAlign w:val="center"/>
            <w:tcMar>
              <w:top w:w="55" w:type="dxa"/>
              <w:start w:w="65" w:type="dxa"/>
              <w:bottom w:w="55" w:type="dxa"/>
              <w:end w:w="65" w:type="dxa"/>
            </w:tcMar>
          </w:tcPr>
          <w:p>
            <w:pPr>
              <w:spacing w:after="0"/>
            </w:pPr>
            <w:r>
              <w:rPr>
                <w:sz w:val="16"/>
              </w:rPr>
              <w:t>Incorrect. It does not adequately address former client and social relationship and omits the role, authority, timing, proportionality, documentation, or continuity controls needed for client welfare, self-determination, boundaries, conflicts, exploitation, and continuity. The keyed response is superior because it instead requires the social worker to consider ongoing power, vulnerability, confidentiality, treatment meaning, and risk of exploitation; maintain boundaries and avoid a relationship that could harm the former client.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Post about the former treatment relationship online to make the friendship transparent.</w:t>
            </w:r>
          </w:p>
        </w:tc>
        <w:tc>
          <w:tcPr>
            <w:tcW w:type="dxa" w:w="3485"/>
            <w:vAlign w:val="center"/>
            <w:tcMar>
              <w:top w:w="55" w:type="dxa"/>
              <w:start w:w="65" w:type="dxa"/>
              <w:bottom w:w="55" w:type="dxa"/>
              <w:end w:w="65" w:type="dxa"/>
            </w:tcMar>
          </w:tcPr>
          <w:p>
            <w:pPr>
              <w:spacing w:after="0"/>
            </w:pPr>
            <w:r>
              <w:rPr>
                <w:sz w:val="16"/>
              </w:rPr>
              <w:t>Incorrect. It creates an unnecessary confidentiality and privacy breach and is not a proportionate professional response. The keyed response is superior because it instead requires the social worker to consider ongoing power, vulnerability, confidentiality, treatment meaning, and risk of exploitation; maintain boundaries and avoid a relationship that could harm the former client.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Consider ongoing power, vulnerability, confidentiality, treatment meaning, and risk of exploitation; maintain boundaries and avoid a relationship that could harm the former client.</w:t>
            </w:r>
          </w:p>
        </w:tc>
        <w:tc>
          <w:tcPr>
            <w:tcW w:type="dxa" w:w="3485"/>
            <w:shd w:fill="EAF7F7"/>
            <w:vAlign w:val="center"/>
            <w:tcMar>
              <w:top w:w="55" w:type="dxa"/>
              <w:start w:w="65" w:type="dxa"/>
              <w:bottom w:w="55" w:type="dxa"/>
              <w:end w:w="65" w:type="dxa"/>
            </w:tcMar>
          </w:tcPr>
          <w:p>
            <w:pPr>
              <w:spacing w:after="0"/>
            </w:pPr>
            <w:r>
              <w:rPr>
                <w:sz w:val="16"/>
              </w:rPr>
              <w:t>Correct. This option directly addresses former client and social relationship through immediate client protection and proportionate risk management and boundary and conflict-of-interest safeguards.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former client and social relationship. The keyed response is the most complete because it requires immediate client protection and proportionate risk management and boundary and conflict-of-interest safeguards. That approach is consistent with the cited source family (NASW Code 1.06 and 1.09; applicable professional-conduct law)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Former client and social relationship</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Foundational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FORMER-CLIENT-AND-SOCIAL-RELATIONSHIP</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1.06 and 1.09; applicable professional-conduct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28 - Controlled Rationale</w:t>
      </w:r>
    </w:p>
    <w:p>
      <w:r>
        <w:rPr>
          <w:b/>
        </w:rPr>
        <w:t xml:space="preserve">Item ID: </w:t>
      </w:r>
      <w:r>
        <w:t>CTA-EP-002-CUM-F-028</w:t>
      </w:r>
    </w:p>
    <w:p>
      <w:r>
        <w:rPr>
          <w:b/>
        </w:rPr>
        <w:t xml:space="preserve">Stem: </w:t>
      </w:r>
      <w:r>
        <w:t>An agency tells an ASW to create a personal business entity, invoice the agency for each psychotherapy session, and receive no payroll documentation, even though the agency assigns clients and controls the schedule.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r>
              <w:t>Accept because agency control makes the arrangement equivalent to employment.</w:t>
            </w:r>
          </w:p>
        </w:tc>
        <w:tc>
          <w:tcPr>
            <w:tcW w:type="dxa" w:w="3485"/>
            <w:vAlign w:val="center"/>
            <w:tcMar>
              <w:top w:w="55" w:type="dxa"/>
              <w:start w:w="65" w:type="dxa"/>
              <w:bottom w:w="55" w:type="dxa"/>
              <w:end w:w="65" w:type="dxa"/>
            </w:tcMar>
          </w:tcPr>
          <w:p>
            <w:r>
              <w:t>Incorrect. Agency control may be relevant to worker classification, but it does not convert an invoiced contractor arrangement into the required W-2 employee or volunteer structure.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r>
              <w:t>Do not begin or continue the arrangement until the ASW is lawfully structured as a W-2 employee or volunteer with compliant payment and supervision controls.</w:t>
            </w:r>
          </w:p>
        </w:tc>
        <w:tc>
          <w:tcPr>
            <w:tcW w:type="dxa" w:w="3485"/>
            <w:shd w:fill="EAF7F7"/>
            <w:vAlign w:val="center"/>
            <w:tcMar>
              <w:top w:w="55" w:type="dxa"/>
              <w:start w:w="65" w:type="dxa"/>
              <w:bottom w:w="55" w:type="dxa"/>
              <w:end w:w="65" w:type="dxa"/>
            </w:tcMar>
          </w:tcPr>
          <w:p>
            <w:r>
              <w:t>Correct. The ASW should not begin or continue until lawful employee or volunteer status, payment, supervision, and setting controls are established.</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r>
              <w:t>Describe the arrangement as volunteer service while continuing to submit invoices.</w:t>
            </w:r>
          </w:p>
        </w:tc>
        <w:tc>
          <w:tcPr>
            <w:tcW w:type="dxa" w:w="3485"/>
            <w:vAlign w:val="center"/>
            <w:tcMar>
              <w:top w:w="55" w:type="dxa"/>
              <w:start w:w="65" w:type="dxa"/>
              <w:bottom w:w="55" w:type="dxa"/>
              <w:end w:w="65" w:type="dxa"/>
            </w:tcMar>
          </w:tcPr>
          <w:p>
            <w:r>
              <w:t>Incorrect. Calling invoiced services volunteer work does not change the economic arrangement or satisfy the employment requirement.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r>
              <w:t>Ask clients to sign waivers approving the contractor structure.</w:t>
            </w:r>
          </w:p>
        </w:tc>
        <w:tc>
          <w:tcPr>
            <w:tcW w:type="dxa" w:w="3485"/>
            <w:vAlign w:val="center"/>
            <w:tcMar>
              <w:top w:w="55" w:type="dxa"/>
              <w:start w:w="65" w:type="dxa"/>
              <w:bottom w:w="55" w:type="dxa"/>
              <w:end w:w="65" w:type="dxa"/>
            </w:tcMar>
          </w:tcPr>
          <w:p>
            <w:r>
              <w:t>Incorrect. Clients cannot waive statutory requirements governing ASW employment and supervised experience.</w:t>
            </w:r>
          </w:p>
        </w:tc>
      </w:tr>
    </w:tbl>
    <w:p>
      <w:pPr>
        <w:pStyle w:val="Heading2"/>
      </w:pPr>
      <w:r>
        <w:t>Why the Key Controls</w:t>
      </w:r>
    </w:p>
    <w:p>
      <w:r>
        <w:t>The invoicing and personal-business structure describes contractor treatment rather than lawful W-2 employment or volunteer service. Agency control does not cure the classification, and neither relabeling nor client waiver can authorize the arrangement.</w:t>
      </w:r>
    </w:p>
    <w:p>
      <w:pPr>
        <w:pStyle w:val="Heading2"/>
      </w:pPr>
      <w:r>
        <w:t>CTA Exam Strategy</w:t>
      </w:r>
    </w:p>
    <w:p>
      <w:r>
        <w:t>When an ASW is paid through invoices or a personal business, identify the actual employment structure rather than relying on the agency’s label or degree of control.</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r>
              <w:t>Contractor-style invoicing and ASW employee-or-volunteer status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r>
              <w:t>ASW-CONTRACTOR-INVOICING</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4996.23 and 4996.23.2; BBS ASW FAQ revised January 2026</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29 - Controlled Rationale</w:t>
      </w:r>
    </w:p>
    <w:p>
      <w:r>
        <w:rPr>
          <w:b/>
        </w:rPr>
        <w:t xml:space="preserve">Item ID: </w:t>
      </w:r>
      <w:r>
        <w:t>CTA-EP-002-CUM-F-029</w:t>
      </w:r>
    </w:p>
    <w:p>
      <w:r>
        <w:rPr>
          <w:b/>
        </w:rPr>
        <w:t xml:space="preserve">Stem: </w:t>
      </w:r>
      <w:r>
        <w:t>A supervisor is asked to cosign an ASW’s notes for services the supervisor did not review and cannot evaluate.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Sign because cosignature is only clerical.</w:t>
            </w:r>
          </w:p>
        </w:tc>
        <w:tc>
          <w:tcPr>
            <w:tcW w:type="dxa" w:w="3485"/>
            <w:vAlign w:val="center"/>
            <w:tcMar>
              <w:top w:w="55" w:type="dxa"/>
              <w:start w:w="65" w:type="dxa"/>
              <w:bottom w:w="55" w:type="dxa"/>
              <w:end w:w="65" w:type="dxa"/>
            </w:tcMar>
          </w:tcPr>
          <w:p>
            <w:pPr>
              <w:spacing w:after="0"/>
            </w:pPr>
            <w:r>
              <w:rPr>
                <w:sz w:val="16"/>
              </w:rPr>
              <w:t>Incorrect. It does not adequately address signing records for services not reviewed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review sufficiently to support the supervisory responsibility and refuse a misleading signature when adequate review cannot occur.</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Review sufficiently to support the supervisory responsibility and refuse a misleading signature when adequate review cannot occur.</w:t>
            </w:r>
          </w:p>
        </w:tc>
        <w:tc>
          <w:tcPr>
            <w:tcW w:type="dxa" w:w="3485"/>
            <w:shd w:fill="EAF7F7"/>
            <w:vAlign w:val="center"/>
            <w:tcMar>
              <w:top w:w="55" w:type="dxa"/>
              <w:start w:w="65" w:type="dxa"/>
              <w:bottom w:w="55" w:type="dxa"/>
              <w:end w:w="65" w:type="dxa"/>
            </w:tcMar>
          </w:tcPr>
          <w:p>
            <w:pPr>
              <w:spacing w:after="0"/>
            </w:pPr>
            <w:r>
              <w:rPr>
                <w:sz w:val="16"/>
              </w:rPr>
              <w:t>Correct. This option directly addresses signing records for services not reviewed through containment of unlawful, unsafe, or incompetent conduct.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Have the ASW copy the supervisor’s electronic signature.</w:t>
            </w:r>
          </w:p>
        </w:tc>
        <w:tc>
          <w:tcPr>
            <w:tcW w:type="dxa" w:w="3485"/>
            <w:vAlign w:val="center"/>
            <w:tcMar>
              <w:top w:w="55" w:type="dxa"/>
              <w:start w:w="65" w:type="dxa"/>
              <w:bottom w:w="55" w:type="dxa"/>
              <w:end w:w="65" w:type="dxa"/>
            </w:tcMar>
          </w:tcPr>
          <w:p>
            <w:pPr>
              <w:spacing w:after="0"/>
            </w:pPr>
            <w:r>
              <w:rPr>
                <w:sz w:val="16"/>
              </w:rPr>
              <w:t>Incorrect. It does not adequately address signing records for services not reviewed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review sufficiently to support the supervisory responsibility and refuse a misleading signature when adequate review cannot occur.</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Sign every note and review only if a complaint occurs.</w:t>
            </w:r>
          </w:p>
        </w:tc>
        <w:tc>
          <w:tcPr>
            <w:tcW w:type="dxa" w:w="3485"/>
            <w:vAlign w:val="center"/>
            <w:tcMar>
              <w:top w:w="55" w:type="dxa"/>
              <w:start w:w="65" w:type="dxa"/>
              <w:bottom w:w="55" w:type="dxa"/>
              <w:end w:w="65" w:type="dxa"/>
            </w:tcMar>
          </w:tcPr>
          <w:p>
            <w:pPr>
              <w:spacing w:after="0"/>
            </w:pPr>
            <w:r>
              <w:rPr>
                <w:sz w:val="16"/>
              </w:rPr>
              <w:t>Incorrect. It authorizes overdisclosure and ignores purpose, authority, minimum-necessary analysis, and confidentiality limits. The keyed response is superior because it instead requires the social worker to review sufficiently to support the supervisory responsibility and refuse a misleading signature when adequate review cannot occur.</w:t>
            </w:r>
          </w:p>
        </w:tc>
      </w:tr>
    </w:tbl>
    <w:p>
      <w:pPr>
        <w:pStyle w:val="Heading2"/>
      </w:pPr>
      <w:r>
        <w:t>Why the Key Controls</w:t>
      </w:r>
    </w:p>
    <w:p>
      <w:r>
        <w:t>The controlling issue is signing records for services not reviewed. The keyed response is the most complete because it requires containment of unlawful, unsafe, or incompetent conduct. That approach is consistent with the cited source family (BPC 4992.3; BBS supervision requirements; NASW Code 3.04)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Signing records for services not reviewed</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SIGNING-RECORDS-FOR-SERVICES-NOT-REVIEWED</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4992.3; BBS supervision requirements; NASW Code 3.04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30 - Controlled Rationale</w:t>
      </w:r>
    </w:p>
    <w:p>
      <w:r>
        <w:rPr>
          <w:b/>
        </w:rPr>
        <w:t xml:space="preserve">Item ID: </w:t>
      </w:r>
      <w:r>
        <w:t>CTA-EP-002-CUM-F-030</w:t>
      </w:r>
    </w:p>
    <w:p>
      <w:r>
        <w:rPr>
          <w:b/>
        </w:rPr>
        <w:t xml:space="preserve">Stem: </w:t>
      </w:r>
      <w:r>
        <w:t>A client presents an immediate serious danger and refuses all permission to contact emergency support. What is the appropriate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Use lawful necessary disclosure and proportionate protective action, limit information to what is needed, and document the reasoning and follow-through.</w:t>
            </w:r>
          </w:p>
        </w:tc>
        <w:tc>
          <w:tcPr>
            <w:tcW w:type="dxa" w:w="3485"/>
            <w:shd w:fill="EAF7F7"/>
            <w:vAlign w:val="center"/>
            <w:tcMar>
              <w:top w:w="55" w:type="dxa"/>
              <w:start w:w="65" w:type="dxa"/>
              <w:bottom w:w="55" w:type="dxa"/>
              <w:end w:w="65" w:type="dxa"/>
            </w:tcMar>
          </w:tcPr>
          <w:p>
            <w:pPr>
              <w:spacing w:after="0"/>
            </w:pPr>
            <w:r>
              <w:rPr>
                <w:sz w:val="16"/>
              </w:rPr>
              <w:t>Correct. This option directly addresses necessary disclosure during imminent safety concern through immediate client protection and proportionate risk management, clear role, consent, and expectation-setting, accurate documentation and accountability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Maintain absolute confidentiality regardless of danger.</w:t>
            </w:r>
          </w:p>
        </w:tc>
        <w:tc>
          <w:tcPr>
            <w:tcW w:type="dxa" w:w="3485"/>
            <w:vAlign w:val="center"/>
            <w:tcMar>
              <w:top w:w="55" w:type="dxa"/>
              <w:start w:w="65" w:type="dxa"/>
              <w:bottom w:w="55" w:type="dxa"/>
              <w:end w:w="65" w:type="dxa"/>
            </w:tcMar>
          </w:tcPr>
          <w:p>
            <w:pPr>
              <w:spacing w:after="0"/>
            </w:pPr>
            <w:r>
              <w:rPr>
                <w:sz w:val="16"/>
              </w:rPr>
              <w:t>Incorrect. It promises an outcome the clinician cannot control and misstates the limits of law, confidentiality, or third-party behavior. The keyed response is superior because it instead requires the social worker to use lawful necessary disclosure and proportionate protective action, limit information to what is needed, and document the reasoning and follow-through.</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Release the entire treatment history to every available contact.</w:t>
            </w:r>
          </w:p>
        </w:tc>
        <w:tc>
          <w:tcPr>
            <w:tcW w:type="dxa" w:w="3485"/>
            <w:vAlign w:val="center"/>
            <w:tcMar>
              <w:top w:w="55" w:type="dxa"/>
              <w:start w:w="65" w:type="dxa"/>
              <w:bottom w:w="55" w:type="dxa"/>
              <w:end w:w="65" w:type="dxa"/>
            </w:tcMar>
          </w:tcPr>
          <w:p>
            <w:pPr>
              <w:spacing w:after="0"/>
            </w:pPr>
            <w:r>
              <w:rPr>
                <w:sz w:val="16"/>
              </w:rPr>
              <w:t>Incorrect. It does not adequately address necessary disclosure during imminent safety concern and omits the role, authority, timing, proportionality, documentation, or continuity controls needed for mandated action, emergency protection, risk assessment, disclosure limits, and follow-through. The keyed response is superior because it instead requires the social worker to use lawful necessary disclosure and proportionate protective action, limit information to what is needed, and document the reasoning and follow-through.</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Wait until the client provides written permission.</w:t>
            </w:r>
          </w:p>
        </w:tc>
        <w:tc>
          <w:tcPr>
            <w:tcW w:type="dxa" w:w="3485"/>
            <w:vAlign w:val="center"/>
            <w:tcMar>
              <w:top w:w="55" w:type="dxa"/>
              <w:start w:w="65" w:type="dxa"/>
              <w:bottom w:w="55" w:type="dxa"/>
              <w:end w:w="65" w:type="dxa"/>
            </w:tcMar>
          </w:tcPr>
          <w:p>
            <w:pPr>
              <w:spacing w:after="0"/>
            </w:pPr>
            <w:r>
              <w:rPr>
                <w:sz w:val="16"/>
              </w:rPr>
              <w:t>Incorrect. It delays a current safety, status, correction, or continuity responsibility and may allow preventable harm to continue. The keyed response is superior because it instead requires the social worker to use lawful necessary disclosure and proportionate protective action, limit information to what is needed, and document the reasoning and follow-through.</w:t>
            </w:r>
          </w:p>
        </w:tc>
      </w:tr>
    </w:tbl>
    <w:p>
      <w:pPr>
        <w:pStyle w:val="Heading2"/>
      </w:pPr>
      <w:r>
        <w:t>Why the Key Controls</w:t>
      </w:r>
    </w:p>
    <w:p>
      <w:r>
        <w:t>The controlling issue is necessary disclosure during imminent safety concern. The keyed response is the most complete because it requires immediate client protection and proportionate risk management, clear role, consent, and expectation-setting, accurate documentation and accountability, and limited and purpose-specific information use. That approach is consistent with the cited source family (Applicable California confidentiality exceptions; NASW Code 1.01 and 1.07)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Necessary disclosure during imminent safety concern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NECESSARY-DISCLOSURE-DURING-IMMINENT-SAFETY-</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Applicable California confidentiality exceptions; NASW Code 1.01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31 - Controlled Rationale</w:t>
      </w:r>
    </w:p>
    <w:p>
      <w:r>
        <w:rPr>
          <w:b/>
        </w:rPr>
        <w:t xml:space="preserve">Item ID: </w:t>
      </w:r>
      <w:r>
        <w:t>CTA-EP-002-CUM-F-031</w:t>
      </w:r>
    </w:p>
    <w:p>
      <w:r>
        <w:rPr>
          <w:b/>
        </w:rPr>
        <w:t xml:space="preserve">Stem: </w:t>
      </w:r>
      <w:r>
        <w:t>A practice wants to send overdue psychotherapy accounts to collection without prior fee policies or review of sensitive information included in the referral.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Review the original agreement, provide appropriate notice, limit disclosed information, consider continuity and hardship, and use lawful noncoercive collection practices.</w:t>
            </w:r>
          </w:p>
        </w:tc>
        <w:tc>
          <w:tcPr>
            <w:tcW w:type="dxa" w:w="3485"/>
            <w:shd w:fill="EAF7F7"/>
            <w:vAlign w:val="center"/>
            <w:tcMar>
              <w:top w:w="55" w:type="dxa"/>
              <w:start w:w="65" w:type="dxa"/>
              <w:bottom w:w="55" w:type="dxa"/>
              <w:end w:w="65" w:type="dxa"/>
            </w:tcMar>
          </w:tcPr>
          <w:p>
            <w:pPr>
              <w:spacing w:after="0"/>
            </w:pPr>
            <w:r>
              <w:rPr>
                <w:sz w:val="16"/>
              </w:rPr>
              <w:t>Correct. This option directly addresses transparent financial policies and collections through clear role, consent, and expectation-setting, continuity of care and avoidance of abandonment, limited and purpose-specific information use and current law and applicability review.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Send complete clinical records to prove the debt.</w:t>
            </w:r>
          </w:p>
        </w:tc>
        <w:tc>
          <w:tcPr>
            <w:tcW w:type="dxa" w:w="3485"/>
            <w:vAlign w:val="center"/>
            <w:tcMar>
              <w:top w:w="55" w:type="dxa"/>
              <w:start w:w="65" w:type="dxa"/>
              <w:bottom w:w="55" w:type="dxa"/>
              <w:end w:w="65" w:type="dxa"/>
            </w:tcMar>
          </w:tcPr>
          <w:p>
            <w:pPr>
              <w:spacing w:after="0"/>
            </w:pPr>
            <w:r>
              <w:rPr>
                <w:sz w:val="16"/>
              </w:rPr>
              <w:t>Incorrect. It does not adequately address transparent financial policies and collections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review the original agreement, provide appropriate notice, limit disclosed information, consider continuity and hardship, and use lawful noncoercive collection practices.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Threaten public disclosure to obtain payment.</w:t>
            </w:r>
          </w:p>
        </w:tc>
        <w:tc>
          <w:tcPr>
            <w:tcW w:type="dxa" w:w="3485"/>
            <w:vAlign w:val="center"/>
            <w:tcMar>
              <w:top w:w="55" w:type="dxa"/>
              <w:start w:w="65" w:type="dxa"/>
              <w:bottom w:w="55" w:type="dxa"/>
              <w:end w:w="65" w:type="dxa"/>
            </w:tcMar>
          </w:tcPr>
          <w:p>
            <w:pPr>
              <w:spacing w:after="0"/>
            </w:pPr>
            <w:r>
              <w:rPr>
                <w:sz w:val="16"/>
              </w:rPr>
              <w:t>Incorrect. It does not adequately address transparent financial policies and collections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review the original agreement, provide appropriate notice, limit disclosed information, consider continuity and hardship, and use lawful noncoercive collection practices.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Add fees retroactively without notice.</w:t>
            </w:r>
          </w:p>
        </w:tc>
        <w:tc>
          <w:tcPr>
            <w:tcW w:type="dxa" w:w="3485"/>
            <w:vAlign w:val="center"/>
            <w:tcMar>
              <w:top w:w="55" w:type="dxa"/>
              <w:start w:w="65" w:type="dxa"/>
              <w:bottom w:w="55" w:type="dxa"/>
              <w:end w:w="65" w:type="dxa"/>
            </w:tcMar>
          </w:tcPr>
          <w:p>
            <w:pPr>
              <w:spacing w:after="0"/>
            </w:pPr>
            <w:r>
              <w:rPr>
                <w:sz w:val="16"/>
              </w:rPr>
              <w:t>Incorrect. It does not adequately address transparent financial policies and collections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review the original agreement, provide appropriate notice, limit disclosed information, consider continuity and hardship, and use lawful noncoercive collection practices.</w:t>
            </w:r>
          </w:p>
        </w:tc>
      </w:tr>
    </w:tbl>
    <w:p>
      <w:pPr>
        <w:pStyle w:val="Heading2"/>
      </w:pPr>
      <w:r>
        <w:t>Why the Key Controls</w:t>
      </w:r>
    </w:p>
    <w:p>
      <w:r>
        <w:t>The controlling issue is transparent financial policies and collections. The keyed response is the most complete because it requires clear role, consent, and expectation-setting, continuity of care and avoidance of abandonment, limited and purpose-specific information use, and current law and applicability review. That approach is consistent with the cited source family (NASW Code 1.13 and 1.15; applicable California debt and privacy law)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Transparent financial policies and collections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TRANSPARENT-FINANCIAL-POLICIES-AND-COLLECTIO</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1.13 and 1.15; applicable California debt and privacy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32 - Controlled Rationale</w:t>
      </w:r>
    </w:p>
    <w:p>
      <w:r>
        <w:rPr>
          <w:b/>
        </w:rPr>
        <w:t xml:space="preserve">Item ID: </w:t>
      </w:r>
      <w:r>
        <w:t>CTA-EP-002-CUM-F-032</w:t>
      </w:r>
    </w:p>
    <w:p>
      <w:r>
        <w:rPr>
          <w:b/>
        </w:rPr>
        <w:t xml:space="preserve">Stem: </w:t>
      </w:r>
      <w:r>
        <w:t>A clinic gives every employee full access to psychotherapy records regardless of job duties. What is the appropriate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Keep full access because all employees signed confidentiality agreements.</w:t>
            </w:r>
          </w:p>
        </w:tc>
        <w:tc>
          <w:tcPr>
            <w:tcW w:type="dxa" w:w="3485"/>
            <w:vAlign w:val="center"/>
            <w:tcMar>
              <w:top w:w="55" w:type="dxa"/>
              <w:start w:w="65" w:type="dxa"/>
              <w:bottom w:w="55" w:type="dxa"/>
              <w:end w:w="65" w:type="dxa"/>
            </w:tcMar>
          </w:tcPr>
          <w:p>
            <w:pPr>
              <w:spacing w:after="0"/>
            </w:pPr>
            <w:r>
              <w:rPr>
                <w:sz w:val="16"/>
              </w:rPr>
              <w:t>Incorrect. It does not adequately address role-based access to clinical records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implement role-based minimum-necessary access, monitor use, train staff, and respond to inappropriate access.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Allow staff to browse records for educational purposes.</w:t>
            </w:r>
          </w:p>
        </w:tc>
        <w:tc>
          <w:tcPr>
            <w:tcW w:type="dxa" w:w="3485"/>
            <w:vAlign w:val="center"/>
            <w:tcMar>
              <w:top w:w="55" w:type="dxa"/>
              <w:start w:w="65" w:type="dxa"/>
              <w:bottom w:w="55" w:type="dxa"/>
              <w:end w:w="65" w:type="dxa"/>
            </w:tcMar>
          </w:tcPr>
          <w:p>
            <w:pPr>
              <w:spacing w:after="0"/>
            </w:pPr>
            <w:r>
              <w:rPr>
                <w:sz w:val="16"/>
              </w:rPr>
              <w:t>Incorrect. It does not adequately address role-based access to clinical records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implement role-based minimum-necessary access, monitor use, train staff, and respond to inappropriate access.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Implement role-based minimum-necessary access, monitor use, train staff, and respond to inappropriate access.</w:t>
            </w:r>
          </w:p>
        </w:tc>
        <w:tc>
          <w:tcPr>
            <w:tcW w:type="dxa" w:w="3485"/>
            <w:shd w:fill="EAF7F7"/>
            <w:vAlign w:val="center"/>
            <w:tcMar>
              <w:top w:w="55" w:type="dxa"/>
              <w:start w:w="65" w:type="dxa"/>
              <w:bottom w:w="55" w:type="dxa"/>
              <w:end w:w="65" w:type="dxa"/>
            </w:tcMar>
          </w:tcPr>
          <w:p>
            <w:pPr>
              <w:spacing w:after="0"/>
            </w:pPr>
            <w:r>
              <w:rPr>
                <w:sz w:val="16"/>
              </w:rPr>
              <w:t>Correct. This option directly addresses role-based access to clinical records through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Remove all audit logs so employees feel trusted.</w:t>
            </w:r>
          </w:p>
        </w:tc>
        <w:tc>
          <w:tcPr>
            <w:tcW w:type="dxa" w:w="3485"/>
            <w:vAlign w:val="center"/>
            <w:tcMar>
              <w:top w:w="55" w:type="dxa"/>
              <w:start w:w="65" w:type="dxa"/>
              <w:bottom w:w="55" w:type="dxa"/>
              <w:end w:w="65" w:type="dxa"/>
            </w:tcMar>
          </w:tcPr>
          <w:p>
            <w:pPr>
              <w:spacing w:after="0"/>
            </w:pPr>
            <w:r>
              <w:rPr>
                <w:sz w:val="16"/>
              </w:rPr>
              <w:t>Incorrect. It does not adequately address role-based access to clinical records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implement role-based minimum-necessary access, monitor use, train staff, and respond to inappropriate access.</w:t>
            </w:r>
          </w:p>
        </w:tc>
      </w:tr>
    </w:tbl>
    <w:p>
      <w:pPr>
        <w:pStyle w:val="Heading2"/>
      </w:pPr>
      <w:r>
        <w:t>Why the Key Controls</w:t>
      </w:r>
    </w:p>
    <w:p>
      <w:r>
        <w:t>The controlling issue is role-based access to clinical records. The keyed response is the most complete because it requires limited and purpose-specific information use. That approach is consistent with the cited source family (California privacy law; NASW Code 1.07 and 3.04)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Role-based access to clinical records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ROLE-BASED-ACCESS-TO-CLINICAL-RECORDS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privacy law; NASW Code 1.07 and 3.04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33 - Controlled Rationale</w:t>
      </w:r>
    </w:p>
    <w:p>
      <w:r>
        <w:rPr>
          <w:b/>
        </w:rPr>
        <w:t xml:space="preserve">Item ID: </w:t>
      </w:r>
      <w:r>
        <w:t>CTA-EP-002-CUM-F-033</w:t>
      </w:r>
    </w:p>
    <w:p>
      <w:r>
        <w:rPr>
          <w:b/>
        </w:rPr>
        <w:t xml:space="preserve">Stem: </w:t>
      </w:r>
      <w:r>
        <w:t>A client agrees to a safety plan but identifies that several proposed steps are unrealistic because of disability and transportation barriers. What should the social worker do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Keep the standard plan unchanged because consistency is more important than feasibility.</w:t>
            </w:r>
          </w:p>
        </w:tc>
        <w:tc>
          <w:tcPr>
            <w:tcW w:type="dxa" w:w="3485"/>
            <w:vAlign w:val="center"/>
            <w:tcMar>
              <w:top w:w="55" w:type="dxa"/>
              <w:start w:w="65" w:type="dxa"/>
              <w:bottom w:w="55" w:type="dxa"/>
              <w:end w:w="65" w:type="dxa"/>
            </w:tcMar>
          </w:tcPr>
          <w:p>
            <w:pPr>
              <w:spacing w:after="0"/>
            </w:pPr>
            <w:r>
              <w:rPr>
                <w:sz w:val="16"/>
              </w:rPr>
              <w:t>Incorrect. It does not adequately address safety planning as collaborative process and omits the role, authority, timing, proportionality, documentation, or continuity controls needed for client welfare, self-determination, boundaries, conflicts, exploitation, and continuity. The keyed response is superior because it instead requires the social worker to revise the plan collaboratively so warning signs, coping steps, supports, access, and emergency actions are realistic and usable.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Tell the client that inability to follow the template proves unwillingness to be safe.</w:t>
            </w:r>
          </w:p>
        </w:tc>
        <w:tc>
          <w:tcPr>
            <w:tcW w:type="dxa" w:w="3485"/>
            <w:vAlign w:val="center"/>
            <w:tcMar>
              <w:top w:w="55" w:type="dxa"/>
              <w:start w:w="65" w:type="dxa"/>
              <w:bottom w:w="55" w:type="dxa"/>
              <w:end w:w="65" w:type="dxa"/>
            </w:tcMar>
          </w:tcPr>
          <w:p>
            <w:pPr>
              <w:spacing w:after="0"/>
            </w:pPr>
            <w:r>
              <w:rPr>
                <w:sz w:val="16"/>
              </w:rPr>
              <w:t>Incorrect. It does not adequately address safety planning as collaborative process and omits the role, authority, timing, proportionality, documentation, or continuity controls needed for client welfare, self-determination, boundaries, conflicts, exploitation, and continuity. The keyed response is superior because it instead requires the social worker to revise the plan collaboratively so warning signs, coping steps, supports, access, and emergency actions are realistic and usable.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Revise the plan collaboratively so warning signs, coping steps, supports, access, and emergency actions are realistic and usable.</w:t>
            </w:r>
          </w:p>
        </w:tc>
        <w:tc>
          <w:tcPr>
            <w:tcW w:type="dxa" w:w="3485"/>
            <w:shd w:fill="EAF7F7"/>
            <w:vAlign w:val="center"/>
            <w:tcMar>
              <w:top w:w="55" w:type="dxa"/>
              <w:start w:w="65" w:type="dxa"/>
              <w:bottom w:w="55" w:type="dxa"/>
              <w:end w:w="65" w:type="dxa"/>
            </w:tcMar>
          </w:tcPr>
          <w:p>
            <w:pPr>
              <w:spacing w:after="0"/>
            </w:pPr>
            <w:r>
              <w:rPr>
                <w:sz w:val="16"/>
              </w:rPr>
              <w:t>Correct. This option directly addresses safety planning as collaborative process through immediate client protection and proportionate risk management.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Delegate the entire plan to a family member without client involvement.</w:t>
            </w:r>
          </w:p>
        </w:tc>
        <w:tc>
          <w:tcPr>
            <w:tcW w:type="dxa" w:w="3485"/>
            <w:vAlign w:val="center"/>
            <w:tcMar>
              <w:top w:w="55" w:type="dxa"/>
              <w:start w:w="65" w:type="dxa"/>
              <w:bottom w:w="55" w:type="dxa"/>
              <w:end w:w="65" w:type="dxa"/>
            </w:tcMar>
          </w:tcPr>
          <w:p>
            <w:pPr>
              <w:spacing w:after="0"/>
            </w:pPr>
            <w:r>
              <w:rPr>
                <w:sz w:val="16"/>
              </w:rPr>
              <w:t>Incorrect. It assumes a support person can replace a qualified, authorized, and confidentiality-protective professional process. The keyed response is superior because it instead requires the social worker to revise the plan collaboratively so warning signs, coping steps, supports, access, and emergency actions are realistic and usable.</w:t>
            </w:r>
          </w:p>
        </w:tc>
      </w:tr>
    </w:tbl>
    <w:p>
      <w:pPr>
        <w:pStyle w:val="Heading2"/>
      </w:pPr>
      <w:r>
        <w:t>Why the Key Controls</w:t>
      </w:r>
    </w:p>
    <w:p>
      <w:r>
        <w:t>The controlling issue is safety planning as collaborative process. The keyed response is the most complete because it requires immediate client protection and proportionate risk management. That approach is consistent with the cited source family (NASW Code 1.01, 1.02, and 1.15; accepted risk-management standards)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Safety planning as collaborative process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SAFETY-PLANNING-AS-COLLABORATIVE-PROCESS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1.01, 1.02, and 1.15; accepted risk-management standards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34 - Controlled Rationale</w:t>
      </w:r>
    </w:p>
    <w:p>
      <w:r>
        <w:rPr>
          <w:b/>
        </w:rPr>
        <w:t xml:space="preserve">Item ID: </w:t>
      </w:r>
      <w:r>
        <w:t>CTA-EP-002-CUM-F-034</w:t>
      </w:r>
    </w:p>
    <w:p>
      <w:r>
        <w:rPr>
          <w:b/>
        </w:rPr>
        <w:t xml:space="preserve">Stem: </w:t>
      </w:r>
      <w:r>
        <w:t>After a complex suicide assessment, the note lists only “client safe” and contains no risk factors, protective factors, reasoning, consultation, or follow-up plan.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Complete an accurate timely record of relevant findings, reasoning, consultation, actions, and follow-through without overstating certainty.</w:t>
            </w:r>
          </w:p>
        </w:tc>
        <w:tc>
          <w:tcPr>
            <w:tcW w:type="dxa" w:w="3485"/>
            <w:shd w:fill="EAF7F7"/>
            <w:vAlign w:val="center"/>
            <w:tcMar>
              <w:top w:w="55" w:type="dxa"/>
              <w:start w:w="65" w:type="dxa"/>
              <w:bottom w:w="55" w:type="dxa"/>
              <w:end w:w="65" w:type="dxa"/>
            </w:tcMar>
          </w:tcPr>
          <w:p>
            <w:pPr>
              <w:spacing w:after="0"/>
            </w:pPr>
            <w:r>
              <w:rPr>
                <w:sz w:val="16"/>
              </w:rPr>
              <w:t>Correct. This option directly addresses documenting risk reasoning and follow-through through accurate documentation and accountability, competence support through consultation, training, or qualified supervision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Leave the note unchanged because detailed risk documentation increases liability.</w:t>
            </w:r>
          </w:p>
        </w:tc>
        <w:tc>
          <w:tcPr>
            <w:tcW w:type="dxa" w:w="3485"/>
            <w:vAlign w:val="center"/>
            <w:tcMar>
              <w:top w:w="55" w:type="dxa"/>
              <w:start w:w="65" w:type="dxa"/>
              <w:bottom w:w="55" w:type="dxa"/>
              <w:end w:w="65" w:type="dxa"/>
            </w:tcMar>
          </w:tcPr>
          <w:p>
            <w:pPr>
              <w:spacing w:after="0"/>
            </w:pPr>
            <w:r>
              <w:rPr>
                <w:sz w:val="16"/>
              </w:rPr>
              <w:t>Incorrect. It does not adequately address documenting risk reasoning and follow-through and omits the role, authority, timing, proportionality, documentation, or continuity controls needed for mandated action, emergency protection, risk assessment, disclosure limits, and follow-through. The keyed response is superior because it instead requires the social worker to complete an accurate timely record of relevant findings, reasoning, consultation, actions, and follow-through without overstating certainty.</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Add a copied generic template that does not reflect the actual assessment.</w:t>
            </w:r>
          </w:p>
        </w:tc>
        <w:tc>
          <w:tcPr>
            <w:tcW w:type="dxa" w:w="3485"/>
            <w:vAlign w:val="center"/>
            <w:tcMar>
              <w:top w:w="55" w:type="dxa"/>
              <w:start w:w="65" w:type="dxa"/>
              <w:bottom w:w="55" w:type="dxa"/>
              <w:end w:w="65" w:type="dxa"/>
            </w:tcMar>
          </w:tcPr>
          <w:p>
            <w:pPr>
              <w:spacing w:after="0"/>
            </w:pPr>
            <w:r>
              <w:rPr>
                <w:sz w:val="16"/>
              </w:rPr>
              <w:t>Incorrect. It does not adequately address documenting risk reasoning and follow-through and omits the role, authority, timing, proportionality, documentation, or continuity controls needed for mandated action, emergency protection, risk assessment, disclosure limits, and follow-through. The keyed response is superior because it instead requires the social worker to complete an accurate timely record of relevant findings, reasoning, consultation, actions, and follow-through without overstating certainty.</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client to write the risk note.</w:t>
            </w:r>
          </w:p>
        </w:tc>
        <w:tc>
          <w:tcPr>
            <w:tcW w:type="dxa" w:w="3485"/>
            <w:vAlign w:val="center"/>
            <w:tcMar>
              <w:top w:w="55" w:type="dxa"/>
              <w:start w:w="65" w:type="dxa"/>
              <w:bottom w:w="55" w:type="dxa"/>
              <w:end w:w="65" w:type="dxa"/>
            </w:tcMar>
          </w:tcPr>
          <w:p>
            <w:pPr>
              <w:spacing w:after="0"/>
            </w:pPr>
            <w:r>
              <w:rPr>
                <w:sz w:val="16"/>
              </w:rPr>
              <w:t>Incorrect. It shifts a professional judgment or legal responsibility to the client instead of completing the required assessment and safeguards. The keyed response is superior because it instead requires the social worker to complete an accurate timely record of relevant findings, reasoning, consultation, actions, and follow-through without overstating certainty.</w:t>
            </w:r>
          </w:p>
        </w:tc>
      </w:tr>
    </w:tbl>
    <w:p>
      <w:pPr>
        <w:pStyle w:val="Heading2"/>
      </w:pPr>
      <w:r>
        <w:t>Why the Key Controls</w:t>
      </w:r>
    </w:p>
    <w:p>
      <w:r>
        <w:t>The controlling issue is documenting risk reasoning and follow-through. The keyed response is the most complete because it requires accurate documentation and accountability, competence support through consultation, training, or qualified supervision, and limited and purpose-specific information use. That approach is consistent with the cited source family (Applicable documentation standards; NASW Code 3.04)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Documenting risk reasoning and follow-through</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DOCUMENTING-RISK-REASONING-AND-FOLLOW-THROUG</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Applicable documentation standards; NASW Code 3.04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35 - Controlled Rationale</w:t>
      </w:r>
    </w:p>
    <w:p>
      <w:r>
        <w:rPr>
          <w:b/>
        </w:rPr>
        <w:t xml:space="preserve">Item ID: </w:t>
      </w:r>
      <w:r>
        <w:t>CTA-EP-002-CUM-F-035</w:t>
      </w:r>
    </w:p>
    <w:p>
      <w:r>
        <w:rPr>
          <w:b/>
        </w:rPr>
        <w:t xml:space="preserve">Stem: </w:t>
      </w:r>
      <w:r>
        <w:t>Two separated parents give conflicting instructions about a child’s treatment and each demands the complete record immediately. What is the appropriate response?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Give the complete record to the parent who pays the bill.</w:t>
            </w:r>
          </w:p>
        </w:tc>
        <w:tc>
          <w:tcPr>
            <w:tcW w:type="dxa" w:w="3485"/>
            <w:vAlign w:val="center"/>
            <w:tcMar>
              <w:top w:w="55" w:type="dxa"/>
              <w:start w:w="65" w:type="dxa"/>
              <w:bottom w:w="55" w:type="dxa"/>
              <w:end w:w="65" w:type="dxa"/>
            </w:tcMar>
          </w:tcPr>
          <w:p>
            <w:pPr>
              <w:spacing w:after="0"/>
            </w:pPr>
            <w:r>
              <w:rPr>
                <w:sz w:val="16"/>
              </w:rPr>
              <w:t>Incorrect. It authorizes overdisclosure and ignores purpose, authority, minimum-necessary analysis, and confidentiality limits. The keyed response is superior because it instead requires the social worker to review the governing custody and consent documents, identify legal authority and privilege issues, protect the child, and disclose only as authorized or required.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Review the governing custody and consent documents, identify legal authority and privilege issues, protect the child, and disclose only as authorized or required.</w:t>
            </w:r>
          </w:p>
        </w:tc>
        <w:tc>
          <w:tcPr>
            <w:tcW w:type="dxa" w:w="3485"/>
            <w:shd w:fill="EAF7F7"/>
            <w:vAlign w:val="center"/>
            <w:tcMar>
              <w:top w:w="55" w:type="dxa"/>
              <w:start w:w="65" w:type="dxa"/>
              <w:bottom w:w="55" w:type="dxa"/>
              <w:end w:w="65" w:type="dxa"/>
            </w:tcMar>
          </w:tcPr>
          <w:p>
            <w:pPr>
              <w:spacing w:after="0"/>
            </w:pPr>
            <w:r>
              <w:rPr>
                <w:sz w:val="16"/>
              </w:rPr>
              <w:t>Correct. This option directly addresses separated parents and child treatment information through immediate client protection and proportionate risk management, clear role, consent, and expectation-setting, accurate documentation and accountability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Refuse both parents automatically because a minor owns every treatment record.</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review the governing custody and consent documents, identify legal authority and privilege issues, protect the child, and disclose only as authorized or required.</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Follow the request of whichever parent contacts the clinician first.</w:t>
            </w:r>
          </w:p>
        </w:tc>
        <w:tc>
          <w:tcPr>
            <w:tcW w:type="dxa" w:w="3485"/>
            <w:vAlign w:val="center"/>
            <w:tcMar>
              <w:top w:w="55" w:type="dxa"/>
              <w:start w:w="65" w:type="dxa"/>
              <w:bottom w:w="55" w:type="dxa"/>
              <w:end w:w="65" w:type="dxa"/>
            </w:tcMar>
          </w:tcPr>
          <w:p>
            <w:pPr>
              <w:spacing w:after="0"/>
            </w:pPr>
            <w:r>
              <w:rPr>
                <w:sz w:val="16"/>
              </w:rPr>
              <w:t>Incorrect. It does not adequately address separated parents and child treatment information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review the governing custody and consent documents, identify legal authority and privilege issues, protect the child, and disclose only as authorized or required.</w:t>
            </w:r>
          </w:p>
        </w:tc>
      </w:tr>
    </w:tbl>
    <w:p>
      <w:pPr>
        <w:pStyle w:val="Heading2"/>
      </w:pPr>
      <w:r>
        <w:t>Why the Key Controls</w:t>
      </w:r>
    </w:p>
    <w:p>
      <w:r>
        <w:t>The controlling issue is separated parents and child treatment information. The keyed response is the most complete because it requires immediate client protection and proportionate risk management, clear role, consent, and expectation-setting, accurate documentation and accountability, and limited and purpose-specific information use. That approach is consistent with the cited source family (Applicable California custody, consent, confidentiality, and records law; NASW Code 1.07)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Separated parents and child treatment information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Foundational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SEPARATED-PARENTS-AND-CHILD-TREATMENT-INFORM</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Applicable California custody, consent, confidentiality, and records law; NASW Code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36 - Controlled Rationale</w:t>
      </w:r>
    </w:p>
    <w:p>
      <w:r>
        <w:rPr>
          <w:b/>
        </w:rPr>
        <w:t xml:space="preserve">Item ID: </w:t>
      </w:r>
      <w:r>
        <w:t>CTA-EP-002-CUM-F-036</w:t>
      </w:r>
    </w:p>
    <w:p>
      <w:r>
        <w:rPr>
          <w:b/>
        </w:rPr>
        <w:t xml:space="preserve">Stem: </w:t>
      </w:r>
      <w:r>
        <w:t>A clinic tells a former client that records belong to the clinic and therefore the client can never inspect or obtain copies.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Apply the client-access law and any valid exceptions or procedures; ownership of the physical or electronic record does not eliminate statutory access rights.</w:t>
            </w:r>
          </w:p>
        </w:tc>
        <w:tc>
          <w:tcPr>
            <w:tcW w:type="dxa" w:w="3485"/>
            <w:shd w:fill="EAF7F7"/>
            <w:vAlign w:val="center"/>
            <w:tcMar>
              <w:top w:w="55" w:type="dxa"/>
              <w:start w:w="65" w:type="dxa"/>
              <w:bottom w:w="55" w:type="dxa"/>
              <w:end w:w="65" w:type="dxa"/>
            </w:tcMar>
          </w:tcPr>
          <w:p>
            <w:pPr>
              <w:spacing w:after="0"/>
            </w:pPr>
            <w:r>
              <w:rPr>
                <w:sz w:val="16"/>
              </w:rPr>
              <w:t>Correct. This option directly addresses client access versus record ownership through accurate documentation and accountability and current law and applicability review.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Deny access because ownership controls every record right.</w:t>
            </w:r>
          </w:p>
        </w:tc>
        <w:tc>
          <w:tcPr>
            <w:tcW w:type="dxa" w:w="3485"/>
            <w:vAlign w:val="center"/>
            <w:tcMar>
              <w:top w:w="55" w:type="dxa"/>
              <w:start w:w="65" w:type="dxa"/>
              <w:bottom w:w="55" w:type="dxa"/>
              <w:end w:w="65" w:type="dxa"/>
            </w:tcMar>
          </w:tcPr>
          <w:p>
            <w:pPr>
              <w:spacing w:after="0"/>
            </w:pPr>
            <w:r>
              <w:rPr>
                <w:sz w:val="16"/>
              </w:rPr>
              <w:t>Incorrect. It does not adequately address client access versus record ownership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apply the client-access law and any valid exceptions or procedures; ownership of the physical or electronic record does not eliminate statutory access rights.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Allow access only after the client files a lawsuit.</w:t>
            </w:r>
          </w:p>
        </w:tc>
        <w:tc>
          <w:tcPr>
            <w:tcW w:type="dxa" w:w="3485"/>
            <w:vAlign w:val="center"/>
            <w:tcMar>
              <w:top w:w="55" w:type="dxa"/>
              <w:start w:w="65" w:type="dxa"/>
              <w:bottom w:w="55" w:type="dxa"/>
              <w:end w:w="65" w:type="dxa"/>
            </w:tcMar>
          </w:tcPr>
          <w:p>
            <w:pPr>
              <w:spacing w:after="0"/>
            </w:pPr>
            <w:r>
              <w:rPr>
                <w:sz w:val="16"/>
              </w:rPr>
              <w:t>Incorrect. It does not adequately address client access versus record ownership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apply the client-access law and any valid exceptions or procedures; ownership of the physical or electronic record does not eliminate statutory access rights.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Release records only to another clinician, never to the client.</w:t>
            </w:r>
          </w:p>
        </w:tc>
        <w:tc>
          <w:tcPr>
            <w:tcW w:type="dxa" w:w="3485"/>
            <w:vAlign w:val="center"/>
            <w:tcMar>
              <w:top w:w="55" w:type="dxa"/>
              <w:start w:w="65" w:type="dxa"/>
              <w:bottom w:w="55" w:type="dxa"/>
              <w:end w:w="65" w:type="dxa"/>
            </w:tcMar>
          </w:tcPr>
          <w:p>
            <w:pPr>
              <w:spacing w:after="0"/>
            </w:pPr>
            <w:r>
              <w:rPr>
                <w:sz w:val="16"/>
              </w:rPr>
              <w:t>Incorrect. It does not adequately address client access versus record ownership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apply the client-access law and any valid exceptions or procedures; ownership of the physical or electronic record does not eliminate statutory access rights.</w:t>
            </w:r>
          </w:p>
        </w:tc>
      </w:tr>
    </w:tbl>
    <w:p>
      <w:pPr>
        <w:pStyle w:val="Heading2"/>
      </w:pPr>
      <w:r>
        <w:t>Why the Key Controls</w:t>
      </w:r>
    </w:p>
    <w:p>
      <w:r>
        <w:t>The controlling issue is client access versus record ownership. The keyed response is the most complete because it requires accurate documentation and accountability and current law and applicability review. That approach is consistent with the cited source family (California Health and Safety Code 123100 et seq.; NASW Code 1.08 and 3.04)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Client access versus record ownership</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CLIENT-ACCESS-VERSUS-RECORD-OWNERSHIP</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Health and Safety Code 123100 et seq.; NASW Code 1.08 and 3.04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37 - Controlled Rationale</w:t>
      </w:r>
    </w:p>
    <w:p>
      <w:r>
        <w:rPr>
          <w:b/>
        </w:rPr>
        <w:t xml:space="preserve">Item ID: </w:t>
      </w:r>
      <w:r>
        <w:t>CTA-EP-002-CUM-F-037</w:t>
      </w:r>
    </w:p>
    <w:p>
      <w:r>
        <w:rPr>
          <w:b/>
        </w:rPr>
        <w:t xml:space="preserve">Stem: </w:t>
      </w:r>
      <w:r>
        <w:t>An ASW works at two agencies and meets with the same outside LCSW. Agency One has a written oversight agreement and gives the LCSW access to records; Agency Two permits only verbal case summaries and has not authorized the LCSW to supervise. Which analysis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r>
              <w:t>The arrangement may qualify as supervision for Agency One but remains consultation for Agency Two until lawful oversight, access, and responsibility are established for that setting.</w:t>
            </w:r>
          </w:p>
        </w:tc>
        <w:tc>
          <w:tcPr>
            <w:tcW w:type="dxa" w:w="3485"/>
            <w:shd w:fill="EAF7F7"/>
            <w:vAlign w:val="center"/>
            <w:tcMar>
              <w:top w:w="55" w:type="dxa"/>
              <w:start w:w="65" w:type="dxa"/>
              <w:bottom w:w="55" w:type="dxa"/>
              <w:end w:w="65" w:type="dxa"/>
            </w:tcMar>
          </w:tcPr>
          <w:p>
            <w:r>
              <w:t>Correct. The two settings must be evaluated separately, and only the setting with lawful oversight, access, and supervisory responsibility may qualify.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r>
              <w:t>All meetings count as supervision because the same licensed LCSW attends them.</w:t>
            </w:r>
          </w:p>
        </w:tc>
        <w:tc>
          <w:tcPr>
            <w:tcW w:type="dxa" w:w="3485"/>
            <w:vAlign w:val="center"/>
            <w:tcMar>
              <w:top w:w="55" w:type="dxa"/>
              <w:start w:w="65" w:type="dxa"/>
              <w:bottom w:w="55" w:type="dxa"/>
              <w:end w:w="65" w:type="dxa"/>
            </w:tcMar>
          </w:tcPr>
          <w:p>
            <w:r>
              <w:t>Incorrect. The supervisor’s license and identity do not extend a valid arrangement automatically across employers and settings.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r>
              <w:t>All meetings count if the combined weekly meeting lasts at least one hour.</w:t>
            </w:r>
          </w:p>
        </w:tc>
        <w:tc>
          <w:tcPr>
            <w:tcW w:type="dxa" w:w="3485"/>
            <w:vAlign w:val="center"/>
            <w:tcMar>
              <w:top w:w="55" w:type="dxa"/>
              <w:start w:w="65" w:type="dxa"/>
              <w:bottom w:w="55" w:type="dxa"/>
              <w:end w:w="65" w:type="dxa"/>
            </w:tcMar>
          </w:tcPr>
          <w:p>
            <w:r>
              <w:t>Incorrect. Meeting length cannot cure missing employer authorization, record access, oversight, and responsibility.</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r>
              <w:t>None of the meetings can ever qualify because an outside LCSW may not supervise an ASW.</w:t>
            </w:r>
          </w:p>
        </w:tc>
        <w:tc>
          <w:tcPr>
            <w:tcW w:type="dxa" w:w="3485"/>
            <w:vAlign w:val="center"/>
            <w:tcMar>
              <w:top w:w="55" w:type="dxa"/>
              <w:start w:w="65" w:type="dxa"/>
              <w:bottom w:w="55" w:type="dxa"/>
              <w:end w:w="65" w:type="dxa"/>
            </w:tcMar>
          </w:tcPr>
          <w:p>
            <w:r>
              <w:t>Incorrect. An outside supervisor may qualify when the required agreements, access, authority, and other controls are in place.</w:t>
            </w:r>
          </w:p>
        </w:tc>
      </w:tr>
    </w:tbl>
    <w:p>
      <w:pPr>
        <w:pStyle w:val="Heading2"/>
      </w:pPr>
      <w:r>
        <w:t>Why the Key Controls</w:t>
      </w:r>
    </w:p>
    <w:p>
      <w:r>
        <w:t>Supervision must be established for each setting in which experience is gained. The written oversight, record access, authority, and responsibility at Agency One may support lawful supervision; verbal summaries without employer authorization or access at Agency Two describe consultation until the missing structure is repaired.</w:t>
      </w:r>
    </w:p>
    <w:p>
      <w:pPr>
        <w:pStyle w:val="Heading2"/>
      </w:pPr>
      <w:r>
        <w:t>CTA Exam Strategy</w:t>
      </w:r>
    </w:p>
    <w:p>
      <w:r>
        <w:t>Analyze supervision setting by setting. A valid structure at one employer does not automatically convert work at another employer into supervised experience.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r>
              <w:t>Setting-specific supervision versus consultation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WB3 - Professional Competence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r>
              <w:t>SETTING-SPECIFIC-SUPERVISION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BBS supervision agreement and ASW FAQ; NASW Code 3.01</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38 - Controlled Rationale</w:t>
      </w:r>
    </w:p>
    <w:p>
      <w:r>
        <w:rPr>
          <w:b/>
        </w:rPr>
        <w:t xml:space="preserve">Item ID: </w:t>
      </w:r>
      <w:r>
        <w:t>CTA-EP-002-CUM-F-038</w:t>
      </w:r>
    </w:p>
    <w:p>
      <w:r>
        <w:rPr>
          <w:b/>
        </w:rPr>
        <w:t xml:space="preserve">Stem: </w:t>
      </w:r>
      <w:r>
        <w:t>A clinic’s intake forms and scheduling system repeatedly exclude clients using screen readers and clients with limited literacy. What is the appropriate response?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Teach each client to adapt to the existing system.</w:t>
            </w:r>
          </w:p>
        </w:tc>
        <w:tc>
          <w:tcPr>
            <w:tcW w:type="dxa" w:w="3485"/>
            <w:vAlign w:val="center"/>
            <w:tcMar>
              <w:top w:w="55" w:type="dxa"/>
              <w:start w:w="65" w:type="dxa"/>
              <w:bottom w:w="55" w:type="dxa"/>
              <w:end w:w="65" w:type="dxa"/>
            </w:tcMar>
          </w:tcPr>
          <w:p>
            <w:pPr>
              <w:spacing w:after="0"/>
            </w:pPr>
            <w:r>
              <w:rPr>
                <w:sz w:val="16"/>
              </w:rPr>
              <w:t>Incorrect. It does not adequately address organizational disability-access barrier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protect current access, document the pattern, use leadership or compliance channels, and redesign forms and workflows for effective communication.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Refer all affected clients elsewhere.</w:t>
            </w:r>
          </w:p>
        </w:tc>
        <w:tc>
          <w:tcPr>
            <w:tcW w:type="dxa" w:w="3485"/>
            <w:vAlign w:val="center"/>
            <w:tcMar>
              <w:top w:w="55" w:type="dxa"/>
              <w:start w:w="65" w:type="dxa"/>
              <w:bottom w:w="55" w:type="dxa"/>
              <w:end w:w="65" w:type="dxa"/>
            </w:tcMar>
          </w:tcPr>
          <w:p>
            <w:pPr>
              <w:spacing w:after="0"/>
            </w:pPr>
            <w:r>
              <w:rPr>
                <w:sz w:val="16"/>
              </w:rPr>
              <w:t>Incorrect. It does not adequately address organizational disability-access barrier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protect current access, document the pattern, use leadership or compliance channels, and redesign forms and workflows for effective communication.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Treat incomplete forms as proof that clients are not ready for therapy.</w:t>
            </w:r>
          </w:p>
        </w:tc>
        <w:tc>
          <w:tcPr>
            <w:tcW w:type="dxa" w:w="3485"/>
            <w:vAlign w:val="center"/>
            <w:tcMar>
              <w:top w:w="55" w:type="dxa"/>
              <w:start w:w="65" w:type="dxa"/>
              <w:bottom w:w="55" w:type="dxa"/>
              <w:end w:w="65" w:type="dxa"/>
            </w:tcMar>
          </w:tcPr>
          <w:p>
            <w:pPr>
              <w:spacing w:after="0"/>
            </w:pPr>
            <w:r>
              <w:rPr>
                <w:sz w:val="16"/>
              </w:rPr>
              <w:t>Incorrect. It does not adequately address organizational disability-access barrier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protect current access, document the pattern, use leadership or compliance channels, and redesign forms and workflows for effective communication.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Protect current access, document the pattern, use leadership or compliance channels, and redesign forms and workflows for effective communication.</w:t>
            </w:r>
          </w:p>
        </w:tc>
        <w:tc>
          <w:tcPr>
            <w:tcW w:type="dxa" w:w="3485"/>
            <w:shd w:fill="EAF7F7"/>
            <w:vAlign w:val="center"/>
            <w:tcMar>
              <w:top w:w="55" w:type="dxa"/>
              <w:start w:w="65" w:type="dxa"/>
              <w:bottom w:w="55" w:type="dxa"/>
              <w:end w:w="65" w:type="dxa"/>
            </w:tcMar>
          </w:tcPr>
          <w:p>
            <w:pPr>
              <w:spacing w:after="0"/>
            </w:pPr>
            <w:r>
              <w:rPr>
                <w:sz w:val="16"/>
              </w:rPr>
              <w:t>Correct. This option directly addresses organizational disability-access barrier through immediate client protection and proportionate risk management, accurate documentation and accountability, effective access and communication and current law and applicability review.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organizational disability-access barrier. The keyed response is the most complete because it requires immediate client protection and proportionate risk management, accurate documentation and accountability, effective access and communication, and current law and applicability review. That approach is consistent with the cited source family (ADA and California access law as applicable; NASW Code 3.07, 3.09, and 6.04)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Organizational disability-access barrier</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ORGANIZATIONAL-DISABILITY-ACCESS-BARRIER</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ADA and California access law as applicable; NASW Code 3.07, 3.09, and 6.04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39 - Controlled Rationale</w:t>
      </w:r>
    </w:p>
    <w:p>
      <w:r>
        <w:rPr>
          <w:b/>
        </w:rPr>
        <w:t xml:space="preserve">Item ID: </w:t>
      </w:r>
      <w:r>
        <w:t>CTA-EP-002-CUM-F-039</w:t>
      </w:r>
    </w:p>
    <w:p>
      <w:r>
        <w:rPr>
          <w:b/>
        </w:rPr>
        <w:t xml:space="preserve">Stem: </w:t>
      </w:r>
      <w:r>
        <w:t>The clinic discovers that a telehealth session link was accidentally sent to the wrong client, who briefly entered another client’s session. What is the appropriate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Delete the calendar entry and avoid documenting the event.</w:t>
            </w:r>
          </w:p>
        </w:tc>
        <w:tc>
          <w:tcPr>
            <w:tcW w:type="dxa" w:w="3485"/>
            <w:vAlign w:val="center"/>
            <w:tcMar>
              <w:top w:w="55" w:type="dxa"/>
              <w:start w:w="65" w:type="dxa"/>
              <w:bottom w:w="55" w:type="dxa"/>
              <w:end w:w="65" w:type="dxa"/>
            </w:tcMar>
          </w:tcPr>
          <w:p>
            <w:pPr>
              <w:spacing w:after="0"/>
            </w:pPr>
            <w:r>
              <w:rPr>
                <w:sz w:val="16"/>
              </w:rPr>
              <w:t>Incorrect. It undermines transparency, documentation integrity, review, and the ability to protect the client or correct the problem. The keyed response is superior because it instead requires the social worker to contain the access, protect affected clients, notify appropriate privacy and organizational personnel, document facts, evaluate required notice, and correct the workflow.</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Tell only the clinician because no medical diagnosis was displayed.</w:t>
            </w:r>
          </w:p>
        </w:tc>
        <w:tc>
          <w:tcPr>
            <w:tcW w:type="dxa" w:w="3485"/>
            <w:vAlign w:val="center"/>
            <w:tcMar>
              <w:top w:w="55" w:type="dxa"/>
              <w:start w:w="65" w:type="dxa"/>
              <w:bottom w:w="55" w:type="dxa"/>
              <w:end w:w="65" w:type="dxa"/>
            </w:tcMar>
          </w:tcPr>
          <w:p>
            <w:pPr>
              <w:spacing w:after="0"/>
            </w:pPr>
            <w:r>
              <w:rPr>
                <w:sz w:val="16"/>
              </w:rPr>
              <w:t>Incorrect. It does not adequately address telehealth platform security incident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contain the access, protect affected clients, notify appropriate privacy and organizational personnel, document facts, evaluate required notice, and correct the workflow.</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Contain the access, protect affected clients, notify appropriate privacy and organizational personnel, document facts, evaluate required notice, and correct the workflow.</w:t>
            </w:r>
          </w:p>
        </w:tc>
        <w:tc>
          <w:tcPr>
            <w:tcW w:type="dxa" w:w="3485"/>
            <w:shd w:fill="EAF7F7"/>
            <w:vAlign w:val="center"/>
            <w:tcMar>
              <w:top w:w="55" w:type="dxa"/>
              <w:start w:w="65" w:type="dxa"/>
              <w:bottom w:w="55" w:type="dxa"/>
              <w:end w:w="65" w:type="dxa"/>
            </w:tcMar>
          </w:tcPr>
          <w:p>
            <w:pPr>
              <w:spacing w:after="0"/>
            </w:pPr>
            <w:r>
              <w:rPr>
                <w:sz w:val="16"/>
              </w:rPr>
              <w:t>Correct. This option directly addresses telehealth platform security incident through immediate client protection and proportionate risk management, accurate documentation and accountability and correction and prevention of recurrence.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wrong client to promise silence and take no further action.</w:t>
            </w:r>
          </w:p>
        </w:tc>
        <w:tc>
          <w:tcPr>
            <w:tcW w:type="dxa" w:w="3485"/>
            <w:vAlign w:val="center"/>
            <w:tcMar>
              <w:top w:w="55" w:type="dxa"/>
              <w:start w:w="65" w:type="dxa"/>
              <w:bottom w:w="55" w:type="dxa"/>
              <w:end w:w="65" w:type="dxa"/>
            </w:tcMar>
          </w:tcPr>
          <w:p>
            <w:pPr>
              <w:spacing w:after="0"/>
            </w:pPr>
            <w:r>
              <w:rPr>
                <w:sz w:val="16"/>
              </w:rPr>
              <w:t>Incorrect. It promises an outcome the clinician cannot control and misstates the limits of law, confidentiality, or third-party behavior. The keyed response is superior because it instead requires the social worker to contain the access, protect affected clients, notify appropriate privacy and organizational personnel, document facts, evaluate required notice, and correct the workflow.</w:t>
            </w:r>
          </w:p>
        </w:tc>
      </w:tr>
    </w:tbl>
    <w:p>
      <w:pPr>
        <w:pStyle w:val="Heading2"/>
      </w:pPr>
      <w:r>
        <w:t>Why the Key Controls</w:t>
      </w:r>
    </w:p>
    <w:p>
      <w:r>
        <w:t>The controlling issue is telehealth platform security incident. The keyed response is the most complete because it requires immediate client protection and proportionate risk management, accurate documentation and accountability, and correction and prevention of recurrence. That approach is consistent with the cited source family (California privacy and breach law; NASW Code 1.07 and 1.15; organizational incident procedures)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Telehealth platform security incident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TELEHEALTH-PLATFORM-SECURITY-INCIDENT</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privacy and breach law; NASW Code 1.07 and 1.15; organizational incident procedures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40 - Controlled Rationale</w:t>
      </w:r>
    </w:p>
    <w:p>
      <w:r>
        <w:rPr>
          <w:b/>
        </w:rPr>
        <w:t xml:space="preserve">Item ID: </w:t>
      </w:r>
      <w:r>
        <w:t>CTA-EP-002-CUM-F-040</w:t>
      </w:r>
    </w:p>
    <w:p>
      <w:r>
        <w:rPr>
          <w:b/>
        </w:rPr>
        <w:t xml:space="preserve">Stem: </w:t>
      </w:r>
      <w:r>
        <w:t>A relative pays for an adult client’s therapy and demands the record, claiming payment makes the relative the privilege holder.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Explain that payment alone does not determine client status, privilege, or access, and disclose only with valid authority or legal basis.</w:t>
            </w:r>
          </w:p>
        </w:tc>
        <w:tc>
          <w:tcPr>
            <w:tcW w:type="dxa" w:w="3485"/>
            <w:shd w:fill="EAF7F7"/>
            <w:vAlign w:val="center"/>
            <w:tcMar>
              <w:top w:w="55" w:type="dxa"/>
              <w:start w:w="65" w:type="dxa"/>
              <w:bottom w:w="55" w:type="dxa"/>
              <w:end w:w="65" w:type="dxa"/>
            </w:tcMar>
          </w:tcPr>
          <w:p>
            <w:pPr>
              <w:spacing w:after="0"/>
            </w:pPr>
            <w:r>
              <w:rPr>
                <w:sz w:val="16"/>
              </w:rPr>
              <w:t>Correct. This option directly addresses payer status versus privilege and access through clear role, consent, and expectation-setting and verification of the controlling facts and authority.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Release the record because the relative financed treatment.</w:t>
            </w:r>
          </w:p>
        </w:tc>
        <w:tc>
          <w:tcPr>
            <w:tcW w:type="dxa" w:w="3485"/>
            <w:vAlign w:val="center"/>
            <w:tcMar>
              <w:top w:w="55" w:type="dxa"/>
              <w:start w:w="65" w:type="dxa"/>
              <w:bottom w:w="55" w:type="dxa"/>
              <w:end w:w="65" w:type="dxa"/>
            </w:tcMar>
          </w:tcPr>
          <w:p>
            <w:pPr>
              <w:spacing w:after="0"/>
            </w:pPr>
            <w:r>
              <w:rPr>
                <w:sz w:val="16"/>
              </w:rPr>
              <w:t>Incorrect. It does not adequately address payer status versus privilege and access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explain that payment alone does not determine client status, privilege, or access, and disclose only with valid authority or legal basis.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Give only the diagnosis because privilege does not cover diagnoses.</w:t>
            </w:r>
          </w:p>
        </w:tc>
        <w:tc>
          <w:tcPr>
            <w:tcW w:type="dxa" w:w="3485"/>
            <w:vAlign w:val="center"/>
            <w:tcMar>
              <w:top w:w="55" w:type="dxa"/>
              <w:start w:w="65" w:type="dxa"/>
              <w:bottom w:w="55" w:type="dxa"/>
              <w:end w:w="65" w:type="dxa"/>
            </w:tcMar>
          </w:tcPr>
          <w:p>
            <w:pPr>
              <w:spacing w:after="0"/>
            </w:pPr>
            <w:r>
              <w:rPr>
                <w:sz w:val="16"/>
              </w:rPr>
              <w:t>Incorrect. It does not adequately address payer status versus privilege and access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explain that payment alone does not determine client status, privilege, or access, and disclose only with valid authority or legal basis.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Transfer privilege to the payer through a billing form.</w:t>
            </w:r>
          </w:p>
        </w:tc>
        <w:tc>
          <w:tcPr>
            <w:tcW w:type="dxa" w:w="3485"/>
            <w:vAlign w:val="center"/>
            <w:tcMar>
              <w:top w:w="55" w:type="dxa"/>
              <w:start w:w="65" w:type="dxa"/>
              <w:bottom w:w="55" w:type="dxa"/>
              <w:end w:w="65" w:type="dxa"/>
            </w:tcMar>
          </w:tcPr>
          <w:p>
            <w:pPr>
              <w:spacing w:after="0"/>
            </w:pPr>
            <w:r>
              <w:rPr>
                <w:sz w:val="16"/>
              </w:rPr>
              <w:t>Incorrect. It does not adequately address payer status versus privilege and access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explain that payment alone does not determine client status, privilege, or access, and disclose only with valid authority or legal basis.</w:t>
            </w:r>
          </w:p>
        </w:tc>
      </w:tr>
    </w:tbl>
    <w:p>
      <w:pPr>
        <w:pStyle w:val="Heading2"/>
      </w:pPr>
      <w:r>
        <w:t>Why the Key Controls</w:t>
      </w:r>
    </w:p>
    <w:p>
      <w:r>
        <w:t>The controlling issue is payer status versus privilege and access. The keyed response is the most complete because it requires clear role, consent, and expectation-setting and verification of the controlling facts and authority. That approach is consistent with the cited source family (California confidentiality and privilege law; NASW Code 1.03 and 1.07)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Payer status versus privilege and access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PAYER-STATUS-VERSUS-PRIVILEGE-AND-ACCESS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confidentiality and privilege law; NASW Code 1.03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41 - Controlled Rationale</w:t>
      </w:r>
    </w:p>
    <w:p>
      <w:r>
        <w:rPr>
          <w:b/>
        </w:rPr>
        <w:t xml:space="preserve">Item ID: </w:t>
      </w:r>
      <w:r>
        <w:t>CTA-EP-002-CUM-F-041</w:t>
      </w:r>
    </w:p>
    <w:p>
      <w:r>
        <w:rPr>
          <w:b/>
        </w:rPr>
        <w:t xml:space="preserve">Stem: </w:t>
      </w:r>
      <w:r>
        <w:t>A treating LCSW is asked to become the neutral evaluator in a contested matter involving the same client and opposing family members. What is the appropriate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Accept because long treatment history makes the clinician the most neutral person.</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clarify the treatment role, assess conflicts and specialized competence, and use an independent qualified evaluator when neutrality cannot be maintained.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Accept after asking only the treatment client for a waiver.</w:t>
            </w:r>
          </w:p>
        </w:tc>
        <w:tc>
          <w:tcPr>
            <w:tcW w:type="dxa" w:w="3485"/>
            <w:vAlign w:val="center"/>
            <w:tcMar>
              <w:top w:w="55" w:type="dxa"/>
              <w:start w:w="65" w:type="dxa"/>
              <w:bottom w:w="55" w:type="dxa"/>
              <w:end w:w="65" w:type="dxa"/>
            </w:tcMar>
          </w:tcPr>
          <w:p>
            <w:pPr>
              <w:spacing w:after="0"/>
            </w:pPr>
            <w:r>
              <w:rPr>
                <w:sz w:val="16"/>
              </w:rPr>
              <w:t>Incorrect. A client signature cannot create legal authority, competence, truthful status, safety, or freedom from a professional duty. The keyed response is superior because it instead requires the social worker to clarify the treatment role, assess conflicts and specialized competence, and use an independent qualified evaluator when neutrality cannot be maintained.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Clarify the treatment role, assess conflicts and specialized competence, and use an independent qualified evaluator when neutrality cannot be maintained.</w:t>
            </w:r>
          </w:p>
        </w:tc>
        <w:tc>
          <w:tcPr>
            <w:tcW w:type="dxa" w:w="3485"/>
            <w:shd w:fill="EAF7F7"/>
            <w:vAlign w:val="center"/>
            <w:tcMar>
              <w:top w:w="55" w:type="dxa"/>
              <w:start w:w="65" w:type="dxa"/>
              <w:bottom w:w="55" w:type="dxa"/>
              <w:end w:w="65" w:type="dxa"/>
            </w:tcMar>
          </w:tcPr>
          <w:p>
            <w:pPr>
              <w:spacing w:after="0"/>
            </w:pPr>
            <w:r>
              <w:rPr>
                <w:sz w:val="16"/>
              </w:rPr>
              <w:t>Correct. This option directly addresses treating clinician asked to conduct neutral evaluation through clear role, consent, and expectation-setting and boundary and conflict-of-interest safeguards.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Issue an opinion about every party based solely on the treatment client’s statements.</w:t>
            </w:r>
          </w:p>
        </w:tc>
        <w:tc>
          <w:tcPr>
            <w:tcW w:type="dxa" w:w="3485"/>
            <w:vAlign w:val="center"/>
            <w:tcMar>
              <w:top w:w="55" w:type="dxa"/>
              <w:start w:w="65" w:type="dxa"/>
              <w:bottom w:w="55" w:type="dxa"/>
              <w:end w:w="65" w:type="dxa"/>
            </w:tcMar>
          </w:tcPr>
          <w:p>
            <w:pPr>
              <w:spacing w:after="0"/>
            </w:pPr>
            <w:r>
              <w:rPr>
                <w:sz w:val="16"/>
              </w:rPr>
              <w:t>Incorrect. It does not adequately address treating clinician asked to conduct neutral evaluation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clarify the treatment role, assess conflicts and specialized competence, and use an independent qualified evaluator when neutrality cannot be maintained.</w:t>
            </w:r>
          </w:p>
        </w:tc>
      </w:tr>
    </w:tbl>
    <w:p>
      <w:pPr>
        <w:pStyle w:val="Heading2"/>
      </w:pPr>
      <w:r>
        <w:t>Why the Key Controls</w:t>
      </w:r>
    </w:p>
    <w:p>
      <w:r>
        <w:t>The controlling issue is treating clinician asked to conduct neutral evaluation. The keyed response is the most complete because it requires clear role, consent, and expectation-setting and boundary and conflict-of-interest safeguards. That approach is consistent with the cited source family (NASW Code 1.04, 1.06, and 4.06; role-specific California court rules as applicable)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Treating clinician asked to conduct neutral evaluation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WB3 - Professional Competence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TREATING-CLINICIAN-ASKED-TO-CONDUCT-NEUTRAL-</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1.04, 1.06, and 4.06; role-specific California court rules as applicable</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42 - Controlled Rationale</w:t>
      </w:r>
    </w:p>
    <w:p>
      <w:r>
        <w:rPr>
          <w:b/>
        </w:rPr>
        <w:t xml:space="preserve">Item ID: </w:t>
      </w:r>
      <w:r>
        <w:t>CTA-EP-002-CUM-F-042</w:t>
      </w:r>
    </w:p>
    <w:p>
      <w:r>
        <w:rPr>
          <w:b/>
        </w:rPr>
        <w:t xml:space="preserve">Stem: </w:t>
      </w:r>
      <w:r>
        <w:t>An LCSW discovers that a clinically important fact was omitted from a note finalized three days earlier. What should the social worker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Rewrite the original note so no one can see that it changed.</w:t>
            </w:r>
          </w:p>
        </w:tc>
        <w:tc>
          <w:tcPr>
            <w:tcW w:type="dxa" w:w="3485"/>
            <w:vAlign w:val="center"/>
            <w:tcMar>
              <w:top w:w="55" w:type="dxa"/>
              <w:start w:w="65" w:type="dxa"/>
              <w:bottom w:w="55" w:type="dxa"/>
              <w:end w:w="65" w:type="dxa"/>
            </w:tcMar>
          </w:tcPr>
          <w:p>
            <w:pPr>
              <w:spacing w:after="0"/>
            </w:pPr>
            <w:r>
              <w:rPr>
                <w:sz w:val="16"/>
              </w:rPr>
              <w:t>Incorrect. It does not adequately address late entry and transparent correction and omits the role, authority, timing, proportionality, documentation, or continuity controls needed for mandated action, emergency protection, risk assessment, disclosure limits, and follow-through. The keyed response is superior because it instead requires the social worker to add a dated transparent late entry or addendum that preserves the original record and accurately states the omitted information.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Backdate the correction to the session date.</w:t>
            </w:r>
          </w:p>
        </w:tc>
        <w:tc>
          <w:tcPr>
            <w:tcW w:type="dxa" w:w="3485"/>
            <w:vAlign w:val="center"/>
            <w:tcMar>
              <w:top w:w="55" w:type="dxa"/>
              <w:start w:w="65" w:type="dxa"/>
              <w:bottom w:w="55" w:type="dxa"/>
              <w:end w:w="65" w:type="dxa"/>
            </w:tcMar>
          </w:tcPr>
          <w:p>
            <w:pPr>
              <w:spacing w:after="0"/>
            </w:pPr>
            <w:r>
              <w:rPr>
                <w:sz w:val="16"/>
              </w:rPr>
              <w:t>Incorrect. It compromises record integrity and may conceal rather than correct the underlying problem. The keyed response is superior because it instead requires the social worker to add a dated transparent late entry or addendum that preserves the original record and accurately states the omitted information.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Delete the note and create a new record without an audit trail.</w:t>
            </w:r>
          </w:p>
        </w:tc>
        <w:tc>
          <w:tcPr>
            <w:tcW w:type="dxa" w:w="3485"/>
            <w:vAlign w:val="center"/>
            <w:tcMar>
              <w:top w:w="55" w:type="dxa"/>
              <w:start w:w="65" w:type="dxa"/>
              <w:bottom w:w="55" w:type="dxa"/>
              <w:end w:w="65" w:type="dxa"/>
            </w:tcMar>
          </w:tcPr>
          <w:p>
            <w:pPr>
              <w:spacing w:after="0"/>
            </w:pPr>
            <w:r>
              <w:rPr>
                <w:sz w:val="16"/>
              </w:rPr>
              <w:t>Incorrect. It does not adequately address late entry and transparent correction and omits the role, authority, timing, proportionality, documentation, or continuity controls needed for mandated action, emergency protection, risk assessment, disclosure limits, and follow-through. The keyed response is superior because it instead requires the social worker to add a dated transparent late entry or addendum that preserves the original record and accurately states the omitted information.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Add a dated transparent late entry or addendum that preserves the original record and accurately states the omitted information.</w:t>
            </w:r>
          </w:p>
        </w:tc>
        <w:tc>
          <w:tcPr>
            <w:tcW w:type="dxa" w:w="3485"/>
            <w:shd w:fill="EAF7F7"/>
            <w:vAlign w:val="center"/>
            <w:tcMar>
              <w:top w:w="55" w:type="dxa"/>
              <w:start w:w="65" w:type="dxa"/>
              <w:bottom w:w="55" w:type="dxa"/>
              <w:end w:w="65" w:type="dxa"/>
            </w:tcMar>
          </w:tcPr>
          <w:p>
            <w:pPr>
              <w:spacing w:after="0"/>
            </w:pPr>
            <w:r>
              <w:rPr>
                <w:sz w:val="16"/>
              </w:rPr>
              <w:t>Correct. This option directly addresses late entry and transparent correction through clear role, consent, and expectation-setting and accurate documentation and accountability.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late entry and transparent correction. The keyed response is the most complete because it requires clear role, consent, and expectation-setting and accurate documentation and accountability. That approach is consistent with the cited source family (California record law; NASW Code 3.04)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Late entry and transparent correction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LATE-ENTRY-AND-TRANSPARENT-CORRECTION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record law; NASW Code 3.04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43 - Controlled Rationale</w:t>
      </w:r>
    </w:p>
    <w:p>
      <w:r>
        <w:rPr>
          <w:b/>
        </w:rPr>
        <w:t xml:space="preserve">Item ID: </w:t>
      </w:r>
      <w:r>
        <w:t>CTA-EP-002-CUM-F-043</w:t>
      </w:r>
    </w:p>
    <w:p>
      <w:r>
        <w:rPr>
          <w:b/>
        </w:rPr>
        <w:t xml:space="preserve">Stem: </w:t>
      </w:r>
      <w:r>
        <w:t>A clinician interprets a client’s culturally unfamiliar communication style as evidence of pathology without asking about meaning or context. What should the social worker do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Keep the diagnosis because cultural discussion could bias the assessment.</w:t>
            </w:r>
          </w:p>
        </w:tc>
        <w:tc>
          <w:tcPr>
            <w:tcW w:type="dxa" w:w="3485"/>
            <w:vAlign w:val="center"/>
            <w:tcMar>
              <w:top w:w="55" w:type="dxa"/>
              <w:start w:w="65" w:type="dxa"/>
              <w:bottom w:w="55" w:type="dxa"/>
              <w:end w:w="65" w:type="dxa"/>
            </w:tcMar>
          </w:tcPr>
          <w:p>
            <w:pPr>
              <w:spacing w:after="0"/>
            </w:pPr>
            <w:r>
              <w:rPr>
                <w:sz w:val="16"/>
              </w:rPr>
              <w:t>Incorrect. It does not adequately address cultural humility and diagnostic formulation and omits the role, authority, timing, proportionality, documentation, or continuity controls needed for competence, integrity, impairment, bias, consultation, and truthful professional conduct. The keyed response is superior because it instead requires the social worker to reexamine assumptions, ask the client about meaning and context, use appropriate consultation and structured assessment, and revise the formulation as needed.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Reexamine assumptions, ask the client about meaning and context, use appropriate consultation and structured assessment, and revise the formulation as needed.</w:t>
            </w:r>
          </w:p>
        </w:tc>
        <w:tc>
          <w:tcPr>
            <w:tcW w:type="dxa" w:w="3485"/>
            <w:shd w:fill="EAF7F7"/>
            <w:vAlign w:val="center"/>
            <w:tcMar>
              <w:top w:w="55" w:type="dxa"/>
              <w:start w:w="65" w:type="dxa"/>
              <w:bottom w:w="55" w:type="dxa"/>
              <w:end w:w="65" w:type="dxa"/>
            </w:tcMar>
          </w:tcPr>
          <w:p>
            <w:pPr>
              <w:spacing w:after="0"/>
            </w:pPr>
            <w:r>
              <w:rPr>
                <w:sz w:val="16"/>
              </w:rPr>
              <w:t>Correct. This option directly addresses cultural humility and diagnostic formulation through competence support through consultation, training, or qualified supervision.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Use a stereotype about the client’s community to confirm the diagnosis.</w:t>
            </w:r>
          </w:p>
        </w:tc>
        <w:tc>
          <w:tcPr>
            <w:tcW w:type="dxa" w:w="3485"/>
            <w:vAlign w:val="center"/>
            <w:tcMar>
              <w:top w:w="55" w:type="dxa"/>
              <w:start w:w="65" w:type="dxa"/>
              <w:bottom w:w="55" w:type="dxa"/>
              <w:end w:w="65" w:type="dxa"/>
            </w:tcMar>
          </w:tcPr>
          <w:p>
            <w:pPr>
              <w:spacing w:after="0"/>
            </w:pPr>
            <w:r>
              <w:rPr>
                <w:sz w:val="16"/>
              </w:rPr>
              <w:t>Incorrect. It does not adequately address cultural humility and diagnostic formulation and omits the role, authority, timing, proportionality, documentation, or continuity controls needed for competence, integrity, impairment, bias, consultation, and truthful professional conduct. The keyed response is superior because it instead requires the social worker to reexamine assumptions, ask the client about meaning and context, use appropriate consultation and structured assessment, and revise the formulation as needed.</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Refer automatically to a clinician with the same identity.</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reexamine assumptions, ask the client about meaning and context, use appropriate consultation and structured assessment, and revise the formulation as needed.</w:t>
            </w:r>
          </w:p>
        </w:tc>
      </w:tr>
    </w:tbl>
    <w:p>
      <w:pPr>
        <w:pStyle w:val="Heading2"/>
      </w:pPr>
      <w:r>
        <w:t>Why the Key Controls</w:t>
      </w:r>
    </w:p>
    <w:p>
      <w:r>
        <w:t>The controlling issue is cultural humility and diagnostic formulation. The keyed response is the most complete because it requires competence support through consultation, training, or qualified supervision. That approach is consistent with the cited source family (NASW Code 1.05 and 4.02; NASW cultural-competence standards)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Cultural humility and diagnostic formulation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CULTURAL-HUMILITY-AND-DIAGNOSTIC-FORMULATION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1.05 and 4.02; NASW cultural-competence standards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44 - Controlled Rationale</w:t>
      </w:r>
    </w:p>
    <w:p>
      <w:r>
        <w:rPr>
          <w:b/>
        </w:rPr>
        <w:t xml:space="preserve">Item ID: </w:t>
      </w:r>
      <w:r>
        <w:t>CTA-EP-002-CUM-F-044</w:t>
      </w:r>
    </w:p>
    <w:p>
      <w:r>
        <w:rPr>
          <w:b/>
        </w:rPr>
        <w:t xml:space="preserve">Stem: </w:t>
      </w:r>
      <w:r>
        <w:t>An outside supervisor is expected to approve an ASW’s work but the employer refuses record access and can override every clinical directive.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Proceed because verbal case summaries are always sufficient.</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correct the written oversight, authority, record-access, and client-authorization structure before treating the arrangement as lawful supervision.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Proceed if the ASW promises to disclose every important fact.</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correct the written oversight, authority, record-access, and client-authorization structure before treating the arrangement as lawful supervision.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Correct the written oversight, authority, record-access, and client-authorization structure before treating the arrangement as lawful supervision.</w:t>
            </w:r>
          </w:p>
        </w:tc>
        <w:tc>
          <w:tcPr>
            <w:tcW w:type="dxa" w:w="3485"/>
            <w:shd w:fill="EAF7F7"/>
            <w:vAlign w:val="center"/>
            <w:tcMar>
              <w:top w:w="55" w:type="dxa"/>
              <w:start w:w="65" w:type="dxa"/>
              <w:bottom w:w="55" w:type="dxa"/>
              <w:end w:w="65" w:type="dxa"/>
            </w:tcMar>
          </w:tcPr>
          <w:p>
            <w:pPr>
              <w:spacing w:after="0"/>
            </w:pPr>
            <w:r>
              <w:rPr>
                <w:sz w:val="16"/>
              </w:rPr>
              <w:t>Correct. This option directly addresses external asw supervisor and meaningful authority through accurate documentation and accountability, competence support through consultation, training, or qualified supervision, current law and applicability review and correction and prevention of recurrence.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Allow the employer to decide when the supervisor may review records.</w:t>
            </w:r>
          </w:p>
        </w:tc>
        <w:tc>
          <w:tcPr>
            <w:tcW w:type="dxa" w:w="3485"/>
            <w:vAlign w:val="center"/>
            <w:tcMar>
              <w:top w:w="55" w:type="dxa"/>
              <w:start w:w="65" w:type="dxa"/>
              <w:bottom w:w="55" w:type="dxa"/>
              <w:end w:w="65" w:type="dxa"/>
            </w:tcMar>
          </w:tcPr>
          <w:p>
            <w:pPr>
              <w:spacing w:after="0"/>
            </w:pPr>
            <w:r>
              <w:rPr>
                <w:sz w:val="16"/>
              </w:rPr>
              <w:t>Incorrect. It does not adequately address external asw supervisor and meaningful authority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correct the written oversight, authority, record-access, and client-authorization structure before treating the arrangement as lawful supervision.</w:t>
            </w:r>
          </w:p>
        </w:tc>
      </w:tr>
    </w:tbl>
    <w:p>
      <w:pPr>
        <w:pStyle w:val="Heading2"/>
      </w:pPr>
      <w:r>
        <w:t>Why the Key Controls</w:t>
      </w:r>
    </w:p>
    <w:p>
      <w:r>
        <w:t>The controlling issue is external asw supervisor and meaningful authority. The keyed response is the most complete because it requires accurate documentation and accountability, competence support through consultation, training, or qualified supervision, current law and applicability review, and correction and prevention of recurrence. That approach is consistent with the cited source family (BPC 4996.23.2; BBS supervision and oversight agreements)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External ASW supervisor and meaningful authority</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WB3 - Professional Competence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EXTERNAL-ASW-SUPERVISOR-AND-MEANINGFUL-AUTHO</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4996.23.2; BBS supervision and oversight agreements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45 - Controlled Rationale</w:t>
      </w:r>
    </w:p>
    <w:p>
      <w:r>
        <w:rPr>
          <w:b/>
        </w:rPr>
        <w:t xml:space="preserve">Item ID: </w:t>
      </w:r>
      <w:r>
        <w:t>CTA-EP-002-CUM-F-045</w:t>
      </w:r>
    </w:p>
    <w:p>
      <w:r>
        <w:rPr>
          <w:b/>
        </w:rPr>
        <w:t xml:space="preserve">Stem: </w:t>
      </w:r>
      <w:r>
        <w:t>A competent adult declines the LCSW’s recommended intensive program and requests a less intensive option.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Terminate immediately because refusal proves the client is noncompliant.</w:t>
            </w:r>
          </w:p>
        </w:tc>
        <w:tc>
          <w:tcPr>
            <w:tcW w:type="dxa" w:w="3485"/>
            <w:vAlign w:val="center"/>
            <w:tcMar>
              <w:top w:w="55" w:type="dxa"/>
              <w:start w:w="65" w:type="dxa"/>
              <w:bottom w:w="55" w:type="dxa"/>
              <w:end w:w="65" w:type="dxa"/>
            </w:tcMar>
          </w:tcPr>
          <w:p>
            <w:pPr>
              <w:spacing w:after="0"/>
            </w:pPr>
            <w:r>
              <w:rPr>
                <w:sz w:val="16"/>
              </w:rPr>
              <w:t>Incorrect. It risks abandonment or loss of continuity and does not address immediate safety, transition, or documentation responsibilities. The keyed response is superior because it instead requires the social worker to explain material risks and alternatives, assess safety and decisional understanding, respect informed refusal when lawful, and create the safest feasible plan.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Explain material risks and alternatives, assess safety and decisional understanding, respect informed refusal when lawful, and create the safest feasible plan.</w:t>
            </w:r>
          </w:p>
        </w:tc>
        <w:tc>
          <w:tcPr>
            <w:tcW w:type="dxa" w:w="3485"/>
            <w:shd w:fill="EAF7F7"/>
            <w:vAlign w:val="center"/>
            <w:tcMar>
              <w:top w:w="55" w:type="dxa"/>
              <w:start w:w="65" w:type="dxa"/>
              <w:bottom w:w="55" w:type="dxa"/>
              <w:end w:w="65" w:type="dxa"/>
            </w:tcMar>
          </w:tcPr>
          <w:p>
            <w:pPr>
              <w:spacing w:after="0"/>
            </w:pPr>
            <w:r>
              <w:rPr>
                <w:sz w:val="16"/>
              </w:rPr>
              <w:t>Correct. This option directly addresses client refusal of recommended treatment through immediate client protection and proportionate risk management, clear role, consent, and expectation-setting and current law and applicability review.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Coerce acceptance by threatening to disclose the decision to family.</w:t>
            </w:r>
          </w:p>
        </w:tc>
        <w:tc>
          <w:tcPr>
            <w:tcW w:type="dxa" w:w="3485"/>
            <w:vAlign w:val="center"/>
            <w:tcMar>
              <w:top w:w="55" w:type="dxa"/>
              <w:start w:w="65" w:type="dxa"/>
              <w:bottom w:w="55" w:type="dxa"/>
              <w:end w:w="65" w:type="dxa"/>
            </w:tcMar>
          </w:tcPr>
          <w:p>
            <w:pPr>
              <w:spacing w:after="0"/>
            </w:pPr>
            <w:r>
              <w:rPr>
                <w:sz w:val="16"/>
              </w:rPr>
              <w:t>Incorrect. It does not adequately address client refusal of recommended treatment and omits the role, authority, timing, proportionality, documentation, or continuity controls needed for client welfare, self-determination, boundaries, conflicts, exploitation, and continuity. The keyed response is superior because it instead requires the social worker to explain material risks and alternatives, assess safety and decisional understanding, respect informed refusal when lawful, and create the safest feasible plan.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Document that the client accepted the recommendation to protect the clinician.</w:t>
            </w:r>
          </w:p>
        </w:tc>
        <w:tc>
          <w:tcPr>
            <w:tcW w:type="dxa" w:w="3485"/>
            <w:vAlign w:val="center"/>
            <w:tcMar>
              <w:top w:w="55" w:type="dxa"/>
              <w:start w:w="65" w:type="dxa"/>
              <w:bottom w:w="55" w:type="dxa"/>
              <w:end w:w="65" w:type="dxa"/>
            </w:tcMar>
          </w:tcPr>
          <w:p>
            <w:pPr>
              <w:spacing w:after="0"/>
            </w:pPr>
            <w:r>
              <w:rPr>
                <w:sz w:val="16"/>
              </w:rPr>
              <w:t>Incorrect. It does not adequately address client refusal of recommended treatment and omits the role, authority, timing, proportionality, documentation, or continuity controls needed for client welfare, self-determination, boundaries, conflicts, exploitation, and continuity. The keyed response is superior because it instead requires the social worker to explain material risks and alternatives, assess safety and decisional understanding, respect informed refusal when lawful, and create the safest feasible plan.</w:t>
            </w:r>
          </w:p>
        </w:tc>
      </w:tr>
    </w:tbl>
    <w:p>
      <w:pPr>
        <w:pStyle w:val="Heading2"/>
      </w:pPr>
      <w:r>
        <w:t>Why the Key Controls</w:t>
      </w:r>
    </w:p>
    <w:p>
      <w:r>
        <w:t>The controlling issue is client refusal of recommended treatment. The keyed response is the most complete because it requires immediate client protection and proportionate risk management, clear role, consent, and expectation-setting, and current law and applicability review. That approach is consistent with the cited source family (NASW Code 1.02, 1.03, 1.04, and 1.15)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Client refusal of recommended treatment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CLIENT-REFUSAL-OF-RECOMMENDED-TREATMENT</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1.02, 1.03, 1.04, and 1.15</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46 - Controlled Rationale</w:t>
      </w:r>
    </w:p>
    <w:p>
      <w:r>
        <w:rPr>
          <w:b/>
        </w:rPr>
        <w:t xml:space="preserve">Item ID: </w:t>
      </w:r>
      <w:r>
        <w:t>CTA-EP-002-CUM-F-046</w:t>
      </w:r>
    </w:p>
    <w:p>
      <w:r>
        <w:rPr>
          <w:b/>
        </w:rPr>
        <w:t xml:space="preserve">Stem: </w:t>
      </w:r>
      <w:r>
        <w:t>A client at elevated but nonimminent risk declines the LCSW’s preferred higher level of care and can explain the risks and alternatives. What should the social worker do FIRST?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Clarify risk, capacity, options, and limits; seek consultation as needed; respect informed refusal when lawful; and create the safest feasible follow-up plan.</w:t>
            </w:r>
          </w:p>
        </w:tc>
        <w:tc>
          <w:tcPr>
            <w:tcW w:type="dxa" w:w="3485"/>
            <w:shd w:fill="EAF7F7"/>
            <w:vAlign w:val="center"/>
            <w:tcMar>
              <w:top w:w="55" w:type="dxa"/>
              <w:start w:w="65" w:type="dxa"/>
              <w:bottom w:w="55" w:type="dxa"/>
              <w:end w:w="65" w:type="dxa"/>
            </w:tcMar>
          </w:tcPr>
          <w:p>
            <w:pPr>
              <w:spacing w:after="0"/>
            </w:pPr>
            <w:r>
              <w:rPr>
                <w:sz w:val="16"/>
              </w:rPr>
              <w:t>Correct. This option directly addresses client refusal during elevated but nonimminent risk through immediate client protection and proportionate risk management, clear role, consent, and expectation-setting, competence support through consultation, training, or qualified supervision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Threaten hospitalization solely to obtain agreement.</w:t>
            </w:r>
          </w:p>
        </w:tc>
        <w:tc>
          <w:tcPr>
            <w:tcW w:type="dxa" w:w="3485"/>
            <w:vAlign w:val="center"/>
            <w:tcMar>
              <w:top w:w="55" w:type="dxa"/>
              <w:start w:w="65" w:type="dxa"/>
              <w:bottom w:w="55" w:type="dxa"/>
              <w:end w:w="65" w:type="dxa"/>
            </w:tcMar>
          </w:tcPr>
          <w:p>
            <w:pPr>
              <w:spacing w:after="0"/>
            </w:pPr>
            <w:r>
              <w:rPr>
                <w:sz w:val="16"/>
              </w:rPr>
              <w:t>Incorrect. It does not adequately address client refusal during elevated but nonimminent risk and omits the role, authority, timing, proportionality, documentation, or continuity controls needed for client welfare, self-determination, boundaries, conflicts, exploitation, and continuity. The keyed response is superior because it instead requires the social worker to clarify risk, capacity, options, and limits; seek consultation as needed; respect informed refusal when lawful; and create the safest feasible follow-up plan.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Terminate immediately because the client rejected the recommendation.</w:t>
            </w:r>
          </w:p>
        </w:tc>
        <w:tc>
          <w:tcPr>
            <w:tcW w:type="dxa" w:w="3485"/>
            <w:vAlign w:val="center"/>
            <w:tcMar>
              <w:top w:w="55" w:type="dxa"/>
              <w:start w:w="65" w:type="dxa"/>
              <w:bottom w:w="55" w:type="dxa"/>
              <w:end w:w="65" w:type="dxa"/>
            </w:tcMar>
          </w:tcPr>
          <w:p>
            <w:pPr>
              <w:spacing w:after="0"/>
            </w:pPr>
            <w:r>
              <w:rPr>
                <w:sz w:val="16"/>
              </w:rPr>
              <w:t>Incorrect. It risks abandonment or loss of continuity and does not address immediate safety, transition, or documentation responsibilities. The keyed response is superior because it instead requires the social worker to clarify risk, capacity, options, and limits; seek consultation as needed; respect informed refusal when lawful; and create the safest feasible follow-up plan.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Document that the client accepted the higher level of care.</w:t>
            </w:r>
          </w:p>
        </w:tc>
        <w:tc>
          <w:tcPr>
            <w:tcW w:type="dxa" w:w="3485"/>
            <w:vAlign w:val="center"/>
            <w:tcMar>
              <w:top w:w="55" w:type="dxa"/>
              <w:start w:w="65" w:type="dxa"/>
              <w:bottom w:w="55" w:type="dxa"/>
              <w:end w:w="65" w:type="dxa"/>
            </w:tcMar>
          </w:tcPr>
          <w:p>
            <w:pPr>
              <w:spacing w:after="0"/>
            </w:pPr>
            <w:r>
              <w:rPr>
                <w:sz w:val="16"/>
              </w:rPr>
              <w:t>Incorrect. It does not adequately address client refusal during elevated but nonimminent risk and omits the role, authority, timing, proportionality, documentation, or continuity controls needed for client welfare, self-determination, boundaries, conflicts, exploitation, and continuity. The keyed response is superior because it instead requires the social worker to clarify risk, capacity, options, and limits; seek consultation as needed; respect informed refusal when lawful; and create the safest feasible follow-up plan.</w:t>
            </w:r>
          </w:p>
        </w:tc>
      </w:tr>
    </w:tbl>
    <w:p>
      <w:pPr>
        <w:pStyle w:val="Heading2"/>
      </w:pPr>
      <w:r>
        <w:t>Why the Key Controls</w:t>
      </w:r>
    </w:p>
    <w:p>
      <w:r>
        <w:t>The controlling issue is client refusal during elevated but nonimminent risk. The keyed response is the most complete because it requires immediate client protection and proportionate risk management, clear role, consent, and expectation-setting, competence support through consultation, training, or qualified supervision, and limited and purpose-specific information use. That approach is consistent with the cited source family (NASW Code 1.01, 1.02, 1.03, and 1.15)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Client refusal during elevated but nonimminent risk</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CLIENT-REFUSAL-DURING-ELEVATED-BUT-NONIMMINE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1.01, 1.02, 1.03, and 1.15</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47 - Controlled Rationale</w:t>
      </w:r>
    </w:p>
    <w:p>
      <w:r>
        <w:rPr>
          <w:b/>
        </w:rPr>
        <w:t xml:space="preserve">Item ID: </w:t>
      </w:r>
      <w:r>
        <w:t>CTA-EP-002-CUM-F-047</w:t>
      </w:r>
    </w:p>
    <w:p>
      <w:r>
        <w:rPr>
          <w:b/>
        </w:rPr>
        <w:t xml:space="preserve">Stem: </w:t>
      </w:r>
      <w:r>
        <w:t>A couple begins treatment, and one partner later asks the LCSW to write an advocacy letter solely for that partner in a contested legal matter. What is the appropriate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Clarify the original client structure and role, assess conflicts and consent, and avoid converting conjoint treatment into unilateral advocacy when duties would conflict.</w:t>
            </w:r>
          </w:p>
        </w:tc>
        <w:tc>
          <w:tcPr>
            <w:tcW w:type="dxa" w:w="3485"/>
            <w:shd w:fill="EAF7F7"/>
            <w:vAlign w:val="center"/>
            <w:tcMar>
              <w:top w:w="55" w:type="dxa"/>
              <w:start w:w="65" w:type="dxa"/>
              <w:bottom w:w="55" w:type="dxa"/>
              <w:end w:w="65" w:type="dxa"/>
            </w:tcMar>
          </w:tcPr>
          <w:p>
            <w:pPr>
              <w:spacing w:after="0"/>
            </w:pPr>
            <w:r>
              <w:rPr>
                <w:sz w:val="16"/>
              </w:rPr>
              <w:t>Correct. This option directly addresses family-service client identity and competing loyalties through clear role, consent, and expectation-setting and boundary and conflict-of-interest safeguards.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Write the letter because the requesting partner attended more sessions.</w:t>
            </w:r>
          </w:p>
        </w:tc>
        <w:tc>
          <w:tcPr>
            <w:tcW w:type="dxa" w:w="3485"/>
            <w:vAlign w:val="center"/>
            <w:tcMar>
              <w:top w:w="55" w:type="dxa"/>
              <w:start w:w="65" w:type="dxa"/>
              <w:bottom w:w="55" w:type="dxa"/>
              <w:end w:w="65" w:type="dxa"/>
            </w:tcMar>
          </w:tcPr>
          <w:p>
            <w:pPr>
              <w:spacing w:after="0"/>
            </w:pPr>
            <w:r>
              <w:rPr>
                <w:sz w:val="16"/>
              </w:rPr>
              <w:t>Incorrect. It does not adequately address family-service client identity and competing loyalties and omits the role, authority, timing, proportionality, documentation, or continuity controls needed for client welfare, self-determination, boundaries, conflicts, exploitation, and continuity. The keyed response is superior because it instead requires the social worker to clarify the original client structure and role, assess conflicts and consent, and avoid converting conjoint treatment into unilateral advocacy when duties would conflict.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Write the letter if the partner pays the outstanding balance.</w:t>
            </w:r>
          </w:p>
        </w:tc>
        <w:tc>
          <w:tcPr>
            <w:tcW w:type="dxa" w:w="3485"/>
            <w:vAlign w:val="center"/>
            <w:tcMar>
              <w:top w:w="55" w:type="dxa"/>
              <w:start w:w="65" w:type="dxa"/>
              <w:bottom w:w="55" w:type="dxa"/>
              <w:end w:w="65" w:type="dxa"/>
            </w:tcMar>
          </w:tcPr>
          <w:p>
            <w:pPr>
              <w:spacing w:after="0"/>
            </w:pPr>
            <w:r>
              <w:rPr>
                <w:sz w:val="16"/>
              </w:rPr>
              <w:t>Incorrect. It does not adequately address family-service client identity and competing loyalties and omits the role, authority, timing, proportionality, documentation, or continuity controls needed for client welfare, self-determination, boundaries, conflicts, exploitation, and continuity. The keyed response is superior because it instead requires the social worker to clarify the original client structure and role, assess conflicts and consent, and avoid converting conjoint treatment into unilateral advocacy when duties would conflict.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End the couple’s treatment without explaining the conflict or arranging continuity.</w:t>
            </w:r>
          </w:p>
        </w:tc>
        <w:tc>
          <w:tcPr>
            <w:tcW w:type="dxa" w:w="3485"/>
            <w:vAlign w:val="center"/>
            <w:tcMar>
              <w:top w:w="55" w:type="dxa"/>
              <w:start w:w="65" w:type="dxa"/>
              <w:bottom w:w="55" w:type="dxa"/>
              <w:end w:w="65" w:type="dxa"/>
            </w:tcMar>
          </w:tcPr>
          <w:p>
            <w:pPr>
              <w:spacing w:after="0"/>
            </w:pPr>
            <w:r>
              <w:rPr>
                <w:sz w:val="16"/>
              </w:rPr>
              <w:t>Incorrect. It does not adequately address family-service client identity and competing loyalties and omits the role, authority, timing, proportionality, documentation, or continuity controls needed for client welfare, self-determination, boundaries, conflicts, exploitation, and continuity. The keyed response is superior because it instead requires the social worker to clarify the original client structure and role, assess conflicts and consent, and avoid converting conjoint treatment into unilateral advocacy when duties would conflict.</w:t>
            </w:r>
          </w:p>
        </w:tc>
      </w:tr>
    </w:tbl>
    <w:p>
      <w:pPr>
        <w:pStyle w:val="Heading2"/>
      </w:pPr>
      <w:r>
        <w:t>Why the Key Controls</w:t>
      </w:r>
    </w:p>
    <w:p>
      <w:r>
        <w:t>The controlling issue is family-service client identity and competing loyalties. The keyed response is the most complete because it requires clear role, consent, and expectation-setting and boundary and conflict-of-interest safeguards. That approach is consistent with the cited source family (NASW Code 1.01, 1.03, 1.06, 1.07, and 1.08)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Family-service client identity and competing loyalties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FAMILY-SERVICE-CLIENT-IDENTITY-AND-COMPETING</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1.01, 1.03, 1.06, 1.07, and 1.08</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48 - Controlled Rationale</w:t>
      </w:r>
    </w:p>
    <w:p>
      <w:r>
        <w:rPr>
          <w:b/>
        </w:rPr>
        <w:t xml:space="preserve">Item ID: </w:t>
      </w:r>
      <w:r>
        <w:t>CTA-EP-002-CUM-F-048</w:t>
      </w:r>
    </w:p>
    <w:p>
      <w:r>
        <w:rPr>
          <w:b/>
        </w:rPr>
        <w:t xml:space="preserve">Stem: </w:t>
      </w:r>
      <w:r>
        <w:t>An agency asks the client’s therapist to investigate whether the same client violated program rules.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Pause and clarify the new purpose, authority, audience, confidentiality limits, conflicts, and alternatives, and separate the roles when feasible.</w:t>
            </w:r>
          </w:p>
        </w:tc>
        <w:tc>
          <w:tcPr>
            <w:tcW w:type="dxa" w:w="3485"/>
            <w:shd w:fill="EAF7F7"/>
            <w:vAlign w:val="center"/>
            <w:tcMar>
              <w:top w:w="55" w:type="dxa"/>
              <w:start w:w="65" w:type="dxa"/>
              <w:bottom w:w="55" w:type="dxa"/>
              <w:end w:w="65" w:type="dxa"/>
            </w:tcMar>
          </w:tcPr>
          <w:p>
            <w:pPr>
              <w:spacing w:after="0"/>
            </w:pPr>
            <w:r>
              <w:rPr>
                <w:sz w:val="16"/>
              </w:rPr>
              <w:t>Correct. This option directly addresses role change from therapist to investigator through clear role, consent, and expectation-setting, limited and purpose-specific information use, boundary and conflict-of-interest safeguards and containment of unlawful, unsafe, or incompetent conduct.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Proceed under the original treatment consent.</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pause and clarify the new purpose, authority, audience, confidentiality limits, conflicts, and alternatives, and separate the roles when feasible.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Use treatment disclosures automatically because they are already in the record.</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pause and clarify the new purpose, authority, audience, confidentiality limits, conflicts, and alternatives, and separate the roles when feasible.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Promise the client that the investigation will have no program consequences.</w:t>
            </w:r>
          </w:p>
        </w:tc>
        <w:tc>
          <w:tcPr>
            <w:tcW w:type="dxa" w:w="3485"/>
            <w:vAlign w:val="center"/>
            <w:tcMar>
              <w:top w:w="55" w:type="dxa"/>
              <w:start w:w="65" w:type="dxa"/>
              <w:bottom w:w="55" w:type="dxa"/>
              <w:end w:w="65" w:type="dxa"/>
            </w:tcMar>
          </w:tcPr>
          <w:p>
            <w:pPr>
              <w:spacing w:after="0"/>
            </w:pPr>
            <w:r>
              <w:rPr>
                <w:sz w:val="16"/>
              </w:rPr>
              <w:t>Incorrect. It promises an outcome the clinician cannot control and misstates the limits of law, confidentiality, or third-party behavior. The keyed response is superior because it instead requires the social worker to pause and clarify the new purpose, authority, audience, confidentiality limits, conflicts, and alternatives, and separate the roles when feasible.</w:t>
            </w:r>
          </w:p>
        </w:tc>
      </w:tr>
    </w:tbl>
    <w:p>
      <w:pPr>
        <w:pStyle w:val="Heading2"/>
      </w:pPr>
      <w:r>
        <w:t>Why the Key Controls</w:t>
      </w:r>
    </w:p>
    <w:p>
      <w:r>
        <w:t>The controlling issue is role change from therapist to investigator. The keyed response is the most complete because it requires clear role, consent, and expectation-setting, limited and purpose-specific information use, boundary and conflict-of-interest safeguards, and containment of unlawful, unsafe, or incompetent conduct. That approach is consistent with the cited source family (NASW Code 1.03, 1.06, 1.07, 3.07, and 4.06)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Role change from therapist to investigator</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WB3 - Professional Competence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ROLE-CHANGE-FROM-THERAPIST-TO-INVESTIGATOR</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1.03, 1.06, 1.07, 3.07, and 4.06</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49 - Controlled Rationale</w:t>
      </w:r>
    </w:p>
    <w:p>
      <w:r>
        <w:rPr>
          <w:b/>
        </w:rPr>
        <w:t xml:space="preserve">Item ID: </w:t>
      </w:r>
      <w:r>
        <w:t>CTA-EP-002-CUM-F-049</w:t>
      </w:r>
    </w:p>
    <w:p>
      <w:r>
        <w:rPr>
          <w:b/>
        </w:rPr>
        <w:t xml:space="preserve">Stem: </w:t>
      </w:r>
      <w:r>
        <w:t>An older adult discloses facts meeting a mandated-report threshold but asks the LCSW to keep the information secret to protect a family member. What is the appropriate response?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Honor secrecy because the client is competent.</w:t>
            </w:r>
          </w:p>
        </w:tc>
        <w:tc>
          <w:tcPr>
            <w:tcW w:type="dxa" w:w="3485"/>
            <w:vAlign w:val="center"/>
            <w:tcMar>
              <w:top w:w="55" w:type="dxa"/>
              <w:start w:w="65" w:type="dxa"/>
              <w:bottom w:w="55" w:type="dxa"/>
              <w:end w:w="65" w:type="dxa"/>
            </w:tcMar>
          </w:tcPr>
          <w:p>
            <w:pPr>
              <w:spacing w:after="0"/>
            </w:pPr>
            <w:r>
              <w:rPr>
                <w:sz w:val="16"/>
              </w:rPr>
              <w:t>Incorrect. It does not adequately address elder abuse report and client objection and omits the role, authority, timing, proportionality, documentation, or continuity controls needed for mandated action, emergency protection, risk assessment, disclosure limits, and follow-through. The keyed response is superior because it instead requires the social worker to explain the legal limit, make the required report, address immediate safety, and preserve confidentiality beyond what the law requires.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family member whether a report is necessary.</w:t>
            </w:r>
          </w:p>
        </w:tc>
        <w:tc>
          <w:tcPr>
            <w:tcW w:type="dxa" w:w="3485"/>
            <w:vAlign w:val="center"/>
            <w:tcMar>
              <w:top w:w="55" w:type="dxa"/>
              <w:start w:w="65" w:type="dxa"/>
              <w:bottom w:w="55" w:type="dxa"/>
              <w:end w:w="65" w:type="dxa"/>
            </w:tcMar>
          </w:tcPr>
          <w:p>
            <w:pPr>
              <w:spacing w:after="0"/>
            </w:pPr>
            <w:r>
              <w:rPr>
                <w:sz w:val="16"/>
              </w:rPr>
              <w:t>Incorrect. It assumes a support person can replace a qualified, authorized, and confidentiality-protective professional process. The keyed response is superior because it instead requires the social worker to explain the legal limit, make the required report, address immediate safety, and preserve confidentiality beyond what the law requires.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Report the client’s entire treatment history rather than the information required.</w:t>
            </w:r>
          </w:p>
        </w:tc>
        <w:tc>
          <w:tcPr>
            <w:tcW w:type="dxa" w:w="3485"/>
            <w:vAlign w:val="center"/>
            <w:tcMar>
              <w:top w:w="55" w:type="dxa"/>
              <w:start w:w="65" w:type="dxa"/>
              <w:bottom w:w="55" w:type="dxa"/>
              <w:end w:w="65" w:type="dxa"/>
            </w:tcMar>
          </w:tcPr>
          <w:p>
            <w:pPr>
              <w:spacing w:after="0"/>
            </w:pPr>
            <w:r>
              <w:rPr>
                <w:sz w:val="16"/>
              </w:rPr>
              <w:t>Incorrect. It does not adequately address elder abuse report and client objection and omits the role, authority, timing, proportionality, documentation, or continuity controls needed for mandated action, emergency protection, risk assessment, disclosure limits, and follow-through. The keyed response is superior because it instead requires the social worker to explain the legal limit, make the required report, address immediate safety, and preserve confidentiality beyond what the law requires.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Explain the legal limit, make the required report, address immediate safety, and preserve confidentiality beyond what the law requires.</w:t>
            </w:r>
          </w:p>
        </w:tc>
        <w:tc>
          <w:tcPr>
            <w:tcW w:type="dxa" w:w="3485"/>
            <w:shd w:fill="EAF7F7"/>
            <w:vAlign w:val="center"/>
            <w:tcMar>
              <w:top w:w="55" w:type="dxa"/>
              <w:start w:w="65" w:type="dxa"/>
              <w:bottom w:w="55" w:type="dxa"/>
              <w:end w:w="65" w:type="dxa"/>
            </w:tcMar>
          </w:tcPr>
          <w:p>
            <w:pPr>
              <w:spacing w:after="0"/>
            </w:pPr>
            <w:r>
              <w:rPr>
                <w:sz w:val="16"/>
              </w:rPr>
              <w:t>Correct. This option directly addresses elder abuse report and client objection through immediate client protection and proportionate risk management, clear role, consent, and expectation-setting, accurate documentation and accountability and limited and purpose-specific information use.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elder abuse report and client objection. The keyed response is the most complete because it requires immediate client protection and proportionate risk management, clear role, consent, and expectation-setting, accurate documentation and accountability, and limited and purpose-specific information use. That approach is consistent with the cited source family (California elder and dependent adult abuse reporting law; NASW Code 1.01 and 1.07)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Elder abuse report and client objection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ELDER-ABUSE-REPORT-AND-CLIENT-OBJECTION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elder and dependent adult abuse reporting law; NASW Code 1.01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50 - Controlled Rationale</w:t>
      </w:r>
    </w:p>
    <w:p>
      <w:r>
        <w:rPr>
          <w:b/>
        </w:rPr>
        <w:t xml:space="preserve">Item ID: </w:t>
      </w:r>
      <w:r>
        <w:t>CTA-EP-002-CUM-F-050</w:t>
      </w:r>
    </w:p>
    <w:p>
      <w:r>
        <w:rPr>
          <w:b/>
        </w:rPr>
        <w:t xml:space="preserve">Stem: </w:t>
      </w:r>
      <w:r>
        <w:t>A supervisor begins a close personal relationship with an ASW and then controls the ASW’s performance evaluations and hour verification.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Continue because friendship improves honest feedback.</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address the conflict and power imbalance, restore clear professional boundaries, use independent review or supervision when needed, and document safeguards.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ASW to waive the conflict permanently.</w:t>
            </w:r>
          </w:p>
        </w:tc>
        <w:tc>
          <w:tcPr>
            <w:tcW w:type="dxa" w:w="3485"/>
            <w:vAlign w:val="center"/>
            <w:tcMar>
              <w:top w:w="55" w:type="dxa"/>
              <w:start w:w="65" w:type="dxa"/>
              <w:bottom w:w="55" w:type="dxa"/>
              <w:end w:w="65" w:type="dxa"/>
            </w:tcMar>
          </w:tcPr>
          <w:p>
            <w:pPr>
              <w:spacing w:after="0"/>
            </w:pPr>
            <w:r>
              <w:rPr>
                <w:sz w:val="16"/>
              </w:rPr>
              <w:t>Incorrect. A client signature cannot create legal authority, competence, truthful status, safety, or freedom from a professional duty. The keyed response is superior because it instead requires the social worker to address the conflict and power imbalance, restore clear professional boundaries, use independent review or supervision when needed, and document safeguards.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Address the conflict and power imbalance, restore clear professional boundaries, use independent review or supervision when needed, and document safeguards.</w:t>
            </w:r>
          </w:p>
        </w:tc>
        <w:tc>
          <w:tcPr>
            <w:tcW w:type="dxa" w:w="3485"/>
            <w:shd w:fill="EAF7F7"/>
            <w:vAlign w:val="center"/>
            <w:tcMar>
              <w:top w:w="55" w:type="dxa"/>
              <w:start w:w="65" w:type="dxa"/>
              <w:bottom w:w="55" w:type="dxa"/>
              <w:end w:w="65" w:type="dxa"/>
            </w:tcMar>
          </w:tcPr>
          <w:p>
            <w:pPr>
              <w:spacing w:after="0"/>
            </w:pPr>
            <w:r>
              <w:rPr>
                <w:sz w:val="16"/>
              </w:rPr>
              <w:t>Correct. This option directly addresses supervisor boundary and evaluative authority through accurate documentation and accountability, competence support through consultation, training, or qualified supervision and boundary and conflict-of-interest safeguards.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Avoid written evaluations so the relationship remains informal.</w:t>
            </w:r>
          </w:p>
        </w:tc>
        <w:tc>
          <w:tcPr>
            <w:tcW w:type="dxa" w:w="3485"/>
            <w:vAlign w:val="center"/>
            <w:tcMar>
              <w:top w:w="55" w:type="dxa"/>
              <w:start w:w="65" w:type="dxa"/>
              <w:bottom w:w="55" w:type="dxa"/>
              <w:end w:w="65" w:type="dxa"/>
            </w:tcMar>
          </w:tcPr>
          <w:p>
            <w:pPr>
              <w:spacing w:after="0"/>
            </w:pPr>
            <w:r>
              <w:rPr>
                <w:sz w:val="16"/>
              </w:rPr>
              <w:t>Incorrect. It does not adequately address supervisor boundary and evaluative authority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address the conflict and power imbalance, restore clear professional boundaries, use independent review or supervision when needed, and document safeguards.</w:t>
            </w:r>
          </w:p>
        </w:tc>
      </w:tr>
    </w:tbl>
    <w:p>
      <w:pPr>
        <w:pStyle w:val="Heading2"/>
      </w:pPr>
      <w:r>
        <w:t>Why the Key Controls</w:t>
      </w:r>
    </w:p>
    <w:p>
      <w:r>
        <w:t>The controlling issue is supervisor boundary and evaluative authority. The keyed response is the most complete because it requires accurate documentation and accountability, competence support through consultation, training, or qualified supervision, and boundary and conflict-of-interest safeguards. That approach is consistent with the cited source family (NASW Code 3.01 and 3.03; BBS supervision requirements)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Supervisor boundary and evaluative authority</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WB3 - Professional Competence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SUPERVISOR-BOUNDARY-AND-EVALUATIVE-AUTHORITY</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3.01 and 3.03; BBS supervision requirements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51 - Controlled Rationale</w:t>
      </w:r>
    </w:p>
    <w:p>
      <w:r>
        <w:rPr>
          <w:b/>
        </w:rPr>
        <w:t xml:space="preserve">Item ID: </w:t>
      </w:r>
      <w:r>
        <w:t>CTA-EP-002-CUM-F-051</w:t>
      </w:r>
    </w:p>
    <w:p>
      <w:r>
        <w:rPr>
          <w:b/>
        </w:rPr>
        <w:t xml:space="preserve">Stem: </w:t>
      </w:r>
      <w:r>
        <w:t>A current client sends urgent clinical details through the LCSW’s personal social-media account and comments on family photographs. What should the social worker do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Continue therapy entirely through the personal account because the client initiated contact.</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address immediate safety through an appropriate channel, preserve needed documentation, restate communication and boundary policies, and separate personal and professional access.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Block the client without assessing urgency or continuity.</w:t>
            </w:r>
          </w:p>
        </w:tc>
        <w:tc>
          <w:tcPr>
            <w:tcW w:type="dxa" w:w="3485"/>
            <w:vAlign w:val="center"/>
            <w:tcMar>
              <w:top w:w="55" w:type="dxa"/>
              <w:start w:w="65" w:type="dxa"/>
              <w:bottom w:w="55" w:type="dxa"/>
              <w:end w:w="65" w:type="dxa"/>
            </w:tcMar>
          </w:tcPr>
          <w:p>
            <w:pPr>
              <w:spacing w:after="0"/>
            </w:pPr>
            <w:r>
              <w:rPr>
                <w:sz w:val="16"/>
              </w:rPr>
              <w:t>Incorrect. It does not adequately address social media direct messages from a current client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address immediate safety through an appropriate channel, preserve needed documentation, restate communication and boundary policies, and separate personal and professional access.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Address immediate safety through an appropriate channel, preserve needed documentation, restate communication and boundary policies, and separate personal and professional access.</w:t>
            </w:r>
          </w:p>
        </w:tc>
        <w:tc>
          <w:tcPr>
            <w:tcW w:type="dxa" w:w="3485"/>
            <w:shd w:fill="EAF7F7"/>
            <w:vAlign w:val="center"/>
            <w:tcMar>
              <w:top w:w="55" w:type="dxa"/>
              <w:start w:w="65" w:type="dxa"/>
              <w:bottom w:w="55" w:type="dxa"/>
              <w:end w:w="65" w:type="dxa"/>
            </w:tcMar>
          </w:tcPr>
          <w:p>
            <w:pPr>
              <w:spacing w:after="0"/>
            </w:pPr>
            <w:r>
              <w:rPr>
                <w:sz w:val="16"/>
              </w:rPr>
              <w:t>Correct. This option directly addresses social media direct messages from a current client through immediate client protection and proportionate risk management, accurate documentation and accountability and boundary and conflict-of-interest safeguards.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Respond publicly so the client knows the message was received.</w:t>
            </w:r>
          </w:p>
        </w:tc>
        <w:tc>
          <w:tcPr>
            <w:tcW w:type="dxa" w:w="3485"/>
            <w:vAlign w:val="center"/>
            <w:tcMar>
              <w:top w:w="55" w:type="dxa"/>
              <w:start w:w="65" w:type="dxa"/>
              <w:bottom w:w="55" w:type="dxa"/>
              <w:end w:w="65" w:type="dxa"/>
            </w:tcMar>
          </w:tcPr>
          <w:p>
            <w:pPr>
              <w:spacing w:after="0"/>
            </w:pPr>
            <w:r>
              <w:rPr>
                <w:sz w:val="16"/>
              </w:rPr>
              <w:t>Incorrect. It creates an unnecessary confidentiality and privacy breach and is not a proportionate professional response. The keyed response is superior because it instead requires the social worker to address immediate safety through an appropriate channel, preserve needed documentation, restate communication and boundary policies, and separate personal and professional access.</w:t>
            </w:r>
          </w:p>
        </w:tc>
      </w:tr>
    </w:tbl>
    <w:p>
      <w:pPr>
        <w:pStyle w:val="Heading2"/>
      </w:pPr>
      <w:r>
        <w:t>Why the Key Controls</w:t>
      </w:r>
    </w:p>
    <w:p>
      <w:r>
        <w:t>The controlling issue is social media direct messages from a current client. The keyed response is the most complete because it requires immediate client protection and proportionate risk management, accurate documentation and accountability, and boundary and conflict-of-interest safeguards. That approach is consistent with the cited source family (NASW Code 1.06, 1.07, 1.13, and 1.15)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Social media direct messages from a current client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SOCIAL-MEDIA-DIRECT-MESSAGES-FROM-A-CURRENT-</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1.06, 1.07, 1.13, and 1.15</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52 - Controlled Rationale</w:t>
      </w:r>
    </w:p>
    <w:p>
      <w:r>
        <w:rPr>
          <w:b/>
        </w:rPr>
        <w:t xml:space="preserve">Item ID: </w:t>
      </w:r>
      <w:r>
        <w:t>CTA-EP-002-CUM-F-052</w:t>
      </w:r>
    </w:p>
    <w:p>
      <w:r>
        <w:rPr>
          <w:b/>
        </w:rPr>
        <w:t xml:space="preserve">Stem: </w:t>
      </w:r>
      <w:r>
        <w:t>An employee reports that an unauthorized coworker viewed several client files out of curiosity. What is the appropriate response?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Ask the coworker to promise not to repeat the behavior and take no further action.</w:t>
            </w:r>
          </w:p>
        </w:tc>
        <w:tc>
          <w:tcPr>
            <w:tcW w:type="dxa" w:w="3485"/>
            <w:vAlign w:val="center"/>
            <w:tcMar>
              <w:top w:w="55" w:type="dxa"/>
              <w:start w:w="65" w:type="dxa"/>
              <w:bottom w:w="55" w:type="dxa"/>
              <w:end w:w="65" w:type="dxa"/>
            </w:tcMar>
          </w:tcPr>
          <w:p>
            <w:pPr>
              <w:spacing w:after="0"/>
            </w:pPr>
            <w:r>
              <w:rPr>
                <w:sz w:val="16"/>
              </w:rPr>
              <w:t>Incorrect. It promises an outcome the clinician cannot control and misstates the limits of law, confidentiality, or third-party behavior. The keyed response is superior because it instead requires the social worker to contain access, preserve evidence, notify appropriate privacy and organizational personnel, evaluate required notice and reporting, and correct controls.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Contain access, preserve evidence, notify appropriate privacy and organizational personnel, evaluate required notice and reporting, and correct controls.</w:t>
            </w:r>
          </w:p>
        </w:tc>
        <w:tc>
          <w:tcPr>
            <w:tcW w:type="dxa" w:w="3485"/>
            <w:shd w:fill="EAF7F7"/>
            <w:vAlign w:val="center"/>
            <w:tcMar>
              <w:top w:w="55" w:type="dxa"/>
              <w:start w:w="65" w:type="dxa"/>
              <w:bottom w:w="55" w:type="dxa"/>
              <w:end w:w="65" w:type="dxa"/>
            </w:tcMar>
          </w:tcPr>
          <w:p>
            <w:pPr>
              <w:spacing w:after="0"/>
            </w:pPr>
            <w:r>
              <w:rPr>
                <w:sz w:val="16"/>
              </w:rPr>
              <w:t>Correct. This option directly addresses unauthorized access to electronic records through accurate documentation and accountability and correction and prevention of recurrence.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Delete the audit log to protect the coworker.</w:t>
            </w:r>
          </w:p>
        </w:tc>
        <w:tc>
          <w:tcPr>
            <w:tcW w:type="dxa" w:w="3485"/>
            <w:vAlign w:val="center"/>
            <w:tcMar>
              <w:top w:w="55" w:type="dxa"/>
              <w:start w:w="65" w:type="dxa"/>
              <w:bottom w:w="55" w:type="dxa"/>
              <w:end w:w="65" w:type="dxa"/>
            </w:tcMar>
          </w:tcPr>
          <w:p>
            <w:pPr>
              <w:spacing w:after="0"/>
            </w:pPr>
            <w:r>
              <w:rPr>
                <w:sz w:val="16"/>
              </w:rPr>
              <w:t>Incorrect. It does not adequately address unauthorized access to electronic records and omits the role, authority, timing, proportionality, documentation, or continuity controls needed for mandated action, emergency protection, risk assessment, disclosure limits, and follow-through. The keyed response is superior because it instead requires the social worker to contain access, preserve evidence, notify appropriate privacy and organizational personnel, evaluate required notice and reporting, and correct controls.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Notify every client in the practice before determining who was affected.</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contain access, preserve evidence, notify appropriate privacy and organizational personnel, evaluate required notice and reporting, and correct controls.</w:t>
            </w:r>
          </w:p>
        </w:tc>
      </w:tr>
    </w:tbl>
    <w:p>
      <w:pPr>
        <w:pStyle w:val="Heading2"/>
      </w:pPr>
      <w:r>
        <w:t>Why the Key Controls</w:t>
      </w:r>
    </w:p>
    <w:p>
      <w:r>
        <w:t>The controlling issue is unauthorized access to electronic records. The keyed response is the most complete because it requires accurate documentation and accountability and correction and prevention of recurrence. That approach is consistent with the cited source family (California privacy and breach law; NASW Code 1.07 and 3.04)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Unauthorized access to electronic records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Foundational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UNAUTHORIZED-ACCESS-TO-ELECTRONIC-RECORDS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privacy and breach law; NASW Code 1.07 and 3.04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53 - Controlled Rationale</w:t>
      </w:r>
    </w:p>
    <w:p>
      <w:r>
        <w:rPr>
          <w:b/>
        </w:rPr>
        <w:t xml:space="preserve">Item ID: </w:t>
      </w:r>
      <w:r>
        <w:t>CTA-EP-002-CUM-F-053</w:t>
      </w:r>
    </w:p>
    <w:p>
      <w:r>
        <w:rPr>
          <w:b/>
        </w:rPr>
        <w:t xml:space="preserve">Stem: </w:t>
      </w:r>
      <w:r>
        <w:t>Before a psychotherapy group begins, the LCSW explains that private messages about other members may need to be addressed within the group and cannot be promised separate secrecy. A member later sends an allegation about another member and demands a secret promise. What is the appropriate response?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r>
              <w:t>Promise secrecy because every message from a participant creates a separate individual treatment relationship.</w:t>
            </w:r>
          </w:p>
        </w:tc>
        <w:tc>
          <w:tcPr>
            <w:tcW w:type="dxa" w:w="3485"/>
            <w:vAlign w:val="center"/>
            <w:tcMar>
              <w:top w:w="55" w:type="dxa"/>
              <w:start w:w="65" w:type="dxa"/>
              <w:bottom w:w="55" w:type="dxa"/>
              <w:end w:w="65" w:type="dxa"/>
            </w:tcMar>
          </w:tcPr>
          <w:p>
            <w:r>
              <w:t>Incorrect. A private message does not automatically create a separate individual treatment relationship or an absolute secrecy duty.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r>
              <w:t>Read the message aloud at the next group without assessing safety or the stated policy.</w:t>
            </w:r>
          </w:p>
        </w:tc>
        <w:tc>
          <w:tcPr>
            <w:tcW w:type="dxa" w:w="3485"/>
            <w:vAlign w:val="center"/>
            <w:tcMar>
              <w:top w:w="55" w:type="dxa"/>
              <w:start w:w="65" w:type="dxa"/>
              <w:bottom w:w="55" w:type="dxa"/>
              <w:end w:w="65" w:type="dxa"/>
            </w:tcMar>
          </w:tcPr>
          <w:p>
            <w:r>
              <w:t>Incorrect. Automatic disclosure ignores safety, relevance, the informed policy, and the member’s opportunity to understand available choices.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r>
              <w:t>Delete the message so it cannot affect the group process.</w:t>
            </w:r>
          </w:p>
        </w:tc>
        <w:tc>
          <w:tcPr>
            <w:tcW w:type="dxa" w:w="3485"/>
            <w:vAlign w:val="center"/>
            <w:tcMar>
              <w:top w:w="55" w:type="dxa"/>
              <w:start w:w="65" w:type="dxa"/>
              <w:bottom w:w="55" w:type="dxa"/>
              <w:end w:w="65" w:type="dxa"/>
            </w:tcMar>
          </w:tcPr>
          <w:p>
            <w:r>
              <w:t>Incorrect. Deleting the information avoids rather than resolves its possible safety and group-treatment significance.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r>
              <w:t>Apply the previously explained communication policy, assess safety and group impact, clarify the member’s choices, and address the information without creating a new secret promise.</w:t>
            </w:r>
          </w:p>
        </w:tc>
        <w:tc>
          <w:tcPr>
            <w:tcW w:type="dxa" w:w="3485"/>
            <w:shd w:fill="EAF7F7"/>
            <w:vAlign w:val="center"/>
            <w:tcMar>
              <w:top w:w="55" w:type="dxa"/>
              <w:start w:w="65" w:type="dxa"/>
              <w:bottom w:w="55" w:type="dxa"/>
              <w:end w:w="65" w:type="dxa"/>
            </w:tcMar>
          </w:tcPr>
          <w:p>
            <w:r>
              <w:t>Correct. This choice follows the established communication policy, evaluates safety and group impact, preserves role clarity, and avoids making a new secret promise.</w:t>
            </w:r>
          </w:p>
        </w:tc>
      </w:tr>
    </w:tbl>
    <w:p>
      <w:pPr>
        <w:pStyle w:val="Heading2"/>
      </w:pPr>
      <w:r>
        <w:t>Why the Key Controls</w:t>
      </w:r>
    </w:p>
    <w:p>
      <w:r>
        <w:t>The LCSW should apply the informed group communication policy rather than create a new private-treatment promise. Safety, group impact, member choices, confidentiality limits, and the integrity of the group service must be assessed before deciding how the information is addressed.</w:t>
      </w:r>
    </w:p>
    <w:p>
      <w:pPr>
        <w:pStyle w:val="Heading2"/>
      </w:pPr>
      <w:r>
        <w:t>CTA Exam Strategy</w:t>
      </w:r>
    </w:p>
    <w:p>
      <w:r>
        <w:t>In multi-client services, return to the consent and communication structure established before treatment; do not improvise a secret promise or disclose automatically.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r>
              <w:t>Private communications and secrecy requests in group treatment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r>
              <w:t>GROUP-PRIVATE-COMMUNICATIONS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1.03, 1.06, 1.07, and 1.08</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54 - Controlled Rationale</w:t>
      </w:r>
    </w:p>
    <w:p>
      <w:r>
        <w:rPr>
          <w:b/>
        </w:rPr>
        <w:t xml:space="preserve">Item ID: </w:t>
      </w:r>
      <w:r>
        <w:t>CTA-EP-002-CUM-F-054</w:t>
      </w:r>
    </w:p>
    <w:p>
      <w:r>
        <w:rPr>
          <w:b/>
        </w:rPr>
        <w:t xml:space="preserve">Stem: </w:t>
      </w:r>
      <w:r>
        <w:t>A long-term client loses employment and cannot continue paying the established private-pay fee.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Stop services at the end of the current session without referrals.</w:t>
            </w:r>
          </w:p>
        </w:tc>
        <w:tc>
          <w:tcPr>
            <w:tcW w:type="dxa" w:w="3485"/>
            <w:vAlign w:val="center"/>
            <w:tcMar>
              <w:top w:w="55" w:type="dxa"/>
              <w:start w:w="65" w:type="dxa"/>
              <w:bottom w:w="55" w:type="dxa"/>
              <w:end w:w="65" w:type="dxa"/>
            </w:tcMar>
          </w:tcPr>
          <w:p>
            <w:pPr>
              <w:spacing w:after="0"/>
            </w:pPr>
            <w:r>
              <w:rPr>
                <w:sz w:val="16"/>
              </w:rPr>
              <w:t>Incorrect. It does not adequately address financial hardship and continuity and omits the role, authority, timing, proportionality, documentation, or continuity controls needed for client welfare, self-determination, boundaries, conflicts, exploitation, and continuity. The keyed response is superior because it instead requires the social worker to discuss feasible fee, frequency, referral, coverage, and transition options transparently while avoiding abandonment or coercive debt practices.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Discuss feasible fee, frequency, referral, coverage, and transition options transparently while avoiding abandonment or coercive debt practices.</w:t>
            </w:r>
          </w:p>
        </w:tc>
        <w:tc>
          <w:tcPr>
            <w:tcW w:type="dxa" w:w="3485"/>
            <w:shd w:fill="EAF7F7"/>
            <w:vAlign w:val="center"/>
            <w:tcMar>
              <w:top w:w="55" w:type="dxa"/>
              <w:start w:w="65" w:type="dxa"/>
              <w:bottom w:w="55" w:type="dxa"/>
              <w:end w:w="65" w:type="dxa"/>
            </w:tcMar>
          </w:tcPr>
          <w:p>
            <w:pPr>
              <w:spacing w:after="0"/>
            </w:pPr>
            <w:r>
              <w:rPr>
                <w:sz w:val="16"/>
              </w:rPr>
              <w:t>Correct. This option directly addresses financial hardship and continuity through immediate client protection and proportionate risk management, clear role, consent, and expectation-setting and continuity of care and avoidance of abandonment.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Continue indefinitely without discussing a sustainable arrangement.</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discuss feasible fee, frequency, referral, coverage, and transition options transparently while avoiding abandonment or coercive debt practices.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Require the client to perform personal services for the clinician to repay the balance.</w:t>
            </w:r>
          </w:p>
        </w:tc>
        <w:tc>
          <w:tcPr>
            <w:tcW w:type="dxa" w:w="3485"/>
            <w:vAlign w:val="center"/>
            <w:tcMar>
              <w:top w:w="55" w:type="dxa"/>
              <w:start w:w="65" w:type="dxa"/>
              <w:bottom w:w="55" w:type="dxa"/>
              <w:end w:w="65" w:type="dxa"/>
            </w:tcMar>
          </w:tcPr>
          <w:p>
            <w:pPr>
              <w:spacing w:after="0"/>
            </w:pPr>
            <w:r>
              <w:rPr>
                <w:sz w:val="16"/>
              </w:rPr>
              <w:t>Incorrect. It does not adequately address financial hardship and continuity and omits the role, authority, timing, proportionality, documentation, or continuity controls needed for client welfare, self-determination, boundaries, conflicts, exploitation, and continuity. The keyed response is superior because it instead requires the social worker to discuss feasible fee, frequency, referral, coverage, and transition options transparently while avoiding abandonment or coercive debt practices.</w:t>
            </w:r>
          </w:p>
        </w:tc>
      </w:tr>
    </w:tbl>
    <w:p>
      <w:pPr>
        <w:pStyle w:val="Heading2"/>
      </w:pPr>
      <w:r>
        <w:t>Why the Key Controls</w:t>
      </w:r>
    </w:p>
    <w:p>
      <w:r>
        <w:t>The controlling issue is financial hardship and continuity. The keyed response is the most complete because it requires immediate client protection and proportionate risk management, clear role, consent, and expectation-setting, and continuity of care and avoidance of abandonment. That approach is consistent with the cited source family (NASW Code 1.13, 1.15, and 1.16)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Financial hardship and continuity</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FINANCIAL-HARDSHIP-AND-CONTINUITY</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1.13, 1.15, and 1.16</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55 - Controlled Rationale</w:t>
      </w:r>
    </w:p>
    <w:p>
      <w:r>
        <w:rPr>
          <w:b/>
        </w:rPr>
        <w:t xml:space="preserve">Item ID: </w:t>
      </w:r>
      <w:r>
        <w:t>CTA-EP-002-CUM-F-055</w:t>
      </w:r>
    </w:p>
    <w:p>
      <w:r>
        <w:rPr>
          <w:b/>
        </w:rPr>
        <w:t xml:space="preserve">Stem: </w:t>
      </w:r>
      <w:r>
        <w:t>An adult client authorized a sibling to help with scheduling only. The sibling begins answering treatment-planning questions and asks the LCSW to disclose the diagnosis. Which response is BEST?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Treat the sibling as a joint client because some participation was authorized.</w:t>
            </w:r>
          </w:p>
        </w:tc>
        <w:tc>
          <w:tcPr>
            <w:tcW w:type="dxa" w:w="3485"/>
            <w:vAlign w:val="center"/>
            <w:tcMar>
              <w:top w:w="55" w:type="dxa"/>
              <w:start w:w="65" w:type="dxa"/>
              <w:bottom w:w="55" w:type="dxa"/>
              <w:end w:w="65" w:type="dxa"/>
            </w:tcMar>
          </w:tcPr>
          <w:p>
            <w:pPr>
              <w:spacing w:after="0"/>
            </w:pPr>
            <w:r>
              <w:rPr>
                <w:sz w:val="16"/>
              </w:rPr>
              <w:t>Incorrect. Limited participation does not make the sibling a joint client.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Allow the sibling to direct treatment because the client signed an authorization.</w:t>
            </w:r>
          </w:p>
        </w:tc>
        <w:tc>
          <w:tcPr>
            <w:tcW w:type="dxa" w:w="3485"/>
            <w:vAlign w:val="center"/>
            <w:tcMar>
              <w:top w:w="55" w:type="dxa"/>
              <w:start w:w="65" w:type="dxa"/>
              <w:bottom w:w="55" w:type="dxa"/>
              <w:end w:w="65" w:type="dxa"/>
            </w:tcMar>
          </w:tcPr>
          <w:p>
            <w:pPr>
              <w:spacing w:after="0"/>
            </w:pPr>
            <w:r>
              <w:rPr>
                <w:sz w:val="16"/>
              </w:rPr>
              <w:t>Incorrect. An authorization does not transfer treatment-decision authority or permit unlimited disclosure.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End all sibling involvement permanently without consulting the client.</w:t>
            </w:r>
          </w:p>
        </w:tc>
        <w:tc>
          <w:tcPr>
            <w:tcW w:type="dxa" w:w="3485"/>
            <w:vAlign w:val="center"/>
            <w:tcMar>
              <w:top w:w="55" w:type="dxa"/>
              <w:start w:w="65" w:type="dxa"/>
              <w:bottom w:w="55" w:type="dxa"/>
              <w:end w:w="65" w:type="dxa"/>
            </w:tcMar>
          </w:tcPr>
          <w:p>
            <w:pPr>
              <w:spacing w:after="0"/>
            </w:pPr>
            <w:r>
              <w:rPr>
                <w:sz w:val="16"/>
              </w:rPr>
              <w:t>Incorrect. The appropriate response is to clarify and limit the role, not automatically eliminate a support the client may still want.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Clarify the existing authorization and the client’s current wishes, preserve the client’s voice and decision authority, and obtain specific informed permission before expanding the sibling’s role or receiving additional information.</w:t>
            </w:r>
          </w:p>
        </w:tc>
        <w:tc>
          <w:tcPr>
            <w:tcW w:type="dxa" w:w="3485"/>
            <w:shd w:fill="EAF7F7"/>
            <w:vAlign w:val="center"/>
            <w:tcMar>
              <w:top w:w="55" w:type="dxa"/>
              <w:start w:w="65" w:type="dxa"/>
              <w:bottom w:w="55" w:type="dxa"/>
              <w:end w:w="65" w:type="dxa"/>
            </w:tcMar>
          </w:tcPr>
          <w:p>
            <w:pPr>
              <w:spacing w:after="0"/>
            </w:pPr>
            <w:r>
              <w:rPr>
                <w:sz w:val="16"/>
              </w:rPr>
              <w:t>Correct. This response respects self-determination, confidentiality, role clarity, and the exact scope of consent.</w:t>
            </w:r>
          </w:p>
        </w:tc>
      </w:tr>
    </w:tbl>
    <w:p>
      <w:pPr>
        <w:pStyle w:val="Heading2"/>
      </w:pPr>
      <w:r>
        <w:t>Why the Key Controls</w:t>
      </w:r>
    </w:p>
    <w:p>
      <w:r>
        <w:t>Authorization for scheduling assistance does not automatically permit clinical disclosure or decision-making. The LCSW must clarify the client’s present wishes, preserve the client’s voice and authority, and obtain specific informed permission before expanding the sibling’s role.</w:t>
      </w:r>
    </w:p>
    <w:p>
      <w:pPr>
        <w:pStyle w:val="Heading2"/>
      </w:pPr>
      <w:r>
        <w:t>CTA Exam Strategy</w:t>
      </w:r>
    </w:p>
    <w:p>
      <w:r>
        <w:t>When a support person’s role expands, pause and renew role, consent, information-flow, and decision-authority clarification.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Expansion of a support person’s authorized role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SUPPORT-ROLE-EXPANSION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1.02, 1.03, 1.06, and 1.07; applicable confidentiality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56 - Controlled Rationale</w:t>
      </w:r>
    </w:p>
    <w:p>
      <w:r>
        <w:rPr>
          <w:b/>
        </w:rPr>
        <w:t xml:space="preserve">Item ID: </w:t>
      </w:r>
      <w:r>
        <w:t>CTA-EP-002-CUM-F-056</w:t>
      </w:r>
    </w:p>
    <w:p>
      <w:r>
        <w:rPr>
          <w:b/>
        </w:rPr>
        <w:t xml:space="preserve">Stem: </w:t>
      </w:r>
      <w:r>
        <w:t>A client wants a culturally important elder involved in treatment planning, but the elder begins answering every question and pressuring the client to accept a specific intervention.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Recenter the client’s preferences, clarify the elder’s supportive role and information limits, assess coercion, and continue involvement only with informed client agreement.</w:t>
            </w:r>
          </w:p>
        </w:tc>
        <w:tc>
          <w:tcPr>
            <w:tcW w:type="dxa" w:w="3485"/>
            <w:shd w:fill="EAF7F7"/>
            <w:vAlign w:val="center"/>
            <w:tcMar>
              <w:top w:w="55" w:type="dxa"/>
              <w:start w:w="65" w:type="dxa"/>
              <w:bottom w:w="55" w:type="dxa"/>
              <w:end w:w="65" w:type="dxa"/>
            </w:tcMar>
          </w:tcPr>
          <w:p>
            <w:pPr>
              <w:spacing w:after="0"/>
            </w:pPr>
            <w:r>
              <w:rPr>
                <w:sz w:val="16"/>
              </w:rPr>
              <w:t>Correct. This option directly addresses client-defined support person and autonomy through clear role, consent, and expectation-setting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Allow the elder to decide because cultural responsiveness requires deference to community authority.</w:t>
            </w:r>
          </w:p>
        </w:tc>
        <w:tc>
          <w:tcPr>
            <w:tcW w:type="dxa" w:w="3485"/>
            <w:vAlign w:val="center"/>
            <w:tcMar>
              <w:top w:w="55" w:type="dxa"/>
              <w:start w:w="65" w:type="dxa"/>
              <w:bottom w:w="55" w:type="dxa"/>
              <w:end w:w="65" w:type="dxa"/>
            </w:tcMar>
          </w:tcPr>
          <w:p>
            <w:pPr>
              <w:spacing w:after="0"/>
            </w:pPr>
            <w:r>
              <w:rPr>
                <w:sz w:val="16"/>
              </w:rPr>
              <w:t>Incorrect. It does not adequately address client-defined support person and autonomy and omits the role, authority, timing, proportionality, documentation, or continuity controls needed for client welfare, self-determination, boundaries, conflicts, exploitation, and continuity. The keyed response is superior because it instead requires the social worker to recenter the client’s preferences, clarify the elder’s supportive role and information limits, assess coercion, and continue involvement only with informed client agreement.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Exclude the elder permanently without consulting the client.</w:t>
            </w:r>
          </w:p>
        </w:tc>
        <w:tc>
          <w:tcPr>
            <w:tcW w:type="dxa" w:w="3485"/>
            <w:vAlign w:val="center"/>
            <w:tcMar>
              <w:top w:w="55" w:type="dxa"/>
              <w:start w:w="65" w:type="dxa"/>
              <w:bottom w:w="55" w:type="dxa"/>
              <w:end w:w="65" w:type="dxa"/>
            </w:tcMar>
          </w:tcPr>
          <w:p>
            <w:pPr>
              <w:spacing w:after="0"/>
            </w:pPr>
            <w:r>
              <w:rPr>
                <w:sz w:val="16"/>
              </w:rPr>
              <w:t>Incorrect. It does not adequately address client-defined support person and autonomy and omits the role, authority, timing, proportionality, documentation, or continuity controls needed for client welfare, self-determination, boundaries, conflicts, exploitation, and continuity. The keyed response is superior because it instead requires the social worker to recenter the client’s preferences, clarify the elder’s supportive role and information limits, assess coercion, and continue involvement only with informed client agreement.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Treat the elder’s statements as the client’s consent.</w:t>
            </w:r>
          </w:p>
        </w:tc>
        <w:tc>
          <w:tcPr>
            <w:tcW w:type="dxa" w:w="3485"/>
            <w:vAlign w:val="center"/>
            <w:tcMar>
              <w:top w:w="55" w:type="dxa"/>
              <w:start w:w="65" w:type="dxa"/>
              <w:bottom w:w="55" w:type="dxa"/>
              <w:end w:w="65" w:type="dxa"/>
            </w:tcMar>
          </w:tcPr>
          <w:p>
            <w:pPr>
              <w:spacing w:after="0"/>
            </w:pPr>
            <w:r>
              <w:rPr>
                <w:sz w:val="16"/>
              </w:rPr>
              <w:t>Incorrect. It does not adequately address client-defined support person and autonomy and omits the role, authority, timing, proportionality, documentation, or continuity controls needed for client welfare, self-determination, boundaries, conflicts, exploitation, and continuity. The keyed response is superior because it instead requires the social worker to recenter the client’s preferences, clarify the elder’s supportive role and information limits, assess coercion, and continue involvement only with informed client agreement.</w:t>
            </w:r>
          </w:p>
        </w:tc>
      </w:tr>
    </w:tbl>
    <w:p>
      <w:pPr>
        <w:pStyle w:val="Heading2"/>
      </w:pPr>
      <w:r>
        <w:t>Why the Key Controls</w:t>
      </w:r>
    </w:p>
    <w:p>
      <w:r>
        <w:t>The controlling issue is client-defined support person and autonomy. The keyed response is the most complete because it requires clear role, consent, and expectation-setting and limited and purpose-specific information use. That approach is consistent with the cited source family (NASW Code 1.02, 1.03, 1.05, and 1.07)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Client-defined support person and autonomy</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CLIENT-DEFINED-SUPPORT-PERSON-AND-AUTONOMY</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1.02, 1.03, 1.05,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57 - Controlled Rationale</w:t>
      </w:r>
    </w:p>
    <w:p>
      <w:r>
        <w:rPr>
          <w:b/>
        </w:rPr>
        <w:t xml:space="preserve">Item ID: </w:t>
      </w:r>
      <w:r>
        <w:t>CTA-EP-002-CUM-F-057</w:t>
      </w:r>
    </w:p>
    <w:p>
      <w:r>
        <w:rPr>
          <w:b/>
        </w:rPr>
        <w:t xml:space="preserve">Stem: </w:t>
      </w:r>
      <w:r>
        <w:t>A clinic offers to use a client’s young child as interpreter for a complex trauma assessment even though qualified language support is available. What is the appropriate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Use qualified language support, explain roles and confidentiality, speak to the client, verify meaning, and avoid burdening the child.</w:t>
            </w:r>
          </w:p>
        </w:tc>
        <w:tc>
          <w:tcPr>
            <w:tcW w:type="dxa" w:w="3485"/>
            <w:shd w:fill="EAF7F7"/>
            <w:vAlign w:val="center"/>
            <w:tcMar>
              <w:top w:w="55" w:type="dxa"/>
              <w:start w:w="65" w:type="dxa"/>
              <w:bottom w:w="55" w:type="dxa"/>
              <w:end w:w="65" w:type="dxa"/>
            </w:tcMar>
          </w:tcPr>
          <w:p>
            <w:pPr>
              <w:spacing w:after="0"/>
            </w:pPr>
            <w:r>
              <w:rPr>
                <w:sz w:val="16"/>
              </w:rPr>
              <w:t>Correct. This option directly addresses qualified interpreter and client-centered communication through clear role, consent, and expectation-setting and verification of the controlling facts and authority.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Use the child because family interpretation is always more culturally sensitive.</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use qualified language support, explain roles and confidentiality, speak to the client, verify meaning, and avoid burdening the child.</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Proceed in English and assume nodding means understanding.</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use qualified language support, explain roles and confidentiality, speak to the client, verify meaning, and avoid burdening the child.</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child to decide which information should be withheld.</w:t>
            </w:r>
          </w:p>
        </w:tc>
        <w:tc>
          <w:tcPr>
            <w:tcW w:type="dxa" w:w="3485"/>
            <w:vAlign w:val="center"/>
            <w:tcMar>
              <w:top w:w="55" w:type="dxa"/>
              <w:start w:w="65" w:type="dxa"/>
              <w:bottom w:w="55" w:type="dxa"/>
              <w:end w:w="65" w:type="dxa"/>
            </w:tcMar>
          </w:tcPr>
          <w:p>
            <w:pPr>
              <w:spacing w:after="0"/>
            </w:pPr>
            <w:r>
              <w:rPr>
                <w:sz w:val="16"/>
              </w:rPr>
              <w:t>Incorrect. It does not adequately address qualified interpreter and client-centered communication and omits the role, authority, timing, proportionality, documentation, or continuity controls needed for client welfare, self-determination, boundaries, conflicts, exploitation, and continuity. The keyed response is superior because it instead requires the social worker to use qualified language support, explain roles and confidentiality, speak to the client, verify meaning, and avoid burdening the child.</w:t>
            </w:r>
          </w:p>
        </w:tc>
      </w:tr>
    </w:tbl>
    <w:p>
      <w:pPr>
        <w:pStyle w:val="Heading2"/>
      </w:pPr>
      <w:r>
        <w:t>Why the Key Controls</w:t>
      </w:r>
    </w:p>
    <w:p>
      <w:r>
        <w:t>The controlling issue is qualified interpreter and client-centered communication. The keyed response is the most complete because it requires clear role, consent, and expectation-setting and verification of the controlling facts and authority. That approach is consistent with the cited source family (NASW Code 1.03, 1.04, and 1.07; applicable language-access law)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Qualified interpreter and client-centered communication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Integrated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QUALIFIED-INTERPRETER-AND-CLIENT-CENTERED-CO</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1.03, 1.04, and 1.07; applicable language-access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58 - Controlled Rationale</w:t>
      </w:r>
    </w:p>
    <w:p>
      <w:r>
        <w:rPr>
          <w:b/>
        </w:rPr>
        <w:t xml:space="preserve">Item ID: </w:t>
      </w:r>
      <w:r>
        <w:t>CTA-EP-002-CUM-F-058</w:t>
      </w:r>
    </w:p>
    <w:p>
      <w:r>
        <w:rPr>
          <w:b/>
        </w:rPr>
        <w:t xml:space="preserve">Stem: </w:t>
      </w:r>
      <w:r>
        <w:t>During a remote session, a client states an immediate intent to die, disconnects, and the clinician has only an outdated address and a current phone number. What is the appropriate response?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Wait until the next scheduled session because the location is uncertain.</w:t>
            </w:r>
          </w:p>
        </w:tc>
        <w:tc>
          <w:tcPr>
            <w:tcW w:type="dxa" w:w="3485"/>
            <w:vAlign w:val="center"/>
            <w:tcMar>
              <w:top w:w="55" w:type="dxa"/>
              <w:start w:w="65" w:type="dxa"/>
              <w:bottom w:w="55" w:type="dxa"/>
              <w:end w:w="65" w:type="dxa"/>
            </w:tcMar>
          </w:tcPr>
          <w:p>
            <w:pPr>
              <w:spacing w:after="0"/>
            </w:pPr>
            <w:r>
              <w:rPr>
                <w:sz w:val="16"/>
              </w:rPr>
              <w:t>Incorrect. It delays a current safety, status, correction, or continuity responsibility and may allow preventable harm to continue. The keyed response is superior because it instead requires the social worker to use available information to attempt recontact, activate appropriate emergency and supervisory procedures, disclose only what is necessary, and document the response.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Post the client’s information publicly to ask community members for help.</w:t>
            </w:r>
          </w:p>
        </w:tc>
        <w:tc>
          <w:tcPr>
            <w:tcW w:type="dxa" w:w="3485"/>
            <w:vAlign w:val="center"/>
            <w:tcMar>
              <w:top w:w="55" w:type="dxa"/>
              <w:start w:w="65" w:type="dxa"/>
              <w:bottom w:w="55" w:type="dxa"/>
              <w:end w:w="65" w:type="dxa"/>
            </w:tcMar>
          </w:tcPr>
          <w:p>
            <w:pPr>
              <w:spacing w:after="0"/>
            </w:pPr>
            <w:r>
              <w:rPr>
                <w:sz w:val="16"/>
              </w:rPr>
              <w:t>Incorrect. It creates an unnecessary confidentiality and privacy breach and is not a proportionate professional response. The keyed response is superior because it instead requires the social worker to use available information to attempt recontact, activate appropriate emergency and supervisory procedures, disclose only what is necessary, and document the response.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Call only the billing contact because payment records control emergency response.</w:t>
            </w:r>
          </w:p>
        </w:tc>
        <w:tc>
          <w:tcPr>
            <w:tcW w:type="dxa" w:w="3485"/>
            <w:vAlign w:val="center"/>
            <w:tcMar>
              <w:top w:w="55" w:type="dxa"/>
              <w:start w:w="65" w:type="dxa"/>
              <w:bottom w:w="55" w:type="dxa"/>
              <w:end w:w="65" w:type="dxa"/>
            </w:tcMar>
          </w:tcPr>
          <w:p>
            <w:pPr>
              <w:spacing w:after="0"/>
            </w:pPr>
            <w:r>
              <w:rPr>
                <w:sz w:val="16"/>
              </w:rPr>
              <w:t>Incorrect. It does not adequately address telehealth crisis when client location is uncertain and omits the role, authority, timing, proportionality, documentation, or continuity controls needed for mandated action, emergency protection, risk assessment, disclosure limits, and follow-through. The keyed response is superior because it instead requires the social worker to use available information to attempt recontact, activate appropriate emergency and supervisory procedures, disclose only what is necessary, and document the response.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Use available information to attempt recontact, activate appropriate emergency and supervisory procedures, disclose only what is necessary, and document the response.</w:t>
            </w:r>
          </w:p>
        </w:tc>
        <w:tc>
          <w:tcPr>
            <w:tcW w:type="dxa" w:w="3485"/>
            <w:shd w:fill="EAF7F7"/>
            <w:vAlign w:val="center"/>
            <w:tcMar>
              <w:top w:w="55" w:type="dxa"/>
              <w:start w:w="65" w:type="dxa"/>
              <w:bottom w:w="55" w:type="dxa"/>
              <w:end w:w="65" w:type="dxa"/>
            </w:tcMar>
          </w:tcPr>
          <w:p>
            <w:pPr>
              <w:spacing w:after="0"/>
            </w:pPr>
            <w:r>
              <w:rPr>
                <w:sz w:val="16"/>
              </w:rPr>
              <w:t>Correct. This option directly addresses telehealth crisis when client location is uncertain through immediate client protection and proportionate risk management, clear role, consent, and expectation-setting and accurate documentation and accountability.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telehealth crisis when client location is uncertain. The keyed response is the most complete because it requires immediate client protection and proportionate risk management, clear role, consent, and expectation-setting, and accurate documentation and accountability. That approach is consistent with the cited source family (BPC 2290.5; applicable emergency-disclosure law; NASW Code 1.01 and 1.15)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Telehealth crisis when client location is uncertain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TELEHEALTH-CRISIS-WHEN-CLIENT-LOCATION-IS-UN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2290.5; applicable emergency-disclosure law; NASW Code 1.01 and 1.15</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59 - Controlled Rationale</w:t>
      </w:r>
    </w:p>
    <w:p>
      <w:r>
        <w:rPr>
          <w:b/>
        </w:rPr>
        <w:t xml:space="preserve">Item ID: </w:t>
      </w:r>
      <w:r>
        <w:t>CTA-EP-002-CUM-F-059</w:t>
      </w:r>
    </w:p>
    <w:p>
      <w:r>
        <w:rPr>
          <w:b/>
        </w:rPr>
        <w:t xml:space="preserve">Stem: </w:t>
      </w:r>
      <w:r>
        <w:t>After several overnight emergencies, an LCSW notices repeated concentration errors before a day of high-risk assessments. Which response is BEST?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Continue because fatigue is not a formal diagnosis.</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reduce or pause affected duties, obtain coverage or consultation, address immediate client risk, and take corrective self-care and workload steps.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clients to monitor the clinician for mistakes.</w:t>
            </w:r>
          </w:p>
        </w:tc>
        <w:tc>
          <w:tcPr>
            <w:tcW w:type="dxa" w:w="3485"/>
            <w:vAlign w:val="center"/>
            <w:tcMar>
              <w:top w:w="55" w:type="dxa"/>
              <w:start w:w="65" w:type="dxa"/>
              <w:bottom w:w="55" w:type="dxa"/>
              <w:end w:w="65" w:type="dxa"/>
            </w:tcMar>
          </w:tcPr>
          <w:p>
            <w:pPr>
              <w:spacing w:after="0"/>
            </w:pPr>
            <w:r>
              <w:rPr>
                <w:sz w:val="16"/>
              </w:rPr>
              <w:t>Incorrect. It does not adequately address fatigue affecting clinical judgment and omits the role, authority, timing, proportionality, documentation, or continuity controls needed for competence, integrity, impairment, bias, consultation, and truthful professional conduct. The keyed response is superior because it instead requires the social worker to reduce or pause affected duties, obtain coverage or consultation, address immediate client risk, and take corrective self-care and workload steps.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Document that every client accepted the increased risk.</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reduce or pause affected duties, obtain coverage or consultation, address immediate client risk, and take corrective self-care and workload steps.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Reduce or pause affected duties, obtain coverage or consultation, address immediate client risk, and take corrective self-care and workload steps.</w:t>
            </w:r>
          </w:p>
        </w:tc>
        <w:tc>
          <w:tcPr>
            <w:tcW w:type="dxa" w:w="3485"/>
            <w:shd w:fill="EAF7F7"/>
            <w:vAlign w:val="center"/>
            <w:tcMar>
              <w:top w:w="55" w:type="dxa"/>
              <w:start w:w="65" w:type="dxa"/>
              <w:bottom w:w="55" w:type="dxa"/>
              <w:end w:w="65" w:type="dxa"/>
            </w:tcMar>
          </w:tcPr>
          <w:p>
            <w:pPr>
              <w:spacing w:after="0"/>
            </w:pPr>
            <w:r>
              <w:rPr>
                <w:sz w:val="16"/>
              </w:rPr>
              <w:t>Correct. This option directly addresses fatigue affecting clinical judgment through immediate client protection and proportionate risk management, competence support through consultation, training, or qualified supervision, continuity of care and avoidance of abandonment and containment of unlawful, unsafe, or incompetent conduct.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fatigue affecting clinical judgment. The keyed response is the most complete because it requires immediate client protection and proportionate risk management, competence support through consultation, training, or qualified supervision, continuity of care and avoidance of abandonment, and containment of unlawful, unsafe, or incompetent conduct. That approach is consistent with the cited source family (NASW Code Purpose and 4.05; applicable professional-conduct law)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Fatigue affecting clinical judgment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WB4 - Professional Impairment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FATIGUE-AFFECTING-CLINICAL-JUDGMENT</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Purpose and 4.05; applicable professional-conduct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60 - Controlled Rationale</w:t>
      </w:r>
    </w:p>
    <w:p>
      <w:r>
        <w:rPr>
          <w:b/>
        </w:rPr>
        <w:t xml:space="preserve">Item ID: </w:t>
      </w:r>
      <w:r>
        <w:t>CTA-EP-002-CUM-F-060</w:t>
      </w:r>
    </w:p>
    <w:p>
      <w:r>
        <w:rPr>
          <w:b/>
        </w:rPr>
        <w:t xml:space="preserve">Stem: </w:t>
      </w:r>
      <w:r>
        <w:t>A reportable abuse disclosure also includes unrelated information about the client’s past treatment and family conflict. What is the appropriate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Make the required report with the information needed by law and protect unrelated confidential material.</w:t>
            </w:r>
          </w:p>
        </w:tc>
        <w:tc>
          <w:tcPr>
            <w:tcW w:type="dxa" w:w="3485"/>
            <w:shd w:fill="EAF7F7"/>
            <w:vAlign w:val="center"/>
            <w:tcMar>
              <w:top w:w="55" w:type="dxa"/>
              <w:start w:w="65" w:type="dxa"/>
              <w:bottom w:w="55" w:type="dxa"/>
              <w:end w:w="65" w:type="dxa"/>
            </w:tcMar>
          </w:tcPr>
          <w:p>
            <w:pPr>
              <w:spacing w:after="0"/>
            </w:pPr>
            <w:r>
              <w:rPr>
                <w:sz w:val="16"/>
              </w:rPr>
              <w:t>Correct. This option directly addresses mandated report and minimum necessary information through immediate client protection and proportionate risk management, clear role, consent, and expectation-setting and current law and applicability review.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Send the entire record because a mandated report removes all confidentiality.</w:t>
            </w:r>
          </w:p>
        </w:tc>
        <w:tc>
          <w:tcPr>
            <w:tcW w:type="dxa" w:w="3485"/>
            <w:vAlign w:val="center"/>
            <w:tcMar>
              <w:top w:w="55" w:type="dxa"/>
              <w:start w:w="65" w:type="dxa"/>
              <w:bottom w:w="55" w:type="dxa"/>
              <w:end w:w="65" w:type="dxa"/>
            </w:tcMar>
          </w:tcPr>
          <w:p>
            <w:pPr>
              <w:spacing w:after="0"/>
            </w:pPr>
            <w:r>
              <w:rPr>
                <w:sz w:val="16"/>
              </w:rPr>
              <w:t>Incorrect. It authorizes overdisclosure and ignores purpose, authority, minimum-necessary analysis, and confidentiality limits. The keyed response is superior because it instead requires the social worker to make the required report with the information needed by law and protect unrelated confidential material.</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Omit the required facts to minimize disclosure.</w:t>
            </w:r>
          </w:p>
        </w:tc>
        <w:tc>
          <w:tcPr>
            <w:tcW w:type="dxa" w:w="3485"/>
            <w:vAlign w:val="center"/>
            <w:tcMar>
              <w:top w:w="55" w:type="dxa"/>
              <w:start w:w="65" w:type="dxa"/>
              <w:bottom w:w="55" w:type="dxa"/>
              <w:end w:w="65" w:type="dxa"/>
            </w:tcMar>
          </w:tcPr>
          <w:p>
            <w:pPr>
              <w:spacing w:after="0"/>
            </w:pPr>
            <w:r>
              <w:rPr>
                <w:sz w:val="16"/>
              </w:rPr>
              <w:t>Incorrect. It undermines transparency, documentation integrity, review, and the ability to protect the client or correct the problem. The keyed response is superior because it instead requires the social worker to make the required report with the information needed by law and protect unrelated confidential material.</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suspected perpetrator to decide what may be reported.</w:t>
            </w:r>
          </w:p>
        </w:tc>
        <w:tc>
          <w:tcPr>
            <w:tcW w:type="dxa" w:w="3485"/>
            <w:vAlign w:val="center"/>
            <w:tcMar>
              <w:top w:w="55" w:type="dxa"/>
              <w:start w:w="65" w:type="dxa"/>
              <w:bottom w:w="55" w:type="dxa"/>
              <w:end w:w="65" w:type="dxa"/>
            </w:tcMar>
          </w:tcPr>
          <w:p>
            <w:pPr>
              <w:spacing w:after="0"/>
            </w:pPr>
            <w:r>
              <w:rPr>
                <w:sz w:val="16"/>
              </w:rPr>
              <w:t>Incorrect. It does not adequately address mandated report and minimum necessary information and omits the role, authority, timing, proportionality, documentation, or continuity controls needed for mandated action, emergency protection, risk assessment, disclosure limits, and follow-through. The keyed response is superior because it instead requires the social worker to make the required report with the information needed by law and protect unrelated confidential material.</w:t>
            </w:r>
          </w:p>
        </w:tc>
      </w:tr>
    </w:tbl>
    <w:p>
      <w:pPr>
        <w:pStyle w:val="Heading2"/>
      </w:pPr>
      <w:r>
        <w:t>Why the Key Controls</w:t>
      </w:r>
    </w:p>
    <w:p>
      <w:r>
        <w:t>The controlling issue is mandated report and minimum necessary information. The keyed response is the most complete because it requires immediate client protection and proportionate risk management, clear role, consent, and expectation-setting, and current law and applicability review. That approach is consistent with the cited source family (Applicable California mandated-report law; NASW Code 1.07)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Mandated report and minimum necessary information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MANDATED-REPORT-AND-MINIMUM-NECESSARY-INFORM</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Applicable California mandated-report law; NASW Code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61 - Controlled Rationale</w:t>
      </w:r>
    </w:p>
    <w:p>
      <w:r>
        <w:rPr>
          <w:b/>
        </w:rPr>
        <w:t xml:space="preserve">Item ID: </w:t>
      </w:r>
      <w:r>
        <w:t>CTA-EP-002-CUM-F-061</w:t>
      </w:r>
    </w:p>
    <w:p>
      <w:r>
        <w:rPr>
          <w:b/>
        </w:rPr>
        <w:t xml:space="preserve">Stem: </w:t>
      </w:r>
      <w:r>
        <w:t>A manager wants staff to discuss a colleague’s suspected health condition in a large team meeting rather than use the established safety process. Which response is BEST?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Share every rumor so the team can vote on impairment.</w:t>
            </w:r>
          </w:p>
        </w:tc>
        <w:tc>
          <w:tcPr>
            <w:tcW w:type="dxa" w:w="3485"/>
            <w:vAlign w:val="center"/>
            <w:tcMar>
              <w:top w:w="55" w:type="dxa"/>
              <w:start w:w="65" w:type="dxa"/>
              <w:bottom w:w="55" w:type="dxa"/>
              <w:end w:w="65" w:type="dxa"/>
            </w:tcMar>
          </w:tcPr>
          <w:p>
            <w:pPr>
              <w:spacing w:after="0"/>
            </w:pPr>
            <w:r>
              <w:rPr>
                <w:sz w:val="16"/>
              </w:rPr>
              <w:t>Incorrect. It authorizes overdisclosure and ignores purpose, authority, minimum-necessary analysis, and confidentiality limits. The keyed response is superior because it instead requires the social worker to focus on objective functional and client-safety concerns, use need-to-know procedures, and avoid unnecessary disclosure of private health information.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Ignore observable safety concerns because health information is private.</w:t>
            </w:r>
          </w:p>
        </w:tc>
        <w:tc>
          <w:tcPr>
            <w:tcW w:type="dxa" w:w="3485"/>
            <w:vAlign w:val="center"/>
            <w:tcMar>
              <w:top w:w="55" w:type="dxa"/>
              <w:start w:w="65" w:type="dxa"/>
              <w:bottom w:w="55" w:type="dxa"/>
              <w:end w:w="65" w:type="dxa"/>
            </w:tcMar>
          </w:tcPr>
          <w:p>
            <w:pPr>
              <w:spacing w:after="0"/>
            </w:pPr>
            <w:r>
              <w:rPr>
                <w:sz w:val="16"/>
              </w:rPr>
              <w:t>Incorrect. It does not adequately address impairment response policy and confidentiality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focus on objective functional and client-safety concerns, use need-to-know procedures, and avoid unnecessary disclosure of private health information.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clients to provide evidence about the colleague’s medical condition.</w:t>
            </w:r>
          </w:p>
        </w:tc>
        <w:tc>
          <w:tcPr>
            <w:tcW w:type="dxa" w:w="3485"/>
            <w:vAlign w:val="center"/>
            <w:tcMar>
              <w:top w:w="55" w:type="dxa"/>
              <w:start w:w="65" w:type="dxa"/>
              <w:bottom w:w="55" w:type="dxa"/>
              <w:end w:w="65" w:type="dxa"/>
            </w:tcMar>
          </w:tcPr>
          <w:p>
            <w:pPr>
              <w:spacing w:after="0"/>
            </w:pPr>
            <w:r>
              <w:rPr>
                <w:sz w:val="16"/>
              </w:rPr>
              <w:t>Incorrect. It does not adequately address impairment response policy and confidentiality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focus on objective functional and client-safety concerns, use need-to-know procedures, and avoid unnecessary disclosure of private health information.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Focus on objective functional and client-safety concerns, use need-to-know procedures, and avoid unnecessary disclosure of private health information.</w:t>
            </w:r>
          </w:p>
        </w:tc>
        <w:tc>
          <w:tcPr>
            <w:tcW w:type="dxa" w:w="3485"/>
            <w:shd w:fill="EAF7F7"/>
            <w:vAlign w:val="center"/>
            <w:tcMar>
              <w:top w:w="55" w:type="dxa"/>
              <w:start w:w="65" w:type="dxa"/>
              <w:bottom w:w="55" w:type="dxa"/>
              <w:end w:w="65" w:type="dxa"/>
            </w:tcMar>
          </w:tcPr>
          <w:p>
            <w:pPr>
              <w:spacing w:after="0"/>
            </w:pPr>
            <w:r>
              <w:rPr>
                <w:sz w:val="16"/>
              </w:rPr>
              <w:t>Correct. This option directly addresses impairment response policy and confidentiality through immediate client protection and proportionate risk management and clear role, consent, and expectation-setting.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impairment response policy and confidentiality. The keyed response is the most complete because it requires immediate client protection and proportionate risk management and clear role, consent, and expectation-setting. That approach is consistent with the cited source family (NASW Code 2.08, 3.07, and 4.05; applicable employment and privacy law)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Impairment response policy and confidentiality</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WB4 - Professional Impairment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IMPAIRMENT-RESPONSE-POLICY-AND-CONFIDENTIALI</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2.08, 3.07, and 4.05; applicable employment and privacy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62 - Controlled Rationale</w:t>
      </w:r>
    </w:p>
    <w:p>
      <w:r>
        <w:rPr>
          <w:b/>
        </w:rPr>
        <w:t xml:space="preserve">Item ID: </w:t>
      </w:r>
      <w:r>
        <w:t>CTA-EP-002-CUM-F-062</w:t>
      </w:r>
    </w:p>
    <w:p>
      <w:r>
        <w:rPr>
          <w:b/>
        </w:rPr>
        <w:t xml:space="preserve">Stem: </w:t>
      </w:r>
      <w:r>
        <w:t>A current psychotherapy client proposes ending treatment immediately so the client and LCSW can begin a romantic relationship. Which response is BEST?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Agree after documenting mutual consent.</w:t>
            </w:r>
          </w:p>
        </w:tc>
        <w:tc>
          <w:tcPr>
            <w:tcW w:type="dxa" w:w="3485"/>
            <w:vAlign w:val="center"/>
            <w:tcMar>
              <w:top w:w="55" w:type="dxa"/>
              <w:start w:w="65" w:type="dxa"/>
              <w:bottom w:w="55" w:type="dxa"/>
              <w:end w:w="65" w:type="dxa"/>
            </w:tcMar>
          </w:tcPr>
          <w:p>
            <w:pPr>
              <w:spacing w:after="0"/>
            </w:pPr>
            <w:r>
              <w:rPr>
                <w:sz w:val="16"/>
              </w:rPr>
              <w:t>Incorrect. It does not adequately address sexual relationship prohibition with a current client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maintain the prohibition and professional boundary; ending treatment does not make an immediate sexual or romantic relationship appropriate or lawful.</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Agree if the client initiates the relationship.</w:t>
            </w:r>
          </w:p>
        </w:tc>
        <w:tc>
          <w:tcPr>
            <w:tcW w:type="dxa" w:w="3485"/>
            <w:vAlign w:val="center"/>
            <w:tcMar>
              <w:top w:w="55" w:type="dxa"/>
              <w:start w:w="65" w:type="dxa"/>
              <w:bottom w:w="55" w:type="dxa"/>
              <w:end w:w="65" w:type="dxa"/>
            </w:tcMar>
          </w:tcPr>
          <w:p>
            <w:pPr>
              <w:spacing w:after="0"/>
            </w:pPr>
            <w:r>
              <w:rPr>
                <w:sz w:val="16"/>
              </w:rPr>
              <w:t>Incorrect. It does not adequately address sexual relationship prohibition with a current client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maintain the prohibition and professional boundary; ending treatment does not make an immediate sexual or romantic relationship appropriate or lawful.</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Refer the client and begin the relationship the same day.</w:t>
            </w:r>
          </w:p>
        </w:tc>
        <w:tc>
          <w:tcPr>
            <w:tcW w:type="dxa" w:w="3485"/>
            <w:vAlign w:val="center"/>
            <w:tcMar>
              <w:top w:w="55" w:type="dxa"/>
              <w:start w:w="65" w:type="dxa"/>
              <w:bottom w:w="55" w:type="dxa"/>
              <w:end w:w="65" w:type="dxa"/>
            </w:tcMar>
          </w:tcPr>
          <w:p>
            <w:pPr>
              <w:spacing w:after="0"/>
            </w:pPr>
            <w:r>
              <w:rPr>
                <w:sz w:val="16"/>
              </w:rPr>
              <w:t>Incorrect. It does not adequately address sexual relationship prohibition with a current client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maintain the prohibition and professional boundary; ending treatment does not make an immediate sexual or romantic relationship appropriate or lawful.</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Maintain the prohibition and professional boundary; ending treatment does not make an immediate sexual or romantic relationship appropriate or lawful.</w:t>
            </w:r>
          </w:p>
        </w:tc>
        <w:tc>
          <w:tcPr>
            <w:tcW w:type="dxa" w:w="3485"/>
            <w:shd w:fill="EAF7F7"/>
            <w:vAlign w:val="center"/>
            <w:tcMar>
              <w:top w:w="55" w:type="dxa"/>
              <w:start w:w="65" w:type="dxa"/>
              <w:bottom w:w="55" w:type="dxa"/>
              <w:end w:w="65" w:type="dxa"/>
            </w:tcMar>
          </w:tcPr>
          <w:p>
            <w:pPr>
              <w:spacing w:after="0"/>
            </w:pPr>
            <w:r>
              <w:rPr>
                <w:sz w:val="16"/>
              </w:rPr>
              <w:t>Correct. This option directly addresses sexual relationship prohibition with a current client through boundary and conflict-of-interest safeguards and current law and applicability review.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sexual relationship prohibition with a current client. The keyed response is the most complete because it requires boundary and conflict-of-interest safeguards and current law and applicability review. That approach is consistent with the cited source family (BPC 4992.3 and applicable sexual-misconduct law; NASW Code 1.09)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Sexual relationship prohibition with a current client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SEXUAL-RELATIONSHIP-PROHIBITION-WITH-A-CURRE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4992.3 and applicable sexual-misconduct law; NASW Code 1.09</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63 - Controlled Rationale</w:t>
      </w:r>
    </w:p>
    <w:p>
      <w:r>
        <w:rPr>
          <w:b/>
        </w:rPr>
        <w:t xml:space="preserve">Item ID: </w:t>
      </w:r>
      <w:r>
        <w:t>CTA-EP-002-CUM-F-063</w:t>
      </w:r>
    </w:p>
    <w:p>
      <w:r>
        <w:rPr>
          <w:b/>
        </w:rPr>
        <w:t xml:space="preserve">Stem: </w:t>
      </w:r>
      <w:r>
        <w:t>An LCSW develops a medical condition that intermittently affects memory but is not currently causing errors in every case. What is the appropriate response?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Stop all professional work permanently because any diagnosis proves impairment.</w:t>
            </w:r>
          </w:p>
        </w:tc>
        <w:tc>
          <w:tcPr>
            <w:tcW w:type="dxa" w:w="3485"/>
            <w:vAlign w:val="center"/>
            <w:tcMar>
              <w:top w:w="55" w:type="dxa"/>
              <w:start w:w="65" w:type="dxa"/>
              <w:bottom w:w="55" w:type="dxa"/>
              <w:end w:w="65" w:type="dxa"/>
            </w:tcMar>
          </w:tcPr>
          <w:p>
            <w:pPr>
              <w:spacing w:after="0"/>
            </w:pPr>
            <w:r>
              <w:rPr>
                <w:sz w:val="16"/>
              </w:rPr>
              <w:t>Incorrect. It does not adequately address health condition and functional competence and omits the role, authority, timing, proportionality, documentation, or continuity controls needed for competence, integrity, impairment, bias, consultation, and truthful professional conduct. The keyed response is superior because it instead requires the social worker to assess actual functional impact, use medical and professional consultation, implement safeguards and monitoring, and modify duties when competence or safety is affected.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Ignore the condition until a client complains.</w:t>
            </w:r>
          </w:p>
        </w:tc>
        <w:tc>
          <w:tcPr>
            <w:tcW w:type="dxa" w:w="3485"/>
            <w:vAlign w:val="center"/>
            <w:tcMar>
              <w:top w:w="55" w:type="dxa"/>
              <w:start w:w="65" w:type="dxa"/>
              <w:bottom w:w="55" w:type="dxa"/>
              <w:end w:w="65" w:type="dxa"/>
            </w:tcMar>
          </w:tcPr>
          <w:p>
            <w:pPr>
              <w:spacing w:after="0"/>
            </w:pPr>
            <w:r>
              <w:rPr>
                <w:sz w:val="16"/>
              </w:rPr>
              <w:t>Incorrect. It does not adequately address health condition and functional competence and omits the role, authority, timing, proportionality, documentation, or continuity controls needed for competence, integrity, impairment, bias, consultation, and truthful professional conduct. The keyed response is superior because it instead requires the social worker to assess actual functional impact, use medical and professional consultation, implement safeguards and monitoring, and modify duties when competence or safety is affected.</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Conceal the condition from every appropriate consultant or employer regardless of risk.</w:t>
            </w:r>
          </w:p>
        </w:tc>
        <w:tc>
          <w:tcPr>
            <w:tcW w:type="dxa" w:w="3485"/>
            <w:vAlign w:val="center"/>
            <w:tcMar>
              <w:top w:w="55" w:type="dxa"/>
              <w:start w:w="65" w:type="dxa"/>
              <w:bottom w:w="55" w:type="dxa"/>
              <w:end w:w="65" w:type="dxa"/>
            </w:tcMar>
          </w:tcPr>
          <w:p>
            <w:pPr>
              <w:spacing w:after="0"/>
            </w:pPr>
            <w:r>
              <w:rPr>
                <w:sz w:val="16"/>
              </w:rPr>
              <w:t>Incorrect. It does not adequately address health condition and functional competence and omits the role, authority, timing, proportionality, documentation, or continuity controls needed for competence, integrity, impairment, bias, consultation, and truthful professional conduct. The keyed response is superior because it instead requires the social worker to assess actual functional impact, use medical and professional consultation, implement safeguards and monitoring, and modify duties when competence or safety is affected.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Assess actual functional impact, use medical and professional consultation, implement safeguards and monitoring, and modify duties when competence or safety is affected.</w:t>
            </w:r>
          </w:p>
        </w:tc>
        <w:tc>
          <w:tcPr>
            <w:tcW w:type="dxa" w:w="3485"/>
            <w:shd w:fill="EAF7F7"/>
            <w:vAlign w:val="center"/>
            <w:tcMar>
              <w:top w:w="55" w:type="dxa"/>
              <w:start w:w="65" w:type="dxa"/>
              <w:bottom w:w="55" w:type="dxa"/>
              <w:end w:w="65" w:type="dxa"/>
            </w:tcMar>
          </w:tcPr>
          <w:p>
            <w:pPr>
              <w:spacing w:after="0"/>
            </w:pPr>
            <w:r>
              <w:rPr>
                <w:sz w:val="16"/>
              </w:rPr>
              <w:t>Correct. This option directly addresses health condition and functional competence through immediate client protection and proportionate risk management, competence support through consultation, training, or qualified supervision and correction and prevention of recurrence.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health condition and functional competence. The keyed response is the most complete because it requires immediate client protection and proportionate risk management, competence support through consultation, training, or qualified supervision, and correction and prevention of recurrence. That approach is consistent with the cited source family (NASW Code 4.05; BPC 4992.3 professional-conduct provisions)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Health condition and functional competence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WB4 - Professional Impairment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HEALTH-CONDITION-AND-FUNCTIONAL-COMPETENCE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4.05; BPC 4992.3 professional-conduct provisions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64 - Controlled Rationale</w:t>
      </w:r>
    </w:p>
    <w:p>
      <w:r>
        <w:rPr>
          <w:b/>
        </w:rPr>
        <w:t xml:space="preserve">Item ID: </w:t>
      </w:r>
      <w:r>
        <w:t>CTA-EP-002-CUM-F-064</w:t>
      </w:r>
    </w:p>
    <w:p>
      <w:r>
        <w:rPr>
          <w:b/>
        </w:rPr>
        <w:t xml:space="preserve">Stem: </w:t>
      </w:r>
      <w:r>
        <w:t>A dependent adult reports that a caregiver is taking benefit payments and withholding food, but later says the disclosure was “just a misunderstanding.” What should the social worker do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Ignore the original disclosure because the client changed the story.</w:t>
            </w:r>
          </w:p>
        </w:tc>
        <w:tc>
          <w:tcPr>
            <w:tcW w:type="dxa" w:w="3485"/>
            <w:vAlign w:val="center"/>
            <w:tcMar>
              <w:top w:w="55" w:type="dxa"/>
              <w:start w:w="65" w:type="dxa"/>
              <w:bottom w:w="55" w:type="dxa"/>
              <w:end w:w="65" w:type="dxa"/>
            </w:tcMar>
          </w:tcPr>
          <w:p>
            <w:pPr>
              <w:spacing w:after="0"/>
            </w:pPr>
            <w:r>
              <w:rPr>
                <w:sz w:val="16"/>
              </w:rPr>
              <w:t>Incorrect. It does not adequately address dependent adult financial abuse concern and omits the role, authority, timing, proportionality, documentation, or continuity controls needed for mandated action, emergency protection, risk assessment, disclosure limits, and follow-through. The keyed response is superior because it instead requires the social worker to assess safety and the reporting threshold using all available facts, follow any mandated duty, and document the client’s later statement without treating it as an automatic retraction.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Assess safety and the reporting threshold using all available facts, follow any mandated duty, and document the client’s later statement without treating it as an automatic retraction.</w:t>
            </w:r>
          </w:p>
        </w:tc>
        <w:tc>
          <w:tcPr>
            <w:tcW w:type="dxa" w:w="3485"/>
            <w:shd w:fill="EAF7F7"/>
            <w:vAlign w:val="center"/>
            <w:tcMar>
              <w:top w:w="55" w:type="dxa"/>
              <w:start w:w="65" w:type="dxa"/>
              <w:bottom w:w="55" w:type="dxa"/>
              <w:end w:w="65" w:type="dxa"/>
            </w:tcMar>
          </w:tcPr>
          <w:p>
            <w:pPr>
              <w:spacing w:after="0"/>
            </w:pPr>
            <w:r>
              <w:rPr>
                <w:sz w:val="16"/>
              </w:rPr>
              <w:t>Correct. This option directly addresses dependent adult financial abuse concern through immediate client protection and proportionate risk management and accurate documentation and accountability.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Confront the caregiver before considering a report.</w:t>
            </w:r>
          </w:p>
        </w:tc>
        <w:tc>
          <w:tcPr>
            <w:tcW w:type="dxa" w:w="3485"/>
            <w:vAlign w:val="center"/>
            <w:tcMar>
              <w:top w:w="55" w:type="dxa"/>
              <w:start w:w="65" w:type="dxa"/>
              <w:bottom w:w="55" w:type="dxa"/>
              <w:end w:w="65" w:type="dxa"/>
            </w:tcMar>
          </w:tcPr>
          <w:p>
            <w:pPr>
              <w:spacing w:after="0"/>
            </w:pPr>
            <w:r>
              <w:rPr>
                <w:sz w:val="16"/>
              </w:rPr>
              <w:t>Incorrect. It does not adequately address dependent adult financial abuse concern and omits the role, authority, timing, proportionality, documentation, or continuity controls needed for mandated action, emergency protection, risk assessment, disclosure limits, and follow-through. The keyed response is superior because it instead requires the social worker to assess safety and the reporting threshold using all available facts, follow any mandated duty, and document the client’s later statement without treating it as an automatic retraction.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Require the client to sign a complaint before taking protective action.</w:t>
            </w:r>
          </w:p>
        </w:tc>
        <w:tc>
          <w:tcPr>
            <w:tcW w:type="dxa" w:w="3485"/>
            <w:vAlign w:val="center"/>
            <w:tcMar>
              <w:top w:w="55" w:type="dxa"/>
              <w:start w:w="65" w:type="dxa"/>
              <w:bottom w:w="55" w:type="dxa"/>
              <w:end w:w="65" w:type="dxa"/>
            </w:tcMar>
          </w:tcPr>
          <w:p>
            <w:pPr>
              <w:spacing w:after="0"/>
            </w:pPr>
            <w:r>
              <w:rPr>
                <w:sz w:val="16"/>
              </w:rPr>
              <w:t>Incorrect. It does not adequately address dependent adult financial abuse concern and omits the role, authority, timing, proportionality, documentation, or continuity controls needed for mandated action, emergency protection, risk assessment, disclosure limits, and follow-through. The keyed response is superior because it instead requires the social worker to assess safety and the reporting threshold using all available facts, follow any mandated duty, and document the client’s later statement without treating it as an automatic retraction.</w:t>
            </w:r>
          </w:p>
        </w:tc>
      </w:tr>
    </w:tbl>
    <w:p>
      <w:pPr>
        <w:pStyle w:val="Heading2"/>
      </w:pPr>
      <w:r>
        <w:t>Why the Key Controls</w:t>
      </w:r>
    </w:p>
    <w:p>
      <w:r>
        <w:t>The controlling issue is dependent adult financial abuse concern. The keyed response is the most complete because it requires immediate client protection and proportionate risk management and accurate documentation and accountability. That approach is consistent with the cited source family (California elder and dependent adult abuse reporting law; NASW Code 1.01 and 1.07)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Dependent adult financial abuse concern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DEPENDENT-ADULT-FINANCIAL-ABUSE-CONCERN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elder and dependent adult abuse reporting law; NASW Code 1.01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65 - Controlled Rationale</w:t>
      </w:r>
    </w:p>
    <w:p>
      <w:r>
        <w:rPr>
          <w:b/>
        </w:rPr>
        <w:t xml:space="preserve">Item ID: </w:t>
      </w:r>
      <w:r>
        <w:t>CTA-EP-002-CUM-F-065</w:t>
      </w:r>
    </w:p>
    <w:p>
      <w:r>
        <w:rPr>
          <w:b/>
        </w:rPr>
        <w:t xml:space="preserve">Stem: </w:t>
      </w:r>
      <w:r>
        <w:t>A client communicates a serious threat toward an identifiable person, and the LCSW determines the legal protective-duty threshold may be met. What is the appropriate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Keep the threat confidential because no harm has occurred yet.</w:t>
            </w:r>
          </w:p>
        </w:tc>
        <w:tc>
          <w:tcPr>
            <w:tcW w:type="dxa" w:w="3485"/>
            <w:vAlign w:val="center"/>
            <w:tcMar>
              <w:top w:w="55" w:type="dxa"/>
              <w:start w:w="65" w:type="dxa"/>
              <w:bottom w:w="55" w:type="dxa"/>
              <w:end w:w="65" w:type="dxa"/>
            </w:tcMar>
          </w:tcPr>
          <w:p>
            <w:pPr>
              <w:spacing w:after="0"/>
            </w:pPr>
            <w:r>
              <w:rPr>
                <w:sz w:val="16"/>
              </w:rPr>
              <w:t>Incorrect. It does not adequately address serious threat and protective action and omits the role, authority, timing, proportionality, documentation, or continuity controls needed for mandated action, emergency protection, risk assessment, disclosure limits, and follow-through. The keyed response is superior because it instead requires the social worker to apply the current protective-duty requirements promptly, use consultation when feasible without delaying necessary action, disclose only what is needed, and document reasoning.</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Warn everyone in the client’s workplace regardless of relevance.</w:t>
            </w:r>
          </w:p>
        </w:tc>
        <w:tc>
          <w:tcPr>
            <w:tcW w:type="dxa" w:w="3485"/>
            <w:vAlign w:val="center"/>
            <w:tcMar>
              <w:top w:w="55" w:type="dxa"/>
              <w:start w:w="65" w:type="dxa"/>
              <w:bottom w:w="55" w:type="dxa"/>
              <w:end w:w="65" w:type="dxa"/>
            </w:tcMar>
          </w:tcPr>
          <w:p>
            <w:pPr>
              <w:spacing w:after="0"/>
            </w:pPr>
            <w:r>
              <w:rPr>
                <w:sz w:val="16"/>
              </w:rPr>
              <w:t>Incorrect. It does not adequately address serious threat and protective action and omits the role, authority, timing, proportionality, documentation, or continuity controls needed for mandated action, emergency protection, risk assessment, disclosure limits, and follow-through. The keyed response is superior because it instead requires the social worker to apply the current protective-duty requirements promptly, use consultation when feasible without delaying necessary action, disclose only what is needed, and document reasoning.</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Apply the current protective-duty requirements promptly, use consultation when feasible without delaying necessary action, disclose only what is needed, and document reasoning.</w:t>
            </w:r>
          </w:p>
        </w:tc>
        <w:tc>
          <w:tcPr>
            <w:tcW w:type="dxa" w:w="3485"/>
            <w:shd w:fill="EAF7F7"/>
            <w:vAlign w:val="center"/>
            <w:tcMar>
              <w:top w:w="55" w:type="dxa"/>
              <w:start w:w="65" w:type="dxa"/>
              <w:bottom w:w="55" w:type="dxa"/>
              <w:end w:w="65" w:type="dxa"/>
            </w:tcMar>
          </w:tcPr>
          <w:p>
            <w:pPr>
              <w:spacing w:after="0"/>
            </w:pPr>
            <w:r>
              <w:rPr>
                <w:sz w:val="16"/>
              </w:rPr>
              <w:t>Correct. This option directly addresses serious threat and protective action through immediate client protection and proportionate risk management, accurate documentation and accountability, competence support through consultation, training, or qualified supervision and current law and applicability review.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Wait for the client to repeat the threat in writing.</w:t>
            </w:r>
          </w:p>
        </w:tc>
        <w:tc>
          <w:tcPr>
            <w:tcW w:type="dxa" w:w="3485"/>
            <w:vAlign w:val="center"/>
            <w:tcMar>
              <w:top w:w="55" w:type="dxa"/>
              <w:start w:w="65" w:type="dxa"/>
              <w:bottom w:w="55" w:type="dxa"/>
              <w:end w:w="65" w:type="dxa"/>
            </w:tcMar>
          </w:tcPr>
          <w:p>
            <w:pPr>
              <w:spacing w:after="0"/>
            </w:pPr>
            <w:r>
              <w:rPr>
                <w:sz w:val="16"/>
              </w:rPr>
              <w:t>Incorrect. It delays a current safety, status, correction, or continuity responsibility and may allow preventable harm to continue. The keyed response is superior because it instead requires the social worker to apply the current protective-duty requirements promptly, use consultation when feasible without delaying necessary action, disclose only what is needed, and document reasoning.</w:t>
            </w:r>
          </w:p>
        </w:tc>
      </w:tr>
    </w:tbl>
    <w:p>
      <w:pPr>
        <w:pStyle w:val="Heading2"/>
      </w:pPr>
      <w:r>
        <w:t>Why the Key Controls</w:t>
      </w:r>
    </w:p>
    <w:p>
      <w:r>
        <w:t>The controlling issue is serious threat and protective action. The keyed response is the most complete because it requires immediate client protection and proportionate risk management, accurate documentation and accountability, competence support through consultation, training, or qualified supervision, and current law and applicability review. That approach is consistent with the cited source family (California dangerous-patient duty law; applicable confidentiality law; NASW Code 1.01 and 1.07)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Serious threat and protective action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SERIOUS-THREAT-AND-PROTECTIVE-ACTION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dangerous-patient duty law; applicable confidentiality law; NASW Code 1.01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66 - Controlled Rationale</w:t>
      </w:r>
    </w:p>
    <w:p>
      <w:r>
        <w:rPr>
          <w:b/>
        </w:rPr>
        <w:t xml:space="preserve">Item ID: </w:t>
      </w:r>
      <w:r>
        <w:t>CTA-EP-002-CUM-F-066</w:t>
      </w:r>
    </w:p>
    <w:p>
      <w:r>
        <w:rPr>
          <w:b/>
        </w:rPr>
        <w:t xml:space="preserve">Stem: </w:t>
      </w:r>
      <w:r>
        <w:t>A new telehealth client joins from a shared computer and will not show identification or answer verification questions.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Proceed because possession of the scheduling link proves identity.</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use a reasonable, privacy-sensitive identity-verification process and determine whether adequate verification can be completed before providing the planned service.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other people in the room to confirm the client’s name.</w:t>
            </w:r>
          </w:p>
        </w:tc>
        <w:tc>
          <w:tcPr>
            <w:tcW w:type="dxa" w:w="3485"/>
            <w:vAlign w:val="center"/>
            <w:tcMar>
              <w:top w:w="55" w:type="dxa"/>
              <w:start w:w="65" w:type="dxa"/>
              <w:bottom w:w="55" w:type="dxa"/>
              <w:end w:w="65" w:type="dxa"/>
            </w:tcMar>
          </w:tcPr>
          <w:p>
            <w:pPr>
              <w:spacing w:after="0"/>
            </w:pPr>
            <w:r>
              <w:rPr>
                <w:sz w:val="16"/>
              </w:rPr>
              <w:t>Incorrect. It does not adequately address identity verification for remote care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use a reasonable, privacy-sensitive identity-verification process and determine whether adequate verification can be completed before providing the planned service.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Use a reasonable, privacy-sensitive identity-verification process and determine whether adequate verification can be completed before providing the planned service.</w:t>
            </w:r>
          </w:p>
        </w:tc>
        <w:tc>
          <w:tcPr>
            <w:tcW w:type="dxa" w:w="3485"/>
            <w:shd w:fill="EAF7F7"/>
            <w:vAlign w:val="center"/>
            <w:tcMar>
              <w:top w:w="55" w:type="dxa"/>
              <w:start w:w="65" w:type="dxa"/>
              <w:bottom w:w="55" w:type="dxa"/>
              <w:end w:w="65" w:type="dxa"/>
            </w:tcMar>
          </w:tcPr>
          <w:p>
            <w:pPr>
              <w:spacing w:after="0"/>
            </w:pPr>
            <w:r>
              <w:rPr>
                <w:sz w:val="16"/>
              </w:rPr>
              <w:t>Correct. This option directly addresses identity verification for remote care through verification of the controlling facts and authority.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Require the client to post identification publicly in the chat.</w:t>
            </w:r>
          </w:p>
        </w:tc>
        <w:tc>
          <w:tcPr>
            <w:tcW w:type="dxa" w:w="3485"/>
            <w:vAlign w:val="center"/>
            <w:tcMar>
              <w:top w:w="55" w:type="dxa"/>
              <w:start w:w="65" w:type="dxa"/>
              <w:bottom w:w="55" w:type="dxa"/>
              <w:end w:w="65" w:type="dxa"/>
            </w:tcMar>
          </w:tcPr>
          <w:p>
            <w:pPr>
              <w:spacing w:after="0"/>
            </w:pPr>
            <w:r>
              <w:rPr>
                <w:sz w:val="16"/>
              </w:rPr>
              <w:t>Incorrect. It creates an unnecessary confidentiality and privacy breach and is not a proportionate professional response. The keyed response is superior because it instead requires the social worker to use a reasonable, privacy-sensitive identity-verification process and determine whether adequate verification can be completed before providing the planned service.</w:t>
            </w:r>
          </w:p>
        </w:tc>
      </w:tr>
    </w:tbl>
    <w:p>
      <w:pPr>
        <w:pStyle w:val="Heading2"/>
      </w:pPr>
      <w:r>
        <w:t>Why the Key Controls</w:t>
      </w:r>
    </w:p>
    <w:p>
      <w:r>
        <w:t>The controlling issue is identity verification for remote care. The keyed response is the most complete because it requires verification of the controlling facts and authority. That approach is consistent with the cited source family (BPC 2290.5; BBS telehealth guidance; NASW Code 1.03)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Identity verification for remote care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IDENTITY-VERIFICATION-FOR-REMOTE-CARE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2290.5; BBS telehealth guidance; NASW Code 1.03</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67 - Controlled Rationale</w:t>
      </w:r>
    </w:p>
    <w:p>
      <w:r>
        <w:rPr>
          <w:b/>
        </w:rPr>
        <w:t xml:space="preserve">Item ID: </w:t>
      </w:r>
      <w:r>
        <w:t>CTA-EP-002-CUM-F-067</w:t>
      </w:r>
    </w:p>
    <w:p>
      <w:r>
        <w:rPr>
          <w:b/>
        </w:rPr>
        <w:t xml:space="preserve">Stem: </w:t>
      </w:r>
      <w:r>
        <w:t>After a therapy group ends, one former member asks the LCSW for another member’s telephone number so they can “check in.” What is the appropriate response?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Share the number because both people participated in the same confidential group.</w:t>
            </w:r>
          </w:p>
        </w:tc>
        <w:tc>
          <w:tcPr>
            <w:tcW w:type="dxa" w:w="3485"/>
            <w:vAlign w:val="center"/>
            <w:tcMar>
              <w:top w:w="55" w:type="dxa"/>
              <w:start w:w="65" w:type="dxa"/>
              <w:bottom w:w="55" w:type="dxa"/>
              <w:end w:w="65" w:type="dxa"/>
            </w:tcMar>
          </w:tcPr>
          <w:p>
            <w:pPr>
              <w:spacing w:after="0"/>
            </w:pPr>
            <w:r>
              <w:rPr>
                <w:sz w:val="16"/>
              </w:rPr>
              <w:t>Incorrect. Shared group participation does not create authorization to disclose private contact information.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Decline to disclose the contact information without authorization and offer a privacy-protective way for the requesting member to pass along a message if appropriate.</w:t>
            </w:r>
          </w:p>
        </w:tc>
        <w:tc>
          <w:tcPr>
            <w:tcW w:type="dxa" w:w="3485"/>
            <w:shd w:fill="EAF7F7"/>
            <w:vAlign w:val="center"/>
            <w:tcMar>
              <w:top w:w="55" w:type="dxa"/>
              <w:start w:w="65" w:type="dxa"/>
              <w:bottom w:w="55" w:type="dxa"/>
              <w:end w:w="65" w:type="dxa"/>
            </w:tcMar>
          </w:tcPr>
          <w:p>
            <w:pPr>
              <w:spacing w:after="0"/>
            </w:pPr>
            <w:r>
              <w:rPr>
                <w:sz w:val="16"/>
              </w:rPr>
              <w:t>Correct. This response protects confidentiality while allowing a limited alternative that does not expose the other member’s information.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the remaining group members to vote on whether the number should be released.</w:t>
            </w:r>
          </w:p>
        </w:tc>
        <w:tc>
          <w:tcPr>
            <w:tcW w:type="dxa" w:w="3485"/>
            <w:vAlign w:val="center"/>
            <w:tcMar>
              <w:top w:w="55" w:type="dxa"/>
              <w:start w:w="65" w:type="dxa"/>
              <w:bottom w:w="55" w:type="dxa"/>
              <w:end w:w="65" w:type="dxa"/>
            </w:tcMar>
          </w:tcPr>
          <w:p>
            <w:pPr>
              <w:spacing w:after="0"/>
            </w:pPr>
            <w:r>
              <w:rPr>
                <w:sz w:val="16"/>
              </w:rPr>
              <w:t>Incorrect. Other members cannot vote away an individual participant’s confidentiality rights.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Create a directory of former group members for future mutual support.</w:t>
            </w:r>
          </w:p>
        </w:tc>
        <w:tc>
          <w:tcPr>
            <w:tcW w:type="dxa" w:w="3485"/>
            <w:vAlign w:val="center"/>
            <w:tcMar>
              <w:top w:w="55" w:type="dxa"/>
              <w:start w:w="65" w:type="dxa"/>
              <w:bottom w:w="55" w:type="dxa"/>
              <w:end w:w="65" w:type="dxa"/>
            </w:tcMar>
          </w:tcPr>
          <w:p>
            <w:pPr>
              <w:spacing w:after="0"/>
            </w:pPr>
            <w:r>
              <w:rPr>
                <w:sz w:val="16"/>
              </w:rPr>
              <w:t>Incorrect. A directory would create a broader disclosure and security risk without individual authorization.</w:t>
            </w:r>
          </w:p>
        </w:tc>
      </w:tr>
    </w:tbl>
    <w:p>
      <w:pPr>
        <w:pStyle w:val="Heading2"/>
      </w:pPr>
      <w:r>
        <w:t>Why the Key Controls</w:t>
      </w:r>
    </w:p>
    <w:p>
      <w:r>
        <w:t>Participation in the same therapy group does not authorize disclosure of another member’s contact information. The LCSW should decline and may offer a privacy-protective method for forwarding a message when appropriate.</w:t>
      </w:r>
    </w:p>
    <w:p>
      <w:pPr>
        <w:pStyle w:val="Heading2"/>
      </w:pPr>
      <w:r>
        <w:t>CTA Exam Strategy</w:t>
      </w:r>
    </w:p>
    <w:p>
      <w:r>
        <w:t>Distinguish group expectations from the clinician’s own confidentiality duties. Do not disclose another participant’s information without authority.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Protecting group-member contact information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GROUP-CONTACT-CONFIDENTIALITY</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1.03, 1.07, and 1.08; applicable California confidentiality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68 - Controlled Rationale</w:t>
      </w:r>
    </w:p>
    <w:p>
      <w:r>
        <w:rPr>
          <w:b/>
        </w:rPr>
        <w:t xml:space="preserve">Item ID: </w:t>
      </w:r>
      <w:r>
        <w:t>CTA-EP-002-CUM-F-068</w:t>
      </w:r>
    </w:p>
    <w:p>
      <w:r>
        <w:rPr>
          <w:b/>
        </w:rPr>
        <w:t xml:space="preserve">Stem: </w:t>
      </w:r>
      <w:r>
        <w:t>A client returns after an emergency evaluation with no clear discharge communication and limited transportation.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Resume routine therapy without reviewing what occurred.</w:t>
            </w:r>
          </w:p>
        </w:tc>
        <w:tc>
          <w:tcPr>
            <w:tcW w:type="dxa" w:w="3485"/>
            <w:vAlign w:val="center"/>
            <w:tcMar>
              <w:top w:w="55" w:type="dxa"/>
              <w:start w:w="65" w:type="dxa"/>
              <w:bottom w:w="55" w:type="dxa"/>
              <w:end w:w="65" w:type="dxa"/>
            </w:tcMar>
          </w:tcPr>
          <w:p>
            <w:pPr>
              <w:spacing w:after="0"/>
            </w:pPr>
            <w:r>
              <w:rPr>
                <w:sz w:val="16"/>
              </w:rPr>
              <w:t>Incorrect. It does not adequately address continuity after emergency evaluation and omits the role, authority, timing, proportionality, documentation, or continuity controls needed for client welfare, self-determination, boundaries, conflicts, exploitation, and continuity. The keyed response is superior because it instead requires the social worker to reassess current risk, obtain authorized information, clarify the follow-up plan, address access barriers, and coordinate continuity without assuming the emergency visit resolved all concerns.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Require the client to obtain every record before any appointment.</w:t>
            </w:r>
          </w:p>
        </w:tc>
        <w:tc>
          <w:tcPr>
            <w:tcW w:type="dxa" w:w="3485"/>
            <w:vAlign w:val="center"/>
            <w:tcMar>
              <w:top w:w="55" w:type="dxa"/>
              <w:start w:w="65" w:type="dxa"/>
              <w:bottom w:w="55" w:type="dxa"/>
              <w:end w:w="65" w:type="dxa"/>
            </w:tcMar>
          </w:tcPr>
          <w:p>
            <w:pPr>
              <w:spacing w:after="0"/>
            </w:pPr>
            <w:r>
              <w:rPr>
                <w:sz w:val="16"/>
              </w:rPr>
              <w:t>Incorrect. It does not adequately address continuity after emergency evaluation and omits the role, authority, timing, proportionality, documentation, or continuity controls needed for client welfare, self-determination, boundaries, conflicts, exploitation, and continuity. The keyed response is superior because it instead requires the social worker to reassess current risk, obtain authorized information, clarify the follow-up plan, address access barriers, and coordinate continuity without assuming the emergency visit resolved all concerns.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Reassess current risk, obtain authorized information, clarify the follow-up plan, address access barriers, and coordinate continuity without assuming the emergency visit resolved all concerns.</w:t>
            </w:r>
          </w:p>
        </w:tc>
        <w:tc>
          <w:tcPr>
            <w:tcW w:type="dxa" w:w="3485"/>
            <w:shd w:fill="EAF7F7"/>
            <w:vAlign w:val="center"/>
            <w:tcMar>
              <w:top w:w="55" w:type="dxa"/>
              <w:start w:w="65" w:type="dxa"/>
              <w:bottom w:w="55" w:type="dxa"/>
              <w:end w:w="65" w:type="dxa"/>
            </w:tcMar>
          </w:tcPr>
          <w:p>
            <w:pPr>
              <w:spacing w:after="0"/>
            </w:pPr>
            <w:r>
              <w:rPr>
                <w:sz w:val="16"/>
              </w:rPr>
              <w:t>Correct. This option directly addresses continuity after emergency evaluation through immediate client protection and proportionate risk management, clear role, consent, and expectation-setting, continuity of care and avoidance of abandonment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End treatment because emergency services became involved.</w:t>
            </w:r>
          </w:p>
        </w:tc>
        <w:tc>
          <w:tcPr>
            <w:tcW w:type="dxa" w:w="3485"/>
            <w:vAlign w:val="center"/>
            <w:tcMar>
              <w:top w:w="55" w:type="dxa"/>
              <w:start w:w="65" w:type="dxa"/>
              <w:bottom w:w="55" w:type="dxa"/>
              <w:end w:w="65" w:type="dxa"/>
            </w:tcMar>
          </w:tcPr>
          <w:p>
            <w:pPr>
              <w:spacing w:after="0"/>
            </w:pPr>
            <w:r>
              <w:rPr>
                <w:sz w:val="16"/>
              </w:rPr>
              <w:t>Incorrect. It does not adequately address continuity after emergency evaluation and omits the role, authority, timing, proportionality, documentation, or continuity controls needed for client welfare, self-determination, boundaries, conflicts, exploitation, and continuity. The keyed response is superior because it instead requires the social worker to reassess current risk, obtain authorized information, clarify the follow-up plan, address access barriers, and coordinate continuity without assuming the emergency visit resolved all concerns.</w:t>
            </w:r>
          </w:p>
        </w:tc>
      </w:tr>
    </w:tbl>
    <w:p>
      <w:pPr>
        <w:pStyle w:val="Heading2"/>
      </w:pPr>
      <w:r>
        <w:t>Why the Key Controls</w:t>
      </w:r>
    </w:p>
    <w:p>
      <w:r>
        <w:t>The controlling issue is continuity after emergency evaluation. The keyed response is the most complete because it requires immediate client protection and proportionate risk management, clear role, consent, and expectation-setting, continuity of care and avoidance of abandonment, and limited and purpose-specific information use. That approach is consistent with the cited source family (NASW Code 1.15 and 1.16; applicable continuity and confidentiality law)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Continuity after emergency evaluation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CONTINUITY-AFTER-EMERGENCY-EVALUATION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1.15 and 1.16; applicable continuity and confidentiality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69 - Controlled Rationale</w:t>
      </w:r>
    </w:p>
    <w:p>
      <w:r>
        <w:rPr>
          <w:b/>
        </w:rPr>
        <w:t xml:space="preserve">Item ID: </w:t>
      </w:r>
      <w:r>
        <w:t>CTA-EP-002-CUM-F-069</w:t>
      </w:r>
    </w:p>
    <w:p>
      <w:r>
        <w:rPr>
          <w:b/>
        </w:rPr>
        <w:t xml:space="preserve">Stem: </w:t>
      </w:r>
      <w:r>
        <w:t>A client begins sending detailed crisis disclosures through an unmonitored appointment-reminder text number.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Ignore every message because the number was not intended for clinical content.</w:t>
            </w:r>
          </w:p>
        </w:tc>
        <w:tc>
          <w:tcPr>
            <w:tcW w:type="dxa" w:w="3485"/>
            <w:vAlign w:val="center"/>
            <w:tcMar>
              <w:top w:w="55" w:type="dxa"/>
              <w:start w:w="65" w:type="dxa"/>
              <w:bottom w:w="55" w:type="dxa"/>
              <w:end w:w="65" w:type="dxa"/>
            </w:tcMar>
          </w:tcPr>
          <w:p>
            <w:pPr>
              <w:spacing w:after="0"/>
            </w:pPr>
            <w:r>
              <w:rPr>
                <w:sz w:val="16"/>
              </w:rPr>
              <w:t>Incorrect. It does not adequately address text messaging and communication expectations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clarify the channel’s limits and response times, assess current safety through an appropriate route, document the communication, and establish a safer communication plan.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Clarify the channel’s limits and response times, assess current safety through an appropriate route, document the communication, and establish a safer communication plan.</w:t>
            </w:r>
          </w:p>
        </w:tc>
        <w:tc>
          <w:tcPr>
            <w:tcW w:type="dxa" w:w="3485"/>
            <w:shd w:fill="EAF7F7"/>
            <w:vAlign w:val="center"/>
            <w:tcMar>
              <w:top w:w="55" w:type="dxa"/>
              <w:start w:w="65" w:type="dxa"/>
              <w:bottom w:w="55" w:type="dxa"/>
              <w:end w:w="65" w:type="dxa"/>
            </w:tcMar>
          </w:tcPr>
          <w:p>
            <w:pPr>
              <w:spacing w:after="0"/>
            </w:pPr>
            <w:r>
              <w:rPr>
                <w:sz w:val="16"/>
              </w:rPr>
              <w:t>Correct. This option directly addresses text messaging and communication expectations through immediate client protection and proportionate risk management, clear role, consent, and expectation-setting, accurate documentation and accountability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Promise immediate 24-hour responses through the same number.</w:t>
            </w:r>
          </w:p>
        </w:tc>
        <w:tc>
          <w:tcPr>
            <w:tcW w:type="dxa" w:w="3485"/>
            <w:vAlign w:val="center"/>
            <w:tcMar>
              <w:top w:w="55" w:type="dxa"/>
              <w:start w:w="65" w:type="dxa"/>
              <w:bottom w:w="55" w:type="dxa"/>
              <w:end w:w="65" w:type="dxa"/>
            </w:tcMar>
          </w:tcPr>
          <w:p>
            <w:pPr>
              <w:spacing w:after="0"/>
            </w:pPr>
            <w:r>
              <w:rPr>
                <w:sz w:val="16"/>
              </w:rPr>
              <w:t>Incorrect. It promises an outcome the clinician cannot control and misstates the limits of law, confidentiality, or third-party behavior. The keyed response is superior because it instead requires the social worker to clarify the channel’s limits and response times, assess current safety through an appropriate route, document the communication, and establish a safer communication plan.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Forward the messages to the client’s family without assessing authorization or urgency.</w:t>
            </w:r>
          </w:p>
        </w:tc>
        <w:tc>
          <w:tcPr>
            <w:tcW w:type="dxa" w:w="3485"/>
            <w:vAlign w:val="center"/>
            <w:tcMar>
              <w:top w:w="55" w:type="dxa"/>
              <w:start w:w="65" w:type="dxa"/>
              <w:bottom w:w="55" w:type="dxa"/>
              <w:end w:w="65" w:type="dxa"/>
            </w:tcMar>
          </w:tcPr>
          <w:p>
            <w:pPr>
              <w:spacing w:after="0"/>
            </w:pPr>
            <w:r>
              <w:rPr>
                <w:sz w:val="16"/>
              </w:rPr>
              <w:t>Incorrect. It does not adequately address text messaging and communication expectations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clarify the channel’s limits and response times, assess current safety through an appropriate route, document the communication, and establish a safer communication plan.</w:t>
            </w:r>
          </w:p>
        </w:tc>
      </w:tr>
    </w:tbl>
    <w:p>
      <w:pPr>
        <w:pStyle w:val="Heading2"/>
      </w:pPr>
      <w:r>
        <w:t>Why the Key Controls</w:t>
      </w:r>
    </w:p>
    <w:p>
      <w:r>
        <w:t>The controlling issue is text messaging and communication expectations. The keyed response is the most complete because it requires immediate client protection and proportionate risk management, clear role, consent, and expectation-setting, accurate documentation and accountability, and limited and purpose-specific information use. That approach is consistent with the cited source family (NASW Code 1.03, 1.07, and 1.15; applicable privacy law)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Text messaging and communication expectations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TEXT-MESSAGING-AND-COMMUNICATION-EXPECTATION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1.03, 1.07, and 1.15; applicable privacy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70 - Controlled Rationale</w:t>
      </w:r>
    </w:p>
    <w:p>
      <w:r>
        <w:rPr>
          <w:b/>
        </w:rPr>
        <w:t xml:space="preserve">Item ID: </w:t>
      </w:r>
      <w:r>
        <w:t>CTA-EP-002-CUM-F-070</w:t>
      </w:r>
    </w:p>
    <w:p>
      <w:r>
        <w:rPr>
          <w:b/>
        </w:rPr>
        <w:t xml:space="preserve">Stem: </w:t>
      </w:r>
      <w:r>
        <w:t>An LCSW recommends a transportation company to clients while secretly owning part of the company.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Continue because the service may benefit clients.</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disclose and address the conflict, avoid exploiting client dependence, provide meaningful alternatives, and remove the clinician from decisions when needed.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Require clients to use the company so quality can be monitored.</w:t>
            </w:r>
          </w:p>
        </w:tc>
        <w:tc>
          <w:tcPr>
            <w:tcW w:type="dxa" w:w="3485"/>
            <w:vAlign w:val="center"/>
            <w:tcMar>
              <w:top w:w="55" w:type="dxa"/>
              <w:start w:w="65" w:type="dxa"/>
              <w:bottom w:w="55" w:type="dxa"/>
              <w:end w:w="65" w:type="dxa"/>
            </w:tcMar>
          </w:tcPr>
          <w:p>
            <w:pPr>
              <w:spacing w:after="0"/>
            </w:pPr>
            <w:r>
              <w:rPr>
                <w:sz w:val="16"/>
              </w:rPr>
              <w:t>Incorrect. It does not adequately address conflict of interest in vendor selection and omits the role, authority, timing, proportionality, documentation, or continuity controls needed for competence, integrity, impairment, bias, consultation, and truthful professional conduct. The keyed response is superior because it instead requires the social worker to disclose and address the conflict, avoid exploiting client dependence, provide meaningful alternatives, and remove the clinician from decisions when needed.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Disclose and address the conflict, avoid exploiting client dependence, provide meaningful alternatives, and remove the clinician from decisions when needed.</w:t>
            </w:r>
          </w:p>
        </w:tc>
        <w:tc>
          <w:tcPr>
            <w:tcW w:type="dxa" w:w="3485"/>
            <w:shd w:fill="EAF7F7"/>
            <w:vAlign w:val="center"/>
            <w:tcMar>
              <w:top w:w="55" w:type="dxa"/>
              <w:start w:w="65" w:type="dxa"/>
              <w:bottom w:w="55" w:type="dxa"/>
              <w:end w:w="65" w:type="dxa"/>
            </w:tcMar>
          </w:tcPr>
          <w:p>
            <w:pPr>
              <w:spacing w:after="0"/>
            </w:pPr>
            <w:r>
              <w:rPr>
                <w:sz w:val="16"/>
              </w:rPr>
              <w:t>Correct. This option directly addresses conflict of interest in vendor selection through boundary and conflict-of-interest safeguards.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Disclose ownership only after a client complains.</w:t>
            </w:r>
          </w:p>
        </w:tc>
        <w:tc>
          <w:tcPr>
            <w:tcW w:type="dxa" w:w="3485"/>
            <w:vAlign w:val="center"/>
            <w:tcMar>
              <w:top w:w="55" w:type="dxa"/>
              <w:start w:w="65" w:type="dxa"/>
              <w:bottom w:w="55" w:type="dxa"/>
              <w:end w:w="65" w:type="dxa"/>
            </w:tcMar>
          </w:tcPr>
          <w:p>
            <w:pPr>
              <w:spacing w:after="0"/>
            </w:pPr>
            <w:r>
              <w:rPr>
                <w:sz w:val="16"/>
              </w:rPr>
              <w:t>Incorrect. It does not adequately address conflict of interest in vendor selection and omits the role, authority, timing, proportionality, documentation, or continuity controls needed for competence, integrity, impairment, bias, consultation, and truthful professional conduct. The keyed response is superior because it instead requires the social worker to disclose and address the conflict, avoid exploiting client dependence, provide meaningful alternatives, and remove the clinician from decisions when needed.</w:t>
            </w:r>
          </w:p>
        </w:tc>
      </w:tr>
    </w:tbl>
    <w:p>
      <w:pPr>
        <w:pStyle w:val="Heading2"/>
      </w:pPr>
      <w:r>
        <w:t>Why the Key Controls</w:t>
      </w:r>
    </w:p>
    <w:p>
      <w:r>
        <w:t>The controlling issue is conflict of interest in vendor selection. The keyed response is the most complete because it requires boundary and conflict-of-interest safeguards. That approach is consistent with the cited source family (NASW Code 1.06, 3.07, and 4.04)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Conflict of interest in vendor selection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CONFLICT-OF-INTEREST-IN-VENDOR-SELECTION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1.06, 3.07, and 4.04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71 - Controlled Rationale</w:t>
      </w:r>
    </w:p>
    <w:p>
      <w:r>
        <w:rPr>
          <w:b/>
        </w:rPr>
        <w:t xml:space="preserve">Item ID: </w:t>
      </w:r>
      <w:r>
        <w:t>CTA-EP-002-CUM-F-071</w:t>
      </w:r>
    </w:p>
    <w:p>
      <w:r>
        <w:rPr>
          <w:b/>
        </w:rPr>
        <w:t xml:space="preserve">Stem: </w:t>
      </w:r>
      <w:r>
        <w:t>A practice is closing and plans to discard inactive records immediately to save storage costs.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Discard all records because the business is closing.</w:t>
            </w:r>
          </w:p>
        </w:tc>
        <w:tc>
          <w:tcPr>
            <w:tcW w:type="dxa" w:w="3485"/>
            <w:vAlign w:val="center"/>
            <w:tcMar>
              <w:top w:w="55" w:type="dxa"/>
              <w:start w:w="65" w:type="dxa"/>
              <w:bottom w:w="55" w:type="dxa"/>
              <w:end w:w="65" w:type="dxa"/>
            </w:tcMar>
          </w:tcPr>
          <w:p>
            <w:pPr>
              <w:spacing w:after="0"/>
            </w:pPr>
            <w:r>
              <w:rPr>
                <w:sz w:val="16"/>
              </w:rPr>
              <w:t>Incorrect. It authorizes overdisclosure and ignores purpose, authority, minimum-necessary analysis, and confidentiality limits. The keyed response is superior because it instead requires the social worker to apply current retention requirements, preserve client access and confidentiality, notify clients when appropriate, and use secure documented destruction only when legally permitted.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Apply current retention requirements, preserve client access and confidentiality, notify clients when appropriate, and use secure documented destruction only when legally permitted.</w:t>
            </w:r>
          </w:p>
        </w:tc>
        <w:tc>
          <w:tcPr>
            <w:tcW w:type="dxa" w:w="3485"/>
            <w:shd w:fill="EAF7F7"/>
            <w:vAlign w:val="center"/>
            <w:tcMar>
              <w:top w:w="55" w:type="dxa"/>
              <w:start w:w="65" w:type="dxa"/>
              <w:bottom w:w="55" w:type="dxa"/>
              <w:end w:w="65" w:type="dxa"/>
            </w:tcMar>
          </w:tcPr>
          <w:p>
            <w:pPr>
              <w:spacing w:after="0"/>
            </w:pPr>
            <w:r>
              <w:rPr>
                <w:sz w:val="16"/>
              </w:rPr>
              <w:t>Correct. This option directly addresses record retention and planned destruction through accurate documentation and accountability and current law and applicability review.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Leave records in an unlocked storage unit indefinitely.</w:t>
            </w:r>
          </w:p>
        </w:tc>
        <w:tc>
          <w:tcPr>
            <w:tcW w:type="dxa" w:w="3485"/>
            <w:vAlign w:val="center"/>
            <w:tcMar>
              <w:top w:w="55" w:type="dxa"/>
              <w:start w:w="65" w:type="dxa"/>
              <w:bottom w:w="55" w:type="dxa"/>
              <w:end w:w="65" w:type="dxa"/>
            </w:tcMar>
          </w:tcPr>
          <w:p>
            <w:pPr>
              <w:spacing w:after="0"/>
            </w:pPr>
            <w:r>
              <w:rPr>
                <w:sz w:val="16"/>
              </w:rPr>
              <w:t>Incorrect. It does not adequately address record retention and planned destruction and omits the role, authority, timing, proportionality, documentation, or continuity controls needed for mandated action, emergency protection, risk assessment, disclosure limits, and follow-through. The keyed response is superior because it instead requires the social worker to apply current retention requirements, preserve client access and confidentiality, notify clients when appropriate, and use secure documented destruction only when legally permitted.</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Give every file to the landlord.</w:t>
            </w:r>
          </w:p>
        </w:tc>
        <w:tc>
          <w:tcPr>
            <w:tcW w:type="dxa" w:w="3485"/>
            <w:vAlign w:val="center"/>
            <w:tcMar>
              <w:top w:w="55" w:type="dxa"/>
              <w:start w:w="65" w:type="dxa"/>
              <w:bottom w:w="55" w:type="dxa"/>
              <w:end w:w="65" w:type="dxa"/>
            </w:tcMar>
          </w:tcPr>
          <w:p>
            <w:pPr>
              <w:spacing w:after="0"/>
            </w:pPr>
            <w:r>
              <w:rPr>
                <w:sz w:val="16"/>
              </w:rPr>
              <w:t>Incorrect. It does not adequately address record retention and planned destruction and omits the role, authority, timing, proportionality, documentation, or continuity controls needed for mandated action, emergency protection, risk assessment, disclosure limits, and follow-through. The keyed response is superior because it instead requires the social worker to apply current retention requirements, preserve client access and confidentiality, notify clients when appropriate, and use secure documented destruction only when legally permitted.</w:t>
            </w:r>
          </w:p>
        </w:tc>
      </w:tr>
    </w:tbl>
    <w:p>
      <w:pPr>
        <w:pStyle w:val="Heading2"/>
      </w:pPr>
      <w:r>
        <w:t>Why the Key Controls</w:t>
      </w:r>
    </w:p>
    <w:p>
      <w:r>
        <w:t>The controlling issue is record retention and planned destruction. The keyed response is the most complete because it requires accurate documentation and accountability and current law and applicability review. That approach is consistent with the cited source family (California record-retention law and BBS guidance; NASW Code 3.04)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Record retention and planned destruction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RECORD-RETENTION-AND-PLANNED-DESTRUCTION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record-retention law and BBS guidance; NASW Code 3.04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72 - Controlled Rationale</w:t>
      </w:r>
    </w:p>
    <w:p>
      <w:r>
        <w:rPr>
          <w:b/>
        </w:rPr>
        <w:t xml:space="preserve">Item ID: </w:t>
      </w:r>
      <w:r>
        <w:t>CTA-EP-002-CUM-F-072</w:t>
      </w:r>
    </w:p>
    <w:p>
      <w:r>
        <w:rPr>
          <w:b/>
        </w:rPr>
        <w:t xml:space="preserve">Stem: </w:t>
      </w:r>
      <w:r>
        <w:t>An ASW worked lawfully as a W-2 employee in a private practice while holding a first registration. After that registration expired, the ASW obtained a subsequent registration and wants to return to the same position. What is the appropriate response?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r>
              <w:t>Resume because the prior employment was lawful under the first registration.</w:t>
            </w:r>
          </w:p>
        </w:tc>
        <w:tc>
          <w:tcPr>
            <w:tcW w:type="dxa" w:w="3485"/>
            <w:vAlign w:val="center"/>
            <w:tcMar>
              <w:top w:w="55" w:type="dxa"/>
              <w:start w:w="65" w:type="dxa"/>
              <w:bottom w:w="55" w:type="dxa"/>
              <w:end w:w="65" w:type="dxa"/>
            </w:tcMar>
          </w:tcPr>
          <w:p>
            <w:r>
              <w:t>Incorrect. Prior lawful private-practice employment does not extend authority into a later subsequent-registration period.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r>
              <w:t>Do not resume private-practice work on the subsequent registration; use a setting permitted for that registration despite the prior employment history.</w:t>
            </w:r>
          </w:p>
        </w:tc>
        <w:tc>
          <w:tcPr>
            <w:tcW w:type="dxa" w:w="3485"/>
            <w:shd w:fill="EAF7F7"/>
            <w:vAlign w:val="center"/>
            <w:tcMar>
              <w:top w:w="55" w:type="dxa"/>
              <w:start w:w="65" w:type="dxa"/>
              <w:bottom w:w="55" w:type="dxa"/>
              <w:end w:w="65" w:type="dxa"/>
            </w:tcMar>
          </w:tcPr>
          <w:p>
            <w:r>
              <w:t>Correct. The ASW must follow the setting restriction attached to the current subsequent registration and use a permitted setting.</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r>
              <w:t>Resume as a volunteer because volunteer status removes the setting restriction.</w:t>
            </w:r>
          </w:p>
        </w:tc>
        <w:tc>
          <w:tcPr>
            <w:tcW w:type="dxa" w:w="3485"/>
            <w:vAlign w:val="center"/>
            <w:tcMar>
              <w:top w:w="55" w:type="dxa"/>
              <w:start w:w="65" w:type="dxa"/>
              <w:bottom w:w="55" w:type="dxa"/>
              <w:end w:w="65" w:type="dxa"/>
            </w:tcMar>
          </w:tcPr>
          <w:p>
            <w:r>
              <w:t>Incorrect. Volunteer status does not remove the subsequent-registration restriction on private-practice work.</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r>
              <w:t>Resume only for clients who pay privately because the payer determines the setting rule.</w:t>
            </w:r>
          </w:p>
        </w:tc>
        <w:tc>
          <w:tcPr>
            <w:tcW w:type="dxa" w:w="3485"/>
            <w:vAlign w:val="center"/>
            <w:tcMar>
              <w:top w:w="55" w:type="dxa"/>
              <w:start w:w="65" w:type="dxa"/>
              <w:bottom w:w="55" w:type="dxa"/>
              <w:end w:w="65" w:type="dxa"/>
            </w:tcMar>
          </w:tcPr>
          <w:p>
            <w:r>
              <w:t>Incorrect. The client’s payment source does not determine whether the setting is permitted for a subsequent registrant.</w:t>
            </w:r>
          </w:p>
        </w:tc>
      </w:tr>
    </w:tbl>
    <w:p>
      <w:pPr>
        <w:pStyle w:val="Heading2"/>
      </w:pPr>
      <w:r>
        <w:t>Why the Key Controls</w:t>
      </w:r>
    </w:p>
    <w:p>
      <w:r>
        <w:t>The work may have been lawful under the first registration, but the subsequent registration carries a different setting restriction. Prior lawful employment, volunteer labeling, and payer source do not authorize return to private-practice work.</w:t>
      </w:r>
    </w:p>
    <w:p>
      <w:pPr>
        <w:pStyle w:val="Heading2"/>
      </w:pPr>
      <w:r>
        <w:t>CTA Exam Strategy</w:t>
      </w:r>
    </w:p>
    <w:p>
      <w:r>
        <w:t>Separate prior lawful experience from present authority. Recheck the registration type and current setting rule at the time services will be performed.</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r>
              <w:t>Subsequent registration after prior lawful private-practice employment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r>
              <w:t>SUBSEQUENT-REGISTRATION-RETURN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BBS ASW FAQ revised January 2026; BBS supervision forms; applicable BPC provisions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73 - Controlled Rationale</w:t>
      </w:r>
    </w:p>
    <w:p>
      <w:r>
        <w:rPr>
          <w:b/>
        </w:rPr>
        <w:t xml:space="preserve">Item ID: </w:t>
      </w:r>
      <w:r>
        <w:t>CTA-EP-002-CUM-F-073</w:t>
      </w:r>
    </w:p>
    <w:p>
      <w:r>
        <w:rPr>
          <w:b/>
        </w:rPr>
        <w:t xml:space="preserve">Stem: </w:t>
      </w:r>
      <w:r>
        <w:t>A client with escalating suicidal intent refuses permission for the LCSW to contact any support person or emergency resource. What should the social worker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End the session and honor confidentiality regardless of imminent risk.</w:t>
            </w:r>
          </w:p>
        </w:tc>
        <w:tc>
          <w:tcPr>
            <w:tcW w:type="dxa" w:w="3485"/>
            <w:vAlign w:val="center"/>
            <w:tcMar>
              <w:top w:w="55" w:type="dxa"/>
              <w:start w:w="65" w:type="dxa"/>
              <w:bottom w:w="55" w:type="dxa"/>
              <w:end w:w="65" w:type="dxa"/>
            </w:tcMar>
          </w:tcPr>
          <w:p>
            <w:pPr>
              <w:spacing w:after="0"/>
            </w:pPr>
            <w:r>
              <w:rPr>
                <w:sz w:val="16"/>
              </w:rPr>
              <w:t>Incorrect. It does not adequately address suicide risk and necessary disclosure and omits the role, authority, timing, proportionality, documentation, or continuity controls needed for mandated action, emergency protection, risk assessment, disclosure limits, and follow-through. The keyed response is superior because it instead requires the social worker to use the least intrusive effective protective actions permitted or required by law, disclose only what is necessary, and document the assessment and response.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Send the entire treatment record to every family member.</w:t>
            </w:r>
          </w:p>
        </w:tc>
        <w:tc>
          <w:tcPr>
            <w:tcW w:type="dxa" w:w="3485"/>
            <w:vAlign w:val="center"/>
            <w:tcMar>
              <w:top w:w="55" w:type="dxa"/>
              <w:start w:w="65" w:type="dxa"/>
              <w:bottom w:w="55" w:type="dxa"/>
              <w:end w:w="65" w:type="dxa"/>
            </w:tcMar>
          </w:tcPr>
          <w:p>
            <w:pPr>
              <w:spacing w:after="0"/>
            </w:pPr>
            <w:r>
              <w:rPr>
                <w:sz w:val="16"/>
              </w:rPr>
              <w:t>Incorrect. It assumes a support person can replace a qualified, authorized, and confidentiality-protective professional process. The keyed response is superior because it instead requires the social worker to use the least intrusive effective protective actions permitted or required by law, disclose only what is necessary, and document the assessment and response.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Promise no disclosure and ask the client to call back if the risk worsens.</w:t>
            </w:r>
          </w:p>
        </w:tc>
        <w:tc>
          <w:tcPr>
            <w:tcW w:type="dxa" w:w="3485"/>
            <w:vAlign w:val="center"/>
            <w:tcMar>
              <w:top w:w="55" w:type="dxa"/>
              <w:start w:w="65" w:type="dxa"/>
              <w:bottom w:w="55" w:type="dxa"/>
              <w:end w:w="65" w:type="dxa"/>
            </w:tcMar>
          </w:tcPr>
          <w:p>
            <w:pPr>
              <w:spacing w:after="0"/>
            </w:pPr>
            <w:r>
              <w:rPr>
                <w:sz w:val="16"/>
              </w:rPr>
              <w:t>Incorrect. It shifts a professional judgment or legal responsibility to the client instead of completing the required assessment and safeguards. The keyed response is superior because it instead requires the social worker to use the least intrusive effective protective actions permitted or required by law, disclose only what is necessary, and document the assessment and response.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Use the least intrusive effective protective actions permitted or required by law, disclose only what is necessary, and document the assessment and response.</w:t>
            </w:r>
          </w:p>
        </w:tc>
        <w:tc>
          <w:tcPr>
            <w:tcW w:type="dxa" w:w="3485"/>
            <w:shd w:fill="EAF7F7"/>
            <w:vAlign w:val="center"/>
            <w:tcMar>
              <w:top w:w="55" w:type="dxa"/>
              <w:start w:w="65" w:type="dxa"/>
              <w:bottom w:w="55" w:type="dxa"/>
              <w:end w:w="65" w:type="dxa"/>
            </w:tcMar>
          </w:tcPr>
          <w:p>
            <w:pPr>
              <w:spacing w:after="0"/>
            </w:pPr>
            <w:r>
              <w:rPr>
                <w:sz w:val="16"/>
              </w:rPr>
              <w:t>Correct. This option directly addresses suicide risk and necessary disclosure through immediate client protection and proportionate risk management, accurate documentation and accountability and current law and applicability review.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suicide risk and necessary disclosure. The keyed response is the most complete because it requires immediate client protection and proportionate risk management, accurate documentation and accountability, and current law and applicability review. That approach is consistent with the cited source family (Applicable California confidentiality exceptions; NASW Code 1.01 and 1.07)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Suicide risk and necessary disclosure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SUICIDE-RISK-AND-NECESSARY-DISCLOSURE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Applicable California confidentiality exceptions; NASW Code 1.01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74 - Controlled Rationale</w:t>
      </w:r>
    </w:p>
    <w:p>
      <w:r>
        <w:rPr>
          <w:b/>
        </w:rPr>
        <w:t xml:space="preserve">Item ID: </w:t>
      </w:r>
      <w:r>
        <w:t>CTA-EP-002-CUM-F-074</w:t>
      </w:r>
    </w:p>
    <w:p>
      <w:r>
        <w:rPr>
          <w:b/>
        </w:rPr>
        <w:t xml:space="preserve">Stem: </w:t>
      </w:r>
      <w:r>
        <w:t>A treatment session is being converted into a formal fitness-for-duty evaluation requested by the client’s employer. What should the social worker do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Continue under the original treatment consent because the same clinician is involved.</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pause and clarify the new role, purpose, audience, confidentiality limits, voluntariness, expected report, and conflicts before continuing.</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Pause and clarify the new role, purpose, audience, confidentiality limits, voluntariness, expected report, and conflicts before continuing.</w:t>
            </w:r>
          </w:p>
        </w:tc>
        <w:tc>
          <w:tcPr>
            <w:tcW w:type="dxa" w:w="3485"/>
            <w:shd w:fill="EAF7F7"/>
            <w:vAlign w:val="center"/>
            <w:tcMar>
              <w:top w:w="55" w:type="dxa"/>
              <w:start w:w="65" w:type="dxa"/>
              <w:bottom w:w="55" w:type="dxa"/>
              <w:end w:w="65" w:type="dxa"/>
            </w:tcMar>
          </w:tcPr>
          <w:p>
            <w:pPr>
              <w:spacing w:after="0"/>
            </w:pPr>
            <w:r>
              <w:rPr>
                <w:sz w:val="16"/>
              </w:rPr>
              <w:t>Correct. This option directly addresses informed agreement when service purpose changes through clear role, consent, and expectation-setting, limited and purpose-specific information use, boundary and conflict-of-interest safeguards and containment of unlawful, unsafe, or incompetent conduct.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Send the treatment record first and explain the role later.</w:t>
            </w:r>
          </w:p>
        </w:tc>
        <w:tc>
          <w:tcPr>
            <w:tcW w:type="dxa" w:w="3485"/>
            <w:vAlign w:val="center"/>
            <w:tcMar>
              <w:top w:w="55" w:type="dxa"/>
              <w:start w:w="65" w:type="dxa"/>
              <w:bottom w:w="55" w:type="dxa"/>
              <w:end w:w="65" w:type="dxa"/>
            </w:tcMar>
          </w:tcPr>
          <w:p>
            <w:pPr>
              <w:spacing w:after="0"/>
            </w:pPr>
            <w:r>
              <w:rPr>
                <w:sz w:val="16"/>
              </w:rPr>
              <w:t>Incorrect. It does not adequately address informed agreement when service purpose changes and omits the role, authority, timing, proportionality, documentation, or continuity controls needed for client welfare, self-determination, boundaries, conflicts, exploitation, and continuity. The keyed response is superior because it instead requires the social worker to pause and clarify the new role, purpose, audience, confidentiality limits, voluntariness, expected report, and conflicts before continuing.</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Assume the employer becomes the treatment client automatically.</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pause and clarify the new role, purpose, audience, confidentiality limits, voluntariness, expected report, and conflicts before continuing.</w:t>
            </w:r>
          </w:p>
        </w:tc>
      </w:tr>
    </w:tbl>
    <w:p>
      <w:pPr>
        <w:pStyle w:val="Heading2"/>
      </w:pPr>
      <w:r>
        <w:t>Why the Key Controls</w:t>
      </w:r>
    </w:p>
    <w:p>
      <w:r>
        <w:t>The controlling issue is informed agreement when service purpose changes. The keyed response is the most complete because it requires clear role, consent, and expectation-setting, limited and purpose-specific information use, boundary and conflict-of-interest safeguards, and containment of unlawful, unsafe, or incompetent conduct. That approach is consistent with the cited source family (NASW Code 1.03, 1.06, and 4.06)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Informed agreement when service purpose changes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INFORMED-AGREEMENT-WHEN-SERVICE-PURPOSE-CHAN</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1.03, 1.06, and 4.06</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75 - Controlled Rationale</w:t>
      </w:r>
    </w:p>
    <w:p>
      <w:r>
        <w:rPr>
          <w:b/>
        </w:rPr>
        <w:t xml:space="preserve">Item ID: </w:t>
      </w:r>
      <w:r>
        <w:t>CTA-EP-002-CUM-F-075</w:t>
      </w:r>
    </w:p>
    <w:p>
      <w:r>
        <w:rPr>
          <w:b/>
        </w:rPr>
        <w:t xml:space="preserve">Stem: </w:t>
      </w:r>
      <w:r>
        <w:t>After legal review, an LCSW confirms that a valid court order requires disclosure of attendance dates only. Agency counsel asks the LCSW to add diagnoses and progress notes “to be safe.” What should the social worker do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Disclose the entire record because legal counsel requested it.</w:t>
            </w:r>
          </w:p>
        </w:tc>
        <w:tc>
          <w:tcPr>
            <w:tcW w:type="dxa" w:w="3485"/>
            <w:vAlign w:val="center"/>
            <w:tcMar>
              <w:top w:w="55" w:type="dxa"/>
              <w:start w:w="65" w:type="dxa"/>
              <w:bottom w:w="55" w:type="dxa"/>
              <w:end w:w="65" w:type="dxa"/>
            </w:tcMar>
          </w:tcPr>
          <w:p>
            <w:pPr>
              <w:spacing w:after="0"/>
            </w:pPr>
            <w:r>
              <w:rPr>
                <w:sz w:val="16"/>
              </w:rPr>
              <w:t>Incorrect. Counsel’s request does not enlarge the court order or authorize disclosure of the complete record.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Ignore the valid order because psychotherapy information is always privileged.</w:t>
            </w:r>
          </w:p>
        </w:tc>
        <w:tc>
          <w:tcPr>
            <w:tcW w:type="dxa" w:w="3485"/>
            <w:vAlign w:val="center"/>
            <w:tcMar>
              <w:top w:w="55" w:type="dxa"/>
              <w:start w:w="65" w:type="dxa"/>
              <w:bottom w:w="55" w:type="dxa"/>
              <w:end w:w="65" w:type="dxa"/>
            </w:tcMar>
          </w:tcPr>
          <w:p>
            <w:pPr>
              <w:spacing w:after="0"/>
            </w:pPr>
            <w:r>
              <w:rPr>
                <w:sz w:val="16"/>
              </w:rPr>
              <w:t>Incorrect. A valid order cannot simply be ignored after appropriate legal review confirms its applicability.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Verify and comply with the order’s actual scope, disclose only the required attendance information, protect the remainder, and document the response.</w:t>
            </w:r>
          </w:p>
        </w:tc>
        <w:tc>
          <w:tcPr>
            <w:tcW w:type="dxa" w:w="3485"/>
            <w:shd w:fill="EAF7F7"/>
            <w:vAlign w:val="center"/>
            <w:tcMar>
              <w:top w:w="55" w:type="dxa"/>
              <w:start w:w="65" w:type="dxa"/>
              <w:bottom w:w="55" w:type="dxa"/>
              <w:end w:w="65" w:type="dxa"/>
            </w:tcMar>
          </w:tcPr>
          <w:p>
            <w:pPr>
              <w:spacing w:after="0"/>
            </w:pPr>
            <w:r>
              <w:rPr>
                <w:sz w:val="16"/>
              </w:rPr>
              <w:t>Correct. This response complies with the confirmed order while preserving privilege and confidentiality beyond the required scope.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Call the judge’s clerk and discuss the client’s diagnosis informally.</w:t>
            </w:r>
          </w:p>
        </w:tc>
        <w:tc>
          <w:tcPr>
            <w:tcW w:type="dxa" w:w="3485"/>
            <w:vAlign w:val="center"/>
            <w:tcMar>
              <w:top w:w="55" w:type="dxa"/>
              <w:start w:w="65" w:type="dxa"/>
              <w:bottom w:w="55" w:type="dxa"/>
              <w:end w:w="65" w:type="dxa"/>
            </w:tcMar>
          </w:tcPr>
          <w:p>
            <w:pPr>
              <w:spacing w:after="0"/>
            </w:pPr>
            <w:r>
              <w:rPr>
                <w:sz w:val="16"/>
              </w:rPr>
              <w:t>Incorrect. Informal discussion with court staff is not a substitute for complying with the written order and protecting confidential information.</w:t>
            </w:r>
          </w:p>
        </w:tc>
      </w:tr>
    </w:tbl>
    <w:p>
      <w:pPr>
        <w:pStyle w:val="Heading2"/>
      </w:pPr>
      <w:r>
        <w:t>Why the Key Controls</w:t>
      </w:r>
    </w:p>
    <w:p>
      <w:r>
        <w:t>A valid order must be followed according to its actual scope. The LCSW should verify the order, disclose only the required attendance information, protect unrelated information, and document the response rather than expand disclosure at counsel’s request.</w:t>
      </w:r>
    </w:p>
    <w:p>
      <w:pPr>
        <w:pStyle w:val="Heading2"/>
      </w:pPr>
      <w:r>
        <w:t>CTA Exam Strategy</w:t>
      </w:r>
    </w:p>
    <w:p>
      <w:r>
        <w:t>Legal-process questions require verification of the document and its scope. Comply with what is required—no more and no less.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Narrow court order and scope-limited disclosure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COURT-ORDER-SCOPE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privilege and legal-process law; NASW Code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76 - Controlled Rationale</w:t>
      </w:r>
    </w:p>
    <w:p>
      <w:r>
        <w:rPr>
          <w:b/>
        </w:rPr>
        <w:t xml:space="preserve">Item ID: </w:t>
      </w:r>
      <w:r>
        <w:t>CTA-EP-002-CUM-F-076</w:t>
      </w:r>
    </w:p>
    <w:p>
      <w:r>
        <w:rPr>
          <w:b/>
        </w:rPr>
        <w:t xml:space="preserve">Stem: </w:t>
      </w:r>
      <w:r>
        <w:t>In a rural area, an LCSW is also elected to a local board that may vote on a current client’s housing appeal. What is the appropriate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Participate because small communities make dual roles automatically acceptable.</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analyze the conflict, disclose appropriately, protect confidentiality, and recuse or arrange alternatives when impartiality and client welfare cannot be protected.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Reveal the treatment relationship to the entire board for transparency.</w:t>
            </w:r>
          </w:p>
        </w:tc>
        <w:tc>
          <w:tcPr>
            <w:tcW w:type="dxa" w:w="3485"/>
            <w:vAlign w:val="center"/>
            <w:tcMar>
              <w:top w:w="55" w:type="dxa"/>
              <w:start w:w="65" w:type="dxa"/>
              <w:bottom w:w="55" w:type="dxa"/>
              <w:end w:w="65" w:type="dxa"/>
            </w:tcMar>
          </w:tcPr>
          <w:p>
            <w:pPr>
              <w:spacing w:after="0"/>
            </w:pPr>
            <w:r>
              <w:rPr>
                <w:sz w:val="16"/>
              </w:rPr>
              <w:t>Incorrect. It does not adequately address dual role in a small community and omits the role, authority, timing, proportionality, documentation, or continuity controls needed for competence, integrity, impairment, bias, consultation, and truthful professional conduct. The keyed response is superior because it instead requires the social worker to analyze the conflict, disclose appropriately, protect confidentiality, and recuse or arrange alternatives when impartiality and client welfare cannot be protected.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Analyze the conflict, disclose appropriately, protect confidentiality, and recuse or arrange alternatives when impartiality and client welfare cannot be protected.</w:t>
            </w:r>
          </w:p>
        </w:tc>
        <w:tc>
          <w:tcPr>
            <w:tcW w:type="dxa" w:w="3485"/>
            <w:shd w:fill="EAF7F7"/>
            <w:vAlign w:val="center"/>
            <w:tcMar>
              <w:top w:w="55" w:type="dxa"/>
              <w:start w:w="65" w:type="dxa"/>
              <w:bottom w:w="55" w:type="dxa"/>
              <w:end w:w="65" w:type="dxa"/>
            </w:tcMar>
          </w:tcPr>
          <w:p>
            <w:pPr>
              <w:spacing w:after="0"/>
            </w:pPr>
            <w:r>
              <w:rPr>
                <w:sz w:val="16"/>
              </w:rPr>
              <w:t>Correct. This option directly addresses dual role in a small community through immediate client protection and proportionate risk management and boundary and conflict-of-interest safeguards.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client to waive every future conflict permanently.</w:t>
            </w:r>
          </w:p>
        </w:tc>
        <w:tc>
          <w:tcPr>
            <w:tcW w:type="dxa" w:w="3485"/>
            <w:vAlign w:val="center"/>
            <w:tcMar>
              <w:top w:w="55" w:type="dxa"/>
              <w:start w:w="65" w:type="dxa"/>
              <w:bottom w:w="55" w:type="dxa"/>
              <w:end w:w="65" w:type="dxa"/>
            </w:tcMar>
          </w:tcPr>
          <w:p>
            <w:pPr>
              <w:spacing w:after="0"/>
            </w:pPr>
            <w:r>
              <w:rPr>
                <w:sz w:val="16"/>
              </w:rPr>
              <w:t>Incorrect. A client signature cannot create legal authority, competence, truthful status, safety, or freedom from a professional duty. The keyed response is superior because it instead requires the social worker to analyze the conflict, disclose appropriately, protect confidentiality, and recuse or arrange alternatives when impartiality and client welfare cannot be protected.</w:t>
            </w:r>
          </w:p>
        </w:tc>
      </w:tr>
    </w:tbl>
    <w:p>
      <w:pPr>
        <w:pStyle w:val="Heading2"/>
      </w:pPr>
      <w:r>
        <w:t>Why the Key Controls</w:t>
      </w:r>
    </w:p>
    <w:p>
      <w:r>
        <w:t>The controlling issue is dual role in a small community. The keyed response is the most complete because it requires immediate client protection and proportionate risk management and boundary and conflict-of-interest safeguards. That approach is consistent with the cited source family (NASW Code 1.06 and 1.07)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Dual role in a small community</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DUAL-ROLE-IN-A-SMALL-COMMUNITY</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1.06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77 - Controlled Rationale</w:t>
      </w:r>
    </w:p>
    <w:p>
      <w:r>
        <w:rPr>
          <w:b/>
        </w:rPr>
        <w:t xml:space="preserve">Item ID: </w:t>
      </w:r>
      <w:r>
        <w:t>CTA-EP-002-CUM-F-077</w:t>
      </w:r>
    </w:p>
    <w:p>
      <w:r>
        <w:rPr>
          <w:b/>
        </w:rPr>
        <w:t xml:space="preserve">Stem: </w:t>
      </w:r>
      <w:r>
        <w:t>A program denies a service after learning a client’s protected identity, and staff make conflicting claims about which law applies.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Support immediate care, document facts, identify California, federal, contractual, and organizational authority separately, and obtain updated compliance guidance.</w:t>
            </w:r>
          </w:p>
        </w:tc>
        <w:tc>
          <w:tcPr>
            <w:tcW w:type="dxa" w:w="3485"/>
            <w:shd w:fill="EAF7F7"/>
            <w:vAlign w:val="center"/>
            <w:tcMar>
              <w:top w:w="55" w:type="dxa"/>
              <w:start w:w="65" w:type="dxa"/>
              <w:bottom w:w="55" w:type="dxa"/>
              <w:end w:w="65" w:type="dxa"/>
            </w:tcMar>
          </w:tcPr>
          <w:p>
            <w:pPr>
              <w:spacing w:after="0"/>
            </w:pPr>
            <w:r>
              <w:rPr>
                <w:sz w:val="16"/>
              </w:rPr>
              <w:t>Correct. This option directly addresses nondiscrimination source-layer analysis through accurate documentation and accountability and current law and applicability review.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Assume one federal rule controls every entity and setting.</w:t>
            </w:r>
          </w:p>
        </w:tc>
        <w:tc>
          <w:tcPr>
            <w:tcW w:type="dxa" w:w="3485"/>
            <w:vAlign w:val="center"/>
            <w:tcMar>
              <w:top w:w="55" w:type="dxa"/>
              <w:start w:w="65" w:type="dxa"/>
              <w:bottom w:w="55" w:type="dxa"/>
              <w:end w:w="65" w:type="dxa"/>
            </w:tcMar>
          </w:tcPr>
          <w:p>
            <w:pPr>
              <w:spacing w:after="0"/>
            </w:pPr>
            <w:r>
              <w:rPr>
                <w:sz w:val="16"/>
              </w:rPr>
              <w:t>Incorrect. It does not adequately address nondiscrimination source-layer analysis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support immediate care, document facts, identify California, federal, contractual, and organizational authority separately, and obtain updated compliance guidance.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Ignore the issue until all litigation ends.</w:t>
            </w:r>
          </w:p>
        </w:tc>
        <w:tc>
          <w:tcPr>
            <w:tcW w:type="dxa" w:w="3485"/>
            <w:vAlign w:val="center"/>
            <w:tcMar>
              <w:top w:w="55" w:type="dxa"/>
              <w:start w:w="65" w:type="dxa"/>
              <w:bottom w:w="55" w:type="dxa"/>
              <w:end w:w="65" w:type="dxa"/>
            </w:tcMar>
          </w:tcPr>
          <w:p>
            <w:pPr>
              <w:spacing w:after="0"/>
            </w:pPr>
            <w:r>
              <w:rPr>
                <w:sz w:val="16"/>
              </w:rPr>
              <w:t>Incorrect. It does not adequately address nondiscrimination source-layer analysis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support immediate care, document facts, identify California, federal, contractual, and organizational authority separately, and obtain updated compliance guidance.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Treat organizational policy as the only controlling authority.</w:t>
            </w:r>
          </w:p>
        </w:tc>
        <w:tc>
          <w:tcPr>
            <w:tcW w:type="dxa" w:w="3485"/>
            <w:vAlign w:val="center"/>
            <w:tcMar>
              <w:top w:w="55" w:type="dxa"/>
              <w:start w:w="65" w:type="dxa"/>
              <w:bottom w:w="55" w:type="dxa"/>
              <w:end w:w="65" w:type="dxa"/>
            </w:tcMar>
          </w:tcPr>
          <w:p>
            <w:pPr>
              <w:spacing w:after="0"/>
            </w:pPr>
            <w:r>
              <w:rPr>
                <w:sz w:val="16"/>
              </w:rPr>
              <w:t>Incorrect. It does not adequately address nondiscrimination source-layer analysis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support immediate care, document facts, identify California, federal, contractual, and organizational authority separately, and obtain updated compliance guidance.</w:t>
            </w:r>
          </w:p>
        </w:tc>
      </w:tr>
    </w:tbl>
    <w:p>
      <w:pPr>
        <w:pStyle w:val="Heading2"/>
      </w:pPr>
      <w:r>
        <w:t>Why the Key Controls</w:t>
      </w:r>
    </w:p>
    <w:p>
      <w:r>
        <w:t>The controlling issue is nondiscrimination source-layer analysis. The keyed response is the most complete because it requires accurate documentation and accountability and current law and applicability review. That approach is consistent with the cited source family (California civil-rights law; setting-dependent federal law; NASW Code 4.02 and 6.04)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Nondiscrimination source-layer analysis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NONDISCRIMINATION-SOURCE-LAYER-ANALYSIS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civil-rights law; setting-dependent federal law; NASW Code 4.02 and 6.04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78 - Controlled Rationale</w:t>
      </w:r>
    </w:p>
    <w:p>
      <w:r>
        <w:rPr>
          <w:b/>
        </w:rPr>
        <w:t xml:space="preserve">Item ID: </w:t>
      </w:r>
      <w:r>
        <w:t>CTA-EP-002-CUM-F-078</w:t>
      </w:r>
    </w:p>
    <w:p>
      <w:r>
        <w:rPr>
          <w:b/>
        </w:rPr>
        <w:t xml:space="preserve">Stem: </w:t>
      </w:r>
      <w:r>
        <w:t>An ASW wants to begin a complex trauma intervention after completing a brief introductory webinar.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Begin independently because the supervisor can sign the notes later.</w:t>
            </w:r>
          </w:p>
        </w:tc>
        <w:tc>
          <w:tcPr>
            <w:tcW w:type="dxa" w:w="3485"/>
            <w:vAlign w:val="center"/>
            <w:tcMar>
              <w:top w:w="55" w:type="dxa"/>
              <w:start w:w="65" w:type="dxa"/>
              <w:bottom w:w="55" w:type="dxa"/>
              <w:end w:w="65" w:type="dxa"/>
            </w:tcMar>
          </w:tcPr>
          <w:p>
            <w:pPr>
              <w:spacing w:after="0"/>
            </w:pPr>
            <w:r>
              <w:rPr>
                <w:sz w:val="16"/>
              </w:rPr>
              <w:t>Incorrect. Organizational, supervisory, or requester pressure does not override the social worker’s independent legal and ethical duties. The keyed response is superior because it instead requires the social worker to assess readiness, obtain qualified training and close supervision, use the intervention only within demonstrated competence, and refer when needed.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Assess readiness, obtain qualified training and close supervision, use the intervention only within demonstrated competence, and refer when needed.</w:t>
            </w:r>
          </w:p>
        </w:tc>
        <w:tc>
          <w:tcPr>
            <w:tcW w:type="dxa" w:w="3485"/>
            <w:shd w:fill="EAF7F7"/>
            <w:vAlign w:val="center"/>
            <w:tcMar>
              <w:top w:w="55" w:type="dxa"/>
              <w:start w:w="65" w:type="dxa"/>
              <w:bottom w:w="55" w:type="dxa"/>
              <w:end w:w="65" w:type="dxa"/>
            </w:tcMar>
          </w:tcPr>
          <w:p>
            <w:pPr>
              <w:spacing w:after="0"/>
            </w:pPr>
            <w:r>
              <w:rPr>
                <w:sz w:val="16"/>
              </w:rPr>
              <w:t>Correct. This option directly addresses introducing a new intervention under supervision through competence support through consultation, training, or qualified supervision.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Use the intervention only with clients who sign a waiver.</w:t>
            </w:r>
          </w:p>
        </w:tc>
        <w:tc>
          <w:tcPr>
            <w:tcW w:type="dxa" w:w="3485"/>
            <w:vAlign w:val="center"/>
            <w:tcMar>
              <w:top w:w="55" w:type="dxa"/>
              <w:start w:w="65" w:type="dxa"/>
              <w:bottom w:w="55" w:type="dxa"/>
              <w:end w:w="65" w:type="dxa"/>
            </w:tcMar>
          </w:tcPr>
          <w:p>
            <w:pPr>
              <w:spacing w:after="0"/>
            </w:pPr>
            <w:r>
              <w:rPr>
                <w:sz w:val="16"/>
              </w:rPr>
              <w:t>Incorrect. A client signature cannot create legal authority, competence, truthful status, safety, or freedom from a professional duty. The keyed response is superior because it instead requires the social worker to assess readiness, obtain qualified training and close supervision, use the intervention only within demonstrated competence, and refer when needed.</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Advertise specialty status because the webinar issued a certificate.</w:t>
            </w:r>
          </w:p>
        </w:tc>
        <w:tc>
          <w:tcPr>
            <w:tcW w:type="dxa" w:w="3485"/>
            <w:vAlign w:val="center"/>
            <w:tcMar>
              <w:top w:w="55" w:type="dxa"/>
              <w:start w:w="65" w:type="dxa"/>
              <w:bottom w:w="55" w:type="dxa"/>
              <w:end w:w="65" w:type="dxa"/>
            </w:tcMar>
          </w:tcPr>
          <w:p>
            <w:pPr>
              <w:spacing w:after="0"/>
            </w:pPr>
            <w:r>
              <w:rPr>
                <w:sz w:val="16"/>
              </w:rPr>
              <w:t>Incorrect. It does not adequately address introducing a new intervention under supervision and omits the role, authority, timing, proportionality, documentation, or continuity controls needed for competence, integrity, impairment, bias, consultation, and truthful professional conduct. The keyed response is superior because it instead requires the social worker to assess readiness, obtain qualified training and close supervision, use the intervention only within demonstrated competence, and refer when needed.</w:t>
            </w:r>
          </w:p>
        </w:tc>
      </w:tr>
    </w:tbl>
    <w:p>
      <w:pPr>
        <w:pStyle w:val="Heading2"/>
      </w:pPr>
      <w:r>
        <w:t>Why the Key Controls</w:t>
      </w:r>
    </w:p>
    <w:p>
      <w:r>
        <w:t>The controlling issue is introducing a new intervention under supervision. The keyed response is the most complete because it requires competence support through consultation, training, or qualified supervision. That approach is consistent with the cited source family (NASW Code 1.04 and 3.01; BBS supervision competence requirements)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Introducing a new intervention under supervision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WB3 - Professional Competence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INTRODUCING-A-NEW-INTERVENTION-UNDER-SUPERVI</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1.04 and 3.01; BBS supervision competence requirements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79 - Controlled Rationale</w:t>
      </w:r>
    </w:p>
    <w:p>
      <w:r>
        <w:rPr>
          <w:b/>
        </w:rPr>
        <w:t xml:space="preserve">Item ID: </w:t>
      </w:r>
      <w:r>
        <w:t>CTA-EP-002-CUM-F-079</w:t>
      </w:r>
    </w:p>
    <w:p>
      <w:r>
        <w:rPr>
          <w:b/>
        </w:rPr>
        <w:t xml:space="preserve">Stem: </w:t>
      </w:r>
      <w:r>
        <w:t>An LCSW repeatedly observes a colleague slurring speech, missing critical details, and leaving clients unattended. What should the social worker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Diagnose the colleague publicly and notify all clients.</w:t>
            </w:r>
          </w:p>
        </w:tc>
        <w:tc>
          <w:tcPr>
            <w:tcW w:type="dxa" w:w="3485"/>
            <w:vAlign w:val="center"/>
            <w:tcMar>
              <w:top w:w="55" w:type="dxa"/>
              <w:start w:w="65" w:type="dxa"/>
              <w:bottom w:w="55" w:type="dxa"/>
              <w:end w:w="65" w:type="dxa"/>
            </w:tcMar>
          </w:tcPr>
          <w:p>
            <w:pPr>
              <w:spacing w:after="0"/>
            </w:pPr>
            <w:r>
              <w:rPr>
                <w:sz w:val="16"/>
              </w:rPr>
              <w:t>Incorrect. It creates an unnecessary confidentiality and privacy breach and is not a proportionate professional response. The keyed response is superior because it instead requires the social worker to act on objective safety concerns through appropriate supervisory, organizational, consultation, and reporting channels while protecting clients.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Wait for proof of a specific disorder before taking any protective step.</w:t>
            </w:r>
          </w:p>
        </w:tc>
        <w:tc>
          <w:tcPr>
            <w:tcW w:type="dxa" w:w="3485"/>
            <w:vAlign w:val="center"/>
            <w:tcMar>
              <w:top w:w="55" w:type="dxa"/>
              <w:start w:w="65" w:type="dxa"/>
              <w:bottom w:w="55" w:type="dxa"/>
              <w:end w:w="65" w:type="dxa"/>
            </w:tcMar>
          </w:tcPr>
          <w:p>
            <w:pPr>
              <w:spacing w:after="0"/>
            </w:pPr>
            <w:r>
              <w:rPr>
                <w:sz w:val="16"/>
              </w:rPr>
              <w:t>Incorrect. It delays a current safety, status, correction, or continuity responsibility and may allow preventable harm to continue. The keyed response is superior because it instead requires the social worker to act on objective safety concerns through appropriate supervisory, organizational, consultation, and reporting channels while protecting clients.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Cover the mistakes secretly so the colleague’s career is not affected.</w:t>
            </w:r>
          </w:p>
        </w:tc>
        <w:tc>
          <w:tcPr>
            <w:tcW w:type="dxa" w:w="3485"/>
            <w:vAlign w:val="center"/>
            <w:tcMar>
              <w:top w:w="55" w:type="dxa"/>
              <w:start w:w="65" w:type="dxa"/>
              <w:bottom w:w="55" w:type="dxa"/>
              <w:end w:w="65" w:type="dxa"/>
            </w:tcMar>
          </w:tcPr>
          <w:p>
            <w:pPr>
              <w:spacing w:after="0"/>
            </w:pPr>
            <w:r>
              <w:rPr>
                <w:sz w:val="16"/>
              </w:rPr>
              <w:t>Incorrect. It does not adequately address colleague impairment and objective observations and omits the role, authority, timing, proportionality, documentation, or continuity controls needed for competence, integrity, impairment, bias, consultation, and truthful professional conduct. The keyed response is superior because it instead requires the social worker to act on objective safety concerns through appropriate supervisory, organizational, consultation, and reporting channels while protecting clients.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Act on objective safety concerns through appropriate supervisory, organizational, consultation, and reporting channels while protecting clients.</w:t>
            </w:r>
          </w:p>
        </w:tc>
        <w:tc>
          <w:tcPr>
            <w:tcW w:type="dxa" w:w="3485"/>
            <w:shd w:fill="EAF7F7"/>
            <w:vAlign w:val="center"/>
            <w:tcMar>
              <w:top w:w="55" w:type="dxa"/>
              <w:start w:w="65" w:type="dxa"/>
              <w:bottom w:w="55" w:type="dxa"/>
              <w:end w:w="65" w:type="dxa"/>
            </w:tcMar>
          </w:tcPr>
          <w:p>
            <w:pPr>
              <w:spacing w:after="0"/>
            </w:pPr>
            <w:r>
              <w:rPr>
                <w:sz w:val="16"/>
              </w:rPr>
              <w:t>Correct. This option directly addresses colleague impairment and objective observations through immediate client protection and proportionate risk management and competence support through consultation, training, or qualified supervision.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colleague impairment and objective observations. The keyed response is the most complete because it requires immediate client protection and proportionate risk management and competence support through consultation, training, or qualified supervision. That approach is consistent with the cited source family (NASW Code 2.08 and 4.05; BPC 4992.3)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Colleague impairment and objective observations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WB4 - Professional Impairment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COLLEAGUE-IMPAIRMENT-AND-OBJECTIVE-OBSERVATI</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2.08 and 4.05; BPC 4992.3</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80 - Controlled Rationale</w:t>
      </w:r>
    </w:p>
    <w:p>
      <w:r>
        <w:rPr>
          <w:b/>
        </w:rPr>
        <w:t xml:space="preserve">Item ID: </w:t>
      </w:r>
      <w:r>
        <w:t>CTA-EP-002-CUM-F-080</w:t>
      </w:r>
    </w:p>
    <w:p>
      <w:r>
        <w:rPr>
          <w:b/>
        </w:rPr>
        <w:t xml:space="preserve">Stem: </w:t>
      </w:r>
      <w:r>
        <w:t>An ASW is assigned a complex eating-disorder case but has no relevant training and the regular supervisor is unavailable for several days.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Proceed because associate status means the supervisor carries all responsibility.</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identify the competence gap, obtain qualified supervision or consultation, and modify or transfer the assignment when safe competence cannot be established.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Identify the competence gap, obtain qualified supervision or consultation, and modify or transfer the assignment when safe competence cannot be established.</w:t>
            </w:r>
          </w:p>
        </w:tc>
        <w:tc>
          <w:tcPr>
            <w:tcW w:type="dxa" w:w="3485"/>
            <w:shd w:fill="EAF7F7"/>
            <w:vAlign w:val="center"/>
            <w:tcMar>
              <w:top w:w="55" w:type="dxa"/>
              <w:start w:w="65" w:type="dxa"/>
              <w:bottom w:w="55" w:type="dxa"/>
              <w:end w:w="65" w:type="dxa"/>
            </w:tcMar>
          </w:tcPr>
          <w:p>
            <w:pPr>
              <w:spacing w:after="0"/>
            </w:pPr>
            <w:r>
              <w:rPr>
                <w:sz w:val="16"/>
              </w:rPr>
              <w:t>Correct. This option directly addresses associate competence and duty to seek supervision through competence support through consultation, training, or qualified supervision and correction and prevention of recurrence.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Use online articles during the first session as a substitute for consultation.</w:t>
            </w:r>
          </w:p>
        </w:tc>
        <w:tc>
          <w:tcPr>
            <w:tcW w:type="dxa" w:w="3485"/>
            <w:vAlign w:val="center"/>
            <w:tcMar>
              <w:top w:w="55" w:type="dxa"/>
              <w:start w:w="65" w:type="dxa"/>
              <w:bottom w:w="55" w:type="dxa"/>
              <w:end w:w="65" w:type="dxa"/>
            </w:tcMar>
          </w:tcPr>
          <w:p>
            <w:pPr>
              <w:spacing w:after="0"/>
            </w:pPr>
            <w:r>
              <w:rPr>
                <w:sz w:val="16"/>
              </w:rPr>
              <w:t>Incorrect. It does not adequately address associate competence and duty to seek supervision and omits the role, authority, timing, proportionality, documentation, or continuity controls needed for competence, integrity, impairment, bias, consultation, and truthful professional conduct. The keyed response is superior because it instead requires the social worker to identify the competence gap, obtain qualified supervision or consultation, and modify or transfer the assignment when safe competence cannot be established.</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client to accept the risk in writing and continue unchanged.</w:t>
            </w:r>
          </w:p>
        </w:tc>
        <w:tc>
          <w:tcPr>
            <w:tcW w:type="dxa" w:w="3485"/>
            <w:vAlign w:val="center"/>
            <w:tcMar>
              <w:top w:w="55" w:type="dxa"/>
              <w:start w:w="65" w:type="dxa"/>
              <w:bottom w:w="55" w:type="dxa"/>
              <w:end w:w="65" w:type="dxa"/>
            </w:tcMar>
          </w:tcPr>
          <w:p>
            <w:pPr>
              <w:spacing w:after="0"/>
            </w:pPr>
            <w:r>
              <w:rPr>
                <w:sz w:val="16"/>
              </w:rPr>
              <w:t>Incorrect. It shifts a professional judgment or legal responsibility to the client instead of completing the required assessment and safeguards. The keyed response is superior because it instead requires the social worker to identify the competence gap, obtain qualified supervision or consultation, and modify or transfer the assignment when safe competence cannot be established.</w:t>
            </w:r>
          </w:p>
        </w:tc>
      </w:tr>
    </w:tbl>
    <w:p>
      <w:pPr>
        <w:pStyle w:val="Heading2"/>
      </w:pPr>
      <w:r>
        <w:t>Why the Key Controls</w:t>
      </w:r>
    </w:p>
    <w:p>
      <w:r>
        <w:t>The controlling issue is associate competence and duty to seek supervision. The keyed response is the most complete because it requires competence support through consultation, training, or qualified supervision and correction and prevention of recurrence. That approach is consistent with the cited source family (BPC 4992.3; NASW Code 1.04 and 3.01)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Associate competence and duty to seek supervision</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ASSOCIATE-COMPETENCE-AND-DUTY-TO-SEEK-SUPERV</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4992.3; NASW Code 1.04 and 3.01</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81 - Controlled Rationale</w:t>
      </w:r>
    </w:p>
    <w:p>
      <w:r>
        <w:rPr>
          <w:b/>
        </w:rPr>
        <w:t xml:space="preserve">Item ID: </w:t>
      </w:r>
      <w:r>
        <w:t>CTA-EP-002-CUM-F-081</w:t>
      </w:r>
    </w:p>
    <w:p>
      <w:r>
        <w:rPr>
          <w:b/>
        </w:rPr>
        <w:t xml:space="preserve">Stem: </w:t>
      </w:r>
      <w:r>
        <w:t>A new client repeatedly calls the ASW “my licensed therapist,” and the clinic intake portal lists only the ASW’s name without registration status or supervision information. What should the social worker do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Allow the misunderstanding because the supervisor is licensed.</w:t>
            </w:r>
          </w:p>
        </w:tc>
        <w:tc>
          <w:tcPr>
            <w:tcW w:type="dxa" w:w="3485"/>
            <w:vAlign w:val="center"/>
            <w:tcMar>
              <w:top w:w="55" w:type="dxa"/>
              <w:start w:w="65" w:type="dxa"/>
              <w:bottom w:w="55" w:type="dxa"/>
              <w:end w:w="65" w:type="dxa"/>
            </w:tcMar>
          </w:tcPr>
          <w:p>
            <w:pPr>
              <w:spacing w:after="0"/>
            </w:pPr>
            <w:r>
              <w:rPr>
                <w:sz w:val="16"/>
              </w:rPr>
              <w:t>Incorrect. Organizational, supervisory, or requester pressure does not override the social worker’s independent legal and ethical duties. The keyed response is superior because it instead requires the social worker to correct the misunderstanding promptly and ensure the client receives accurate ASW title, registration, employer, and licensed-supervision information.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Correct the client only if the client asks directly about licensure.</w:t>
            </w:r>
          </w:p>
        </w:tc>
        <w:tc>
          <w:tcPr>
            <w:tcW w:type="dxa" w:w="3485"/>
            <w:vAlign w:val="center"/>
            <w:tcMar>
              <w:top w:w="55" w:type="dxa"/>
              <w:start w:w="65" w:type="dxa"/>
              <w:bottom w:w="55" w:type="dxa"/>
              <w:end w:w="65" w:type="dxa"/>
            </w:tcMar>
          </w:tcPr>
          <w:p>
            <w:pPr>
              <w:spacing w:after="0"/>
            </w:pPr>
            <w:r>
              <w:rPr>
                <w:sz w:val="16"/>
              </w:rPr>
              <w:t>Incorrect. It does not adequately address clear disclosure of asw status to clients and omits the role, authority, timing, proportionality, documentation, or continuity controls needed for client welfare, self-determination, boundaries, conflicts, exploitation, and continuity. The keyed response is superior because it instead requires the social worker to correct the misunderstanding promptly and ensure the client receives accurate ASW title, registration, employer, and licensed-supervision information.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Correct the misunderstanding promptly and ensure the client receives accurate ASW title, registration, employer, and licensed-supervision information.</w:t>
            </w:r>
          </w:p>
        </w:tc>
        <w:tc>
          <w:tcPr>
            <w:tcW w:type="dxa" w:w="3485"/>
            <w:shd w:fill="EAF7F7"/>
            <w:vAlign w:val="center"/>
            <w:tcMar>
              <w:top w:w="55" w:type="dxa"/>
              <w:start w:w="65" w:type="dxa"/>
              <w:bottom w:w="55" w:type="dxa"/>
              <w:end w:w="65" w:type="dxa"/>
            </w:tcMar>
          </w:tcPr>
          <w:p>
            <w:pPr>
              <w:spacing w:after="0"/>
            </w:pPr>
            <w:r>
              <w:rPr>
                <w:sz w:val="16"/>
              </w:rPr>
              <w:t>Correct. This option directly addresses clear disclosure of asw status to clients through clear role, consent, and expectation-setting, competence support through consultation, training, or qualified supervision and correction and prevention of recurrence.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Change the portal after licensure and leave current clients uninformed.</w:t>
            </w:r>
          </w:p>
        </w:tc>
        <w:tc>
          <w:tcPr>
            <w:tcW w:type="dxa" w:w="3485"/>
            <w:vAlign w:val="center"/>
            <w:tcMar>
              <w:top w:w="55" w:type="dxa"/>
              <w:start w:w="65" w:type="dxa"/>
              <w:bottom w:w="55" w:type="dxa"/>
              <w:end w:w="65" w:type="dxa"/>
            </w:tcMar>
          </w:tcPr>
          <w:p>
            <w:pPr>
              <w:spacing w:after="0"/>
            </w:pPr>
            <w:r>
              <w:rPr>
                <w:sz w:val="16"/>
              </w:rPr>
              <w:t>Incorrect. It does not adequately address clear disclosure of asw status to clients and omits the role, authority, timing, proportionality, documentation, or continuity controls needed for client welfare, self-determination, boundaries, conflicts, exploitation, and continuity. The keyed response is superior because it instead requires the social worker to correct the misunderstanding promptly and ensure the client receives accurate ASW title, registration, employer, and licensed-supervision information.</w:t>
            </w:r>
          </w:p>
        </w:tc>
      </w:tr>
    </w:tbl>
    <w:p>
      <w:pPr>
        <w:pStyle w:val="Heading2"/>
      </w:pPr>
      <w:r>
        <w:t>Why the Key Controls</w:t>
      </w:r>
    </w:p>
    <w:p>
      <w:r>
        <w:t>The controlling issue is clear disclosure of asw status to clients. The keyed response is the most complete because it requires clear role, consent, and expectation-setting, competence support through consultation, training, or qualified supervision, and correction and prevention of recurrence. That approach is consistent with the cited source family (BPC 4992.2 and 4992.3; BBS advertising and status-disclosure guidance)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Clear disclosure of ASW status to clients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CLEAR-DISCLOSURE-OF-ASW-STATUS-TO-CLIENTS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4992.2 and 4992.3; BBS advertising and status-disclosure guidance</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82 - Controlled Rationale</w:t>
      </w:r>
    </w:p>
    <w:p>
      <w:r>
        <w:rPr>
          <w:b/>
        </w:rPr>
        <w:t xml:space="preserve">Item ID: </w:t>
      </w:r>
      <w:r>
        <w:t>CTA-EP-002-CUM-F-082</w:t>
      </w:r>
    </w:p>
    <w:p>
      <w:r>
        <w:rPr>
          <w:b/>
        </w:rPr>
        <w:t xml:space="preserve">Stem: </w:t>
      </w:r>
      <w:r>
        <w:t>A client disputes a factual statement in the record and requests that the clinician erase it completely. What is the appropriate response?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Erase the statement without an audit trail.</w:t>
            </w:r>
          </w:p>
        </w:tc>
        <w:tc>
          <w:tcPr>
            <w:tcW w:type="dxa" w:w="3485"/>
            <w:vAlign w:val="center"/>
            <w:tcMar>
              <w:top w:w="55" w:type="dxa"/>
              <w:start w:w="65" w:type="dxa"/>
              <w:bottom w:w="55" w:type="dxa"/>
              <w:end w:w="65" w:type="dxa"/>
            </w:tcMar>
          </w:tcPr>
          <w:p>
            <w:pPr>
              <w:spacing w:after="0"/>
            </w:pPr>
            <w:r>
              <w:rPr>
                <w:sz w:val="16"/>
              </w:rPr>
              <w:t>Incorrect. It does not adequately address client-requested amendment of disputed facts and omits the role, authority, timing, proportionality, documentation, or continuity controls needed for mandated action, emergency protection, risk assessment, disclosure limits, and follow-through. The keyed response is superior because it instead requires the social worker to follow the applicable amendment process, preserve the integrity of the original record, document the request and response, and correct inaccuracies transparently.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Follow the applicable amendment process, preserve the integrity of the original record, document the request and response, and correct inaccuracies transparently.</w:t>
            </w:r>
          </w:p>
        </w:tc>
        <w:tc>
          <w:tcPr>
            <w:tcW w:type="dxa" w:w="3485"/>
            <w:shd w:fill="EAF7F7"/>
            <w:vAlign w:val="center"/>
            <w:tcMar>
              <w:top w:w="55" w:type="dxa"/>
              <w:start w:w="65" w:type="dxa"/>
              <w:bottom w:w="55" w:type="dxa"/>
              <w:end w:w="65" w:type="dxa"/>
            </w:tcMar>
          </w:tcPr>
          <w:p>
            <w:pPr>
              <w:spacing w:after="0"/>
            </w:pPr>
            <w:r>
              <w:rPr>
                <w:sz w:val="16"/>
              </w:rPr>
              <w:t>Correct. This option directly addresses client-requested amendment of disputed facts through accurate documentation and accountability and correction and prevention of recurrence.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Refuse to consider any client correction request.</w:t>
            </w:r>
          </w:p>
        </w:tc>
        <w:tc>
          <w:tcPr>
            <w:tcW w:type="dxa" w:w="3485"/>
            <w:vAlign w:val="center"/>
            <w:tcMar>
              <w:top w:w="55" w:type="dxa"/>
              <w:start w:w="65" w:type="dxa"/>
              <w:bottom w:w="55" w:type="dxa"/>
              <w:end w:w="65" w:type="dxa"/>
            </w:tcMar>
          </w:tcPr>
          <w:p>
            <w:pPr>
              <w:spacing w:after="0"/>
            </w:pPr>
            <w:r>
              <w:rPr>
                <w:sz w:val="16"/>
              </w:rPr>
              <w:t>Incorrect. It does not adequately address client-requested amendment of disputed facts and omits the role, authority, timing, proportionality, documentation, or continuity controls needed for mandated action, emergency protection, risk assessment, disclosure limits, and follow-through. The keyed response is superior because it instead requires the social worker to follow the applicable amendment process, preserve the integrity of the original record, document the request and response, and correct inaccuracies transparently.</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client to create a replacement chart.</w:t>
            </w:r>
          </w:p>
        </w:tc>
        <w:tc>
          <w:tcPr>
            <w:tcW w:type="dxa" w:w="3485"/>
            <w:vAlign w:val="center"/>
            <w:tcMar>
              <w:top w:w="55" w:type="dxa"/>
              <w:start w:w="65" w:type="dxa"/>
              <w:bottom w:w="55" w:type="dxa"/>
              <w:end w:w="65" w:type="dxa"/>
            </w:tcMar>
          </w:tcPr>
          <w:p>
            <w:pPr>
              <w:spacing w:after="0"/>
            </w:pPr>
            <w:r>
              <w:rPr>
                <w:sz w:val="16"/>
              </w:rPr>
              <w:t>Incorrect. It shifts a professional judgment or legal responsibility to the client instead of completing the required assessment and safeguards. The keyed response is superior because it instead requires the social worker to follow the applicable amendment process, preserve the integrity of the original record, document the request and response, and correct inaccuracies transparently.</w:t>
            </w:r>
          </w:p>
        </w:tc>
      </w:tr>
    </w:tbl>
    <w:p>
      <w:pPr>
        <w:pStyle w:val="Heading2"/>
      </w:pPr>
      <w:r>
        <w:t>Why the Key Controls</w:t>
      </w:r>
    </w:p>
    <w:p>
      <w:r>
        <w:t>The controlling issue is client-requested amendment of disputed facts. The keyed response is the most complete because it requires accurate documentation and accountability and correction and prevention of recurrence. That approach is consistent with the cited source family (California health-record law; NASW Code 3.04)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Client-requested amendment of disputed facts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CLIENT-REQUESTED-AMENDMENT-OF-DISPUTED-FACTS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health-record law; NASW Code 3.04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83 - Controlled Rationale</w:t>
      </w:r>
    </w:p>
    <w:p>
      <w:r>
        <w:rPr>
          <w:b/>
        </w:rPr>
        <w:t xml:space="preserve">Item ID: </w:t>
      </w:r>
      <w:r>
        <w:t>CTA-EP-002-CUM-F-083</w:t>
      </w:r>
    </w:p>
    <w:p>
      <w:r>
        <w:rPr>
          <w:b/>
        </w:rPr>
        <w:t xml:space="preserve">Stem: </w:t>
      </w:r>
      <w:r>
        <w:t>An online directory correctly lists an ASW’s complete registered title and number but describes the associate as an “independent private-practice therapist” and directs clients to pay the ASW personally. What is the appropriate response?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Stop and correct the advertisement and business arrangement so the associate’s supervised employee or volunteer status, employer, payment structure, and scope are represented lawfully before further use.</w:t>
            </w:r>
          </w:p>
        </w:tc>
        <w:tc>
          <w:tcPr>
            <w:tcW w:type="dxa" w:w="3485"/>
            <w:shd w:fill="EAF7F7"/>
            <w:vAlign w:val="center"/>
            <w:tcMar>
              <w:top w:w="55" w:type="dxa"/>
              <w:start w:w="65" w:type="dxa"/>
              <w:bottom w:w="55" w:type="dxa"/>
              <w:end w:w="65" w:type="dxa"/>
            </w:tcMar>
          </w:tcPr>
          <w:p>
            <w:pPr>
              <w:spacing w:after="0"/>
            </w:pPr>
            <w:r>
              <w:rPr>
                <w:sz w:val="16"/>
              </w:rPr>
              <w:t>Correct. This response addresses both truthful status representation and the lawful employee or volunteer and payment structure required for an ASW.</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Keep the listing because the full title and registration number are accurate.</w:t>
            </w:r>
          </w:p>
        </w:tc>
        <w:tc>
          <w:tcPr>
            <w:tcW w:type="dxa" w:w="3485"/>
            <w:vAlign w:val="center"/>
            <w:tcMar>
              <w:top w:w="55" w:type="dxa"/>
              <w:start w:w="65" w:type="dxa"/>
              <w:bottom w:w="55" w:type="dxa"/>
              <w:end w:w="65" w:type="dxa"/>
            </w:tcMar>
          </w:tcPr>
          <w:p>
            <w:pPr>
              <w:spacing w:after="0"/>
            </w:pPr>
            <w:r>
              <w:rPr>
                <w:sz w:val="16"/>
              </w:rPr>
              <w:t>Incorrect. Correct title and number do not legalize an independent-practice or direct-payment representation.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Keep the listing if the supervisor signs the directory contract.</w:t>
            </w:r>
          </w:p>
        </w:tc>
        <w:tc>
          <w:tcPr>
            <w:tcW w:type="dxa" w:w="3485"/>
            <w:vAlign w:val="center"/>
            <w:tcMar>
              <w:top w:w="55" w:type="dxa"/>
              <w:start w:w="65" w:type="dxa"/>
              <w:bottom w:w="55" w:type="dxa"/>
              <w:end w:w="65" w:type="dxa"/>
            </w:tcMar>
          </w:tcPr>
          <w:p>
            <w:pPr>
              <w:spacing w:after="0"/>
            </w:pPr>
            <w:r>
              <w:rPr>
                <w:sz w:val="16"/>
              </w:rPr>
              <w:t>Incorrect. A supervisor’s signature cannot cure an unlawful employment, payment, or advertising structure.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Remove only the registration number so the payment arrangement is not connected to the Board.</w:t>
            </w:r>
          </w:p>
        </w:tc>
        <w:tc>
          <w:tcPr>
            <w:tcW w:type="dxa" w:w="3485"/>
            <w:vAlign w:val="center"/>
            <w:tcMar>
              <w:top w:w="55" w:type="dxa"/>
              <w:start w:w="65" w:type="dxa"/>
              <w:bottom w:w="55" w:type="dxa"/>
              <w:end w:w="65" w:type="dxa"/>
            </w:tcMar>
          </w:tcPr>
          <w:p>
            <w:pPr>
              <w:spacing w:after="0"/>
            </w:pPr>
            <w:r>
              <w:rPr>
                <w:sz w:val="16"/>
              </w:rPr>
              <w:t>Incorrect. Removing the registration number would make the listing less accurate and would not fix the underlying arrangement.</w:t>
            </w:r>
          </w:p>
        </w:tc>
      </w:tr>
    </w:tbl>
    <w:p>
      <w:pPr>
        <w:pStyle w:val="Heading2"/>
      </w:pPr>
      <w:r>
        <w:t>Why the Key Controls</w:t>
      </w:r>
    </w:p>
    <w:p>
      <w:r>
        <w:t>Accurate title and registration information do not cure an advertisement and payment structure that falsely imply independent private practice and direct client payment. The directory and the underlying arrangement must be corrected before further use.</w:t>
      </w:r>
    </w:p>
    <w:p>
      <w:pPr>
        <w:pStyle w:val="Heading2"/>
      </w:pPr>
      <w:r>
        <w:t>CTA Exam Strategy</w:t>
      </w:r>
    </w:p>
    <w:p>
      <w:r>
        <w:t>Advertising questions may reveal a deeper practice-structure problem. Verify status, employer, supervision, payment, and the actual service arrangement—not only the title line.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ASW advertising combined with unlawful independent payment structure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ASW-ADVERTISING-AND-PAYMENT</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BBS Advertising Requirements Fact Sheet revised March 2026; BPC 4992.2, 4992.3, and 4996.23.2</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84 - Controlled Rationale</w:t>
      </w:r>
    </w:p>
    <w:p>
      <w:r>
        <w:rPr>
          <w:b/>
        </w:rPr>
        <w:t xml:space="preserve">Item ID: </w:t>
      </w:r>
      <w:r>
        <w:t>CTA-EP-002-CUM-F-084</w:t>
      </w:r>
    </w:p>
    <w:p>
      <w:r>
        <w:rPr>
          <w:b/>
        </w:rPr>
        <w:t xml:space="preserve">Stem: </w:t>
      </w:r>
      <w:r>
        <w:t>A community program has no policy for staff encounters with clients at local events, and staff respond inconsistently in ways that reveal relationships. What should the social worker do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Require staff to greet every client publicly.</w:t>
            </w:r>
          </w:p>
        </w:tc>
        <w:tc>
          <w:tcPr>
            <w:tcW w:type="dxa" w:w="3485"/>
            <w:vAlign w:val="center"/>
            <w:tcMar>
              <w:top w:w="55" w:type="dxa"/>
              <w:start w:w="65" w:type="dxa"/>
              <w:bottom w:w="55" w:type="dxa"/>
              <w:end w:w="65" w:type="dxa"/>
            </w:tcMar>
          </w:tcPr>
          <w:p>
            <w:pPr>
              <w:spacing w:after="0"/>
            </w:pPr>
            <w:r>
              <w:rPr>
                <w:sz w:val="16"/>
              </w:rPr>
              <w:t>Incorrect. It creates an unnecessary confidentiality and privacy breach and is not a proportionate professional response. The keyed response is superior because it instead requires the social worker to develop a client-centered policy addressing acknowledgment preferences, privacy, boundaries, documentation, and setting-specific risks.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Require staff to ignore every client under all circumstances.</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develop a client-centered policy addressing acknowledgment preferences, privacy, boundaries, documentation, and setting-specific risks.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Develop a client-centered policy addressing acknowledgment preferences, privacy, boundaries, documentation, and setting-specific risks.</w:t>
            </w:r>
          </w:p>
        </w:tc>
        <w:tc>
          <w:tcPr>
            <w:tcW w:type="dxa" w:w="3485"/>
            <w:shd w:fill="EAF7F7"/>
            <w:vAlign w:val="center"/>
            <w:tcMar>
              <w:top w:w="55" w:type="dxa"/>
              <w:start w:w="65" w:type="dxa"/>
              <w:bottom w:w="55" w:type="dxa"/>
              <w:end w:w="65" w:type="dxa"/>
            </w:tcMar>
          </w:tcPr>
          <w:p>
            <w:pPr>
              <w:spacing w:after="0"/>
            </w:pPr>
            <w:r>
              <w:rPr>
                <w:sz w:val="16"/>
              </w:rPr>
              <w:t>Correct. This option directly addresses boundary policy for home and community services through immediate client protection and proportionate risk management and accurate documentation and accountability.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Let each staff member disclose the relationship according to personal preference.</w:t>
            </w:r>
          </w:p>
        </w:tc>
        <w:tc>
          <w:tcPr>
            <w:tcW w:type="dxa" w:w="3485"/>
            <w:vAlign w:val="center"/>
            <w:tcMar>
              <w:top w:w="55" w:type="dxa"/>
              <w:start w:w="65" w:type="dxa"/>
              <w:bottom w:w="55" w:type="dxa"/>
              <w:end w:w="65" w:type="dxa"/>
            </w:tcMar>
          </w:tcPr>
          <w:p>
            <w:pPr>
              <w:spacing w:after="0"/>
            </w:pPr>
            <w:r>
              <w:rPr>
                <w:sz w:val="16"/>
              </w:rPr>
              <w:t>Incorrect. It does not adequately address boundary policy for home and community services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develop a client-centered policy addressing acknowledgment preferences, privacy, boundaries, documentation, and setting-specific risks.</w:t>
            </w:r>
          </w:p>
        </w:tc>
      </w:tr>
    </w:tbl>
    <w:p>
      <w:pPr>
        <w:pStyle w:val="Heading2"/>
      </w:pPr>
      <w:r>
        <w:t>Why the Key Controls</w:t>
      </w:r>
    </w:p>
    <w:p>
      <w:r>
        <w:t>The controlling issue is boundary policy for home and community services. The keyed response is the most complete because it requires immediate client protection and proportionate risk management and accurate documentation and accountability. That approach is consistent with the cited source family (NASW Code 1.06, 1.07, and 3.07)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Boundary policy for home and community services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Foundational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BOUNDARY-POLICY-FOR-HOME-AND-COMMUNITY-SERVI</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1.06, 1.07, and 3.07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85 - Controlled Rationale</w:t>
      </w:r>
    </w:p>
    <w:p>
      <w:r>
        <w:rPr>
          <w:b/>
        </w:rPr>
        <w:t xml:space="preserve">Item ID: </w:t>
      </w:r>
      <w:r>
        <w:t>CTA-EP-002-CUM-F-085</w:t>
      </w:r>
    </w:p>
    <w:p>
      <w:r>
        <w:rPr>
          <w:b/>
        </w:rPr>
        <w:t xml:space="preserve">Stem: </w:t>
      </w:r>
      <w:r>
        <w:t>A treatment center offers an LCSW cash for each client referred to its program.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Accept if the client is told about the payment.</w:t>
            </w:r>
          </w:p>
        </w:tc>
        <w:tc>
          <w:tcPr>
            <w:tcW w:type="dxa" w:w="3485"/>
            <w:vAlign w:val="center"/>
            <w:tcMar>
              <w:top w:w="55" w:type="dxa"/>
              <w:start w:w="65" w:type="dxa"/>
              <w:bottom w:w="55" w:type="dxa"/>
              <w:end w:w="65" w:type="dxa"/>
            </w:tcMar>
          </w:tcPr>
          <w:p>
            <w:pPr>
              <w:spacing w:after="0"/>
            </w:pPr>
            <w:r>
              <w:rPr>
                <w:sz w:val="16"/>
              </w:rPr>
              <w:t>Incorrect. It does not adequately address compensation for client referrals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decline compensation tied to referrals and separate legitimate professional services from payment for sending clients.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Decline compensation tied to referrals and separate legitimate professional services from payment for sending clients.</w:t>
            </w:r>
          </w:p>
        </w:tc>
        <w:tc>
          <w:tcPr>
            <w:tcW w:type="dxa" w:w="3485"/>
            <w:shd w:fill="EAF7F7"/>
            <w:vAlign w:val="center"/>
            <w:tcMar>
              <w:top w:w="55" w:type="dxa"/>
              <w:start w:w="65" w:type="dxa"/>
              <w:bottom w:w="55" w:type="dxa"/>
              <w:end w:w="65" w:type="dxa"/>
            </w:tcMar>
          </w:tcPr>
          <w:p>
            <w:pPr>
              <w:spacing w:after="0"/>
            </w:pPr>
            <w:r>
              <w:rPr>
                <w:sz w:val="16"/>
              </w:rPr>
              <w:t>Correct. This option directly addresses compensation for client referrals through continuity of care and avoidance of abandonment and containment of unlawful, unsafe, or incompetent conduct.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Accept only after the referred client completes treatment.</w:t>
            </w:r>
          </w:p>
        </w:tc>
        <w:tc>
          <w:tcPr>
            <w:tcW w:type="dxa" w:w="3485"/>
            <w:vAlign w:val="center"/>
            <w:tcMar>
              <w:top w:w="55" w:type="dxa"/>
              <w:start w:w="65" w:type="dxa"/>
              <w:bottom w:w="55" w:type="dxa"/>
              <w:end w:w="65" w:type="dxa"/>
            </w:tcMar>
          </w:tcPr>
          <w:p>
            <w:pPr>
              <w:spacing w:after="0"/>
            </w:pPr>
            <w:r>
              <w:rPr>
                <w:sz w:val="16"/>
              </w:rPr>
              <w:t>Incorrect. It does not adequately address compensation for client referrals and omits the role, authority, timing, proportionality, documentation, or continuity controls needed for lawful professional status, scope, title, supervision, records integrity, and legally compliant practice. The keyed response is superior because it instead requires the social worker to decline compensation tied to referrals and separate legitimate professional services from payment for sending clients.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Accept and donate the money so it is no longer a referral fee.</w:t>
            </w:r>
          </w:p>
        </w:tc>
        <w:tc>
          <w:tcPr>
            <w:tcW w:type="dxa" w:w="3485"/>
            <w:vAlign w:val="center"/>
            <w:tcMar>
              <w:top w:w="55" w:type="dxa"/>
              <w:start w:w="65" w:type="dxa"/>
              <w:bottom w:w="55" w:type="dxa"/>
              <w:end w:w="65" w:type="dxa"/>
            </w:tcMar>
          </w:tcPr>
          <w:p>
            <w:pPr>
              <w:spacing w:after="0"/>
            </w:pPr>
            <w:r>
              <w:rPr>
                <w:sz w:val="16"/>
              </w:rPr>
              <w:t>Incorrect. It allows a financial interest to influence professional judgment and does not protect client choice or prevent exploitation. The keyed response is superior because it instead requires the social worker to decline compensation tied to referrals and separate legitimate professional services from payment for sending clients.</w:t>
            </w:r>
          </w:p>
        </w:tc>
      </w:tr>
    </w:tbl>
    <w:p>
      <w:pPr>
        <w:pStyle w:val="Heading2"/>
      </w:pPr>
      <w:r>
        <w:t>Why the Key Controls</w:t>
      </w:r>
    </w:p>
    <w:p>
      <w:r>
        <w:t>The controlling issue is compensation for client referrals. The keyed response is the most complete because it requires continuity of care and avoidance of abandonment and containment of unlawful, unsafe, or incompetent conduct. That approach is consistent with the cited source family (BPC 4992.3; NASW Code 4.04)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Compensation for client referrals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COMPENSATION-FOR-CLIENT-REFERRALS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BPC 4992.3; NASW Code 4.04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86 - Controlled Rationale</w:t>
      </w:r>
    </w:p>
    <w:p>
      <w:r>
        <w:rPr>
          <w:b/>
        </w:rPr>
        <w:t xml:space="preserve">Item ID: </w:t>
      </w:r>
      <w:r>
        <w:t>CTA-EP-002-CUM-F-086</w:t>
      </w:r>
    </w:p>
    <w:p>
      <w:r>
        <w:rPr>
          <w:b/>
        </w:rPr>
        <w:t xml:space="preserve">Stem: </w:t>
      </w:r>
      <w:r>
        <w:t>A current client repeatedly sends connection requests to the LCSW’s personal social-media account and begins interacting with the clinician’s relatives. What should the social worker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Accept the request to preserve the alliance.</w:t>
            </w:r>
          </w:p>
        </w:tc>
        <w:tc>
          <w:tcPr>
            <w:tcW w:type="dxa" w:w="3485"/>
            <w:vAlign w:val="center"/>
            <w:tcMar>
              <w:top w:w="55" w:type="dxa"/>
              <w:start w:w="65" w:type="dxa"/>
              <w:bottom w:w="55" w:type="dxa"/>
              <w:end w:w="65" w:type="dxa"/>
            </w:tcMar>
          </w:tcPr>
          <w:p>
            <w:pPr>
              <w:spacing w:after="0"/>
            </w:pPr>
            <w:r>
              <w:rPr>
                <w:sz w:val="16"/>
              </w:rPr>
              <w:t>Incorrect. It does not adequately address personal social media connection with a client and omits the role, authority, timing, proportionality, documentation, or continuity controls needed for client welfare, self-determination, boundaries, conflicts, exploitation, and continuity. The keyed response is superior because it instead requires the social worker to address the behavior clinically, restate boundaries and digital policy, protect privacy, and adjust account controls without shaming or abruptly abandoning the client.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relatives to monitor the client’s posts.</w:t>
            </w:r>
          </w:p>
        </w:tc>
        <w:tc>
          <w:tcPr>
            <w:tcW w:type="dxa" w:w="3485"/>
            <w:vAlign w:val="center"/>
            <w:tcMar>
              <w:top w:w="55" w:type="dxa"/>
              <w:start w:w="65" w:type="dxa"/>
              <w:bottom w:w="55" w:type="dxa"/>
              <w:end w:w="65" w:type="dxa"/>
            </w:tcMar>
          </w:tcPr>
          <w:p>
            <w:pPr>
              <w:spacing w:after="0"/>
            </w:pPr>
            <w:r>
              <w:rPr>
                <w:sz w:val="16"/>
              </w:rPr>
              <w:t>Incorrect. It creates an unnecessary confidentiality and privacy breach and is not a proportionate professional response. The keyed response is superior because it instead requires the social worker to address the behavior clinically, restate boundaries and digital policy, protect privacy, and adjust account controls without shaming or abruptly abandoning the client.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Terminate without assessing risk or arranging continuity.</w:t>
            </w:r>
          </w:p>
        </w:tc>
        <w:tc>
          <w:tcPr>
            <w:tcW w:type="dxa" w:w="3485"/>
            <w:vAlign w:val="center"/>
            <w:tcMar>
              <w:top w:w="55" w:type="dxa"/>
              <w:start w:w="65" w:type="dxa"/>
              <w:bottom w:w="55" w:type="dxa"/>
              <w:end w:w="65" w:type="dxa"/>
            </w:tcMar>
          </w:tcPr>
          <w:p>
            <w:pPr>
              <w:spacing w:after="0"/>
            </w:pPr>
            <w:r>
              <w:rPr>
                <w:sz w:val="16"/>
              </w:rPr>
              <w:t>Incorrect. It does not adequately address personal social media connection with a client and omits the role, authority, timing, proportionality, documentation, or continuity controls needed for client welfare, self-determination, boundaries, conflicts, exploitation, and continuity. The keyed response is superior because it instead requires the social worker to address the behavior clinically, restate boundaries and digital policy, protect privacy, and adjust account controls without shaming or abruptly abandoning the client.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Address the behavior clinically, restate boundaries and digital policy, protect privacy, and adjust account controls without shaming or abruptly abandoning the client.</w:t>
            </w:r>
          </w:p>
        </w:tc>
        <w:tc>
          <w:tcPr>
            <w:tcW w:type="dxa" w:w="3485"/>
            <w:shd w:fill="EAF7F7"/>
            <w:vAlign w:val="center"/>
            <w:tcMar>
              <w:top w:w="55" w:type="dxa"/>
              <w:start w:w="65" w:type="dxa"/>
              <w:bottom w:w="55" w:type="dxa"/>
              <w:end w:w="65" w:type="dxa"/>
            </w:tcMar>
          </w:tcPr>
          <w:p>
            <w:pPr>
              <w:spacing w:after="0"/>
            </w:pPr>
            <w:r>
              <w:rPr>
                <w:sz w:val="16"/>
              </w:rPr>
              <w:t>Correct. This option directly addresses personal social media connection with a client through immediate client protection and proportionate risk management.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personal social media connection with a client. The keyed response is the most complete because it requires immediate client protection and proportionate risk management. That approach is consistent with the cited source family (NASW Code 1.06, 1.07, and 1.15)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Personal social media connection with a client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PERSONAL-SOCIAL-MEDIA-CONNECTION-WITH-A-CLIE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1.06, 1.07, and 1.15</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87 - Controlled Rationale</w:t>
      </w:r>
    </w:p>
    <w:p>
      <w:r>
        <w:rPr>
          <w:b/>
        </w:rPr>
        <w:t xml:space="preserve">Item ID: </w:t>
      </w:r>
      <w:r>
        <w:t>CTA-EP-002-CUM-F-087</w:t>
      </w:r>
    </w:p>
    <w:p>
      <w:r>
        <w:rPr>
          <w:b/>
        </w:rPr>
        <w:t xml:space="preserve">Stem: </w:t>
      </w:r>
      <w:r>
        <w:t>A court clerk informally asks the LCSW to email a client’s file and says a formal order will be issued later. What is the appropriate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Email the file because the caller works for the court.</w:t>
            </w:r>
          </w:p>
        </w:tc>
        <w:tc>
          <w:tcPr>
            <w:tcW w:type="dxa" w:w="3485"/>
            <w:vAlign w:val="center"/>
            <w:tcMar>
              <w:top w:w="55" w:type="dxa"/>
              <w:start w:w="65" w:type="dxa"/>
              <w:bottom w:w="55" w:type="dxa"/>
              <w:end w:w="65" w:type="dxa"/>
            </w:tcMar>
          </w:tcPr>
          <w:p>
            <w:pPr>
              <w:spacing w:after="0"/>
            </w:pPr>
            <w:r>
              <w:rPr>
                <w:sz w:val="16"/>
              </w:rPr>
              <w:t>Incorrect. It does not adequately address court order versus broad informal request and omits the role, authority, timing, proportionality, documentation, or continuity controls needed for mandated action, emergency protection, risk assessment, disclosure limits, and follow-through. The keyed response is superior because it instead requires the social worker not to treat the informal request as a final legal authorization; verify authority, preserve the record, and use appropriate legal review before disclosure.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Delete the file so it cannot be requested.</w:t>
            </w:r>
          </w:p>
        </w:tc>
        <w:tc>
          <w:tcPr>
            <w:tcW w:type="dxa" w:w="3485"/>
            <w:vAlign w:val="center"/>
            <w:tcMar>
              <w:top w:w="55" w:type="dxa"/>
              <w:start w:w="65" w:type="dxa"/>
              <w:bottom w:w="55" w:type="dxa"/>
              <w:end w:w="65" w:type="dxa"/>
            </w:tcMar>
          </w:tcPr>
          <w:p>
            <w:pPr>
              <w:spacing w:after="0"/>
            </w:pPr>
            <w:r>
              <w:rPr>
                <w:sz w:val="16"/>
              </w:rPr>
              <w:t>Incorrect. It does not adequately address court order versus broad informal request and omits the role, authority, timing, proportionality, documentation, or continuity controls needed for mandated action, emergency protection, risk assessment, disclosure limits, and follow-through. The keyed response is superior because it instead requires the social worker not to treat the informal request as a final legal authorization; verify authority, preserve the record, and use appropriate legal review before disclosure.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Do not treat the informal request as a final legal authorization; verify authority, preserve the record, and use appropriate legal review before disclosure.</w:t>
            </w:r>
          </w:p>
        </w:tc>
        <w:tc>
          <w:tcPr>
            <w:tcW w:type="dxa" w:w="3485"/>
            <w:shd w:fill="EAF7F7"/>
            <w:vAlign w:val="center"/>
            <w:tcMar>
              <w:top w:w="55" w:type="dxa"/>
              <w:start w:w="65" w:type="dxa"/>
              <w:bottom w:w="55" w:type="dxa"/>
              <w:end w:w="65" w:type="dxa"/>
            </w:tcMar>
          </w:tcPr>
          <w:p>
            <w:pPr>
              <w:spacing w:after="0"/>
            </w:pPr>
            <w:r>
              <w:rPr>
                <w:sz w:val="16"/>
              </w:rPr>
              <w:t>Correct. This option directly addresses court order versus broad informal request through clear role, consent, and expectation-setting, verification of the controlling facts and authority and accurate documentation and accountability.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Send only the most sensitive pages because they are most relevant.</w:t>
            </w:r>
          </w:p>
        </w:tc>
        <w:tc>
          <w:tcPr>
            <w:tcW w:type="dxa" w:w="3485"/>
            <w:vAlign w:val="center"/>
            <w:tcMar>
              <w:top w:w="55" w:type="dxa"/>
              <w:start w:w="65" w:type="dxa"/>
              <w:bottom w:w="55" w:type="dxa"/>
              <w:end w:w="65" w:type="dxa"/>
            </w:tcMar>
          </w:tcPr>
          <w:p>
            <w:pPr>
              <w:spacing w:after="0"/>
            </w:pPr>
            <w:r>
              <w:rPr>
                <w:sz w:val="16"/>
              </w:rPr>
              <w:t>Incorrect. It does not adequately address court order versus broad informal request and omits the role, authority, timing, proportionality, documentation, or continuity controls needed for mandated action, emergency protection, risk assessment, disclosure limits, and follow-through. The keyed response is superior because it instead requires the social worker not to treat the informal request as a final legal authorization; verify authority, preserve the record, and use appropriate legal review before disclosure.</w:t>
            </w:r>
          </w:p>
        </w:tc>
      </w:tr>
    </w:tbl>
    <w:p>
      <w:pPr>
        <w:pStyle w:val="Heading2"/>
      </w:pPr>
      <w:r>
        <w:t>Why the Key Controls</w:t>
      </w:r>
    </w:p>
    <w:p>
      <w:r>
        <w:t>The controlling issue is court order versus broad informal request. The keyed response is the most complete because it requires clear role, consent, and expectation-setting, verification of the controlling facts and authority, and accurate documentation and accountability. That approach is consistent with the cited source family (California privilege and court-process law; NASW Code 1.07)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Court order versus broad informal request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Foundational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COURT-ORDER-VERSUS-BROAD-INFORMAL-REQUEST</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privilege and court-process law; NASW Code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88 - Controlled Rationale</w:t>
      </w:r>
    </w:p>
    <w:p>
      <w:r>
        <w:rPr>
          <w:b/>
        </w:rPr>
        <w:t xml:space="preserve">Item ID: </w:t>
      </w:r>
      <w:r>
        <w:t>CTA-EP-002-CUM-F-088</w:t>
      </w:r>
    </w:p>
    <w:p>
      <w:r>
        <w:rPr>
          <w:b/>
        </w:rPr>
        <w:t xml:space="preserve">Stem: </w:t>
      </w:r>
      <w:r>
        <w:t>A parent pays for an adult child’s therapy and requests weekly summaries as a condition of continuing payment. What should the social worker do FIRST?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Clarify that payment does not create automatic access, obtain the adult client’s informed authorization for any limited disclosure, and discuss financial alternatives.</w:t>
            </w:r>
          </w:p>
        </w:tc>
        <w:tc>
          <w:tcPr>
            <w:tcW w:type="dxa" w:w="3485"/>
            <w:shd w:fill="EAF7F7"/>
            <w:vAlign w:val="center"/>
            <w:tcMar>
              <w:top w:w="55" w:type="dxa"/>
              <w:start w:w="65" w:type="dxa"/>
              <w:bottom w:w="55" w:type="dxa"/>
              <w:end w:w="65" w:type="dxa"/>
            </w:tcMar>
          </w:tcPr>
          <w:p>
            <w:pPr>
              <w:spacing w:after="0"/>
            </w:pPr>
            <w:r>
              <w:rPr>
                <w:sz w:val="16"/>
              </w:rPr>
              <w:t>Correct. This option directly addresses third-party payer request and consent limits through clear role, consent, and expectation-setting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Provide summaries because the payer owns the service.</w:t>
            </w:r>
          </w:p>
        </w:tc>
        <w:tc>
          <w:tcPr>
            <w:tcW w:type="dxa" w:w="3485"/>
            <w:vAlign w:val="center"/>
            <w:tcMar>
              <w:top w:w="55" w:type="dxa"/>
              <w:start w:w="65" w:type="dxa"/>
              <w:bottom w:w="55" w:type="dxa"/>
              <w:end w:w="65" w:type="dxa"/>
            </w:tcMar>
          </w:tcPr>
          <w:p>
            <w:pPr>
              <w:spacing w:after="0"/>
            </w:pPr>
            <w:r>
              <w:rPr>
                <w:sz w:val="16"/>
              </w:rPr>
              <w:t>Incorrect. It does not adequately address third-party payer request and consent limits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clarify that payment does not create automatic access, obtain the adult client’s informed authorization for any limited disclosure, and discuss financial alternatives.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End therapy immediately without discussing the client’s wishes or options.</w:t>
            </w:r>
          </w:p>
        </w:tc>
        <w:tc>
          <w:tcPr>
            <w:tcW w:type="dxa" w:w="3485"/>
            <w:vAlign w:val="center"/>
            <w:tcMar>
              <w:top w:w="55" w:type="dxa"/>
              <w:start w:w="65" w:type="dxa"/>
              <w:bottom w:w="55" w:type="dxa"/>
              <w:end w:w="65" w:type="dxa"/>
            </w:tcMar>
          </w:tcPr>
          <w:p>
            <w:pPr>
              <w:spacing w:after="0"/>
            </w:pPr>
            <w:r>
              <w:rPr>
                <w:sz w:val="16"/>
              </w:rPr>
              <w:t>Incorrect. It does not adequately address third-party payer request and consent limits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clarify that payment does not create automatic access, obtain the adult client’s informed authorization for any limited disclosure, and discuss financial alternatives.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Give the parent access only to diagnoses because diagnoses are not confidential.</w:t>
            </w:r>
          </w:p>
        </w:tc>
        <w:tc>
          <w:tcPr>
            <w:tcW w:type="dxa" w:w="3485"/>
            <w:vAlign w:val="center"/>
            <w:tcMar>
              <w:top w:w="55" w:type="dxa"/>
              <w:start w:w="65" w:type="dxa"/>
              <w:bottom w:w="55" w:type="dxa"/>
              <w:end w:w="65" w:type="dxa"/>
            </w:tcMar>
          </w:tcPr>
          <w:p>
            <w:pPr>
              <w:spacing w:after="0"/>
            </w:pPr>
            <w:r>
              <w:rPr>
                <w:sz w:val="16"/>
              </w:rPr>
              <w:t>Incorrect. It does not adequately address third-party payer request and consent limits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clarify that payment does not create automatic access, obtain the adult client’s informed authorization for any limited disclosure, and discuss financial alternatives.</w:t>
            </w:r>
          </w:p>
        </w:tc>
      </w:tr>
    </w:tbl>
    <w:p>
      <w:pPr>
        <w:pStyle w:val="Heading2"/>
      </w:pPr>
      <w:r>
        <w:t>Why the Key Controls</w:t>
      </w:r>
    </w:p>
    <w:p>
      <w:r>
        <w:t>The controlling issue is third-party payer request and consent limits. The keyed response is the most complete because it requires clear role, consent, and expectation-setting and limited and purpose-specific information use. That approach is consistent with the cited source family (NASW Code 1.03, 1.07, and 1.13; applicable California authorization law)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Third-party payer request and consent limits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THIRD-PARTY-PAYER-REQUEST-AND-CONSENT-LIMITS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1.03, 1.07, and 1.13; applicable California authorization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89 - Controlled Rationale</w:t>
      </w:r>
    </w:p>
    <w:p>
      <w:r>
        <w:rPr>
          <w:b/>
        </w:rPr>
        <w:t xml:space="preserve">Item ID: </w:t>
      </w:r>
      <w:r>
        <w:t>CTA-EP-002-CUM-F-089</w:t>
      </w:r>
    </w:p>
    <w:p>
      <w:r>
        <w:rPr>
          <w:b/>
        </w:rPr>
        <w:t xml:space="preserve">Stem: </w:t>
      </w:r>
      <w:r>
        <w:t>A parent requests a minor client’s full record, while the minor objects and the file includes sensitive information that may affect safety.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Release automatically because parents always own every minor record.</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analyze consent, custody, privilege, access rights, applicable exceptions, and safety before responding, and document the basis for any disclosure or limitation.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Analyze consent, custody, privilege, access rights, applicable exceptions, and safety before responding, and document the basis for any disclosure or limitation.</w:t>
            </w:r>
          </w:p>
        </w:tc>
        <w:tc>
          <w:tcPr>
            <w:tcW w:type="dxa" w:w="3485"/>
            <w:shd w:fill="EAF7F7"/>
            <w:vAlign w:val="center"/>
            <w:tcMar>
              <w:top w:w="55" w:type="dxa"/>
              <w:start w:w="65" w:type="dxa"/>
              <w:bottom w:w="55" w:type="dxa"/>
              <w:end w:w="65" w:type="dxa"/>
            </w:tcMar>
          </w:tcPr>
          <w:p>
            <w:pPr>
              <w:spacing w:after="0"/>
            </w:pPr>
            <w:r>
              <w:rPr>
                <w:sz w:val="16"/>
              </w:rPr>
              <w:t>Correct. This option directly addresses minor record request and competing authority through immediate client protection and proportionate risk management, clear role, consent, and expectation-setting, accurate documentation and accountability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Deny automatically because minors always control records.</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analyze consent, custody, privilege, access rights, applicable exceptions, and safety before responding, and document the basis for any disclosure or limitation.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billing department to decide based on who pays.</w:t>
            </w:r>
          </w:p>
        </w:tc>
        <w:tc>
          <w:tcPr>
            <w:tcW w:type="dxa" w:w="3485"/>
            <w:vAlign w:val="center"/>
            <w:tcMar>
              <w:top w:w="55" w:type="dxa"/>
              <w:start w:w="65" w:type="dxa"/>
              <w:bottom w:w="55" w:type="dxa"/>
              <w:end w:w="65" w:type="dxa"/>
            </w:tcMar>
          </w:tcPr>
          <w:p>
            <w:pPr>
              <w:spacing w:after="0"/>
            </w:pPr>
            <w:r>
              <w:rPr>
                <w:sz w:val="16"/>
              </w:rPr>
              <w:t>Incorrect. It does not adequately address minor record request and competing authority and omits the role, authority, timing, proportionality, documentation, or continuity controls needed for consent, confidentiality, privilege, authorization, and the identity of the client or information recipient. The keyed response is superior because it instead requires the social worker to analyze consent, custody, privilege, access rights, applicable exceptions, and safety before responding, and document the basis for any disclosure or limitation.</w:t>
            </w:r>
          </w:p>
        </w:tc>
      </w:tr>
    </w:tbl>
    <w:p>
      <w:pPr>
        <w:pStyle w:val="Heading2"/>
      </w:pPr>
      <w:r>
        <w:t>Why the Key Controls</w:t>
      </w:r>
    </w:p>
    <w:p>
      <w:r>
        <w:t>The controlling issue is minor record request and competing authority. The keyed response is the most complete because it requires immediate client protection and proportionate risk management, clear role, consent, and expectation-setting, accurate documentation and accountability, and limited and purpose-specific information use. That approach is consistent with the cited source family (Applicable California minor, custody, privilege, and records law; NASW Code 1.07)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Minor record request and competing authority</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MINOR-RECORD-REQUEST-AND-COMPETING-AUTHORITY</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Applicable California minor, custody, privilege, and records law; NASW Code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90 - Controlled Rationale</w:t>
      </w:r>
    </w:p>
    <w:p>
      <w:r>
        <w:rPr>
          <w:b/>
        </w:rPr>
        <w:t xml:space="preserve">Item ID: </w:t>
      </w:r>
      <w:r>
        <w:t>CTA-EP-002-CUM-F-090</w:t>
      </w:r>
    </w:p>
    <w:p>
      <w:r>
        <w:rPr>
          <w:b/>
        </w:rPr>
        <w:t xml:space="preserve">Stem: </w:t>
      </w:r>
      <w:r>
        <w:t>An ASW who has not passed the California Law and Ethics Examination is preparing for annual registration renewal. What is the appropriate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Skip the examination requirement until applying for the clinical examination.</w:t>
            </w:r>
          </w:p>
        </w:tc>
        <w:tc>
          <w:tcPr>
            <w:tcW w:type="dxa" w:w="3485"/>
            <w:vAlign w:val="center"/>
            <w:tcMar>
              <w:top w:w="55" w:type="dxa"/>
              <w:start w:w="65" w:type="dxa"/>
              <w:bottom w:w="55" w:type="dxa"/>
              <w:end w:w="65" w:type="dxa"/>
            </w:tcMar>
          </w:tcPr>
          <w:p>
            <w:pPr>
              <w:spacing w:after="0"/>
            </w:pPr>
            <w:r>
              <w:rPr>
                <w:sz w:val="16"/>
              </w:rPr>
              <w:t>Incorrect. It does not adequately address recurring asw law-and-ethics and renewal responsibilities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verify and complete the current renewal-cycle education and examination-attempt requirements and preserve documentation before submitting the renewal.</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supervisor to waive the requirement after enough hours are accrued.</w:t>
            </w:r>
          </w:p>
        </w:tc>
        <w:tc>
          <w:tcPr>
            <w:tcW w:type="dxa" w:w="3485"/>
            <w:vAlign w:val="center"/>
            <w:tcMar>
              <w:top w:w="55" w:type="dxa"/>
              <w:start w:w="65" w:type="dxa"/>
              <w:bottom w:w="55" w:type="dxa"/>
              <w:end w:w="65" w:type="dxa"/>
            </w:tcMar>
          </w:tcPr>
          <w:p>
            <w:pPr>
              <w:spacing w:after="0"/>
            </w:pPr>
            <w:r>
              <w:rPr>
                <w:sz w:val="16"/>
              </w:rPr>
              <w:t>Incorrect. A client signature cannot create legal authority, competence, truthful status, safety, or freedom from a professional duty. The keyed response is superior because it instead requires the social worker to verify and complete the current renewal-cycle education and examination-attempt requirements and preserve documentation before submitting the renewal.</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Verify and complete the current renewal-cycle education and examination-attempt requirements and preserve documentation before submitting the renewal.</w:t>
            </w:r>
          </w:p>
        </w:tc>
        <w:tc>
          <w:tcPr>
            <w:tcW w:type="dxa" w:w="3485"/>
            <w:shd w:fill="EAF7F7"/>
            <w:vAlign w:val="center"/>
            <w:tcMar>
              <w:top w:w="55" w:type="dxa"/>
              <w:start w:w="65" w:type="dxa"/>
              <w:bottom w:w="55" w:type="dxa"/>
              <w:end w:w="65" w:type="dxa"/>
            </w:tcMar>
          </w:tcPr>
          <w:p>
            <w:pPr>
              <w:spacing w:after="0"/>
            </w:pPr>
            <w:r>
              <w:rPr>
                <w:sz w:val="16"/>
              </w:rPr>
              <w:t>Correct. This option directly addresses recurring asw law-and-ethics and renewal responsibilities through verification of the controlling facts and authority, accurate documentation and accountability and current law and applicability review.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Take the examination only once during the entire associate period regardless of the result.</w:t>
            </w:r>
          </w:p>
        </w:tc>
        <w:tc>
          <w:tcPr>
            <w:tcW w:type="dxa" w:w="3485"/>
            <w:vAlign w:val="center"/>
            <w:tcMar>
              <w:top w:w="55" w:type="dxa"/>
              <w:start w:w="65" w:type="dxa"/>
              <w:bottom w:w="55" w:type="dxa"/>
              <w:end w:w="65" w:type="dxa"/>
            </w:tcMar>
          </w:tcPr>
          <w:p>
            <w:pPr>
              <w:spacing w:after="0"/>
            </w:pPr>
            <w:r>
              <w:rPr>
                <w:sz w:val="16"/>
              </w:rPr>
              <w:t>Incorrect. It does not adequately address recurring asw law-and-ethics and renewal responsibilities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verify and complete the current renewal-cycle education and examination-attempt requirements and preserve documentation before submitting the renewal.</w:t>
            </w:r>
          </w:p>
        </w:tc>
      </w:tr>
    </w:tbl>
    <w:p>
      <w:pPr>
        <w:pStyle w:val="Heading2"/>
      </w:pPr>
      <w:r>
        <w:t>Why the Key Controls</w:t>
      </w:r>
    </w:p>
    <w:p>
      <w:r>
        <w:t>The controlling issue is recurring asw law-and-ethics and renewal responsibilities. The keyed response is the most complete because it requires verification of the controlling facts and authority, accurate documentation and accountability, and current law and applicability review. That approach is consistent with the cited source family (BBS Manage License/Registration guidance; applicable BPC and Title 16 provisions)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Recurring ASW law-and-ethics and renewal responsibilities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RECURRING-ASW-LAW-AND-ETHICS-AND-RENEWAL-RES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BBS Manage License/Registration guidance; applicable BPC and Title 16 provisions</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91 - Controlled Rationale</w:t>
      </w:r>
    </w:p>
    <w:p>
      <w:r>
        <w:rPr>
          <w:b/>
        </w:rPr>
        <w:t xml:space="preserve">Item ID: </w:t>
      </w:r>
      <w:r>
        <w:t>CTA-EP-002-CUM-F-091</w:t>
      </w:r>
    </w:p>
    <w:p>
      <w:r>
        <w:rPr>
          <w:b/>
        </w:rPr>
        <w:t xml:space="preserve">Stem: </w:t>
      </w:r>
      <w:r>
        <w:t>An LCSW plans to conduct video sessions from a shared workspace where voices can be heard through thin partitions. What should the social worker do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Proceed if the clinician wears headphones because only one side of the conversation will be heard.</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use a private and secure environment or another arrangement that protects confidentiality before conducting sessions.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Use a private and secure environment or another arrangement that protects confidentiality before conducting sessions.</w:t>
            </w:r>
          </w:p>
        </w:tc>
        <w:tc>
          <w:tcPr>
            <w:tcW w:type="dxa" w:w="3485"/>
            <w:shd w:fill="EAF7F7"/>
            <w:vAlign w:val="center"/>
            <w:tcMar>
              <w:top w:w="55" w:type="dxa"/>
              <w:start w:w="65" w:type="dxa"/>
              <w:bottom w:w="55" w:type="dxa"/>
              <w:end w:w="65" w:type="dxa"/>
            </w:tcMar>
          </w:tcPr>
          <w:p>
            <w:pPr>
              <w:spacing w:after="0"/>
            </w:pPr>
            <w:r>
              <w:rPr>
                <w:sz w:val="16"/>
              </w:rPr>
              <w:t>Correct. This option directly addresses remote-session privacy in the clinician environment through immediate client protection and proportionate risk management.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clients to avoid sensitive topics while the clinician is in the shared space.</w:t>
            </w:r>
          </w:p>
        </w:tc>
        <w:tc>
          <w:tcPr>
            <w:tcW w:type="dxa" w:w="3485"/>
            <w:vAlign w:val="center"/>
            <w:tcMar>
              <w:top w:w="55" w:type="dxa"/>
              <w:start w:w="65" w:type="dxa"/>
              <w:bottom w:w="55" w:type="dxa"/>
              <w:end w:w="65" w:type="dxa"/>
            </w:tcMar>
          </w:tcPr>
          <w:p>
            <w:pPr>
              <w:spacing w:after="0"/>
            </w:pPr>
            <w:r>
              <w:rPr>
                <w:sz w:val="16"/>
              </w:rPr>
              <w:t>Incorrect. It does not adequately address remote-session privacy in the clinician environment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use a private and secure environment or another arrangement that protects confidentiality before conducting sessions.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Rely on coworkers’ professional status as a substitute for privacy safeguards.</w:t>
            </w:r>
          </w:p>
        </w:tc>
        <w:tc>
          <w:tcPr>
            <w:tcW w:type="dxa" w:w="3485"/>
            <w:vAlign w:val="center"/>
            <w:tcMar>
              <w:top w:w="55" w:type="dxa"/>
              <w:start w:w="65" w:type="dxa"/>
              <w:bottom w:w="55" w:type="dxa"/>
              <w:end w:w="65" w:type="dxa"/>
            </w:tcMar>
          </w:tcPr>
          <w:p>
            <w:pPr>
              <w:spacing w:after="0"/>
            </w:pPr>
            <w:r>
              <w:rPr>
                <w:sz w:val="16"/>
              </w:rPr>
              <w:t>Incorrect. It does not adequately address remote-session privacy in the clinician environment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use a private and secure environment or another arrangement that protects confidentiality before conducting sessions.</w:t>
            </w:r>
          </w:p>
        </w:tc>
      </w:tr>
    </w:tbl>
    <w:p>
      <w:pPr>
        <w:pStyle w:val="Heading2"/>
      </w:pPr>
      <w:r>
        <w:t>Why the Key Controls</w:t>
      </w:r>
    </w:p>
    <w:p>
      <w:r>
        <w:t>The controlling issue is remote-session privacy in the clinician environment. The keyed response is the most complete because it requires immediate client protection and proportionate risk management. That approach is consistent with the cited source family (NASW Code 1.07 and 1.15; applicable privacy and telehealth guidance)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Remote-session privacy in the clinician environment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Easy / Foundational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REMOTE-SESSION-PRIVACY-IN-THE-CLINICIAN-ENVI</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1.07 and 1.15; applicable privacy and telehealth guidance</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92 - Controlled Rationale</w:t>
      </w:r>
    </w:p>
    <w:p>
      <w:r>
        <w:rPr>
          <w:b/>
        </w:rPr>
        <w:t xml:space="preserve">Item ID: </w:t>
      </w:r>
      <w:r>
        <w:t>CTA-EP-002-CUM-F-092</w:t>
      </w:r>
    </w:p>
    <w:p>
      <w:r>
        <w:rPr>
          <w:b/>
        </w:rPr>
        <w:t xml:space="preserve">Stem: </w:t>
      </w:r>
      <w:r>
        <w:t>A client asks to include a community healer in treatment planning but does not want the healer to receive the diagnosis. What should the social worker do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Send the full record because the client requested involvement.</w:t>
            </w:r>
          </w:p>
        </w:tc>
        <w:tc>
          <w:tcPr>
            <w:tcW w:type="dxa" w:w="3485"/>
            <w:vAlign w:val="center"/>
            <w:tcMar>
              <w:top w:w="55" w:type="dxa"/>
              <w:start w:w="65" w:type="dxa"/>
              <w:bottom w:w="55" w:type="dxa"/>
              <w:end w:w="65" w:type="dxa"/>
            </w:tcMar>
          </w:tcPr>
          <w:p>
            <w:pPr>
              <w:spacing w:after="0"/>
            </w:pPr>
            <w:r>
              <w:rPr>
                <w:sz w:val="16"/>
              </w:rPr>
              <w:t>Incorrect. It authorizes overdisclosure and ignores purpose, authority, minimum-necessary analysis, and confidentiality limits. The keyed response is superior because it instead requires the social worker to clarify the client’s goals, the healer’s role, authorized information, decision authority, and potential benefits or risks before collaboration.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Clarify the client’s goals, the healer’s role, authorized information, decision authority, and potential benefits or risks before collaboration.</w:t>
            </w:r>
          </w:p>
        </w:tc>
        <w:tc>
          <w:tcPr>
            <w:tcW w:type="dxa" w:w="3485"/>
            <w:shd w:fill="EAF7F7"/>
            <w:vAlign w:val="center"/>
            <w:tcMar>
              <w:top w:w="55" w:type="dxa"/>
              <w:start w:w="65" w:type="dxa"/>
              <w:bottom w:w="55" w:type="dxa"/>
              <w:end w:w="65" w:type="dxa"/>
            </w:tcMar>
          </w:tcPr>
          <w:p>
            <w:pPr>
              <w:spacing w:after="0"/>
            </w:pPr>
            <w:r>
              <w:rPr>
                <w:sz w:val="16"/>
              </w:rPr>
              <w:t>Correct. This option directly addresses client-directed community support through immediate client protection and proportionate risk management, clear role, consent, and expectation-setting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Refuse because community supports are outside social work.</w:t>
            </w:r>
          </w:p>
        </w:tc>
        <w:tc>
          <w:tcPr>
            <w:tcW w:type="dxa" w:w="3485"/>
            <w:vAlign w:val="center"/>
            <w:tcMar>
              <w:top w:w="55" w:type="dxa"/>
              <w:start w:w="65" w:type="dxa"/>
              <w:bottom w:w="55" w:type="dxa"/>
              <w:end w:w="65" w:type="dxa"/>
            </w:tcMar>
          </w:tcPr>
          <w:p>
            <w:pPr>
              <w:spacing w:after="0"/>
            </w:pPr>
            <w:r>
              <w:rPr>
                <w:sz w:val="16"/>
              </w:rPr>
              <w:t>Incorrect. It does not adequately address client-directed community support and omits the role, authority, timing, proportionality, documentation, or continuity controls needed for client welfare, self-determination, boundaries, conflicts, exploitation, and continuity. The keyed response is superior because it instead requires the social worker to clarify the client’s goals, the healer’s role, authorized information, decision authority, and potential benefits or risks before collaboration.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Allow the healer to determine the treatment plan automatically.</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clarify the client’s goals, the healer’s role, authorized information, decision authority, and potential benefits or risks before collaboration.</w:t>
            </w:r>
          </w:p>
        </w:tc>
      </w:tr>
    </w:tbl>
    <w:p>
      <w:pPr>
        <w:pStyle w:val="Heading2"/>
      </w:pPr>
      <w:r>
        <w:t>Why the Key Controls</w:t>
      </w:r>
    </w:p>
    <w:p>
      <w:r>
        <w:t>The controlling issue is client-directed community support. The keyed response is the most complete because it requires immediate client protection and proportionate risk management, clear role, consent, and expectation-setting, and limited and purpose-specific information use. That approach is consistent with the cited source family (NASW Code 1.02, 1.03, 1.05, and 1.07)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Client-directed community support</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CLIENT-DIRECTED-COMMUNITY-SUPPORT</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1.02, 1.03, 1.05,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93 - Controlled Rationale</w:t>
      </w:r>
    </w:p>
    <w:p>
      <w:r>
        <w:rPr>
          <w:b/>
        </w:rPr>
        <w:t xml:space="preserve">Item ID: </w:t>
      </w:r>
      <w:r>
        <w:t>CTA-EP-002-CUM-F-093</w:t>
      </w:r>
    </w:p>
    <w:p>
      <w:r>
        <w:rPr>
          <w:b/>
        </w:rPr>
        <w:t xml:space="preserve">Stem: </w:t>
      </w:r>
      <w:r>
        <w:t>An employer directs an LCSW to make eligibility decisions using treatment disclosures that clients were told would not be used for that purpose. What is the appropriate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Follow the directive because employer policy always controls.</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identify the role and information conflict, protect clients, seek organizational correction or consultation, and avoid misleading or unauthorized use.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Delete the original consent documents before making decisions.</w:t>
            </w:r>
          </w:p>
        </w:tc>
        <w:tc>
          <w:tcPr>
            <w:tcW w:type="dxa" w:w="3485"/>
            <w:vAlign w:val="center"/>
            <w:tcMar>
              <w:top w:w="55" w:type="dxa"/>
              <w:start w:w="65" w:type="dxa"/>
              <w:bottom w:w="55" w:type="dxa"/>
              <w:end w:w="65" w:type="dxa"/>
            </w:tcMar>
          </w:tcPr>
          <w:p>
            <w:pPr>
              <w:spacing w:after="0"/>
            </w:pPr>
            <w:r>
              <w:rPr>
                <w:sz w:val="16"/>
              </w:rPr>
              <w:t>Incorrect. It does not adequately address organizational policy conflicting with professional role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identify the role and information conflict, protect clients, seek organizational correction or consultation, and avoid misleading or unauthorized use.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Identify the role and information conflict, protect clients, seek organizational correction or consultation, and avoid misleading or unauthorized use.</w:t>
            </w:r>
          </w:p>
        </w:tc>
        <w:tc>
          <w:tcPr>
            <w:tcW w:type="dxa" w:w="3485"/>
            <w:shd w:fill="EAF7F7"/>
            <w:vAlign w:val="center"/>
            <w:tcMar>
              <w:top w:w="55" w:type="dxa"/>
              <w:start w:w="65" w:type="dxa"/>
              <w:bottom w:w="55" w:type="dxa"/>
              <w:end w:w="65" w:type="dxa"/>
            </w:tcMar>
          </w:tcPr>
          <w:p>
            <w:pPr>
              <w:spacing w:after="0"/>
            </w:pPr>
            <w:r>
              <w:rPr>
                <w:sz w:val="16"/>
              </w:rPr>
              <w:t>Correct. This option directly addresses organizational policy conflicting with professional role through immediate client protection and proportionate risk management, clear role, consent, and expectation-setting, competence support through consultation, training, or qualified supervision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Tell clients that professional ethics do not apply to administrative work.</w:t>
            </w:r>
          </w:p>
        </w:tc>
        <w:tc>
          <w:tcPr>
            <w:tcW w:type="dxa" w:w="3485"/>
            <w:vAlign w:val="center"/>
            <w:tcMar>
              <w:top w:w="55" w:type="dxa"/>
              <w:start w:w="65" w:type="dxa"/>
              <w:bottom w:w="55" w:type="dxa"/>
              <w:end w:w="65" w:type="dxa"/>
            </w:tcMar>
          </w:tcPr>
          <w:p>
            <w:pPr>
              <w:spacing w:after="0"/>
            </w:pPr>
            <w:r>
              <w:rPr>
                <w:sz w:val="16"/>
              </w:rPr>
              <w:t>Incorrect. It does not adequately address organizational policy conflicting with professional role and omits the role, authority, timing, proportionality, documentation, or continuity controls needed for organizational duties, supervision, documentation, policy conflicts, access, and professional accountability. The keyed response is superior because it instead requires the social worker to identify the role and information conflict, protect clients, seek organizational correction or consultation, and avoid misleading or unauthorized use.</w:t>
            </w:r>
          </w:p>
        </w:tc>
      </w:tr>
    </w:tbl>
    <w:p>
      <w:pPr>
        <w:pStyle w:val="Heading2"/>
      </w:pPr>
      <w:r>
        <w:t>Why the Key Controls</w:t>
      </w:r>
    </w:p>
    <w:p>
      <w:r>
        <w:t>The controlling issue is organizational policy conflicting with professional role. The keyed response is the most complete because it requires immediate client protection and proportionate risk management, clear role, consent, and expectation-setting, competence support through consultation, training, or qualified supervision, and limited and purpose-specific information use. That approach is consistent with the cited source family (NASW Code 3.07 and 3.09; applicable California law)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Organizational policy conflicting with professional role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2C</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WB3 - Professional Competence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ORGANIZATIONAL-POLICY-CONFLICTING-WITH-PROFE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3.07 and 3.09; applicable California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94 - Controlled Rationale</w:t>
      </w:r>
    </w:p>
    <w:p>
      <w:r>
        <w:rPr>
          <w:b/>
        </w:rPr>
        <w:t xml:space="preserve">Item ID: </w:t>
      </w:r>
      <w:r>
        <w:t>CTA-EP-002-CUM-F-094</w:t>
      </w:r>
    </w:p>
    <w:p>
      <w:r>
        <w:rPr>
          <w:b/>
        </w:rPr>
        <w:t xml:space="preserve">Stem: </w:t>
      </w:r>
      <w:r>
        <w:t>A person listed as a client’s emergency contact asks for weekly treatment updates even though no emergency exists and no authorization permits them. What should the social worker do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Provide updates because the client listed the person on the intake form.</w:t>
            </w:r>
          </w:p>
        </w:tc>
        <w:tc>
          <w:tcPr>
            <w:tcW w:type="dxa" w:w="3485"/>
            <w:vAlign w:val="center"/>
            <w:tcMar>
              <w:top w:w="55" w:type="dxa"/>
              <w:start w:w="65" w:type="dxa"/>
              <w:bottom w:w="55" w:type="dxa"/>
              <w:end w:w="65" w:type="dxa"/>
            </w:tcMar>
          </w:tcPr>
          <w:p>
            <w:pPr>
              <w:spacing w:after="0"/>
            </w:pPr>
            <w:r>
              <w:rPr>
                <w:sz w:val="16"/>
              </w:rPr>
              <w:t>Incorrect. It creates an unnecessary confidentiality and privacy breach and is not a proportionate professional response. The keyed response is superior because it instead requires the social worker to explain that emergency-contact status does not create routine access and obtain valid client authorization before any nonemergency disclosure.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Explain that emergency-contact status does not create routine access and obtain valid client authorization before any nonemergency disclosure.</w:t>
            </w:r>
          </w:p>
        </w:tc>
        <w:tc>
          <w:tcPr>
            <w:tcW w:type="dxa" w:w="3485"/>
            <w:shd w:fill="EAF7F7"/>
            <w:vAlign w:val="center"/>
            <w:tcMar>
              <w:top w:w="55" w:type="dxa"/>
              <w:start w:w="65" w:type="dxa"/>
              <w:bottom w:w="55" w:type="dxa"/>
              <w:end w:w="65" w:type="dxa"/>
            </w:tcMar>
          </w:tcPr>
          <w:p>
            <w:pPr>
              <w:spacing w:after="0"/>
            </w:pPr>
            <w:r>
              <w:rPr>
                <w:sz w:val="16"/>
              </w:rPr>
              <w:t>Correct. This option directly addresses emergency contact does not create routine access through immediate client protection and proportionate risk management and clear role, consent, and expectation-setting.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Share only diagnoses because they are less private than notes.</w:t>
            </w:r>
          </w:p>
        </w:tc>
        <w:tc>
          <w:tcPr>
            <w:tcW w:type="dxa" w:w="3485"/>
            <w:vAlign w:val="center"/>
            <w:tcMar>
              <w:top w:w="55" w:type="dxa"/>
              <w:start w:w="65" w:type="dxa"/>
              <w:bottom w:w="55" w:type="dxa"/>
              <w:end w:w="65" w:type="dxa"/>
            </w:tcMar>
          </w:tcPr>
          <w:p>
            <w:pPr>
              <w:spacing w:after="0"/>
            </w:pPr>
            <w:r>
              <w:rPr>
                <w:sz w:val="16"/>
              </w:rPr>
              <w:t>Incorrect. It does not adequately address emergency contact does not create routine access and omits the role, authority, timing, proportionality, documentation, or continuity controls needed for mandated action, emergency protection, risk assessment, disclosure limits, and follow-through. The keyed response is superior because it instead requires the social worker to explain that emergency-contact status does not create routine access and obtain valid client authorization before any nonemergency disclosure.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Remove the emergency contact without consulting the client.</w:t>
            </w:r>
          </w:p>
        </w:tc>
        <w:tc>
          <w:tcPr>
            <w:tcW w:type="dxa" w:w="3485"/>
            <w:vAlign w:val="center"/>
            <w:tcMar>
              <w:top w:w="55" w:type="dxa"/>
              <w:start w:w="65" w:type="dxa"/>
              <w:bottom w:w="55" w:type="dxa"/>
              <w:end w:w="65" w:type="dxa"/>
            </w:tcMar>
          </w:tcPr>
          <w:p>
            <w:pPr>
              <w:spacing w:after="0"/>
            </w:pPr>
            <w:r>
              <w:rPr>
                <w:sz w:val="16"/>
              </w:rPr>
              <w:t>Incorrect. It does not adequately address emergency contact does not create routine access and omits the role, authority, timing, proportionality, documentation, or continuity controls needed for mandated action, emergency protection, risk assessment, disclosure limits, and follow-through. The keyed response is superior because it instead requires the social worker to explain that emergency-contact status does not create routine access and obtain valid client authorization before any nonemergency disclosure.</w:t>
            </w:r>
          </w:p>
        </w:tc>
      </w:tr>
    </w:tbl>
    <w:p>
      <w:pPr>
        <w:pStyle w:val="Heading2"/>
      </w:pPr>
      <w:r>
        <w:t>Why the Key Controls</w:t>
      </w:r>
    </w:p>
    <w:p>
      <w:r>
        <w:t>The controlling issue is emergency contact does not create routine access. The keyed response is the most complete because it requires immediate client protection and proportionate risk management and clear role, consent, and expectation-setting. That approach is consistent with the cited source family (California confidentiality law; NASW Code 1.03 and 1.07)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Emergency contact does not create routine access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Foundational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EMERGENCY-CONTACT-DOES-NOT-CREATE-ROUTINE-AC</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California confidentiality law; NASW Code 1.03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95 - Controlled Rationale</w:t>
      </w:r>
    </w:p>
    <w:p>
      <w:r>
        <w:rPr>
          <w:b/>
        </w:rPr>
        <w:t xml:space="preserve">Item ID: </w:t>
      </w:r>
      <w:r>
        <w:t>CTA-EP-002-CUM-F-095</w:t>
      </w:r>
    </w:p>
    <w:p>
      <w:r>
        <w:rPr>
          <w:b/>
        </w:rPr>
        <w:t xml:space="preserve">Stem: </w:t>
      </w:r>
      <w:r>
        <w:t>A competent adult client reports partner violence, and the facts do not clearly establish a separate mandatory-report category. What should the social worker do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Make a universal report because all adult partner violence is automatically mandated.</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assess immediate safety, explain options and confidentiality limits accurately, support informed planning, and determine whether any specific reporting law is actually triggered.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Tell the client to leave immediately without assessing risk or resources.</w:t>
            </w:r>
          </w:p>
        </w:tc>
        <w:tc>
          <w:tcPr>
            <w:tcW w:type="dxa" w:w="3485"/>
            <w:vAlign w:val="center"/>
            <w:tcMar>
              <w:top w:w="55" w:type="dxa"/>
              <w:start w:w="65" w:type="dxa"/>
              <w:bottom w:w="55" w:type="dxa"/>
              <w:end w:w="65" w:type="dxa"/>
            </w:tcMar>
          </w:tcPr>
          <w:p>
            <w:pPr>
              <w:spacing w:after="0"/>
            </w:pPr>
            <w:r>
              <w:rPr>
                <w:sz w:val="16"/>
              </w:rPr>
              <w:t>Incorrect. It does not adequately address domestic violence disclosure without automatic universal reporting and omits the role, authority, timing, proportionality, documentation, or continuity controls needed for mandated action, emergency protection, risk assessment, disclosure limits, and follow-through. The keyed response is superior because it instead requires the social worker to assess immediate safety, explain options and confidentiality limits accurately, support informed planning, and determine whether any specific reporting law is actually triggered.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Assess immediate safety, explain options and confidentiality limits accurately, support informed planning, and determine whether any specific reporting law is actually triggered.</w:t>
            </w:r>
          </w:p>
        </w:tc>
        <w:tc>
          <w:tcPr>
            <w:tcW w:type="dxa" w:w="3485"/>
            <w:shd w:fill="EAF7F7"/>
            <w:vAlign w:val="center"/>
            <w:tcMar>
              <w:top w:w="55" w:type="dxa"/>
              <w:start w:w="65" w:type="dxa"/>
              <w:bottom w:w="55" w:type="dxa"/>
              <w:end w:w="65" w:type="dxa"/>
            </w:tcMar>
          </w:tcPr>
          <w:p>
            <w:pPr>
              <w:spacing w:after="0"/>
            </w:pPr>
            <w:r>
              <w:rPr>
                <w:sz w:val="16"/>
              </w:rPr>
              <w:t>Correct. This option directly addresses domestic violence disclosure without automatic universal reporting through immediate client protection and proportionate risk management, clear role, consent, and expectation-setting, verification of the controlling facts and authority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Avoid documenting the disclosure because a report may not be required.</w:t>
            </w:r>
          </w:p>
        </w:tc>
        <w:tc>
          <w:tcPr>
            <w:tcW w:type="dxa" w:w="3485"/>
            <w:vAlign w:val="center"/>
            <w:tcMar>
              <w:top w:w="55" w:type="dxa"/>
              <w:start w:w="65" w:type="dxa"/>
              <w:bottom w:w="55" w:type="dxa"/>
              <w:end w:w="65" w:type="dxa"/>
            </w:tcMar>
          </w:tcPr>
          <w:p>
            <w:pPr>
              <w:spacing w:after="0"/>
            </w:pPr>
            <w:r>
              <w:rPr>
                <w:sz w:val="16"/>
              </w:rPr>
              <w:t>Incorrect. It undermines transparency, documentation integrity, review, and the ability to protect the client or correct the problem. The keyed response is superior because it instead requires the social worker to assess immediate safety, explain options and confidentiality limits accurately, support informed planning, and determine whether any specific reporting law is actually triggered.</w:t>
            </w:r>
          </w:p>
        </w:tc>
      </w:tr>
    </w:tbl>
    <w:p>
      <w:pPr>
        <w:pStyle w:val="Heading2"/>
      </w:pPr>
      <w:r>
        <w:t>Why the Key Controls</w:t>
      </w:r>
    </w:p>
    <w:p>
      <w:r>
        <w:t>The controlling issue is domestic violence disclosure without automatic universal reporting. The keyed response is the most complete because it requires immediate client protection and proportionate risk management, clear role, consent, and expectation-setting, verification of the controlling facts and authority, and limited and purpose-specific information use. That approach is consistent with the cited source family (Applicable California reporting law; NASW Code 1.01, 1.02, and 1.07) and addresses the actual role, timing, and client-welfare consequences presented in the stem rather than relying on a waiver, an organizational shortcut, or an unsupported assumption.</w:t>
      </w:r>
    </w:p>
    <w:p>
      <w:pPr>
        <w:pStyle w:val="Heading2"/>
      </w:pPr>
      <w:r>
        <w:t>CTA Exam Strategy</w:t>
      </w:r>
    </w:p>
    <w:p>
      <w:r>
        <w:t>For a FIRST or NEXT question, identify the immediate condition that must be contained before secondary reporting, repair, consultation, or long-term planning. Distinguish the controlling definition or requirement from plausible but overbroad statements.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Domestic violence disclosure without automatic universal reporting</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1B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Foundational / Sequence</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DOMESTIC-VIOLENCE-DISCLOSURE-WITHOUT-AUTOMAT</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Applicable California reporting law; NASW Code 1.01, 1.02, and 1.07</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96 - Controlled Rationale</w:t>
      </w:r>
    </w:p>
    <w:p>
      <w:r>
        <w:rPr>
          <w:b/>
        </w:rPr>
        <w:t xml:space="preserve">Item ID: </w:t>
      </w:r>
      <w:r>
        <w:t>CTA-EP-002-CUM-F-096</w:t>
      </w:r>
    </w:p>
    <w:p>
      <w:r>
        <w:rPr>
          <w:b/>
        </w:rPr>
        <w:t xml:space="preserve">Stem: </w:t>
      </w:r>
      <w:r>
        <w:t>A clinician experiencing burnout notices becoming unusually punitive toward clients who miss appointments because of unstable housing. What is the appropriate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Continue because strictness is a personal style rather than an impairment issue.</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recognize the functional and bias concern, seek supervision or consultation, adjust workload and policies, and repair affected client decisions.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Terminate every client who missed an appointment to reduce workload.</w:t>
            </w:r>
          </w:p>
        </w:tc>
        <w:tc>
          <w:tcPr>
            <w:tcW w:type="dxa" w:w="3485"/>
            <w:vAlign w:val="center"/>
            <w:tcMar>
              <w:top w:w="55" w:type="dxa"/>
              <w:start w:w="65" w:type="dxa"/>
              <w:bottom w:w="55" w:type="dxa"/>
              <w:end w:w="65" w:type="dxa"/>
            </w:tcMar>
          </w:tcPr>
          <w:p>
            <w:pPr>
              <w:spacing w:after="0"/>
            </w:pPr>
            <w:r>
              <w:rPr>
                <w:sz w:val="16"/>
              </w:rPr>
              <w:t>Incorrect. It states an absolute rule without examining the setting, authority, applicability facts, exceptions, or proportionality. The keyed response is superior because it instead requires the social worker to recognize the functional and bias concern, seek supervision or consultation, adjust workload and policies, and repair affected client decisions.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Recognize the functional and bias concern, seek supervision or consultation, adjust workload and policies, and repair affected client decisions.</w:t>
            </w:r>
          </w:p>
        </w:tc>
        <w:tc>
          <w:tcPr>
            <w:tcW w:type="dxa" w:w="3485"/>
            <w:shd w:fill="EAF7F7"/>
            <w:vAlign w:val="center"/>
            <w:tcMar>
              <w:top w:w="55" w:type="dxa"/>
              <w:start w:w="65" w:type="dxa"/>
              <w:bottom w:w="55" w:type="dxa"/>
              <w:end w:w="65" w:type="dxa"/>
            </w:tcMar>
          </w:tcPr>
          <w:p>
            <w:pPr>
              <w:spacing w:after="0"/>
            </w:pPr>
            <w:r>
              <w:rPr>
                <w:sz w:val="16"/>
              </w:rPr>
              <w:t>Correct. This option directly addresses burnout and biased decision-making through competence support through consultation, training, or qualified supervision and correction and prevention of recurrence.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Avoid documenting the pattern so it cannot influence performance review.</w:t>
            </w:r>
          </w:p>
        </w:tc>
        <w:tc>
          <w:tcPr>
            <w:tcW w:type="dxa" w:w="3485"/>
            <w:vAlign w:val="center"/>
            <w:tcMar>
              <w:top w:w="55" w:type="dxa"/>
              <w:start w:w="65" w:type="dxa"/>
              <w:bottom w:w="55" w:type="dxa"/>
              <w:end w:w="65" w:type="dxa"/>
            </w:tcMar>
          </w:tcPr>
          <w:p>
            <w:pPr>
              <w:spacing w:after="0"/>
            </w:pPr>
            <w:r>
              <w:rPr>
                <w:sz w:val="16"/>
              </w:rPr>
              <w:t>Incorrect. It undermines transparency, documentation integrity, review, and the ability to protect the client or correct the problem. The keyed response is superior because it instead requires the social worker to recognize the functional and bias concern, seek supervision or consultation, adjust workload and policies, and repair affected client decisions.</w:t>
            </w:r>
          </w:p>
        </w:tc>
      </w:tr>
    </w:tbl>
    <w:p>
      <w:pPr>
        <w:pStyle w:val="Heading2"/>
      </w:pPr>
      <w:r>
        <w:t>Why the Key Controls</w:t>
      </w:r>
    </w:p>
    <w:p>
      <w:r>
        <w:t>The controlling issue is burnout and biased decision-making. The keyed response is the most complete because it requires competence support through consultation, training, or qualified supervision and correction and prevention of recurrence. That approach is consistent with the cited source family (NASW Code 4.05 and 4.02)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Burnout and biased decision-making</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Integrated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WB4 - Professional Impairment</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BURNOUT-AND-BIASED-DECISION-MAKING</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4.05 and 4.02</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97 - Controlled Rationale</w:t>
      </w:r>
    </w:p>
    <w:p>
      <w:r>
        <w:rPr>
          <w:b/>
        </w:rPr>
        <w:t xml:space="preserve">Item ID: </w:t>
      </w:r>
      <w:r>
        <w:t>CTA-EP-002-CUM-F-097</w:t>
      </w:r>
    </w:p>
    <w:p>
      <w:r>
        <w:rPr>
          <w:b/>
        </w:rPr>
        <w:t xml:space="preserve">Stem: </w:t>
      </w:r>
      <w:r>
        <w:t>An LCSW wants to use a client’s housing story in a public campaign, but the client prefers private assistance and fears retaliation.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Use the story because the public cause is important.</w:t>
            </w:r>
          </w:p>
        </w:tc>
        <w:tc>
          <w:tcPr>
            <w:tcW w:type="dxa" w:w="3485"/>
            <w:vAlign w:val="center"/>
            <w:tcMar>
              <w:top w:w="55" w:type="dxa"/>
              <w:start w:w="65" w:type="dxa"/>
              <w:bottom w:w="55" w:type="dxa"/>
              <w:end w:w="65" w:type="dxa"/>
            </w:tcMar>
          </w:tcPr>
          <w:p>
            <w:pPr>
              <w:spacing w:after="0"/>
            </w:pPr>
            <w:r>
              <w:rPr>
                <w:sz w:val="16"/>
              </w:rPr>
              <w:t>Incorrect. It does not adequately address advocacy consistent with client goals and omits the role, authority, timing, proportionality, documentation, or continuity controls needed for client welfare, self-determination, boundaries, conflicts, exploitation, and continuity. The keyed response is superior because it instead requires the social worker to respect the client’s goals, discuss alternatives and risks, use de-identified aggregate information when appropriate, and avoid turning the client into an advocacy example without permission.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Respect the client’s goals, discuss alternatives and risks, use de-identified aggregate information when appropriate, and avoid turning the client into an advocacy example without permission.</w:t>
            </w:r>
          </w:p>
        </w:tc>
        <w:tc>
          <w:tcPr>
            <w:tcW w:type="dxa" w:w="3485"/>
            <w:shd w:fill="EAF7F7"/>
            <w:vAlign w:val="center"/>
            <w:tcMar>
              <w:top w:w="55" w:type="dxa"/>
              <w:start w:w="65" w:type="dxa"/>
              <w:bottom w:w="55" w:type="dxa"/>
              <w:end w:w="65" w:type="dxa"/>
            </w:tcMar>
          </w:tcPr>
          <w:p>
            <w:pPr>
              <w:spacing w:after="0"/>
            </w:pPr>
            <w:r>
              <w:rPr>
                <w:sz w:val="16"/>
              </w:rPr>
              <w:t>Correct. This option directly addresses advocacy consistent with client goals through immediate client protection and proportionate risk management and clear role, consent, and expectation-setting.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Remove the client’s name and assume the story cannot be recognized.</w:t>
            </w:r>
          </w:p>
        </w:tc>
        <w:tc>
          <w:tcPr>
            <w:tcW w:type="dxa" w:w="3485"/>
            <w:vAlign w:val="center"/>
            <w:tcMar>
              <w:top w:w="55" w:type="dxa"/>
              <w:start w:w="65" w:type="dxa"/>
              <w:bottom w:w="55" w:type="dxa"/>
              <w:end w:w="65" w:type="dxa"/>
            </w:tcMar>
          </w:tcPr>
          <w:p>
            <w:pPr>
              <w:spacing w:after="0"/>
            </w:pPr>
            <w:r>
              <w:rPr>
                <w:sz w:val="16"/>
              </w:rPr>
              <w:t>Incorrect. It does not adequately address advocacy consistent with client goals and omits the role, authority, timing, proportionality, documentation, or continuity controls needed for client welfare, self-determination, boundaries, conflicts, exploitation, and continuity. The keyed response is superior because it instead requires the social worker to respect the client’s goals, discuss alternatives and risks, use de-identified aggregate information when appropriate, and avoid turning the client into an advocacy example without permission.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End services because the client will not participate in advocacy.</w:t>
            </w:r>
          </w:p>
        </w:tc>
        <w:tc>
          <w:tcPr>
            <w:tcW w:type="dxa" w:w="3485"/>
            <w:vAlign w:val="center"/>
            <w:tcMar>
              <w:top w:w="55" w:type="dxa"/>
              <w:start w:w="65" w:type="dxa"/>
              <w:bottom w:w="55" w:type="dxa"/>
              <w:end w:w="65" w:type="dxa"/>
            </w:tcMar>
          </w:tcPr>
          <w:p>
            <w:pPr>
              <w:spacing w:after="0"/>
            </w:pPr>
            <w:r>
              <w:rPr>
                <w:sz w:val="16"/>
              </w:rPr>
              <w:t>Incorrect. It does not adequately address advocacy consistent with client goals and omits the role, authority, timing, proportionality, documentation, or continuity controls needed for client welfare, self-determination, boundaries, conflicts, exploitation, and continuity. The keyed response is superior because it instead requires the social worker to respect the client’s goals, discuss alternatives and risks, use de-identified aggregate information when appropriate, and avoid turning the client into an advocacy example without permission.</w:t>
            </w:r>
          </w:p>
        </w:tc>
      </w:tr>
    </w:tbl>
    <w:p>
      <w:pPr>
        <w:pStyle w:val="Heading2"/>
      </w:pPr>
      <w:r>
        <w:t>Why the Key Controls</w:t>
      </w:r>
    </w:p>
    <w:p>
      <w:r>
        <w:t>The controlling issue is advocacy consistent with client goals. The keyed response is the most complete because it requires immediate client protection and proportionate risk management and clear role, consent, and expectation-setting. That approach is consistent with the cited source family (NASW Code 1.02, 1.07, 6.01, and 6.04) and addresses the actual role, timing, and client-welfare consequences presented in the stem rather than relying on a waiver, an organizational shortcut, or an unsupported assumption.</w:t>
      </w:r>
    </w:p>
    <w:p>
      <w:pPr>
        <w:pStyle w:val="Heading2"/>
      </w:pPr>
      <w:r>
        <w:t>CTA Exam Strategy</w:t>
      </w:r>
    </w:p>
    <w:p>
      <w:r>
        <w:t>For a BEST or MOST question, prefer the option that satisfies the largest number of controlling duties at once: role clarity, authority, client protection, proportionality, documentation, and continuity.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Advocacy consistent with client goals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ADVOCACY-CONSISTENT-WITH-CLIENT-GOALS</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1.02, 1.07, 6.01, and 6.04</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98 - Controlled Rationale</w:t>
      </w:r>
    </w:p>
    <w:p>
      <w:r>
        <w:rPr>
          <w:b/>
        </w:rPr>
        <w:t xml:space="preserve">Item ID: </w:t>
      </w:r>
      <w:r>
        <w:t>CTA-EP-002-CUM-F-098</w:t>
      </w:r>
    </w:p>
    <w:p>
      <w:r>
        <w:rPr>
          <w:b/>
        </w:rPr>
        <w:t xml:space="preserve">Stem: </w:t>
      </w:r>
      <w:r>
        <w:t>An organization requires automatic transfer whenever a clinician and client do not share the same cultural background, even when the LCSW has relevant foundational competence, the client prefers continuity, and qualified consultation is available. Which response is BEST?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r>
              <w:t>Follow the blanket transfer rule because cultural responsiveness requires identity matching.</w:t>
            </w:r>
          </w:p>
        </w:tc>
        <w:tc>
          <w:tcPr>
            <w:tcW w:type="dxa" w:w="3485"/>
            <w:vAlign w:val="center"/>
            <w:tcMar>
              <w:top w:w="55" w:type="dxa"/>
              <w:start w:w="65" w:type="dxa"/>
              <w:bottom w:w="55" w:type="dxa"/>
              <w:end w:w="65" w:type="dxa"/>
            </w:tcMar>
          </w:tcPr>
          <w:p>
            <w:r>
              <w:t>Incorrect. Cultural responsiveness does not create a universal identity-matching rule and may not justify unnecessary disruption of care.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r>
              <w:t>Ignore cultural context entirely so treatment remains neutral.</w:t>
            </w:r>
          </w:p>
        </w:tc>
        <w:tc>
          <w:tcPr>
            <w:tcW w:type="dxa" w:w="3485"/>
            <w:vAlign w:val="center"/>
            <w:tcMar>
              <w:top w:w="55" w:type="dxa"/>
              <w:start w:w="65" w:type="dxa"/>
              <w:bottom w:w="55" w:type="dxa"/>
              <w:end w:w="65" w:type="dxa"/>
            </w:tcMar>
          </w:tcPr>
          <w:p>
            <w:r>
              <w:t>Incorrect. Ignoring cultural context can conceal client meaning, power, access barriers, and the need for adaptation.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r>
              <w:t>Require the client to teach the LCSW everything about the client’s cultural group.</w:t>
            </w:r>
          </w:p>
        </w:tc>
        <w:tc>
          <w:tcPr>
            <w:tcW w:type="dxa" w:w="3485"/>
            <w:vAlign w:val="center"/>
            <w:tcMar>
              <w:top w:w="55" w:type="dxa"/>
              <w:start w:w="65" w:type="dxa"/>
              <w:bottom w:w="55" w:type="dxa"/>
              <w:end w:w="65" w:type="dxa"/>
            </w:tcMar>
          </w:tcPr>
          <w:p>
            <w:r>
              <w:t>Incorrect. Clients may describe their own experience, but they should not be burdened with teaching the clinician about an entire group.</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r>
              <w:t>Assess the client’s individual needs and preferences, use consultation and adaptation, and refer only if the competence gap cannot be safely addressed while raising concerns about the blanket policy.</w:t>
            </w:r>
          </w:p>
        </w:tc>
        <w:tc>
          <w:tcPr>
            <w:tcW w:type="dxa" w:w="3485"/>
            <w:shd w:fill="EAF7F7"/>
            <w:vAlign w:val="center"/>
            <w:tcMar>
              <w:top w:w="55" w:type="dxa"/>
              <w:start w:w="65" w:type="dxa"/>
              <w:bottom w:w="55" w:type="dxa"/>
              <w:end w:w="65" w:type="dxa"/>
            </w:tcMar>
          </w:tcPr>
          <w:p>
            <w:r>
              <w:t>Correct. This choice combines individualized competence assessment, client preference, consultation, adaptation, proportionate referral, and organizational advocacy.</w:t>
            </w:r>
          </w:p>
        </w:tc>
      </w:tr>
    </w:tbl>
    <w:p>
      <w:pPr>
        <w:pStyle w:val="Heading2"/>
      </w:pPr>
      <w:r>
        <w:t>Why the Key Controls</w:t>
      </w:r>
    </w:p>
    <w:p>
      <w:r>
        <w:t>Cultural responsiveness does not require automatic identity matching. The LCSW should assess the individual client, competence, preferences, consultation, and adaptation, and should address an organizational rule that may unnecessarily disrupt access and continuity.</w:t>
      </w:r>
    </w:p>
    <w:p>
      <w:pPr>
        <w:pStyle w:val="Heading2"/>
      </w:pPr>
      <w:r>
        <w:t>CTA Exam Strategy</w:t>
      </w:r>
    </w:p>
    <w:p>
      <w:r>
        <w:t>Reject both culture-blind practice and automatic identity matching. Choose individualized assessment, consultation, adaptation, client preference, and referral only when the gap cannot be repaired.</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r>
              <w:t>Blanket identity-matching policy versus individualized competence</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r>
              <w:t>BLANKET-IDENTITY-MATCHING</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1.04, 1.05, and 2.05</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99 - Controlled Rationale</w:t>
      </w:r>
    </w:p>
    <w:p>
      <w:r>
        <w:rPr>
          <w:b/>
        </w:rPr>
        <w:t xml:space="preserve">Item ID: </w:t>
      </w:r>
      <w:r>
        <w:t>CTA-EP-002-CUM-F-099</w:t>
      </w:r>
    </w:p>
    <w:p>
      <w:r>
        <w:rPr>
          <w:b/>
        </w:rPr>
        <w:t xml:space="preserve">Stem: </w:t>
      </w:r>
      <w:r>
        <w:t>A multidisciplinary team requests every psychotherapy note even though only current risk and discharge information are relevant to coordinated care. What is the appropriate response?</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Share every note because team membership creates blanket access.</w:t>
            </w:r>
          </w:p>
        </w:tc>
        <w:tc>
          <w:tcPr>
            <w:tcW w:type="dxa" w:w="3485"/>
            <w:vAlign w:val="center"/>
            <w:tcMar>
              <w:top w:w="55" w:type="dxa"/>
              <w:start w:w="65" w:type="dxa"/>
              <w:bottom w:w="55" w:type="dxa"/>
              <w:end w:w="65" w:type="dxa"/>
            </w:tcMar>
          </w:tcPr>
          <w:p>
            <w:pPr>
              <w:spacing w:after="0"/>
            </w:pPr>
            <w:r>
              <w:rPr>
                <w:sz w:val="16"/>
              </w:rPr>
              <w:t>Incorrect. It authorizes overdisclosure and ignores purpose, authority, minimum-necessary analysis, and confidentiality limits. The keyed response is superior because it instead requires the social worker to clarify roles and authority and share only relevant authorized or legally permitted information needed for the care purpose.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Refuse all communication even when limited sharing is authorized and necessary.</w:t>
            </w:r>
          </w:p>
        </w:tc>
        <w:tc>
          <w:tcPr>
            <w:tcW w:type="dxa" w:w="3485"/>
            <w:vAlign w:val="center"/>
            <w:tcMar>
              <w:top w:w="55" w:type="dxa"/>
              <w:start w:w="65" w:type="dxa"/>
              <w:bottom w:w="55" w:type="dxa"/>
              <w:end w:w="65" w:type="dxa"/>
            </w:tcMar>
          </w:tcPr>
          <w:p>
            <w:pPr>
              <w:spacing w:after="0"/>
            </w:pPr>
            <w:r>
              <w:rPr>
                <w:sz w:val="16"/>
              </w:rPr>
              <w:t>Incorrect. It is overbroad because lawful, authorized, or safety-related communication may still be required or permitted. The keyed response is superior because it instead requires the social worker to clarify roles and authority and share only relevant authorized or legally permitted information needed for the care purpose.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Clarify roles and authority and share only relevant authorized or legally permitted information needed for the care purpose.</w:t>
            </w:r>
          </w:p>
        </w:tc>
        <w:tc>
          <w:tcPr>
            <w:tcW w:type="dxa" w:w="3485"/>
            <w:shd w:fill="EAF7F7"/>
            <w:vAlign w:val="center"/>
            <w:tcMar>
              <w:top w:w="55" w:type="dxa"/>
              <w:start w:w="65" w:type="dxa"/>
              <w:bottom w:w="55" w:type="dxa"/>
              <w:end w:w="65" w:type="dxa"/>
            </w:tcMar>
          </w:tcPr>
          <w:p>
            <w:pPr>
              <w:spacing w:after="0"/>
            </w:pPr>
            <w:r>
              <w:rPr>
                <w:sz w:val="16"/>
              </w:rPr>
              <w:t>Correct. This option directly addresses minimum necessary client-centered information sharing through clear role, consent, and expectation-setting and limited and purpose-specific information use. It is the only choice that fits the social worker’s role, uses the cited source controls, and protects the client without adding unsupported facts or relying on an overbroad shortcut.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Let the team vote on whether confidentiality applies.</w:t>
            </w:r>
          </w:p>
        </w:tc>
        <w:tc>
          <w:tcPr>
            <w:tcW w:type="dxa" w:w="3485"/>
            <w:vAlign w:val="center"/>
            <w:tcMar>
              <w:top w:w="55" w:type="dxa"/>
              <w:start w:w="65" w:type="dxa"/>
              <w:bottom w:w="55" w:type="dxa"/>
              <w:end w:w="65" w:type="dxa"/>
            </w:tcMar>
          </w:tcPr>
          <w:p>
            <w:pPr>
              <w:spacing w:after="0"/>
            </w:pPr>
            <w:r>
              <w:rPr>
                <w:sz w:val="16"/>
              </w:rPr>
              <w:t>Incorrect. It does not adequately address minimum necessary client-centered information sharing and omits the role, authority, timing, proportionality, documentation, or continuity controls needed for client welfare, self-determination, boundaries, conflicts, exploitation, and continuity. The keyed response is superior because it instead requires the social worker to clarify roles and authority and share only relevant authorized or legally permitted information needed for the care purpose.</w:t>
            </w:r>
          </w:p>
        </w:tc>
      </w:tr>
    </w:tbl>
    <w:p>
      <w:pPr>
        <w:pStyle w:val="Heading2"/>
      </w:pPr>
      <w:r>
        <w:t>Why the Key Controls</w:t>
      </w:r>
    </w:p>
    <w:p>
      <w:r>
        <w:t>The controlling issue is minimum necessary client-centered information sharing. The keyed response is the most complete because it requires clear role, consent, and expectation-setting and limited and purpose-specific information use. That approach is consistent with the cited source family (NASW Code 1.07; applicable California confidentiality law)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Because the item is integrated, reconcile the legal, ethical, organizational, cultural, or continuity factors without inventing missing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Minimum necessary client-centered information sharing</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2B</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Moderate / Integrated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MINIMUM-NECESSARY-CLIENT-CENTERED-INFORMATIO</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NASW Code 1.07; applicable California confidentiality law</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Item 100 - Controlled Rationale</w:t>
      </w:r>
    </w:p>
    <w:p>
      <w:r>
        <w:rPr>
          <w:b/>
        </w:rPr>
        <w:t xml:space="preserve">Item ID: </w:t>
      </w:r>
      <w:r>
        <w:t>CTA-EP-002-CUM-F-100</w:t>
      </w:r>
    </w:p>
    <w:p>
      <w:r>
        <w:rPr>
          <w:b/>
        </w:rPr>
        <w:t xml:space="preserve">Stem: </w:t>
      </w:r>
      <w:r>
        <w:t>A supervisor is experienced in adult psychotherapy but is asked to supervise an ASW providing a specialized child forensic service the supervisor has never practiced. What is the appropriate response?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Accept because an active LCSW license establishes competence in every social-work service.</w:t>
            </w:r>
          </w:p>
        </w:tc>
        <w:tc>
          <w:tcPr>
            <w:tcW w:type="dxa" w:w="3485"/>
            <w:vAlign w:val="center"/>
            <w:tcMar>
              <w:top w:w="55" w:type="dxa"/>
              <w:start w:w="65" w:type="dxa"/>
              <w:bottom w:w="55" w:type="dxa"/>
              <w:end w:w="65" w:type="dxa"/>
            </w:tcMar>
          </w:tcPr>
          <w:p>
            <w:pPr>
              <w:spacing w:after="0"/>
            </w:pPr>
            <w:r>
              <w:rPr>
                <w:sz w:val="16"/>
              </w:rPr>
              <w:t>Incorrect. It permits the questioned practice to continue before competence, authority, status, safety, or role requirements are resolved. The keyed response is superior because it instead requires the social worker to assess the supervisor’s own competence and arrange qualified consultation, co-supervision, training, or a different supervisor before relying on the arrangement.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Accept if the ASW is more experienced than the supervisor.</w:t>
            </w:r>
          </w:p>
        </w:tc>
        <w:tc>
          <w:tcPr>
            <w:tcW w:type="dxa" w:w="3485"/>
            <w:vAlign w:val="center"/>
            <w:tcMar>
              <w:top w:w="55" w:type="dxa"/>
              <w:start w:w="65" w:type="dxa"/>
              <w:bottom w:w="55" w:type="dxa"/>
              <w:end w:w="65" w:type="dxa"/>
            </w:tcMar>
          </w:tcPr>
          <w:p>
            <w:pPr>
              <w:spacing w:after="0"/>
            </w:pPr>
            <w:r>
              <w:rPr>
                <w:sz w:val="16"/>
              </w:rPr>
              <w:t>Incorrect. It does not adequately address supervisor competence for specialized asw services and omits the role, authority, timing, proportionality, documentation, or continuity controls needed for competence, integrity, impairment, bias, consultation, and truthful professional conduct. The keyed response is superior because it instead requires the social worker to assess the supervisor’s own competence and arrange qualified consultation, co-supervision, training, or a different supervisor before relying on the arrangement.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Accept and avoid documenting the competence concern so the hours are not questioned.</w:t>
            </w:r>
          </w:p>
        </w:tc>
        <w:tc>
          <w:tcPr>
            <w:tcW w:type="dxa" w:w="3485"/>
            <w:vAlign w:val="center"/>
            <w:tcMar>
              <w:top w:w="55" w:type="dxa"/>
              <w:start w:w="65" w:type="dxa"/>
              <w:bottom w:w="55" w:type="dxa"/>
              <w:end w:w="65" w:type="dxa"/>
            </w:tcMar>
          </w:tcPr>
          <w:p>
            <w:pPr>
              <w:spacing w:after="0"/>
            </w:pPr>
            <w:r>
              <w:rPr>
                <w:sz w:val="16"/>
              </w:rPr>
              <w:t>Incorrect. It undermines transparency, documentation integrity, review, and the ability to protect the client or correct the problem. The keyed response is superior because it instead requires the social worker to assess the supervisor’s own competence and arrange qualified consultation, co-supervision, training, or a different supervisor before relying on the arrangement.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Assess the supervisor’s own competence and arrange qualified consultation, co-supervision, training, or a different supervisor before relying on the arrangement.</w:t>
            </w:r>
          </w:p>
        </w:tc>
        <w:tc>
          <w:tcPr>
            <w:tcW w:type="dxa" w:w="3485"/>
            <w:shd w:fill="EAF7F7"/>
            <w:vAlign w:val="center"/>
            <w:tcMar>
              <w:top w:w="55" w:type="dxa"/>
              <w:start w:w="65" w:type="dxa"/>
              <w:bottom w:w="55" w:type="dxa"/>
              <w:end w:w="65" w:type="dxa"/>
            </w:tcMar>
          </w:tcPr>
          <w:p>
            <w:pPr>
              <w:spacing w:after="0"/>
            </w:pPr>
            <w:r>
              <w:rPr>
                <w:sz w:val="16"/>
              </w:rPr>
              <w:t>Correct. This option directly addresses supervisor competence for specialized asw services through competence support through consultation, training, or qualified supervision. It is the only choice that fits the social worker’s role, uses the cited source controls, and protects the client without adding unsupported facts or relying on an overbroad shortcut.</w:t>
            </w:r>
          </w:p>
        </w:tc>
      </w:tr>
    </w:tbl>
    <w:p>
      <w:pPr>
        <w:pStyle w:val="Heading2"/>
      </w:pPr>
      <w:r>
        <w:t>Why the Key Controls</w:t>
      </w:r>
    </w:p>
    <w:p>
      <w:r>
        <w:t>The controlling issue is supervisor competence for specialized asw services. The keyed response is the most complete because it requires competence support through consultation, training, or qualified supervision. That approach is consistent with the cited source family (BBS supervisor qualifications and supervision agreement; NASW Code 3.01) and addresses the actual role, timing, and client-welfare consequences presented in the stem rather than relying on a waiver, an organizational shortcut, or an unsupported assumption.</w:t>
      </w:r>
    </w:p>
    <w:p>
      <w:pPr>
        <w:pStyle w:val="Heading2"/>
      </w:pPr>
      <w:r>
        <w:t>CTA Exam Strategy</w:t>
      </w:r>
    </w:p>
    <w:p>
      <w:r>
        <w:t>For a direct rule question, identify the exact status, role, authority, or ethical principle and reject answers that depend on waiver, absolute language, organizational pressure, or unsupported assumptions. Apply the governing rule to the facts actually given and choose the proportionate professional action.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5"/>
              </w:rPr>
              <w:t>Primary concept</w:t>
            </w:r>
          </w:p>
        </w:tc>
        <w:tc>
          <w:tcPr>
            <w:tcW w:type="dxa" w:w="5227"/>
            <w:vAlign w:val="center"/>
            <w:tcMar>
              <w:top w:w="55" w:type="dxa"/>
              <w:start w:w="65" w:type="dxa"/>
              <w:bottom w:w="55" w:type="dxa"/>
              <w:end w:w="65" w:type="dxa"/>
            </w:tcMar>
          </w:tcPr>
          <w:p>
            <w:pPr>
              <w:spacing w:after="0"/>
            </w:pPr>
            <w:r>
              <w:rPr>
                <w:sz w:val="15"/>
              </w:rPr>
              <w:t>Supervisor competence for specialized ASW services</w:t>
            </w:r>
          </w:p>
        </w:tc>
      </w:tr>
      <w:tr>
        <w:trPr>
          <w:cantSplit/>
        </w:trPr>
        <w:tc>
          <w:tcPr>
            <w:tcW w:type="dxa" w:w="5227"/>
            <w:shd w:fill="F2F4F7"/>
            <w:vAlign w:val="center"/>
            <w:tcMar>
              <w:top w:w="55" w:type="dxa"/>
              <w:start w:w="65" w:type="dxa"/>
              <w:bottom w:w="55" w:type="dxa"/>
              <w:end w:w="65" w:type="dxa"/>
            </w:tcMar>
          </w:tcPr>
          <w:p>
            <w:pPr>
              <w:spacing w:after="0"/>
            </w:pPr>
            <w:r>
              <w:rPr>
                <w:sz w:val="15"/>
              </w:rPr>
              <w:t>Official domain</w:t>
            </w:r>
          </w:p>
        </w:tc>
        <w:tc>
          <w:tcPr>
            <w:tcW w:type="dxa" w:w="5227"/>
            <w:shd w:fill="F2F4F7"/>
            <w:vAlign w:val="center"/>
            <w:tcMar>
              <w:top w:w="55" w:type="dxa"/>
              <w:start w:w="65" w:type="dxa"/>
              <w:bottom w:w="55" w:type="dxa"/>
              <w:end w:w="65" w:type="dxa"/>
            </w:tcMar>
          </w:tcPr>
          <w:p>
            <w:pPr>
              <w:spacing w:after="0"/>
            </w:pPr>
            <w:r>
              <w:rPr>
                <w:sz w:val="15"/>
              </w:rPr>
              <w:t>2A</w:t>
            </w:r>
          </w:p>
        </w:tc>
      </w:tr>
      <w:tr>
        <w:trPr>
          <w:cantSplit/>
        </w:trPr>
        <w:tc>
          <w:tcPr>
            <w:tcW w:type="dxa" w:w="5227"/>
            <w:vAlign w:val="center"/>
            <w:tcMar>
              <w:top w:w="55" w:type="dxa"/>
              <w:start w:w="65" w:type="dxa"/>
              <w:bottom w:w="55" w:type="dxa"/>
              <w:end w:w="65" w:type="dxa"/>
            </w:tcMar>
          </w:tcPr>
          <w:p>
            <w:pPr>
              <w:spacing w:after="0"/>
            </w:pPr>
            <w:r>
              <w:rPr>
                <w:sz w:val="15"/>
              </w:rPr>
              <w:t>Difficulty / construction</w:t>
            </w:r>
          </w:p>
        </w:tc>
        <w:tc>
          <w:tcPr>
            <w:tcW w:type="dxa" w:w="5227"/>
            <w:vAlign w:val="center"/>
            <w:tcMar>
              <w:top w:w="55" w:type="dxa"/>
              <w:start w:w="65" w:type="dxa"/>
              <w:bottom w:w="55" w:type="dxa"/>
              <w:end w:w="65" w:type="dxa"/>
            </w:tcMar>
          </w:tcPr>
          <w:p>
            <w:pPr>
              <w:spacing w:after="0"/>
            </w:pPr>
            <w:r>
              <w:rPr>
                <w:sz w:val="15"/>
              </w:rPr>
              <w:t>Difficult / Applied / Direct</w:t>
            </w:r>
          </w:p>
        </w:tc>
      </w:tr>
      <w:tr>
        <w:trPr>
          <w:cantSplit/>
        </w:trPr>
        <w:tc>
          <w:tcPr>
            <w:tcW w:type="dxa" w:w="5227"/>
            <w:shd w:fill="F2F4F7"/>
            <w:vAlign w:val="center"/>
            <w:tcMar>
              <w:top w:w="55" w:type="dxa"/>
              <w:start w:w="65" w:type="dxa"/>
              <w:bottom w:w="55" w:type="dxa"/>
              <w:end w:w="65" w:type="dxa"/>
            </w:tcMar>
          </w:tcPr>
          <w:p>
            <w:pPr>
              <w:spacing w:after="0"/>
            </w:pPr>
            <w:r>
              <w:rPr>
                <w:sz w:val="15"/>
              </w:rPr>
              <w:t>Primary remediation route</w:t>
            </w:r>
          </w:p>
        </w:tc>
        <w:tc>
          <w:tcPr>
            <w:tcW w:type="dxa" w:w="5227"/>
            <w:shd w:fill="F2F4F7"/>
            <w:vAlign w:val="center"/>
            <w:tcMar>
              <w:top w:w="55" w:type="dxa"/>
              <w:start w:w="65" w:type="dxa"/>
              <w:bottom w:w="55" w:type="dxa"/>
              <w:end w:w="65" w:type="dxa"/>
            </w:tcMar>
          </w:tcPr>
          <w:p>
            <w:pPr>
              <w:spacing w:after="0"/>
            </w:pPr>
            <w:r>
              <w:rPr>
                <w:sz w:val="15"/>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5"/>
              </w:rPr>
              <w:t>Error-log category</w:t>
            </w:r>
          </w:p>
        </w:tc>
        <w:tc>
          <w:tcPr>
            <w:tcW w:type="dxa" w:w="5227"/>
            <w:vAlign w:val="center"/>
            <w:tcMar>
              <w:top w:w="55" w:type="dxa"/>
              <w:start w:w="65" w:type="dxa"/>
              <w:bottom w:w="55" w:type="dxa"/>
              <w:end w:w="65" w:type="dxa"/>
            </w:tcMar>
          </w:tcPr>
          <w:p>
            <w:pPr>
              <w:spacing w:after="0"/>
            </w:pPr>
            <w:r>
              <w:rPr>
                <w:sz w:val="15"/>
              </w:rPr>
              <w:t>SUPERVISOR-COMPETENCE-FOR-SPECIALIZED-ASW-SE</w:t>
            </w:r>
          </w:p>
        </w:tc>
      </w:tr>
      <w:tr>
        <w:trPr>
          <w:cantSplit/>
        </w:trPr>
        <w:tc>
          <w:tcPr>
            <w:tcW w:type="dxa" w:w="5227"/>
            <w:shd w:fill="F2F4F7"/>
            <w:vAlign w:val="center"/>
            <w:tcMar>
              <w:top w:w="55" w:type="dxa"/>
              <w:start w:w="65" w:type="dxa"/>
              <w:bottom w:w="55" w:type="dxa"/>
              <w:end w:w="65" w:type="dxa"/>
            </w:tcMar>
          </w:tcPr>
          <w:p>
            <w:pPr>
              <w:spacing w:after="0"/>
            </w:pPr>
            <w:r>
              <w:rPr>
                <w:sz w:val="15"/>
              </w:rPr>
              <w:t>Primary source control</w:t>
            </w:r>
          </w:p>
        </w:tc>
        <w:tc>
          <w:tcPr>
            <w:tcW w:type="dxa" w:w="5227"/>
            <w:shd w:fill="F2F4F7"/>
            <w:vAlign w:val="center"/>
            <w:tcMar>
              <w:top w:w="55" w:type="dxa"/>
              <w:start w:w="65" w:type="dxa"/>
              <w:bottom w:w="55" w:type="dxa"/>
              <w:end w:w="65" w:type="dxa"/>
            </w:tcMar>
          </w:tcPr>
          <w:p>
            <w:pPr>
              <w:spacing w:after="0"/>
            </w:pPr>
            <w:r>
              <w:rPr>
                <w:sz w:val="15"/>
              </w:rPr>
              <w:t>BBS supervisor qualifications and supervision agreement; NASW Code 3.01</w:t>
            </w:r>
          </w:p>
        </w:tc>
      </w:tr>
      <w:tr>
        <w:trPr>
          <w:cantSplit/>
        </w:trPr>
        <w:tc>
          <w:tcPr>
            <w:tcW w:type="dxa" w:w="5227"/>
            <w:vAlign w:val="center"/>
            <w:tcMar>
              <w:top w:w="55" w:type="dxa"/>
              <w:start w:w="65" w:type="dxa"/>
              <w:bottom w:w="55" w:type="dxa"/>
              <w:end w:w="65" w:type="dxa"/>
            </w:tcMar>
          </w:tcPr>
          <w:p>
            <w:pPr>
              <w:spacing w:after="0"/>
            </w:pPr>
            <w:r>
              <w:rPr>
                <w:sz w:val="15"/>
              </w:rPr>
              <w:t>Currency control</w:t>
            </w:r>
          </w:p>
        </w:tc>
        <w:tc>
          <w:tcPr>
            <w:tcW w:type="dxa" w:w="5227"/>
            <w:vAlign w:val="center"/>
            <w:tcMar>
              <w:top w:w="55" w:type="dxa"/>
              <w:start w:w="65" w:type="dxa"/>
              <w:bottom w:w="55" w:type="dxa"/>
              <w:end w:w="65" w:type="dxa"/>
            </w:tcMar>
          </w:tcPr>
          <w:p>
            <w:pPr>
              <w:spacing w:after="0"/>
            </w:pPr>
            <w:r>
              <w:rPr>
                <w:sz w:val="15"/>
              </w:rPr>
              <w:t>Recheck current California statutes and regulations, BBS Law Changes and forms, setting-specific federal overlays, and the current NASW Code before LMS lock and within 30 days of public release.</w:t>
            </w:r>
          </w:p>
        </w:tc>
      </w:tr>
    </w:tbl>
    <w:p>
      <w:pPr>
        <w:pStyle w:val="Heading1"/>
        <w:pageBreakBefore/>
      </w:pPr>
      <w:r>
        <w:t>Consolidated Remediation Index</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1742"/>
            <w:shd w:fill="17365D"/>
            <w:tcMar>
              <w:top w:w="55" w:type="dxa"/>
              <w:start w:w="65" w:type="dxa"/>
              <w:bottom w:w="55" w:type="dxa"/>
              <w:end w:w="65" w:type="dxa"/>
            </w:tcMar>
            <w:vAlign w:val="center"/>
          </w:tcPr>
          <w:p>
            <w:pPr>
              <w:spacing w:after="0"/>
            </w:pPr>
            <w:r>
              <w:rPr>
                <w:sz w:val="14"/>
              </w:rPr>
            </w:r>
            <w:r>
              <w:rPr>
                <w:b/>
                <w:color w:val="FFFFFF"/>
                <w:sz w:val="14"/>
              </w:rPr>
              <w:t>Item</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Concept</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Domain</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Route</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Error category</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Source control</w:t>
            </w:r>
          </w:p>
        </w:tc>
      </w:tr>
      <w:tr>
        <w:trPr>
          <w:cantSplit/>
        </w:trPr>
        <w:tc>
          <w:tcPr>
            <w:tcW w:type="dxa" w:w="1742"/>
            <w:vAlign w:val="center"/>
            <w:tcMar>
              <w:top w:w="55" w:type="dxa"/>
              <w:start w:w="65" w:type="dxa"/>
              <w:bottom w:w="55" w:type="dxa"/>
              <w:end w:w="65" w:type="dxa"/>
            </w:tcMar>
          </w:tcPr>
          <w:p>
            <w:pPr>
              <w:spacing w:after="0"/>
            </w:pPr>
            <w:r>
              <w:rPr>
                <w:sz w:val="14"/>
              </w:rPr>
              <w:t>1</w:t>
            </w:r>
          </w:p>
        </w:tc>
        <w:tc>
          <w:tcPr>
            <w:tcW w:type="dxa" w:w="1742"/>
            <w:vAlign w:val="center"/>
            <w:tcMar>
              <w:top w:w="55" w:type="dxa"/>
              <w:start w:w="65" w:type="dxa"/>
              <w:bottom w:w="55" w:type="dxa"/>
              <w:end w:w="65" w:type="dxa"/>
            </w:tcMar>
          </w:tcPr>
          <w:p>
            <w:pPr>
              <w:spacing w:after="0"/>
            </w:pPr>
            <w:r>
              <w:rPr>
                <w:sz w:val="14"/>
              </w:rPr>
              <w:t>Competence with a new telehealth platform</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COMPETENCE-WITH-A-NEW-TELEHEALTH-PLATFORM</w:t>
            </w:r>
          </w:p>
        </w:tc>
        <w:tc>
          <w:tcPr>
            <w:tcW w:type="dxa" w:w="1742"/>
            <w:vAlign w:val="center"/>
            <w:tcMar>
              <w:top w:w="55" w:type="dxa"/>
              <w:start w:w="65" w:type="dxa"/>
              <w:bottom w:w="55" w:type="dxa"/>
              <w:end w:w="65" w:type="dxa"/>
            </w:tcMar>
          </w:tcPr>
          <w:p>
            <w:pPr>
              <w:spacing w:after="0"/>
            </w:pPr>
            <w:r>
              <w:rPr>
                <w:sz w:val="14"/>
              </w:rPr>
              <w:t>NASW Code 1.04, 1.07, and 1.15; BBS telehealth guidance</w:t>
            </w:r>
          </w:p>
        </w:tc>
      </w:tr>
      <w:tr>
        <w:trPr>
          <w:cantSplit/>
        </w:trPr>
        <w:tc>
          <w:tcPr>
            <w:tcW w:type="dxa" w:w="1742"/>
            <w:vAlign w:val="center"/>
            <w:tcMar>
              <w:top w:w="55" w:type="dxa"/>
              <w:start w:w="65" w:type="dxa"/>
              <w:bottom w:w="55" w:type="dxa"/>
              <w:end w:w="65" w:type="dxa"/>
            </w:tcMar>
            <w:shd w:fill="F2F4F7"/>
          </w:tcPr>
          <w:p>
            <w:pPr>
              <w:spacing w:after="0"/>
            </w:pPr>
            <w:r>
              <w:rPr>
                <w:sz w:val="14"/>
              </w:rPr>
              <w:t>2</w:t>
            </w:r>
          </w:p>
        </w:tc>
        <w:tc>
          <w:tcPr>
            <w:tcW w:type="dxa" w:w="1742"/>
            <w:vAlign w:val="center"/>
            <w:tcMar>
              <w:top w:w="55" w:type="dxa"/>
              <w:start w:w="65" w:type="dxa"/>
              <w:bottom w:w="55" w:type="dxa"/>
              <w:end w:w="65" w:type="dxa"/>
            </w:tcMar>
            <w:shd w:fill="F2F4F7"/>
          </w:tcPr>
          <w:p>
            <w:pPr>
              <w:spacing w:after="0"/>
            </w:pPr>
            <w:r>
              <w:rPr>
                <w:sz w:val="14"/>
              </w:rPr>
              <w:t>Immediate supervision response to falsified high-risk documentation</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WB4</w:t>
            </w:r>
          </w:p>
        </w:tc>
        <w:tc>
          <w:tcPr>
            <w:tcW w:type="dxa" w:w="1742"/>
            <w:vAlign w:val="center"/>
            <w:tcMar>
              <w:top w:w="55" w:type="dxa"/>
              <w:start w:w="65" w:type="dxa"/>
              <w:bottom w:w="55" w:type="dxa"/>
              <w:end w:w="65" w:type="dxa"/>
            </w:tcMar>
            <w:shd w:fill="F2F4F7"/>
          </w:tcPr>
          <w:p>
            <w:pPr>
              <w:spacing w:after="0"/>
            </w:pPr>
            <w:r>
              <w:rPr>
                <w:sz w:val="14"/>
              </w:rPr>
              <w:t>HIGH-RISK-DOCUMENTATION-INTEGRITY</w:t>
            </w:r>
          </w:p>
        </w:tc>
        <w:tc>
          <w:tcPr>
            <w:tcW w:type="dxa" w:w="1742"/>
            <w:vAlign w:val="center"/>
            <w:tcMar>
              <w:top w:w="55" w:type="dxa"/>
              <w:start w:w="65" w:type="dxa"/>
              <w:bottom w:w="55" w:type="dxa"/>
              <w:end w:w="65" w:type="dxa"/>
            </w:tcMar>
            <w:shd w:fill="F2F4F7"/>
          </w:tcPr>
          <w:p>
            <w:pPr>
              <w:spacing w:after="0"/>
            </w:pPr>
            <w:r>
              <w:rPr>
                <w:sz w:val="14"/>
              </w:rPr>
              <w:t>NASW Code 1.01, 3.01, 3.03, 4.04, and 4.05; BPC 4992.3</w:t>
            </w:r>
          </w:p>
        </w:tc>
      </w:tr>
      <w:tr>
        <w:trPr>
          <w:cantSplit/>
        </w:trPr>
        <w:tc>
          <w:tcPr>
            <w:tcW w:type="dxa" w:w="1742"/>
            <w:vAlign w:val="center"/>
            <w:tcMar>
              <w:top w:w="55" w:type="dxa"/>
              <w:start w:w="65" w:type="dxa"/>
              <w:bottom w:w="55" w:type="dxa"/>
              <w:end w:w="65" w:type="dxa"/>
            </w:tcMar>
          </w:tcPr>
          <w:p>
            <w:pPr>
              <w:spacing w:after="0"/>
            </w:pPr>
            <w:r>
              <w:rPr>
                <w:sz w:val="14"/>
              </w:rPr>
              <w:t>3</w:t>
            </w:r>
          </w:p>
        </w:tc>
        <w:tc>
          <w:tcPr>
            <w:tcW w:type="dxa" w:w="1742"/>
            <w:vAlign w:val="center"/>
            <w:tcMar>
              <w:top w:w="55" w:type="dxa"/>
              <w:start w:w="65" w:type="dxa"/>
              <w:bottom w:w="55" w:type="dxa"/>
              <w:end w:w="65" w:type="dxa"/>
            </w:tcMar>
          </w:tcPr>
          <w:p>
            <w:pPr>
              <w:spacing w:after="0"/>
            </w:pPr>
            <w:r>
              <w:rPr>
                <w:sz w:val="14"/>
              </w:rPr>
              <w:t>Material fee change and renewed informed consent</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MATERIAL-FEE-CHANGE-AND-RENEWED-INFORMED-CON</w:t>
            </w:r>
          </w:p>
        </w:tc>
        <w:tc>
          <w:tcPr>
            <w:tcW w:type="dxa" w:w="1742"/>
            <w:vAlign w:val="center"/>
            <w:tcMar>
              <w:top w:w="55" w:type="dxa"/>
              <w:start w:w="65" w:type="dxa"/>
              <w:bottom w:w="55" w:type="dxa"/>
              <w:end w:w="65" w:type="dxa"/>
            </w:tcMar>
          </w:tcPr>
          <w:p>
            <w:pPr>
              <w:spacing w:after="0"/>
            </w:pPr>
            <w:r>
              <w:rPr>
                <w:sz w:val="14"/>
              </w:rPr>
              <w:t>NASW Code 1.03 and 1.13; applicable California consent and fee-disclosure requirements</w:t>
            </w:r>
          </w:p>
        </w:tc>
      </w:tr>
      <w:tr>
        <w:trPr>
          <w:cantSplit/>
        </w:trPr>
        <w:tc>
          <w:tcPr>
            <w:tcW w:type="dxa" w:w="1742"/>
            <w:vAlign w:val="center"/>
            <w:tcMar>
              <w:top w:w="55" w:type="dxa"/>
              <w:start w:w="65" w:type="dxa"/>
              <w:bottom w:w="55" w:type="dxa"/>
              <w:end w:w="65" w:type="dxa"/>
            </w:tcMar>
            <w:shd w:fill="F2F4F7"/>
          </w:tcPr>
          <w:p>
            <w:pPr>
              <w:spacing w:after="0"/>
            </w:pPr>
            <w:r>
              <w:rPr>
                <w:sz w:val="14"/>
              </w:rPr>
              <w:t>4</w:t>
            </w:r>
          </w:p>
        </w:tc>
        <w:tc>
          <w:tcPr>
            <w:tcW w:type="dxa" w:w="1742"/>
            <w:vAlign w:val="center"/>
            <w:tcMar>
              <w:top w:w="55" w:type="dxa"/>
              <w:start w:w="65" w:type="dxa"/>
              <w:bottom w:w="55" w:type="dxa"/>
              <w:end w:w="65" w:type="dxa"/>
            </w:tcMar>
            <w:shd w:fill="F2F4F7"/>
          </w:tcPr>
          <w:p>
            <w:pPr>
              <w:spacing w:after="0"/>
            </w:pPr>
            <w:r>
              <w:rPr>
                <w:sz w:val="14"/>
              </w:rPr>
              <w:t>Continuity after clinician hospitalization</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WB4</w:t>
            </w:r>
          </w:p>
        </w:tc>
        <w:tc>
          <w:tcPr>
            <w:tcW w:type="dxa" w:w="1742"/>
            <w:vAlign w:val="center"/>
            <w:tcMar>
              <w:top w:w="55" w:type="dxa"/>
              <w:start w:w="65" w:type="dxa"/>
              <w:bottom w:w="55" w:type="dxa"/>
              <w:end w:w="65" w:type="dxa"/>
            </w:tcMar>
            <w:shd w:fill="F2F4F7"/>
          </w:tcPr>
          <w:p>
            <w:pPr>
              <w:spacing w:after="0"/>
            </w:pPr>
            <w:r>
              <w:rPr>
                <w:sz w:val="14"/>
              </w:rPr>
              <w:t>CONTINUITY-AFTER-CLINICIAN-HOSPITALIZATION</w:t>
            </w:r>
          </w:p>
        </w:tc>
        <w:tc>
          <w:tcPr>
            <w:tcW w:type="dxa" w:w="1742"/>
            <w:vAlign w:val="center"/>
            <w:tcMar>
              <w:top w:w="55" w:type="dxa"/>
              <w:start w:w="65" w:type="dxa"/>
              <w:bottom w:w="55" w:type="dxa"/>
              <w:end w:w="65" w:type="dxa"/>
            </w:tcMar>
            <w:shd w:fill="F2F4F7"/>
          </w:tcPr>
          <w:p>
            <w:pPr>
              <w:spacing w:after="0"/>
            </w:pPr>
            <w:r>
              <w:rPr>
                <w:sz w:val="14"/>
              </w:rPr>
              <w:t>NASW Code 1.15 and 1.16; applicable record and emergency-planning requirements</w:t>
            </w:r>
          </w:p>
        </w:tc>
      </w:tr>
      <w:tr>
        <w:trPr>
          <w:cantSplit/>
        </w:trPr>
        <w:tc>
          <w:tcPr>
            <w:tcW w:type="dxa" w:w="1742"/>
            <w:vAlign w:val="center"/>
            <w:tcMar>
              <w:top w:w="55" w:type="dxa"/>
              <w:start w:w="65" w:type="dxa"/>
              <w:bottom w:w="55" w:type="dxa"/>
              <w:end w:w="65" w:type="dxa"/>
            </w:tcMar>
          </w:tcPr>
          <w:p>
            <w:pPr>
              <w:spacing w:after="0"/>
            </w:pPr>
            <w:r>
              <w:rPr>
                <w:sz w:val="14"/>
              </w:rPr>
              <w:t>5</w:t>
            </w:r>
          </w:p>
        </w:tc>
        <w:tc>
          <w:tcPr>
            <w:tcW w:type="dxa" w:w="1742"/>
            <w:vAlign w:val="center"/>
            <w:tcMar>
              <w:top w:w="55" w:type="dxa"/>
              <w:start w:w="65" w:type="dxa"/>
              <w:bottom w:w="55" w:type="dxa"/>
              <w:end w:w="65" w:type="dxa"/>
            </w:tcMar>
          </w:tcPr>
          <w:p>
            <w:pPr>
              <w:spacing w:after="0"/>
            </w:pPr>
            <w:r>
              <w:rPr>
                <w:sz w:val="14"/>
              </w:rPr>
              <w:t>Mandated or employer-referred service consent</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MANDATED-OR-EMPLOYER-REFERRED-SERVICE-CONSEN</w:t>
            </w:r>
          </w:p>
        </w:tc>
        <w:tc>
          <w:tcPr>
            <w:tcW w:type="dxa" w:w="1742"/>
            <w:vAlign w:val="center"/>
            <w:tcMar>
              <w:top w:w="55" w:type="dxa"/>
              <w:start w:w="65" w:type="dxa"/>
              <w:bottom w:w="55" w:type="dxa"/>
              <w:end w:w="65" w:type="dxa"/>
            </w:tcMar>
          </w:tcPr>
          <w:p>
            <w:pPr>
              <w:spacing w:after="0"/>
            </w:pPr>
            <w:r>
              <w:rPr>
                <w:sz w:val="14"/>
              </w:rPr>
              <w:t>NASW Code 1.03 and 1.07; applicable setting and contract requirements</w:t>
            </w:r>
          </w:p>
        </w:tc>
      </w:tr>
      <w:tr>
        <w:trPr>
          <w:cantSplit/>
        </w:trPr>
        <w:tc>
          <w:tcPr>
            <w:tcW w:type="dxa" w:w="1742"/>
            <w:vAlign w:val="center"/>
            <w:tcMar>
              <w:top w:w="55" w:type="dxa"/>
              <w:start w:w="65" w:type="dxa"/>
              <w:bottom w:w="55" w:type="dxa"/>
              <w:end w:w="65" w:type="dxa"/>
            </w:tcMar>
            <w:shd w:fill="F2F4F7"/>
          </w:tcPr>
          <w:p>
            <w:pPr>
              <w:spacing w:after="0"/>
            </w:pPr>
            <w:r>
              <w:rPr>
                <w:sz w:val="14"/>
              </w:rPr>
              <w:t>6</w:t>
            </w:r>
          </w:p>
        </w:tc>
        <w:tc>
          <w:tcPr>
            <w:tcW w:type="dxa" w:w="1742"/>
            <w:vAlign w:val="center"/>
            <w:tcMar>
              <w:top w:w="55" w:type="dxa"/>
              <w:start w:w="65" w:type="dxa"/>
              <w:bottom w:w="55" w:type="dxa"/>
              <w:end w:w="65" w:type="dxa"/>
            </w:tcMar>
            <w:shd w:fill="F2F4F7"/>
          </w:tcPr>
          <w:p>
            <w:pPr>
              <w:spacing w:after="0"/>
            </w:pPr>
            <w:r>
              <w:rPr>
                <w:sz w:val="14"/>
              </w:rPr>
              <w:t>Repairing an error associated with impairment</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WB4</w:t>
            </w:r>
          </w:p>
        </w:tc>
        <w:tc>
          <w:tcPr>
            <w:tcW w:type="dxa" w:w="1742"/>
            <w:vAlign w:val="center"/>
            <w:tcMar>
              <w:top w:w="55" w:type="dxa"/>
              <w:start w:w="65" w:type="dxa"/>
              <w:bottom w:w="55" w:type="dxa"/>
              <w:end w:w="65" w:type="dxa"/>
            </w:tcMar>
            <w:shd w:fill="F2F4F7"/>
          </w:tcPr>
          <w:p>
            <w:pPr>
              <w:spacing w:after="0"/>
            </w:pPr>
            <w:r>
              <w:rPr>
                <w:sz w:val="14"/>
              </w:rPr>
              <w:t>REPAIRING-AN-ERROR-ASSOCIATED-WITH-IMPAIRMEN</w:t>
            </w:r>
          </w:p>
        </w:tc>
        <w:tc>
          <w:tcPr>
            <w:tcW w:type="dxa" w:w="1742"/>
            <w:vAlign w:val="center"/>
            <w:tcMar>
              <w:top w:w="55" w:type="dxa"/>
              <w:start w:w="65" w:type="dxa"/>
              <w:bottom w:w="55" w:type="dxa"/>
              <w:end w:w="65" w:type="dxa"/>
            </w:tcMar>
            <w:shd w:fill="F2F4F7"/>
          </w:tcPr>
          <w:p>
            <w:pPr>
              <w:spacing w:after="0"/>
            </w:pPr>
            <w:r>
              <w:rPr>
                <w:sz w:val="14"/>
              </w:rPr>
              <w:t>NASW Code 1.01, 1.04, 4.04, and 4.05; applicable disclosure and documentation standards</w:t>
            </w:r>
          </w:p>
        </w:tc>
      </w:tr>
      <w:tr>
        <w:trPr>
          <w:cantSplit/>
        </w:trPr>
        <w:tc>
          <w:tcPr>
            <w:tcW w:type="dxa" w:w="1742"/>
            <w:vAlign w:val="center"/>
            <w:tcMar>
              <w:top w:w="55" w:type="dxa"/>
              <w:start w:w="65" w:type="dxa"/>
              <w:bottom w:w="55" w:type="dxa"/>
              <w:end w:w="65" w:type="dxa"/>
            </w:tcMar>
          </w:tcPr>
          <w:p>
            <w:pPr>
              <w:spacing w:after="0"/>
            </w:pPr>
            <w:r>
              <w:rPr>
                <w:sz w:val="14"/>
              </w:rPr>
              <w:t>7</w:t>
            </w:r>
          </w:p>
        </w:tc>
        <w:tc>
          <w:tcPr>
            <w:tcW w:type="dxa" w:w="1742"/>
            <w:vAlign w:val="center"/>
            <w:tcMar>
              <w:top w:w="55" w:type="dxa"/>
              <w:start w:w="65" w:type="dxa"/>
              <w:bottom w:w="55" w:type="dxa"/>
              <w:end w:w="65" w:type="dxa"/>
            </w:tcMar>
          </w:tcPr>
          <w:p>
            <w:pPr>
              <w:spacing w:after="0"/>
            </w:pPr>
            <w:r>
              <w:rPr>
                <w:sz w:val="14"/>
              </w:rPr>
              <w:t>Falsification or deceptive alteration of records</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WB9</w:t>
            </w:r>
          </w:p>
        </w:tc>
        <w:tc>
          <w:tcPr>
            <w:tcW w:type="dxa" w:w="1742"/>
            <w:vAlign w:val="center"/>
            <w:tcMar>
              <w:top w:w="55" w:type="dxa"/>
              <w:start w:w="65" w:type="dxa"/>
              <w:bottom w:w="55" w:type="dxa"/>
              <w:end w:w="65" w:type="dxa"/>
            </w:tcMar>
          </w:tcPr>
          <w:p>
            <w:pPr>
              <w:spacing w:after="0"/>
            </w:pPr>
            <w:r>
              <w:rPr>
                <w:sz w:val="14"/>
              </w:rPr>
              <w:t>FALSIFICATION-OR-DECEPTIVE-ALTERATION-OF-REC</w:t>
            </w:r>
          </w:p>
        </w:tc>
        <w:tc>
          <w:tcPr>
            <w:tcW w:type="dxa" w:w="1742"/>
            <w:vAlign w:val="center"/>
            <w:tcMar>
              <w:top w:w="55" w:type="dxa"/>
              <w:start w:w="65" w:type="dxa"/>
              <w:bottom w:w="55" w:type="dxa"/>
              <w:end w:w="65" w:type="dxa"/>
            </w:tcMar>
          </w:tcPr>
          <w:p>
            <w:pPr>
              <w:spacing w:after="0"/>
            </w:pPr>
            <w:r>
              <w:rPr>
                <w:sz w:val="14"/>
              </w:rPr>
              <w:t>BPC 4992.3; NASW Code 3.04 and 4.04</w:t>
            </w:r>
          </w:p>
        </w:tc>
      </w:tr>
      <w:tr>
        <w:trPr>
          <w:cantSplit/>
        </w:trPr>
        <w:tc>
          <w:tcPr>
            <w:tcW w:type="dxa" w:w="1742"/>
            <w:vAlign w:val="center"/>
            <w:tcMar>
              <w:top w:w="55" w:type="dxa"/>
              <w:start w:w="65" w:type="dxa"/>
              <w:bottom w:w="55" w:type="dxa"/>
              <w:end w:w="65" w:type="dxa"/>
            </w:tcMar>
            <w:shd w:fill="F2F4F7"/>
          </w:tcPr>
          <w:p>
            <w:pPr>
              <w:spacing w:after="0"/>
            </w:pPr>
            <w:r>
              <w:rPr>
                <w:sz w:val="14"/>
              </w:rPr>
              <w:t>8</w:t>
            </w:r>
          </w:p>
        </w:tc>
        <w:tc>
          <w:tcPr>
            <w:tcW w:type="dxa" w:w="1742"/>
            <w:vAlign w:val="center"/>
            <w:tcMar>
              <w:top w:w="55" w:type="dxa"/>
              <w:start w:w="65" w:type="dxa"/>
              <w:bottom w:w="55" w:type="dxa"/>
              <w:end w:w="65" w:type="dxa"/>
            </w:tcMar>
            <w:shd w:fill="F2F4F7"/>
          </w:tcPr>
          <w:p>
            <w:pPr>
              <w:spacing w:after="0"/>
            </w:pPr>
            <w:r>
              <w:rPr>
                <w:sz w:val="14"/>
              </w:rPr>
              <w:t>Client financing offer and financial-boundary conflict</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WB6</w:t>
            </w:r>
          </w:p>
        </w:tc>
        <w:tc>
          <w:tcPr>
            <w:tcW w:type="dxa" w:w="1742"/>
            <w:vAlign w:val="center"/>
            <w:tcMar>
              <w:top w:w="55" w:type="dxa"/>
              <w:start w:w="65" w:type="dxa"/>
              <w:bottom w:w="55" w:type="dxa"/>
              <w:end w:w="65" w:type="dxa"/>
            </w:tcMar>
            <w:shd w:fill="F2F4F7"/>
          </w:tcPr>
          <w:p>
            <w:pPr>
              <w:spacing w:after="0"/>
            </w:pPr>
            <w:r>
              <w:rPr>
                <w:sz w:val="14"/>
              </w:rPr>
              <w:t>FINANCIAL-ENTANGLEMENT</w:t>
            </w:r>
          </w:p>
        </w:tc>
        <w:tc>
          <w:tcPr>
            <w:tcW w:type="dxa" w:w="1742"/>
            <w:vAlign w:val="center"/>
            <w:tcMar>
              <w:top w:w="55" w:type="dxa"/>
              <w:start w:w="65" w:type="dxa"/>
              <w:bottom w:w="55" w:type="dxa"/>
              <w:end w:w="65" w:type="dxa"/>
            </w:tcMar>
            <w:shd w:fill="F2F4F7"/>
          </w:tcPr>
          <w:p>
            <w:pPr>
              <w:spacing w:after="0"/>
            </w:pPr>
            <w:r>
              <w:rPr>
                <w:sz w:val="14"/>
              </w:rPr>
              <w:t>NASW Code 1.06 and 1.13; applicable exploitation and conflict-of-interest law</w:t>
            </w:r>
          </w:p>
        </w:tc>
      </w:tr>
      <w:tr>
        <w:trPr>
          <w:cantSplit/>
        </w:trPr>
        <w:tc>
          <w:tcPr>
            <w:tcW w:type="dxa" w:w="1742"/>
            <w:vAlign w:val="center"/>
            <w:tcMar>
              <w:top w:w="55" w:type="dxa"/>
              <w:start w:w="65" w:type="dxa"/>
              <w:bottom w:w="55" w:type="dxa"/>
              <w:end w:w="65" w:type="dxa"/>
            </w:tcMar>
          </w:tcPr>
          <w:p>
            <w:pPr>
              <w:spacing w:after="0"/>
            </w:pPr>
            <w:r>
              <w:rPr>
                <w:sz w:val="14"/>
              </w:rPr>
              <w:t>9</w:t>
            </w:r>
          </w:p>
        </w:tc>
        <w:tc>
          <w:tcPr>
            <w:tcW w:type="dxa" w:w="1742"/>
            <w:vAlign w:val="center"/>
            <w:tcMar>
              <w:top w:w="55" w:type="dxa"/>
              <w:start w:w="65" w:type="dxa"/>
              <w:bottom w:w="55" w:type="dxa"/>
              <w:end w:w="65" w:type="dxa"/>
            </w:tcMar>
          </w:tcPr>
          <w:p>
            <w:pPr>
              <w:spacing w:after="0"/>
            </w:pPr>
            <w:r>
              <w:rPr>
                <w:sz w:val="14"/>
              </w:rPr>
              <w:t>Adolescent goals and parental pressure</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ADOLESCENT-GOALS-AND-PARENTAL-PRESSURE</w:t>
            </w:r>
          </w:p>
        </w:tc>
        <w:tc>
          <w:tcPr>
            <w:tcW w:type="dxa" w:w="1742"/>
            <w:vAlign w:val="center"/>
            <w:tcMar>
              <w:top w:w="55" w:type="dxa"/>
              <w:start w:w="65" w:type="dxa"/>
              <w:bottom w:w="55" w:type="dxa"/>
              <w:end w:w="65" w:type="dxa"/>
            </w:tcMar>
          </w:tcPr>
          <w:p>
            <w:pPr>
              <w:spacing w:after="0"/>
            </w:pPr>
            <w:r>
              <w:rPr>
                <w:sz w:val="14"/>
              </w:rPr>
              <w:t>NASW Code 1.01, 1.02, 1.03, and 1.07; applicable minor-consent law</w:t>
            </w:r>
          </w:p>
        </w:tc>
      </w:tr>
      <w:tr>
        <w:trPr>
          <w:cantSplit/>
        </w:trPr>
        <w:tc>
          <w:tcPr>
            <w:tcW w:type="dxa" w:w="1742"/>
            <w:vAlign w:val="center"/>
            <w:tcMar>
              <w:top w:w="55" w:type="dxa"/>
              <w:start w:w="65" w:type="dxa"/>
              <w:bottom w:w="55" w:type="dxa"/>
              <w:end w:w="65" w:type="dxa"/>
            </w:tcMar>
            <w:shd w:fill="F2F4F7"/>
          </w:tcPr>
          <w:p>
            <w:pPr>
              <w:spacing w:after="0"/>
            </w:pPr>
            <w:r>
              <w:rPr>
                <w:sz w:val="14"/>
              </w:rPr>
              <w:t>10</w:t>
            </w:r>
          </w:p>
        </w:tc>
        <w:tc>
          <w:tcPr>
            <w:tcW w:type="dxa" w:w="1742"/>
            <w:vAlign w:val="center"/>
            <w:tcMar>
              <w:top w:w="55" w:type="dxa"/>
              <w:start w:w="65" w:type="dxa"/>
              <w:bottom w:w="55" w:type="dxa"/>
              <w:end w:w="65" w:type="dxa"/>
            </w:tcMar>
            <w:shd w:fill="F2F4F7"/>
          </w:tcPr>
          <w:p>
            <w:pPr>
              <w:spacing w:after="0"/>
            </w:pPr>
            <w:r>
              <w:rPr>
                <w:sz w:val="14"/>
              </w:rPr>
              <w:t>Documenting significant consultation</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DOCUMENTING-SIGNIFICANT-CONSULTATION</w:t>
            </w:r>
          </w:p>
        </w:tc>
        <w:tc>
          <w:tcPr>
            <w:tcW w:type="dxa" w:w="1742"/>
            <w:vAlign w:val="center"/>
            <w:tcMar>
              <w:top w:w="55" w:type="dxa"/>
              <w:start w:w="65" w:type="dxa"/>
              <w:bottom w:w="55" w:type="dxa"/>
              <w:end w:w="65" w:type="dxa"/>
            </w:tcMar>
            <w:shd w:fill="F2F4F7"/>
          </w:tcPr>
          <w:p>
            <w:pPr>
              <w:spacing w:after="0"/>
            </w:pPr>
            <w:r>
              <w:rPr>
                <w:sz w:val="14"/>
              </w:rPr>
              <w:t>NASW Code 2.05 and 3.04; applicable documentation standards</w:t>
            </w:r>
          </w:p>
        </w:tc>
      </w:tr>
      <w:tr>
        <w:trPr>
          <w:cantSplit/>
        </w:trPr>
        <w:tc>
          <w:tcPr>
            <w:tcW w:type="dxa" w:w="1742"/>
            <w:vAlign w:val="center"/>
            <w:tcMar>
              <w:top w:w="55" w:type="dxa"/>
              <w:start w:w="65" w:type="dxa"/>
              <w:bottom w:w="55" w:type="dxa"/>
              <w:end w:w="65" w:type="dxa"/>
            </w:tcMar>
          </w:tcPr>
          <w:p>
            <w:pPr>
              <w:spacing w:after="0"/>
            </w:pPr>
            <w:r>
              <w:rPr>
                <w:sz w:val="14"/>
              </w:rPr>
              <w:t>11</w:t>
            </w:r>
          </w:p>
        </w:tc>
        <w:tc>
          <w:tcPr>
            <w:tcW w:type="dxa" w:w="1742"/>
            <w:vAlign w:val="center"/>
            <w:tcMar>
              <w:top w:w="55" w:type="dxa"/>
              <w:start w:w="65" w:type="dxa"/>
              <w:bottom w:w="55" w:type="dxa"/>
              <w:end w:w="65" w:type="dxa"/>
            </w:tcMar>
          </w:tcPr>
          <w:p>
            <w:pPr>
              <w:spacing w:after="0"/>
            </w:pPr>
            <w:r>
              <w:rPr>
                <w:sz w:val="14"/>
              </w:rPr>
              <w:t>Scope of practice versus scope of competence</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WB3</w:t>
            </w:r>
          </w:p>
        </w:tc>
        <w:tc>
          <w:tcPr>
            <w:tcW w:type="dxa" w:w="1742"/>
            <w:vAlign w:val="center"/>
            <w:tcMar>
              <w:top w:w="55" w:type="dxa"/>
              <w:start w:w="65" w:type="dxa"/>
              <w:bottom w:w="55" w:type="dxa"/>
              <w:end w:w="65" w:type="dxa"/>
            </w:tcMar>
          </w:tcPr>
          <w:p>
            <w:pPr>
              <w:spacing w:after="0"/>
            </w:pPr>
            <w:r>
              <w:rPr>
                <w:sz w:val="14"/>
              </w:rPr>
              <w:t>SCOPE-OF-PRACTICE-VERSUS-SCOPE-OF-COMPETENCE</w:t>
            </w:r>
          </w:p>
        </w:tc>
        <w:tc>
          <w:tcPr>
            <w:tcW w:type="dxa" w:w="1742"/>
            <w:vAlign w:val="center"/>
            <w:tcMar>
              <w:top w:w="55" w:type="dxa"/>
              <w:start w:w="65" w:type="dxa"/>
              <w:bottom w:w="55" w:type="dxa"/>
              <w:end w:w="65" w:type="dxa"/>
            </w:tcMar>
          </w:tcPr>
          <w:p>
            <w:pPr>
              <w:spacing w:after="0"/>
            </w:pPr>
            <w:r>
              <w:rPr>
                <w:sz w:val="14"/>
              </w:rPr>
              <w:t>BPC 4996.9 and 4992.3; NASW Code 1.04</w:t>
            </w:r>
          </w:p>
        </w:tc>
      </w:tr>
      <w:tr>
        <w:trPr>
          <w:cantSplit/>
        </w:trPr>
        <w:tc>
          <w:tcPr>
            <w:tcW w:type="dxa" w:w="1742"/>
            <w:vAlign w:val="center"/>
            <w:tcMar>
              <w:top w:w="55" w:type="dxa"/>
              <w:start w:w="65" w:type="dxa"/>
              <w:bottom w:w="55" w:type="dxa"/>
              <w:end w:w="65" w:type="dxa"/>
            </w:tcMar>
            <w:shd w:fill="F2F4F7"/>
          </w:tcPr>
          <w:p>
            <w:pPr>
              <w:spacing w:after="0"/>
            </w:pPr>
            <w:r>
              <w:rPr>
                <w:sz w:val="14"/>
              </w:rPr>
              <w:t>12</w:t>
            </w:r>
          </w:p>
        </w:tc>
        <w:tc>
          <w:tcPr>
            <w:tcW w:type="dxa" w:w="1742"/>
            <w:vAlign w:val="center"/>
            <w:tcMar>
              <w:top w:w="55" w:type="dxa"/>
              <w:start w:w="65" w:type="dxa"/>
              <w:bottom w:w="55" w:type="dxa"/>
              <w:end w:w="65" w:type="dxa"/>
            </w:tcMar>
            <w:shd w:fill="F2F4F7"/>
          </w:tcPr>
          <w:p>
            <w:pPr>
              <w:spacing w:after="0"/>
            </w:pPr>
            <w:r>
              <w:rPr>
                <w:sz w:val="14"/>
              </w:rPr>
              <w:t>Supervisor license lapse and lawful ASW supervision structure</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LS Module</w:t>
            </w:r>
          </w:p>
        </w:tc>
        <w:tc>
          <w:tcPr>
            <w:tcW w:type="dxa" w:w="1742"/>
            <w:vAlign w:val="center"/>
            <w:tcMar>
              <w:top w:w="55" w:type="dxa"/>
              <w:start w:w="65" w:type="dxa"/>
              <w:bottom w:w="55" w:type="dxa"/>
              <w:end w:w="65" w:type="dxa"/>
            </w:tcMar>
            <w:shd w:fill="F2F4F7"/>
          </w:tcPr>
          <w:p>
            <w:pPr>
              <w:spacing w:after="0"/>
            </w:pPr>
            <w:r>
              <w:rPr>
                <w:sz w:val="14"/>
              </w:rPr>
              <w:t>SUPERVISOR-LICENSE-STATUS</w:t>
            </w:r>
          </w:p>
        </w:tc>
        <w:tc>
          <w:tcPr>
            <w:tcW w:type="dxa" w:w="1742"/>
            <w:vAlign w:val="center"/>
            <w:tcMar>
              <w:top w:w="55" w:type="dxa"/>
              <w:start w:w="65" w:type="dxa"/>
              <w:bottom w:w="55" w:type="dxa"/>
              <w:end w:w="65" w:type="dxa"/>
            </w:tcMar>
            <w:shd w:fill="F2F4F7"/>
          </w:tcPr>
          <w:p>
            <w:pPr>
              <w:spacing w:after="0"/>
            </w:pPr>
            <w:r>
              <w:rPr>
                <w:sz w:val="14"/>
              </w:rPr>
              <w:t>BPC 4996.23 and 4996.23.1; BBS ASW Supervisor Information and Supervision Agreement revised May 2026</w:t>
            </w:r>
          </w:p>
        </w:tc>
      </w:tr>
      <w:tr>
        <w:trPr>
          <w:cantSplit/>
        </w:trPr>
        <w:tc>
          <w:tcPr>
            <w:tcW w:type="dxa" w:w="1742"/>
            <w:vAlign w:val="center"/>
            <w:tcMar>
              <w:top w:w="55" w:type="dxa"/>
              <w:start w:w="65" w:type="dxa"/>
              <w:bottom w:w="55" w:type="dxa"/>
              <w:end w:w="65" w:type="dxa"/>
            </w:tcMar>
          </w:tcPr>
          <w:p>
            <w:pPr>
              <w:spacing w:after="0"/>
            </w:pPr>
            <w:r>
              <w:rPr>
                <w:sz w:val="14"/>
              </w:rPr>
              <w:t>13</w:t>
            </w:r>
          </w:p>
        </w:tc>
        <w:tc>
          <w:tcPr>
            <w:tcW w:type="dxa" w:w="1742"/>
            <w:vAlign w:val="center"/>
            <w:tcMar>
              <w:top w:w="55" w:type="dxa"/>
              <w:start w:w="65" w:type="dxa"/>
              <w:bottom w:w="55" w:type="dxa"/>
              <w:end w:w="65" w:type="dxa"/>
            </w:tcMar>
          </w:tcPr>
          <w:p>
            <w:pPr>
              <w:spacing w:after="0"/>
            </w:pPr>
            <w:r>
              <w:rPr>
                <w:sz w:val="14"/>
              </w:rPr>
              <w:t>Client located outside California during telehealth</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CLIENT-LOCATED-OUTSIDE-CALIFORNIA-DURING-TEL</w:t>
            </w:r>
          </w:p>
        </w:tc>
        <w:tc>
          <w:tcPr>
            <w:tcW w:type="dxa" w:w="1742"/>
            <w:vAlign w:val="center"/>
            <w:tcMar>
              <w:top w:w="55" w:type="dxa"/>
              <w:start w:w="65" w:type="dxa"/>
              <w:bottom w:w="55" w:type="dxa"/>
              <w:end w:w="65" w:type="dxa"/>
            </w:tcMar>
          </w:tcPr>
          <w:p>
            <w:pPr>
              <w:spacing w:after="0"/>
            </w:pPr>
            <w:r>
              <w:rPr>
                <w:sz w:val="14"/>
              </w:rPr>
              <w:t>BBS telehealth guidance; laws of the client location; NASW Code 1.04 and 1.15</w:t>
            </w:r>
          </w:p>
        </w:tc>
      </w:tr>
      <w:tr>
        <w:trPr>
          <w:cantSplit/>
        </w:trPr>
        <w:tc>
          <w:tcPr>
            <w:tcW w:type="dxa" w:w="1742"/>
            <w:vAlign w:val="center"/>
            <w:tcMar>
              <w:top w:w="55" w:type="dxa"/>
              <w:start w:w="65" w:type="dxa"/>
              <w:bottom w:w="55" w:type="dxa"/>
              <w:end w:w="65" w:type="dxa"/>
            </w:tcMar>
            <w:shd w:fill="F2F4F7"/>
          </w:tcPr>
          <w:p>
            <w:pPr>
              <w:spacing w:after="0"/>
            </w:pPr>
            <w:r>
              <w:rPr>
                <w:sz w:val="14"/>
              </w:rPr>
              <w:t>14</w:t>
            </w:r>
          </w:p>
        </w:tc>
        <w:tc>
          <w:tcPr>
            <w:tcW w:type="dxa" w:w="1742"/>
            <w:vAlign w:val="center"/>
            <w:tcMar>
              <w:top w:w="55" w:type="dxa"/>
              <w:start w:w="65" w:type="dxa"/>
              <w:bottom w:w="55" w:type="dxa"/>
              <w:end w:w="65" w:type="dxa"/>
            </w:tcMar>
            <w:shd w:fill="F2F4F7"/>
          </w:tcPr>
          <w:p>
            <w:pPr>
              <w:spacing w:after="0"/>
            </w:pPr>
            <w:r>
              <w:rPr>
                <w:sz w:val="14"/>
              </w:rPr>
              <w:t>Organizational workload and unsafe practice conditions</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WB4</w:t>
            </w:r>
          </w:p>
        </w:tc>
        <w:tc>
          <w:tcPr>
            <w:tcW w:type="dxa" w:w="1742"/>
            <w:vAlign w:val="center"/>
            <w:tcMar>
              <w:top w:w="55" w:type="dxa"/>
              <w:start w:w="65" w:type="dxa"/>
              <w:bottom w:w="55" w:type="dxa"/>
              <w:end w:w="65" w:type="dxa"/>
            </w:tcMar>
            <w:shd w:fill="F2F4F7"/>
          </w:tcPr>
          <w:p>
            <w:pPr>
              <w:spacing w:after="0"/>
            </w:pPr>
            <w:r>
              <w:rPr>
                <w:sz w:val="14"/>
              </w:rPr>
              <w:t>ORGANIZATIONAL-WORKLOAD-AND-UNSAFE-PRACTICE-</w:t>
            </w:r>
          </w:p>
        </w:tc>
        <w:tc>
          <w:tcPr>
            <w:tcW w:type="dxa" w:w="1742"/>
            <w:vAlign w:val="center"/>
            <w:tcMar>
              <w:top w:w="55" w:type="dxa"/>
              <w:start w:w="65" w:type="dxa"/>
              <w:bottom w:w="55" w:type="dxa"/>
              <w:end w:w="65" w:type="dxa"/>
            </w:tcMar>
            <w:shd w:fill="F2F4F7"/>
          </w:tcPr>
          <w:p>
            <w:pPr>
              <w:spacing w:after="0"/>
            </w:pPr>
            <w:r>
              <w:rPr>
                <w:sz w:val="14"/>
              </w:rPr>
              <w:t>NASW Code 3.07 and 3.09; applicable professional-conduct law</w:t>
            </w:r>
          </w:p>
        </w:tc>
      </w:tr>
      <w:tr>
        <w:trPr>
          <w:cantSplit/>
        </w:trPr>
        <w:tc>
          <w:tcPr>
            <w:tcW w:type="dxa" w:w="1742"/>
            <w:vAlign w:val="center"/>
            <w:tcMar>
              <w:top w:w="55" w:type="dxa"/>
              <w:start w:w="65" w:type="dxa"/>
              <w:bottom w:w="55" w:type="dxa"/>
              <w:end w:w="65" w:type="dxa"/>
            </w:tcMar>
          </w:tcPr>
          <w:p>
            <w:pPr>
              <w:spacing w:after="0"/>
            </w:pPr>
            <w:r>
              <w:rPr>
                <w:sz w:val="14"/>
              </w:rPr>
              <w:t>15</w:t>
            </w:r>
          </w:p>
        </w:tc>
        <w:tc>
          <w:tcPr>
            <w:tcW w:type="dxa" w:w="1742"/>
            <w:vAlign w:val="center"/>
            <w:tcMar>
              <w:top w:w="55" w:type="dxa"/>
              <w:start w:w="65" w:type="dxa"/>
              <w:bottom w:w="55" w:type="dxa"/>
              <w:end w:w="65" w:type="dxa"/>
            </w:tcMar>
          </w:tcPr>
          <w:p>
            <w:pPr>
              <w:spacing w:after="0"/>
            </w:pPr>
            <w:r>
              <w:rPr>
                <w:sz w:val="14"/>
              </w:rPr>
              <w:t>Least restrictive safety response</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WB5</w:t>
            </w:r>
          </w:p>
        </w:tc>
        <w:tc>
          <w:tcPr>
            <w:tcW w:type="dxa" w:w="1742"/>
            <w:vAlign w:val="center"/>
            <w:tcMar>
              <w:top w:w="55" w:type="dxa"/>
              <w:start w:w="65" w:type="dxa"/>
              <w:bottom w:w="55" w:type="dxa"/>
              <w:end w:w="65" w:type="dxa"/>
            </w:tcMar>
          </w:tcPr>
          <w:p>
            <w:pPr>
              <w:spacing w:after="0"/>
            </w:pPr>
            <w:r>
              <w:rPr>
                <w:sz w:val="14"/>
              </w:rPr>
              <w:t>LEAST-RESTRICTIVE-SAFETY-RESPONSE</w:t>
            </w:r>
          </w:p>
        </w:tc>
        <w:tc>
          <w:tcPr>
            <w:tcW w:type="dxa" w:w="1742"/>
            <w:vAlign w:val="center"/>
            <w:tcMar>
              <w:top w:w="55" w:type="dxa"/>
              <w:start w:w="65" w:type="dxa"/>
              <w:bottom w:w="55" w:type="dxa"/>
              <w:end w:w="65" w:type="dxa"/>
            </w:tcMar>
          </w:tcPr>
          <w:p>
            <w:pPr>
              <w:spacing w:after="0"/>
            </w:pPr>
            <w:r>
              <w:rPr>
                <w:sz w:val="14"/>
              </w:rPr>
              <w:t>NASW Code 1.01, 1.02, 1.03, and 1.15; applicable safety law</w:t>
            </w:r>
          </w:p>
        </w:tc>
      </w:tr>
      <w:tr>
        <w:trPr>
          <w:cantSplit/>
        </w:trPr>
        <w:tc>
          <w:tcPr>
            <w:tcW w:type="dxa" w:w="1742"/>
            <w:vAlign w:val="center"/>
            <w:tcMar>
              <w:top w:w="55" w:type="dxa"/>
              <w:start w:w="65" w:type="dxa"/>
              <w:bottom w:w="55" w:type="dxa"/>
              <w:end w:w="65" w:type="dxa"/>
            </w:tcMar>
            <w:shd w:fill="F2F4F7"/>
          </w:tcPr>
          <w:p>
            <w:pPr>
              <w:spacing w:after="0"/>
            </w:pPr>
            <w:r>
              <w:rPr>
                <w:sz w:val="14"/>
              </w:rPr>
              <w:t>16</w:t>
            </w:r>
          </w:p>
        </w:tc>
        <w:tc>
          <w:tcPr>
            <w:tcW w:type="dxa" w:w="1742"/>
            <w:vAlign w:val="center"/>
            <w:tcMar>
              <w:top w:w="55" w:type="dxa"/>
              <w:start w:w="65" w:type="dxa"/>
              <w:bottom w:w="55" w:type="dxa"/>
              <w:end w:w="65" w:type="dxa"/>
            </w:tcMar>
            <w:shd w:fill="F2F4F7"/>
          </w:tcPr>
          <w:p>
            <w:pPr>
              <w:spacing w:after="0"/>
            </w:pPr>
            <w:r>
              <w:rPr>
                <w:sz w:val="14"/>
              </w:rPr>
              <w:t>EHR template integrity</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WB9</w:t>
            </w:r>
          </w:p>
        </w:tc>
        <w:tc>
          <w:tcPr>
            <w:tcW w:type="dxa" w:w="1742"/>
            <w:vAlign w:val="center"/>
            <w:tcMar>
              <w:top w:w="55" w:type="dxa"/>
              <w:start w:w="65" w:type="dxa"/>
              <w:bottom w:w="55" w:type="dxa"/>
              <w:end w:w="65" w:type="dxa"/>
            </w:tcMar>
            <w:shd w:fill="F2F4F7"/>
          </w:tcPr>
          <w:p>
            <w:pPr>
              <w:spacing w:after="0"/>
            </w:pPr>
            <w:r>
              <w:rPr>
                <w:sz w:val="14"/>
              </w:rPr>
              <w:t>EHR-TEMPLATE-INTEGRITY</w:t>
            </w:r>
          </w:p>
        </w:tc>
        <w:tc>
          <w:tcPr>
            <w:tcW w:type="dxa" w:w="1742"/>
            <w:vAlign w:val="center"/>
            <w:tcMar>
              <w:top w:w="55" w:type="dxa"/>
              <w:start w:w="65" w:type="dxa"/>
              <w:bottom w:w="55" w:type="dxa"/>
              <w:end w:w="65" w:type="dxa"/>
            </w:tcMar>
            <w:shd w:fill="F2F4F7"/>
          </w:tcPr>
          <w:p>
            <w:pPr>
              <w:spacing w:after="0"/>
            </w:pPr>
            <w:r>
              <w:rPr>
                <w:sz w:val="14"/>
              </w:rPr>
              <w:t>NASW Code 3.04; applicable documentation and billing law</w:t>
            </w:r>
          </w:p>
        </w:tc>
      </w:tr>
      <w:tr>
        <w:trPr>
          <w:cantSplit/>
        </w:trPr>
        <w:tc>
          <w:tcPr>
            <w:tcW w:type="dxa" w:w="1742"/>
            <w:vAlign w:val="center"/>
            <w:tcMar>
              <w:top w:w="55" w:type="dxa"/>
              <w:start w:w="65" w:type="dxa"/>
              <w:bottom w:w="55" w:type="dxa"/>
              <w:end w:w="65" w:type="dxa"/>
            </w:tcMar>
          </w:tcPr>
          <w:p>
            <w:pPr>
              <w:spacing w:after="0"/>
            </w:pPr>
            <w:r>
              <w:rPr>
                <w:sz w:val="14"/>
              </w:rPr>
              <w:t>17</w:t>
            </w:r>
          </w:p>
        </w:tc>
        <w:tc>
          <w:tcPr>
            <w:tcW w:type="dxa" w:w="1742"/>
            <w:vAlign w:val="center"/>
            <w:tcMar>
              <w:top w:w="55" w:type="dxa"/>
              <w:start w:w="65" w:type="dxa"/>
              <w:bottom w:w="55" w:type="dxa"/>
              <w:end w:w="65" w:type="dxa"/>
            </w:tcMar>
          </w:tcPr>
          <w:p>
            <w:pPr>
              <w:spacing w:after="0"/>
            </w:pPr>
            <w:r>
              <w:rPr>
                <w:sz w:val="14"/>
              </w:rPr>
              <w:t>Minor consent and parent involvement analysis</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MINOR-CONSENT-AND-PARENT-INVOLVEMENT-ANALYSI</w:t>
            </w:r>
          </w:p>
        </w:tc>
        <w:tc>
          <w:tcPr>
            <w:tcW w:type="dxa" w:w="1742"/>
            <w:vAlign w:val="center"/>
            <w:tcMar>
              <w:top w:w="55" w:type="dxa"/>
              <w:start w:w="65" w:type="dxa"/>
              <w:bottom w:w="55" w:type="dxa"/>
              <w:end w:w="65" w:type="dxa"/>
            </w:tcMar>
          </w:tcPr>
          <w:p>
            <w:pPr>
              <w:spacing w:after="0"/>
            </w:pPr>
            <w:r>
              <w:rPr>
                <w:sz w:val="14"/>
              </w:rPr>
              <w:t>Applicable California minor-consent law; NASW Code 1.02, 1.03, and 1.07</w:t>
            </w:r>
          </w:p>
        </w:tc>
      </w:tr>
      <w:tr>
        <w:trPr>
          <w:cantSplit/>
        </w:trPr>
        <w:tc>
          <w:tcPr>
            <w:tcW w:type="dxa" w:w="1742"/>
            <w:vAlign w:val="center"/>
            <w:tcMar>
              <w:top w:w="55" w:type="dxa"/>
              <w:start w:w="65" w:type="dxa"/>
              <w:bottom w:w="55" w:type="dxa"/>
              <w:end w:w="65" w:type="dxa"/>
            </w:tcMar>
            <w:shd w:fill="F2F4F7"/>
          </w:tcPr>
          <w:p>
            <w:pPr>
              <w:spacing w:after="0"/>
            </w:pPr>
            <w:r>
              <w:rPr>
                <w:sz w:val="14"/>
              </w:rPr>
              <w:t>18</w:t>
            </w:r>
          </w:p>
        </w:tc>
        <w:tc>
          <w:tcPr>
            <w:tcW w:type="dxa" w:w="1742"/>
            <w:vAlign w:val="center"/>
            <w:tcMar>
              <w:top w:w="55" w:type="dxa"/>
              <w:start w:w="65" w:type="dxa"/>
              <w:bottom w:w="55" w:type="dxa"/>
              <w:end w:w="65" w:type="dxa"/>
            </w:tcMar>
            <w:shd w:fill="F2F4F7"/>
          </w:tcPr>
          <w:p>
            <w:pPr>
              <w:spacing w:after="0"/>
            </w:pPr>
            <w:r>
              <w:rPr>
                <w:sz w:val="14"/>
              </w:rPr>
              <w:t>Expired and scope-limited authorization</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WB8</w:t>
            </w:r>
          </w:p>
        </w:tc>
        <w:tc>
          <w:tcPr>
            <w:tcW w:type="dxa" w:w="1742"/>
            <w:vAlign w:val="center"/>
            <w:tcMar>
              <w:top w:w="55" w:type="dxa"/>
              <w:start w:w="65" w:type="dxa"/>
              <w:bottom w:w="55" w:type="dxa"/>
              <w:end w:w="65" w:type="dxa"/>
            </w:tcMar>
            <w:shd w:fill="F2F4F7"/>
          </w:tcPr>
          <w:p>
            <w:pPr>
              <w:spacing w:after="0"/>
            </w:pPr>
            <w:r>
              <w:rPr>
                <w:sz w:val="14"/>
              </w:rPr>
              <w:t>AUTHORIZATION-SCOPE-AND-DURATION</w:t>
            </w:r>
          </w:p>
        </w:tc>
        <w:tc>
          <w:tcPr>
            <w:tcW w:type="dxa" w:w="1742"/>
            <w:vAlign w:val="center"/>
            <w:tcMar>
              <w:top w:w="55" w:type="dxa"/>
              <w:start w:w="65" w:type="dxa"/>
              <w:bottom w:w="55" w:type="dxa"/>
              <w:end w:w="65" w:type="dxa"/>
            </w:tcMar>
            <w:shd w:fill="F2F4F7"/>
          </w:tcPr>
          <w:p>
            <w:pPr>
              <w:spacing w:after="0"/>
            </w:pPr>
            <w:r>
              <w:rPr>
                <w:sz w:val="14"/>
              </w:rPr>
              <w:t>California confidentiality and authorization law; NASW Code 1.03 and 1.07</w:t>
            </w:r>
          </w:p>
        </w:tc>
      </w:tr>
      <w:tr>
        <w:trPr>
          <w:cantSplit/>
        </w:trPr>
        <w:tc>
          <w:tcPr>
            <w:tcW w:type="dxa" w:w="1742"/>
            <w:vAlign w:val="center"/>
            <w:tcMar>
              <w:top w:w="55" w:type="dxa"/>
              <w:start w:w="65" w:type="dxa"/>
              <w:bottom w:w="55" w:type="dxa"/>
              <w:end w:w="65" w:type="dxa"/>
            </w:tcMar>
          </w:tcPr>
          <w:p>
            <w:pPr>
              <w:spacing w:after="0"/>
            </w:pPr>
            <w:r>
              <w:rPr>
                <w:sz w:val="14"/>
              </w:rPr>
              <w:t>19</w:t>
            </w:r>
          </w:p>
        </w:tc>
        <w:tc>
          <w:tcPr>
            <w:tcW w:type="dxa" w:w="1742"/>
            <w:vAlign w:val="center"/>
            <w:tcMar>
              <w:top w:w="55" w:type="dxa"/>
              <w:start w:w="65" w:type="dxa"/>
              <w:bottom w:w="55" w:type="dxa"/>
              <w:end w:w="65" w:type="dxa"/>
            </w:tcMar>
          </w:tcPr>
          <w:p>
            <w:pPr>
              <w:spacing w:after="0"/>
            </w:pPr>
            <w:r>
              <w:rPr>
                <w:sz w:val="14"/>
              </w:rPr>
              <w:t>Consultation for an unfamiliar diagnostic presentation</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WB3</w:t>
            </w:r>
          </w:p>
        </w:tc>
        <w:tc>
          <w:tcPr>
            <w:tcW w:type="dxa" w:w="1742"/>
            <w:vAlign w:val="center"/>
            <w:tcMar>
              <w:top w:w="55" w:type="dxa"/>
              <w:start w:w="65" w:type="dxa"/>
              <w:bottom w:w="55" w:type="dxa"/>
              <w:end w:w="65" w:type="dxa"/>
            </w:tcMar>
          </w:tcPr>
          <w:p>
            <w:pPr>
              <w:spacing w:after="0"/>
            </w:pPr>
            <w:r>
              <w:rPr>
                <w:sz w:val="14"/>
              </w:rPr>
              <w:t>CONSULTATION-FOR-AN-UNFAMILIAR-DIAGNOSTIC-PR</w:t>
            </w:r>
          </w:p>
        </w:tc>
        <w:tc>
          <w:tcPr>
            <w:tcW w:type="dxa" w:w="1742"/>
            <w:vAlign w:val="center"/>
            <w:tcMar>
              <w:top w:w="55" w:type="dxa"/>
              <w:start w:w="65" w:type="dxa"/>
              <w:bottom w:w="55" w:type="dxa"/>
              <w:end w:w="65" w:type="dxa"/>
            </w:tcMar>
          </w:tcPr>
          <w:p>
            <w:pPr>
              <w:spacing w:after="0"/>
            </w:pPr>
            <w:r>
              <w:rPr>
                <w:sz w:val="14"/>
              </w:rPr>
              <w:t>NASW Code 1.04 and 2.05</w:t>
            </w:r>
          </w:p>
        </w:tc>
      </w:tr>
      <w:tr>
        <w:trPr>
          <w:cantSplit/>
        </w:trPr>
        <w:tc>
          <w:tcPr>
            <w:tcW w:type="dxa" w:w="1742"/>
            <w:vAlign w:val="center"/>
            <w:tcMar>
              <w:top w:w="55" w:type="dxa"/>
              <w:start w:w="65" w:type="dxa"/>
              <w:bottom w:w="55" w:type="dxa"/>
              <w:end w:w="65" w:type="dxa"/>
            </w:tcMar>
            <w:shd w:fill="F2F4F7"/>
          </w:tcPr>
          <w:p>
            <w:pPr>
              <w:spacing w:after="0"/>
            </w:pPr>
            <w:r>
              <w:rPr>
                <w:sz w:val="14"/>
              </w:rPr>
              <w:t>20</w:t>
            </w:r>
          </w:p>
        </w:tc>
        <w:tc>
          <w:tcPr>
            <w:tcW w:type="dxa" w:w="1742"/>
            <w:vAlign w:val="center"/>
            <w:tcMar>
              <w:top w:w="55" w:type="dxa"/>
              <w:start w:w="65" w:type="dxa"/>
              <w:bottom w:w="55" w:type="dxa"/>
              <w:end w:w="65" w:type="dxa"/>
            </w:tcMar>
            <w:shd w:fill="F2F4F7"/>
          </w:tcPr>
          <w:p>
            <w:pPr>
              <w:spacing w:after="0"/>
            </w:pPr>
            <w:r>
              <w:rPr>
                <w:sz w:val="14"/>
              </w:rPr>
              <w:t>Telehealth location and emergency information at session start</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WB2</w:t>
            </w:r>
          </w:p>
        </w:tc>
        <w:tc>
          <w:tcPr>
            <w:tcW w:type="dxa" w:w="1742"/>
            <w:vAlign w:val="center"/>
            <w:tcMar>
              <w:top w:w="55" w:type="dxa"/>
              <w:start w:w="65" w:type="dxa"/>
              <w:bottom w:w="55" w:type="dxa"/>
              <w:end w:w="65" w:type="dxa"/>
            </w:tcMar>
            <w:shd w:fill="F2F4F7"/>
          </w:tcPr>
          <w:p>
            <w:pPr>
              <w:spacing w:after="0"/>
            </w:pPr>
            <w:r>
              <w:rPr>
                <w:sz w:val="14"/>
              </w:rPr>
              <w:t>TELEHEALTH-LOCATION-AND-EMERGENCY-INFORMATIO</w:t>
            </w:r>
          </w:p>
        </w:tc>
        <w:tc>
          <w:tcPr>
            <w:tcW w:type="dxa" w:w="1742"/>
            <w:vAlign w:val="center"/>
            <w:tcMar>
              <w:top w:w="55" w:type="dxa"/>
              <w:start w:w="65" w:type="dxa"/>
              <w:bottom w:w="55" w:type="dxa"/>
              <w:end w:w="65" w:type="dxa"/>
            </w:tcMar>
            <w:shd w:fill="F2F4F7"/>
          </w:tcPr>
          <w:p>
            <w:pPr>
              <w:spacing w:after="0"/>
            </w:pPr>
            <w:r>
              <w:rPr>
                <w:sz w:val="14"/>
              </w:rPr>
              <w:t>BPC 2290.5; applicable BBS telehealth guidance; NASW Code 1.15</w:t>
            </w:r>
          </w:p>
        </w:tc>
      </w:tr>
      <w:tr>
        <w:trPr>
          <w:cantSplit/>
        </w:trPr>
        <w:tc>
          <w:tcPr>
            <w:tcW w:type="dxa" w:w="1742"/>
            <w:vAlign w:val="center"/>
            <w:tcMar>
              <w:top w:w="55" w:type="dxa"/>
              <w:start w:w="65" w:type="dxa"/>
              <w:bottom w:w="55" w:type="dxa"/>
              <w:end w:w="65" w:type="dxa"/>
            </w:tcMar>
          </w:tcPr>
          <w:p>
            <w:pPr>
              <w:spacing w:after="0"/>
            </w:pPr>
            <w:r>
              <w:rPr>
                <w:sz w:val="14"/>
              </w:rPr>
              <w:t>21</w:t>
            </w:r>
          </w:p>
        </w:tc>
        <w:tc>
          <w:tcPr>
            <w:tcW w:type="dxa" w:w="1742"/>
            <w:vAlign w:val="center"/>
            <w:tcMar>
              <w:top w:w="55" w:type="dxa"/>
              <w:start w:w="65" w:type="dxa"/>
              <w:bottom w:w="55" w:type="dxa"/>
              <w:end w:w="65" w:type="dxa"/>
            </w:tcMar>
          </w:tcPr>
          <w:p>
            <w:pPr>
              <w:spacing w:after="0"/>
            </w:pPr>
            <w:r>
              <w:rPr>
                <w:sz w:val="14"/>
              </w:rPr>
              <w:t>Client welfare when reducing caseload</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WB4</w:t>
            </w:r>
          </w:p>
        </w:tc>
        <w:tc>
          <w:tcPr>
            <w:tcW w:type="dxa" w:w="1742"/>
            <w:vAlign w:val="center"/>
            <w:tcMar>
              <w:top w:w="55" w:type="dxa"/>
              <w:start w:w="65" w:type="dxa"/>
              <w:bottom w:w="55" w:type="dxa"/>
              <w:end w:w="65" w:type="dxa"/>
            </w:tcMar>
          </w:tcPr>
          <w:p>
            <w:pPr>
              <w:spacing w:after="0"/>
            </w:pPr>
            <w:r>
              <w:rPr>
                <w:sz w:val="14"/>
              </w:rPr>
              <w:t>CLIENT-WELFARE-WHEN-REDUCING-CASELOAD</w:t>
            </w:r>
          </w:p>
        </w:tc>
        <w:tc>
          <w:tcPr>
            <w:tcW w:type="dxa" w:w="1742"/>
            <w:vAlign w:val="center"/>
            <w:tcMar>
              <w:top w:w="55" w:type="dxa"/>
              <w:start w:w="65" w:type="dxa"/>
              <w:bottom w:w="55" w:type="dxa"/>
              <w:end w:w="65" w:type="dxa"/>
            </w:tcMar>
          </w:tcPr>
          <w:p>
            <w:pPr>
              <w:spacing w:after="0"/>
            </w:pPr>
            <w:r>
              <w:rPr>
                <w:sz w:val="14"/>
              </w:rPr>
              <w:t>NASW Code 1.15, 1.16, and 4.05</w:t>
            </w:r>
          </w:p>
        </w:tc>
      </w:tr>
      <w:tr>
        <w:trPr>
          <w:cantSplit/>
        </w:trPr>
        <w:tc>
          <w:tcPr>
            <w:tcW w:type="dxa" w:w="1742"/>
            <w:vAlign w:val="center"/>
            <w:tcMar>
              <w:top w:w="55" w:type="dxa"/>
              <w:start w:w="65" w:type="dxa"/>
              <w:bottom w:w="55" w:type="dxa"/>
              <w:end w:w="65" w:type="dxa"/>
            </w:tcMar>
            <w:shd w:fill="F2F4F7"/>
          </w:tcPr>
          <w:p>
            <w:pPr>
              <w:spacing w:after="0"/>
            </w:pPr>
            <w:r>
              <w:rPr>
                <w:sz w:val="14"/>
              </w:rPr>
              <w:t>22</w:t>
            </w:r>
          </w:p>
        </w:tc>
        <w:tc>
          <w:tcPr>
            <w:tcW w:type="dxa" w:w="1742"/>
            <w:vAlign w:val="center"/>
            <w:tcMar>
              <w:top w:w="55" w:type="dxa"/>
              <w:start w:w="65" w:type="dxa"/>
              <w:bottom w:w="55" w:type="dxa"/>
              <w:end w:w="65" w:type="dxa"/>
            </w:tcMar>
            <w:shd w:fill="F2F4F7"/>
          </w:tcPr>
          <w:p>
            <w:pPr>
              <w:spacing w:after="0"/>
            </w:pPr>
            <w:r>
              <w:rPr>
                <w:sz w:val="14"/>
              </w:rPr>
              <w:t>Supervisor competence and cultural responsiveness</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SUPERVISOR-COMPETENCE-AND-CULTURAL-RESPONSIV</w:t>
            </w:r>
          </w:p>
        </w:tc>
        <w:tc>
          <w:tcPr>
            <w:tcW w:type="dxa" w:w="1742"/>
            <w:vAlign w:val="center"/>
            <w:tcMar>
              <w:top w:w="55" w:type="dxa"/>
              <w:start w:w="65" w:type="dxa"/>
              <w:bottom w:w="55" w:type="dxa"/>
              <w:end w:w="65" w:type="dxa"/>
            </w:tcMar>
            <w:shd w:fill="F2F4F7"/>
          </w:tcPr>
          <w:p>
            <w:pPr>
              <w:spacing w:after="0"/>
            </w:pPr>
            <w:r>
              <w:rPr>
                <w:sz w:val="14"/>
              </w:rPr>
              <w:t>NASW Code 1.05, 2.05, and 3.01</w:t>
            </w:r>
          </w:p>
        </w:tc>
      </w:tr>
      <w:tr>
        <w:trPr>
          <w:cantSplit/>
        </w:trPr>
        <w:tc>
          <w:tcPr>
            <w:tcW w:type="dxa" w:w="1742"/>
            <w:vAlign w:val="center"/>
            <w:tcMar>
              <w:top w:w="55" w:type="dxa"/>
              <w:start w:w="65" w:type="dxa"/>
              <w:bottom w:w="55" w:type="dxa"/>
              <w:end w:w="65" w:type="dxa"/>
            </w:tcMar>
          </w:tcPr>
          <w:p>
            <w:pPr>
              <w:spacing w:after="0"/>
            </w:pPr>
            <w:r>
              <w:rPr>
                <w:sz w:val="14"/>
              </w:rPr>
              <w:t>23</w:t>
            </w:r>
          </w:p>
        </w:tc>
        <w:tc>
          <w:tcPr>
            <w:tcW w:type="dxa" w:w="1742"/>
            <w:vAlign w:val="center"/>
            <w:tcMar>
              <w:top w:w="55" w:type="dxa"/>
              <w:start w:w="65" w:type="dxa"/>
              <w:bottom w:w="55" w:type="dxa"/>
              <w:end w:w="65" w:type="dxa"/>
            </w:tcMar>
          </w:tcPr>
          <w:p>
            <w:pPr>
              <w:spacing w:after="0"/>
            </w:pPr>
            <w:r>
              <w:rPr>
                <w:sz w:val="14"/>
              </w:rPr>
              <w:t>Bartering and exploitation risk</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WB6</w:t>
            </w:r>
          </w:p>
        </w:tc>
        <w:tc>
          <w:tcPr>
            <w:tcW w:type="dxa" w:w="1742"/>
            <w:vAlign w:val="center"/>
            <w:tcMar>
              <w:top w:w="55" w:type="dxa"/>
              <w:start w:w="65" w:type="dxa"/>
              <w:bottom w:w="55" w:type="dxa"/>
              <w:end w:w="65" w:type="dxa"/>
            </w:tcMar>
          </w:tcPr>
          <w:p>
            <w:pPr>
              <w:spacing w:after="0"/>
            </w:pPr>
            <w:r>
              <w:rPr>
                <w:sz w:val="14"/>
              </w:rPr>
              <w:t>BARTERING-AND-EXPLOITATION-RISK</w:t>
            </w:r>
          </w:p>
        </w:tc>
        <w:tc>
          <w:tcPr>
            <w:tcW w:type="dxa" w:w="1742"/>
            <w:vAlign w:val="center"/>
            <w:tcMar>
              <w:top w:w="55" w:type="dxa"/>
              <w:start w:w="65" w:type="dxa"/>
              <w:bottom w:w="55" w:type="dxa"/>
              <w:end w:w="65" w:type="dxa"/>
            </w:tcMar>
          </w:tcPr>
          <w:p>
            <w:pPr>
              <w:spacing w:after="0"/>
            </w:pPr>
            <w:r>
              <w:rPr>
                <w:sz w:val="14"/>
              </w:rPr>
              <w:t>NASW Code 1.13; applicable fee and exploitation law</w:t>
            </w:r>
          </w:p>
        </w:tc>
      </w:tr>
      <w:tr>
        <w:trPr>
          <w:cantSplit/>
        </w:trPr>
        <w:tc>
          <w:tcPr>
            <w:tcW w:type="dxa" w:w="1742"/>
            <w:vAlign w:val="center"/>
            <w:tcMar>
              <w:top w:w="55" w:type="dxa"/>
              <w:start w:w="65" w:type="dxa"/>
              <w:bottom w:w="55" w:type="dxa"/>
              <w:end w:w="65" w:type="dxa"/>
            </w:tcMar>
            <w:shd w:fill="F2F4F7"/>
          </w:tcPr>
          <w:p>
            <w:pPr>
              <w:spacing w:after="0"/>
            </w:pPr>
            <w:r>
              <w:rPr>
                <w:sz w:val="14"/>
              </w:rPr>
              <w:t>24</w:t>
            </w:r>
          </w:p>
        </w:tc>
        <w:tc>
          <w:tcPr>
            <w:tcW w:type="dxa" w:w="1742"/>
            <w:vAlign w:val="center"/>
            <w:tcMar>
              <w:top w:w="55" w:type="dxa"/>
              <w:start w:w="65" w:type="dxa"/>
              <w:bottom w:w="55" w:type="dxa"/>
              <w:end w:w="65" w:type="dxa"/>
            </w:tcMar>
            <w:shd w:fill="F2F4F7"/>
          </w:tcPr>
          <w:p>
            <w:pPr>
              <w:spacing w:after="0"/>
            </w:pPr>
            <w:r>
              <w:rPr>
                <w:sz w:val="14"/>
              </w:rPr>
              <w:t>Recording a telehealth session</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WB2</w:t>
            </w:r>
          </w:p>
        </w:tc>
        <w:tc>
          <w:tcPr>
            <w:tcW w:type="dxa" w:w="1742"/>
            <w:vAlign w:val="center"/>
            <w:tcMar>
              <w:top w:w="55" w:type="dxa"/>
              <w:start w:w="65" w:type="dxa"/>
              <w:bottom w:w="55" w:type="dxa"/>
              <w:end w:w="65" w:type="dxa"/>
            </w:tcMar>
            <w:shd w:fill="F2F4F7"/>
          </w:tcPr>
          <w:p>
            <w:pPr>
              <w:spacing w:after="0"/>
            </w:pPr>
            <w:r>
              <w:rPr>
                <w:sz w:val="14"/>
              </w:rPr>
              <w:t>RECORDING-A-TELEHEALTH-SESSION</w:t>
            </w:r>
          </w:p>
        </w:tc>
        <w:tc>
          <w:tcPr>
            <w:tcW w:type="dxa" w:w="1742"/>
            <w:vAlign w:val="center"/>
            <w:tcMar>
              <w:top w:w="55" w:type="dxa"/>
              <w:start w:w="65" w:type="dxa"/>
              <w:bottom w:w="55" w:type="dxa"/>
              <w:end w:w="65" w:type="dxa"/>
            </w:tcMar>
            <w:shd w:fill="F2F4F7"/>
          </w:tcPr>
          <w:p>
            <w:pPr>
              <w:spacing w:after="0"/>
            </w:pPr>
            <w:r>
              <w:rPr>
                <w:sz w:val="14"/>
              </w:rPr>
              <w:t>California consent and privacy law; NASW Code 1.03 and 1.07</w:t>
            </w:r>
          </w:p>
        </w:tc>
      </w:tr>
      <w:tr>
        <w:trPr>
          <w:cantSplit/>
        </w:trPr>
        <w:tc>
          <w:tcPr>
            <w:tcW w:type="dxa" w:w="1742"/>
            <w:vAlign w:val="center"/>
            <w:tcMar>
              <w:top w:w="55" w:type="dxa"/>
              <w:start w:w="65" w:type="dxa"/>
              <w:bottom w:w="55" w:type="dxa"/>
              <w:end w:w="65" w:type="dxa"/>
            </w:tcMar>
          </w:tcPr>
          <w:p>
            <w:pPr>
              <w:spacing w:after="0"/>
            </w:pPr>
            <w:r>
              <w:rPr>
                <w:sz w:val="14"/>
              </w:rPr>
              <w:t>25</w:t>
            </w:r>
          </w:p>
        </w:tc>
        <w:tc>
          <w:tcPr>
            <w:tcW w:type="dxa" w:w="1742"/>
            <w:vAlign w:val="center"/>
            <w:tcMar>
              <w:top w:w="55" w:type="dxa"/>
              <w:start w:w="65" w:type="dxa"/>
              <w:bottom w:w="55" w:type="dxa"/>
              <w:end w:w="65" w:type="dxa"/>
            </w:tcMar>
          </w:tcPr>
          <w:p>
            <w:pPr>
              <w:spacing w:after="0"/>
            </w:pPr>
            <w:r>
              <w:rPr>
                <w:sz w:val="14"/>
              </w:rPr>
              <w:t>Accessible digital communication</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ACCESSIBLE-DIGITAL-COMMUNICATION</w:t>
            </w:r>
          </w:p>
        </w:tc>
        <w:tc>
          <w:tcPr>
            <w:tcW w:type="dxa" w:w="1742"/>
            <w:vAlign w:val="center"/>
            <w:tcMar>
              <w:top w:w="55" w:type="dxa"/>
              <w:start w:w="65" w:type="dxa"/>
              <w:bottom w:w="55" w:type="dxa"/>
              <w:end w:w="65" w:type="dxa"/>
            </w:tcMar>
          </w:tcPr>
          <w:p>
            <w:pPr>
              <w:spacing w:after="0"/>
            </w:pPr>
            <w:r>
              <w:rPr>
                <w:sz w:val="14"/>
              </w:rPr>
              <w:t>ADA and California access principles as applicable; NASW Code 1.03, 1.05, and 1.15</w:t>
            </w:r>
          </w:p>
        </w:tc>
      </w:tr>
      <w:tr>
        <w:trPr>
          <w:cantSplit/>
        </w:trPr>
        <w:tc>
          <w:tcPr>
            <w:tcW w:type="dxa" w:w="1742"/>
            <w:vAlign w:val="center"/>
            <w:tcMar>
              <w:top w:w="55" w:type="dxa"/>
              <w:start w:w="65" w:type="dxa"/>
              <w:bottom w:w="55" w:type="dxa"/>
              <w:end w:w="65" w:type="dxa"/>
            </w:tcMar>
            <w:shd w:fill="F2F4F7"/>
          </w:tcPr>
          <w:p>
            <w:pPr>
              <w:spacing w:after="0"/>
            </w:pPr>
            <w:r>
              <w:rPr>
                <w:sz w:val="14"/>
              </w:rPr>
              <w:t>26</w:t>
            </w:r>
          </w:p>
        </w:tc>
        <w:tc>
          <w:tcPr>
            <w:tcW w:type="dxa" w:w="1742"/>
            <w:vAlign w:val="center"/>
            <w:tcMar>
              <w:top w:w="55" w:type="dxa"/>
              <w:start w:w="65" w:type="dxa"/>
              <w:bottom w:w="55" w:type="dxa"/>
              <w:end w:w="65" w:type="dxa"/>
            </w:tcMar>
            <w:shd w:fill="F2F4F7"/>
          </w:tcPr>
          <w:p>
            <w:pPr>
              <w:spacing w:after="0"/>
            </w:pPr>
            <w:r>
              <w:rPr>
                <w:sz w:val="14"/>
              </w:rPr>
              <w:t>Reasonable-suspicion child abuse reporting</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WB5</w:t>
            </w:r>
          </w:p>
        </w:tc>
        <w:tc>
          <w:tcPr>
            <w:tcW w:type="dxa" w:w="1742"/>
            <w:vAlign w:val="center"/>
            <w:tcMar>
              <w:top w:w="55" w:type="dxa"/>
              <w:start w:w="65" w:type="dxa"/>
              <w:bottom w:w="55" w:type="dxa"/>
              <w:end w:w="65" w:type="dxa"/>
            </w:tcMar>
            <w:shd w:fill="F2F4F7"/>
          </w:tcPr>
          <w:p>
            <w:pPr>
              <w:spacing w:after="0"/>
            </w:pPr>
            <w:r>
              <w:rPr>
                <w:sz w:val="14"/>
              </w:rPr>
              <w:t>REASONABLE-SUSPICION-CHILD-ABUSE-REPORTING</w:t>
            </w:r>
          </w:p>
        </w:tc>
        <w:tc>
          <w:tcPr>
            <w:tcW w:type="dxa" w:w="1742"/>
            <w:vAlign w:val="center"/>
            <w:tcMar>
              <w:top w:w="55" w:type="dxa"/>
              <w:start w:w="65" w:type="dxa"/>
              <w:bottom w:w="55" w:type="dxa"/>
              <w:end w:w="65" w:type="dxa"/>
            </w:tcMar>
            <w:shd w:fill="F2F4F7"/>
          </w:tcPr>
          <w:p>
            <w:pPr>
              <w:spacing w:after="0"/>
            </w:pPr>
            <w:r>
              <w:rPr>
                <w:sz w:val="14"/>
              </w:rPr>
              <w:t>California Child Abuse and Neglect Reporting Act; NASW Code 1.01 and 1.07</w:t>
            </w:r>
          </w:p>
        </w:tc>
      </w:tr>
      <w:tr>
        <w:trPr>
          <w:cantSplit/>
        </w:trPr>
        <w:tc>
          <w:tcPr>
            <w:tcW w:type="dxa" w:w="1742"/>
            <w:vAlign w:val="center"/>
            <w:tcMar>
              <w:top w:w="55" w:type="dxa"/>
              <w:start w:w="65" w:type="dxa"/>
              <w:bottom w:w="55" w:type="dxa"/>
              <w:end w:w="65" w:type="dxa"/>
            </w:tcMar>
          </w:tcPr>
          <w:p>
            <w:pPr>
              <w:spacing w:after="0"/>
            </w:pPr>
            <w:r>
              <w:rPr>
                <w:sz w:val="14"/>
              </w:rPr>
              <w:t>27</w:t>
            </w:r>
          </w:p>
        </w:tc>
        <w:tc>
          <w:tcPr>
            <w:tcW w:type="dxa" w:w="1742"/>
            <w:vAlign w:val="center"/>
            <w:tcMar>
              <w:top w:w="55" w:type="dxa"/>
              <w:start w:w="65" w:type="dxa"/>
              <w:bottom w:w="55" w:type="dxa"/>
              <w:end w:w="65" w:type="dxa"/>
            </w:tcMar>
          </w:tcPr>
          <w:p>
            <w:pPr>
              <w:spacing w:after="0"/>
            </w:pPr>
            <w:r>
              <w:rPr>
                <w:sz w:val="14"/>
              </w:rPr>
              <w:t>Former client and social relationship</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WB6</w:t>
            </w:r>
          </w:p>
        </w:tc>
        <w:tc>
          <w:tcPr>
            <w:tcW w:type="dxa" w:w="1742"/>
            <w:vAlign w:val="center"/>
            <w:tcMar>
              <w:top w:w="55" w:type="dxa"/>
              <w:start w:w="65" w:type="dxa"/>
              <w:bottom w:w="55" w:type="dxa"/>
              <w:end w:w="65" w:type="dxa"/>
            </w:tcMar>
          </w:tcPr>
          <w:p>
            <w:pPr>
              <w:spacing w:after="0"/>
            </w:pPr>
            <w:r>
              <w:rPr>
                <w:sz w:val="14"/>
              </w:rPr>
              <w:t>FORMER-CLIENT-AND-SOCIAL-RELATIONSHIP</w:t>
            </w:r>
          </w:p>
        </w:tc>
        <w:tc>
          <w:tcPr>
            <w:tcW w:type="dxa" w:w="1742"/>
            <w:vAlign w:val="center"/>
            <w:tcMar>
              <w:top w:w="55" w:type="dxa"/>
              <w:start w:w="65" w:type="dxa"/>
              <w:bottom w:w="55" w:type="dxa"/>
              <w:end w:w="65" w:type="dxa"/>
            </w:tcMar>
          </w:tcPr>
          <w:p>
            <w:pPr>
              <w:spacing w:after="0"/>
            </w:pPr>
            <w:r>
              <w:rPr>
                <w:sz w:val="14"/>
              </w:rPr>
              <w:t>NASW Code 1.06 and 1.09; applicable professional-conduct law</w:t>
            </w:r>
          </w:p>
        </w:tc>
      </w:tr>
      <w:tr>
        <w:trPr>
          <w:cantSplit/>
        </w:trPr>
        <w:tc>
          <w:tcPr>
            <w:tcW w:type="dxa" w:w="1742"/>
            <w:vAlign w:val="center"/>
            <w:tcMar>
              <w:top w:w="55" w:type="dxa"/>
              <w:start w:w="65" w:type="dxa"/>
              <w:bottom w:w="55" w:type="dxa"/>
              <w:end w:w="65" w:type="dxa"/>
            </w:tcMar>
            <w:shd w:fill="F2F4F7"/>
          </w:tcPr>
          <w:p>
            <w:pPr>
              <w:spacing w:after="0"/>
            </w:pPr>
            <w:r>
              <w:rPr>
                <w:sz w:val="14"/>
              </w:rPr>
              <w:t>28</w:t>
            </w:r>
          </w:p>
        </w:tc>
        <w:tc>
          <w:tcPr>
            <w:tcW w:type="dxa" w:w="1742"/>
            <w:vAlign w:val="center"/>
            <w:tcMar>
              <w:top w:w="55" w:type="dxa"/>
              <w:start w:w="65" w:type="dxa"/>
              <w:bottom w:w="55" w:type="dxa"/>
              <w:end w:w="65" w:type="dxa"/>
            </w:tcMar>
            <w:shd w:fill="F2F4F7"/>
          </w:tcPr>
          <w:p>
            <w:pPr>
              <w:spacing w:after="0"/>
            </w:pPr>
            <w:r>
              <w:rPr>
                <w:sz w:val="14"/>
              </w:rPr>
              <w:t>ASW employee or volunteer status and prohibited contracting</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LS Module</w:t>
            </w:r>
          </w:p>
        </w:tc>
        <w:tc>
          <w:tcPr>
            <w:tcW w:type="dxa" w:w="1742"/>
            <w:vAlign w:val="center"/>
            <w:tcMar>
              <w:top w:w="55" w:type="dxa"/>
              <w:start w:w="65" w:type="dxa"/>
              <w:bottom w:w="55" w:type="dxa"/>
              <w:end w:w="65" w:type="dxa"/>
            </w:tcMar>
            <w:shd w:fill="F2F4F7"/>
          </w:tcPr>
          <w:p>
            <w:pPr>
              <w:spacing w:after="0"/>
            </w:pPr>
            <w:r>
              <w:rPr>
                <w:sz w:val="14"/>
              </w:rPr>
              <w:t>ASW-EMPLOYEE-OR-VOLUNTEER-STATUS-AND-PROHIBI</w:t>
            </w:r>
          </w:p>
        </w:tc>
        <w:tc>
          <w:tcPr>
            <w:tcW w:type="dxa" w:w="1742"/>
            <w:vAlign w:val="center"/>
            <w:tcMar>
              <w:top w:w="55" w:type="dxa"/>
              <w:start w:w="65" w:type="dxa"/>
              <w:bottom w:w="55" w:type="dxa"/>
              <w:end w:w="65" w:type="dxa"/>
            </w:tcMar>
            <w:shd w:fill="F2F4F7"/>
          </w:tcPr>
          <w:p>
            <w:pPr>
              <w:spacing w:after="0"/>
            </w:pPr>
            <w:r>
              <w:rPr>
                <w:sz w:val="14"/>
              </w:rPr>
              <w:t>BPC 4996.23 and 4996.23.2; BBS ASW FAQ revised January 2026</w:t>
            </w:r>
          </w:p>
        </w:tc>
      </w:tr>
      <w:tr>
        <w:trPr>
          <w:cantSplit/>
        </w:trPr>
        <w:tc>
          <w:tcPr>
            <w:tcW w:type="dxa" w:w="1742"/>
            <w:vAlign w:val="center"/>
            <w:tcMar>
              <w:top w:w="55" w:type="dxa"/>
              <w:start w:w="65" w:type="dxa"/>
              <w:bottom w:w="55" w:type="dxa"/>
              <w:end w:w="65" w:type="dxa"/>
            </w:tcMar>
          </w:tcPr>
          <w:p>
            <w:pPr>
              <w:spacing w:after="0"/>
            </w:pPr>
            <w:r>
              <w:rPr>
                <w:sz w:val="14"/>
              </w:rPr>
              <w:t>29</w:t>
            </w:r>
          </w:p>
        </w:tc>
        <w:tc>
          <w:tcPr>
            <w:tcW w:type="dxa" w:w="1742"/>
            <w:vAlign w:val="center"/>
            <w:tcMar>
              <w:top w:w="55" w:type="dxa"/>
              <w:start w:w="65" w:type="dxa"/>
              <w:bottom w:w="55" w:type="dxa"/>
              <w:end w:w="65" w:type="dxa"/>
            </w:tcMar>
          </w:tcPr>
          <w:p>
            <w:pPr>
              <w:spacing w:after="0"/>
            </w:pPr>
            <w:r>
              <w:rPr>
                <w:sz w:val="14"/>
              </w:rPr>
              <w:t>Signing records for services not reviewed</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WB9</w:t>
            </w:r>
          </w:p>
        </w:tc>
        <w:tc>
          <w:tcPr>
            <w:tcW w:type="dxa" w:w="1742"/>
            <w:vAlign w:val="center"/>
            <w:tcMar>
              <w:top w:w="55" w:type="dxa"/>
              <w:start w:w="65" w:type="dxa"/>
              <w:bottom w:w="55" w:type="dxa"/>
              <w:end w:w="65" w:type="dxa"/>
            </w:tcMar>
          </w:tcPr>
          <w:p>
            <w:pPr>
              <w:spacing w:after="0"/>
            </w:pPr>
            <w:r>
              <w:rPr>
                <w:sz w:val="14"/>
              </w:rPr>
              <w:t>SIGNING-RECORDS-FOR-SERVICES-NOT-REVIEWED</w:t>
            </w:r>
          </w:p>
        </w:tc>
        <w:tc>
          <w:tcPr>
            <w:tcW w:type="dxa" w:w="1742"/>
            <w:vAlign w:val="center"/>
            <w:tcMar>
              <w:top w:w="55" w:type="dxa"/>
              <w:start w:w="65" w:type="dxa"/>
              <w:bottom w:w="55" w:type="dxa"/>
              <w:end w:w="65" w:type="dxa"/>
            </w:tcMar>
          </w:tcPr>
          <w:p>
            <w:pPr>
              <w:spacing w:after="0"/>
            </w:pPr>
            <w:r>
              <w:rPr>
                <w:sz w:val="14"/>
              </w:rPr>
              <w:t>BPC 4992.3; BBS supervision requirements; NASW Code 3.04</w:t>
            </w:r>
          </w:p>
        </w:tc>
      </w:tr>
      <w:tr>
        <w:trPr>
          <w:cantSplit/>
        </w:trPr>
        <w:tc>
          <w:tcPr>
            <w:tcW w:type="dxa" w:w="1742"/>
            <w:vAlign w:val="center"/>
            <w:tcMar>
              <w:top w:w="55" w:type="dxa"/>
              <w:start w:w="65" w:type="dxa"/>
              <w:bottom w:w="55" w:type="dxa"/>
              <w:end w:w="65" w:type="dxa"/>
            </w:tcMar>
            <w:shd w:fill="F2F4F7"/>
          </w:tcPr>
          <w:p>
            <w:pPr>
              <w:spacing w:after="0"/>
            </w:pPr>
            <w:r>
              <w:rPr>
                <w:sz w:val="14"/>
              </w:rPr>
              <w:t>30</w:t>
            </w:r>
          </w:p>
        </w:tc>
        <w:tc>
          <w:tcPr>
            <w:tcW w:type="dxa" w:w="1742"/>
            <w:vAlign w:val="center"/>
            <w:tcMar>
              <w:top w:w="55" w:type="dxa"/>
              <w:start w:w="65" w:type="dxa"/>
              <w:bottom w:w="55" w:type="dxa"/>
              <w:end w:w="65" w:type="dxa"/>
            </w:tcMar>
            <w:shd w:fill="F2F4F7"/>
          </w:tcPr>
          <w:p>
            <w:pPr>
              <w:spacing w:after="0"/>
            </w:pPr>
            <w:r>
              <w:rPr>
                <w:sz w:val="14"/>
              </w:rPr>
              <w:t>Necessary disclosure during imminent safety concern</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WB8</w:t>
            </w:r>
          </w:p>
        </w:tc>
        <w:tc>
          <w:tcPr>
            <w:tcW w:type="dxa" w:w="1742"/>
            <w:vAlign w:val="center"/>
            <w:tcMar>
              <w:top w:w="55" w:type="dxa"/>
              <w:start w:w="65" w:type="dxa"/>
              <w:bottom w:w="55" w:type="dxa"/>
              <w:end w:w="65" w:type="dxa"/>
            </w:tcMar>
            <w:shd w:fill="F2F4F7"/>
          </w:tcPr>
          <w:p>
            <w:pPr>
              <w:spacing w:after="0"/>
            </w:pPr>
            <w:r>
              <w:rPr>
                <w:sz w:val="14"/>
              </w:rPr>
              <w:t>NECESSARY-DISCLOSURE-DURING-IMMINENT-SAFETY-</w:t>
            </w:r>
          </w:p>
        </w:tc>
        <w:tc>
          <w:tcPr>
            <w:tcW w:type="dxa" w:w="1742"/>
            <w:vAlign w:val="center"/>
            <w:tcMar>
              <w:top w:w="55" w:type="dxa"/>
              <w:start w:w="65" w:type="dxa"/>
              <w:bottom w:w="55" w:type="dxa"/>
              <w:end w:w="65" w:type="dxa"/>
            </w:tcMar>
            <w:shd w:fill="F2F4F7"/>
          </w:tcPr>
          <w:p>
            <w:pPr>
              <w:spacing w:after="0"/>
            </w:pPr>
            <w:r>
              <w:rPr>
                <w:sz w:val="14"/>
              </w:rPr>
              <w:t>Applicable California confidentiality exceptions; NASW Code 1.01 and 1.07</w:t>
            </w:r>
          </w:p>
        </w:tc>
      </w:tr>
      <w:tr>
        <w:trPr>
          <w:cantSplit/>
        </w:trPr>
        <w:tc>
          <w:tcPr>
            <w:tcW w:type="dxa" w:w="1742"/>
            <w:vAlign w:val="center"/>
            <w:tcMar>
              <w:top w:w="55" w:type="dxa"/>
              <w:start w:w="65" w:type="dxa"/>
              <w:bottom w:w="55" w:type="dxa"/>
              <w:end w:w="65" w:type="dxa"/>
            </w:tcMar>
          </w:tcPr>
          <w:p>
            <w:pPr>
              <w:spacing w:after="0"/>
            </w:pPr>
            <w:r>
              <w:rPr>
                <w:sz w:val="14"/>
              </w:rPr>
              <w:t>31</w:t>
            </w:r>
          </w:p>
        </w:tc>
        <w:tc>
          <w:tcPr>
            <w:tcW w:type="dxa" w:w="1742"/>
            <w:vAlign w:val="center"/>
            <w:tcMar>
              <w:top w:w="55" w:type="dxa"/>
              <w:start w:w="65" w:type="dxa"/>
              <w:bottom w:w="55" w:type="dxa"/>
              <w:end w:w="65" w:type="dxa"/>
            </w:tcMar>
          </w:tcPr>
          <w:p>
            <w:pPr>
              <w:spacing w:after="0"/>
            </w:pPr>
            <w:r>
              <w:rPr>
                <w:sz w:val="14"/>
              </w:rPr>
              <w:t>Transparent financial policies and collections</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WB6</w:t>
            </w:r>
          </w:p>
        </w:tc>
        <w:tc>
          <w:tcPr>
            <w:tcW w:type="dxa" w:w="1742"/>
            <w:vAlign w:val="center"/>
            <w:tcMar>
              <w:top w:w="55" w:type="dxa"/>
              <w:start w:w="65" w:type="dxa"/>
              <w:bottom w:w="55" w:type="dxa"/>
              <w:end w:w="65" w:type="dxa"/>
            </w:tcMar>
          </w:tcPr>
          <w:p>
            <w:pPr>
              <w:spacing w:after="0"/>
            </w:pPr>
            <w:r>
              <w:rPr>
                <w:sz w:val="14"/>
              </w:rPr>
              <w:t>TRANSPARENT-FINANCIAL-POLICIES-AND-COLLECTIO</w:t>
            </w:r>
          </w:p>
        </w:tc>
        <w:tc>
          <w:tcPr>
            <w:tcW w:type="dxa" w:w="1742"/>
            <w:vAlign w:val="center"/>
            <w:tcMar>
              <w:top w:w="55" w:type="dxa"/>
              <w:start w:w="65" w:type="dxa"/>
              <w:bottom w:w="55" w:type="dxa"/>
              <w:end w:w="65" w:type="dxa"/>
            </w:tcMar>
          </w:tcPr>
          <w:p>
            <w:pPr>
              <w:spacing w:after="0"/>
            </w:pPr>
            <w:r>
              <w:rPr>
                <w:sz w:val="14"/>
              </w:rPr>
              <w:t>NASW Code 1.13 and 1.15; applicable California debt and privacy law</w:t>
            </w:r>
          </w:p>
        </w:tc>
      </w:tr>
      <w:tr>
        <w:trPr>
          <w:cantSplit/>
        </w:trPr>
        <w:tc>
          <w:tcPr>
            <w:tcW w:type="dxa" w:w="1742"/>
            <w:vAlign w:val="center"/>
            <w:tcMar>
              <w:top w:w="55" w:type="dxa"/>
              <w:start w:w="65" w:type="dxa"/>
              <w:bottom w:w="55" w:type="dxa"/>
              <w:end w:w="65" w:type="dxa"/>
            </w:tcMar>
            <w:shd w:fill="F2F4F7"/>
          </w:tcPr>
          <w:p>
            <w:pPr>
              <w:spacing w:after="0"/>
            </w:pPr>
            <w:r>
              <w:rPr>
                <w:sz w:val="14"/>
              </w:rPr>
              <w:t>32</w:t>
            </w:r>
          </w:p>
        </w:tc>
        <w:tc>
          <w:tcPr>
            <w:tcW w:type="dxa" w:w="1742"/>
            <w:vAlign w:val="center"/>
            <w:tcMar>
              <w:top w:w="55" w:type="dxa"/>
              <w:start w:w="65" w:type="dxa"/>
              <w:bottom w:w="55" w:type="dxa"/>
              <w:end w:w="65" w:type="dxa"/>
            </w:tcMar>
            <w:shd w:fill="F2F4F7"/>
          </w:tcPr>
          <w:p>
            <w:pPr>
              <w:spacing w:after="0"/>
            </w:pPr>
            <w:r>
              <w:rPr>
                <w:sz w:val="14"/>
              </w:rPr>
              <w:t>Role-based access to clinical records</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WB9</w:t>
            </w:r>
          </w:p>
        </w:tc>
        <w:tc>
          <w:tcPr>
            <w:tcW w:type="dxa" w:w="1742"/>
            <w:vAlign w:val="center"/>
            <w:tcMar>
              <w:top w:w="55" w:type="dxa"/>
              <w:start w:w="65" w:type="dxa"/>
              <w:bottom w:w="55" w:type="dxa"/>
              <w:end w:w="65" w:type="dxa"/>
            </w:tcMar>
            <w:shd w:fill="F2F4F7"/>
          </w:tcPr>
          <w:p>
            <w:pPr>
              <w:spacing w:after="0"/>
            </w:pPr>
            <w:r>
              <w:rPr>
                <w:sz w:val="14"/>
              </w:rPr>
              <w:t>ROLE-BASED-ACCESS-TO-CLINICAL-RECORDS</w:t>
            </w:r>
          </w:p>
        </w:tc>
        <w:tc>
          <w:tcPr>
            <w:tcW w:type="dxa" w:w="1742"/>
            <w:vAlign w:val="center"/>
            <w:tcMar>
              <w:top w:w="55" w:type="dxa"/>
              <w:start w:w="65" w:type="dxa"/>
              <w:bottom w:w="55" w:type="dxa"/>
              <w:end w:w="65" w:type="dxa"/>
            </w:tcMar>
            <w:shd w:fill="F2F4F7"/>
          </w:tcPr>
          <w:p>
            <w:pPr>
              <w:spacing w:after="0"/>
            </w:pPr>
            <w:r>
              <w:rPr>
                <w:sz w:val="14"/>
              </w:rPr>
              <w:t>California privacy law; NASW Code 1.07 and 3.04</w:t>
            </w:r>
          </w:p>
        </w:tc>
      </w:tr>
      <w:tr>
        <w:trPr>
          <w:cantSplit/>
        </w:trPr>
        <w:tc>
          <w:tcPr>
            <w:tcW w:type="dxa" w:w="1742"/>
            <w:vAlign w:val="center"/>
            <w:tcMar>
              <w:top w:w="55" w:type="dxa"/>
              <w:start w:w="65" w:type="dxa"/>
              <w:bottom w:w="55" w:type="dxa"/>
              <w:end w:w="65" w:type="dxa"/>
            </w:tcMar>
          </w:tcPr>
          <w:p>
            <w:pPr>
              <w:spacing w:after="0"/>
            </w:pPr>
            <w:r>
              <w:rPr>
                <w:sz w:val="14"/>
              </w:rPr>
              <w:t>33</w:t>
            </w:r>
          </w:p>
        </w:tc>
        <w:tc>
          <w:tcPr>
            <w:tcW w:type="dxa" w:w="1742"/>
            <w:vAlign w:val="center"/>
            <w:tcMar>
              <w:top w:w="55" w:type="dxa"/>
              <w:start w:w="65" w:type="dxa"/>
              <w:bottom w:w="55" w:type="dxa"/>
              <w:end w:w="65" w:type="dxa"/>
            </w:tcMar>
          </w:tcPr>
          <w:p>
            <w:pPr>
              <w:spacing w:after="0"/>
            </w:pPr>
            <w:r>
              <w:rPr>
                <w:sz w:val="14"/>
              </w:rPr>
              <w:t>Safety planning as collaborative process</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WB5</w:t>
            </w:r>
          </w:p>
        </w:tc>
        <w:tc>
          <w:tcPr>
            <w:tcW w:type="dxa" w:w="1742"/>
            <w:vAlign w:val="center"/>
            <w:tcMar>
              <w:top w:w="55" w:type="dxa"/>
              <w:start w:w="65" w:type="dxa"/>
              <w:bottom w:w="55" w:type="dxa"/>
              <w:end w:w="65" w:type="dxa"/>
            </w:tcMar>
          </w:tcPr>
          <w:p>
            <w:pPr>
              <w:spacing w:after="0"/>
            </w:pPr>
            <w:r>
              <w:rPr>
                <w:sz w:val="14"/>
              </w:rPr>
              <w:t>SAFETY-PLANNING-AS-COLLABORATIVE-PROCESS</w:t>
            </w:r>
          </w:p>
        </w:tc>
        <w:tc>
          <w:tcPr>
            <w:tcW w:type="dxa" w:w="1742"/>
            <w:vAlign w:val="center"/>
            <w:tcMar>
              <w:top w:w="55" w:type="dxa"/>
              <w:start w:w="65" w:type="dxa"/>
              <w:bottom w:w="55" w:type="dxa"/>
              <w:end w:w="65" w:type="dxa"/>
            </w:tcMar>
          </w:tcPr>
          <w:p>
            <w:pPr>
              <w:spacing w:after="0"/>
            </w:pPr>
            <w:r>
              <w:rPr>
                <w:sz w:val="14"/>
              </w:rPr>
              <w:t>NASW Code 1.01, 1.02, and 1.15; accepted risk-management standards</w:t>
            </w:r>
          </w:p>
        </w:tc>
      </w:tr>
      <w:tr>
        <w:trPr>
          <w:cantSplit/>
        </w:trPr>
        <w:tc>
          <w:tcPr>
            <w:tcW w:type="dxa" w:w="1742"/>
            <w:vAlign w:val="center"/>
            <w:tcMar>
              <w:top w:w="55" w:type="dxa"/>
              <w:start w:w="65" w:type="dxa"/>
              <w:bottom w:w="55" w:type="dxa"/>
              <w:end w:w="65" w:type="dxa"/>
            </w:tcMar>
            <w:shd w:fill="F2F4F7"/>
          </w:tcPr>
          <w:p>
            <w:pPr>
              <w:spacing w:after="0"/>
            </w:pPr>
            <w:r>
              <w:rPr>
                <w:sz w:val="14"/>
              </w:rPr>
              <w:t>34</w:t>
            </w:r>
          </w:p>
        </w:tc>
        <w:tc>
          <w:tcPr>
            <w:tcW w:type="dxa" w:w="1742"/>
            <w:vAlign w:val="center"/>
            <w:tcMar>
              <w:top w:w="55" w:type="dxa"/>
              <w:start w:w="65" w:type="dxa"/>
              <w:bottom w:w="55" w:type="dxa"/>
              <w:end w:w="65" w:type="dxa"/>
            </w:tcMar>
            <w:shd w:fill="F2F4F7"/>
          </w:tcPr>
          <w:p>
            <w:pPr>
              <w:spacing w:after="0"/>
            </w:pPr>
            <w:r>
              <w:rPr>
                <w:sz w:val="14"/>
              </w:rPr>
              <w:t>Documenting risk reasoning and follow-through</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WB9</w:t>
            </w:r>
          </w:p>
        </w:tc>
        <w:tc>
          <w:tcPr>
            <w:tcW w:type="dxa" w:w="1742"/>
            <w:vAlign w:val="center"/>
            <w:tcMar>
              <w:top w:w="55" w:type="dxa"/>
              <w:start w:w="65" w:type="dxa"/>
              <w:bottom w:w="55" w:type="dxa"/>
              <w:end w:w="65" w:type="dxa"/>
            </w:tcMar>
            <w:shd w:fill="F2F4F7"/>
          </w:tcPr>
          <w:p>
            <w:pPr>
              <w:spacing w:after="0"/>
            </w:pPr>
            <w:r>
              <w:rPr>
                <w:sz w:val="14"/>
              </w:rPr>
              <w:t>DOCUMENTING-RISK-REASONING-AND-FOLLOW-THROUG</w:t>
            </w:r>
          </w:p>
        </w:tc>
        <w:tc>
          <w:tcPr>
            <w:tcW w:type="dxa" w:w="1742"/>
            <w:vAlign w:val="center"/>
            <w:tcMar>
              <w:top w:w="55" w:type="dxa"/>
              <w:start w:w="65" w:type="dxa"/>
              <w:bottom w:w="55" w:type="dxa"/>
              <w:end w:w="65" w:type="dxa"/>
            </w:tcMar>
            <w:shd w:fill="F2F4F7"/>
          </w:tcPr>
          <w:p>
            <w:pPr>
              <w:spacing w:after="0"/>
            </w:pPr>
            <w:r>
              <w:rPr>
                <w:sz w:val="14"/>
              </w:rPr>
              <w:t>Applicable documentation standards; NASW Code 3.04</w:t>
            </w:r>
          </w:p>
        </w:tc>
      </w:tr>
      <w:tr>
        <w:trPr>
          <w:cantSplit/>
        </w:trPr>
        <w:tc>
          <w:tcPr>
            <w:tcW w:type="dxa" w:w="1742"/>
            <w:vAlign w:val="center"/>
            <w:tcMar>
              <w:top w:w="55" w:type="dxa"/>
              <w:start w:w="65" w:type="dxa"/>
              <w:bottom w:w="55" w:type="dxa"/>
              <w:end w:w="65" w:type="dxa"/>
            </w:tcMar>
          </w:tcPr>
          <w:p>
            <w:pPr>
              <w:spacing w:after="0"/>
            </w:pPr>
            <w:r>
              <w:rPr>
                <w:sz w:val="14"/>
              </w:rPr>
              <w:t>35</w:t>
            </w:r>
          </w:p>
        </w:tc>
        <w:tc>
          <w:tcPr>
            <w:tcW w:type="dxa" w:w="1742"/>
            <w:vAlign w:val="center"/>
            <w:tcMar>
              <w:top w:w="55" w:type="dxa"/>
              <w:start w:w="65" w:type="dxa"/>
              <w:bottom w:w="55" w:type="dxa"/>
              <w:end w:w="65" w:type="dxa"/>
            </w:tcMar>
          </w:tcPr>
          <w:p>
            <w:pPr>
              <w:spacing w:after="0"/>
            </w:pPr>
            <w:r>
              <w:rPr>
                <w:sz w:val="14"/>
              </w:rPr>
              <w:t>Separated parents and child treatment information</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SEPARATED-PARENTS-AND-CHILD-TREATMENT-INFORM</w:t>
            </w:r>
          </w:p>
        </w:tc>
        <w:tc>
          <w:tcPr>
            <w:tcW w:type="dxa" w:w="1742"/>
            <w:vAlign w:val="center"/>
            <w:tcMar>
              <w:top w:w="55" w:type="dxa"/>
              <w:start w:w="65" w:type="dxa"/>
              <w:bottom w:w="55" w:type="dxa"/>
              <w:end w:w="65" w:type="dxa"/>
            </w:tcMar>
          </w:tcPr>
          <w:p>
            <w:pPr>
              <w:spacing w:after="0"/>
            </w:pPr>
            <w:r>
              <w:rPr>
                <w:sz w:val="14"/>
              </w:rPr>
              <w:t>Applicable California custody, consent, confidentiality, and records law; NASW Code 1.07</w:t>
            </w:r>
          </w:p>
        </w:tc>
      </w:tr>
      <w:tr>
        <w:trPr>
          <w:cantSplit/>
        </w:trPr>
        <w:tc>
          <w:tcPr>
            <w:tcW w:type="dxa" w:w="1742"/>
            <w:vAlign w:val="center"/>
            <w:tcMar>
              <w:top w:w="55" w:type="dxa"/>
              <w:start w:w="65" w:type="dxa"/>
              <w:bottom w:w="55" w:type="dxa"/>
              <w:end w:w="65" w:type="dxa"/>
            </w:tcMar>
            <w:shd w:fill="F2F4F7"/>
          </w:tcPr>
          <w:p>
            <w:pPr>
              <w:spacing w:after="0"/>
            </w:pPr>
            <w:r>
              <w:rPr>
                <w:sz w:val="14"/>
              </w:rPr>
              <w:t>36</w:t>
            </w:r>
          </w:p>
        </w:tc>
        <w:tc>
          <w:tcPr>
            <w:tcW w:type="dxa" w:w="1742"/>
            <w:vAlign w:val="center"/>
            <w:tcMar>
              <w:top w:w="55" w:type="dxa"/>
              <w:start w:w="65" w:type="dxa"/>
              <w:bottom w:w="55" w:type="dxa"/>
              <w:end w:w="65" w:type="dxa"/>
            </w:tcMar>
            <w:shd w:fill="F2F4F7"/>
          </w:tcPr>
          <w:p>
            <w:pPr>
              <w:spacing w:after="0"/>
            </w:pPr>
            <w:r>
              <w:rPr>
                <w:sz w:val="14"/>
              </w:rPr>
              <w:t>Client access versus record ownership</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WB9</w:t>
            </w:r>
          </w:p>
        </w:tc>
        <w:tc>
          <w:tcPr>
            <w:tcW w:type="dxa" w:w="1742"/>
            <w:vAlign w:val="center"/>
            <w:tcMar>
              <w:top w:w="55" w:type="dxa"/>
              <w:start w:w="65" w:type="dxa"/>
              <w:bottom w:w="55" w:type="dxa"/>
              <w:end w:w="65" w:type="dxa"/>
            </w:tcMar>
            <w:shd w:fill="F2F4F7"/>
          </w:tcPr>
          <w:p>
            <w:pPr>
              <w:spacing w:after="0"/>
            </w:pPr>
            <w:r>
              <w:rPr>
                <w:sz w:val="14"/>
              </w:rPr>
              <w:t>CLIENT-ACCESS-VERSUS-RECORD-OWNERSHIP</w:t>
            </w:r>
          </w:p>
        </w:tc>
        <w:tc>
          <w:tcPr>
            <w:tcW w:type="dxa" w:w="1742"/>
            <w:vAlign w:val="center"/>
            <w:tcMar>
              <w:top w:w="55" w:type="dxa"/>
              <w:start w:w="65" w:type="dxa"/>
              <w:bottom w:w="55" w:type="dxa"/>
              <w:end w:w="65" w:type="dxa"/>
            </w:tcMar>
            <w:shd w:fill="F2F4F7"/>
          </w:tcPr>
          <w:p>
            <w:pPr>
              <w:spacing w:after="0"/>
            </w:pPr>
            <w:r>
              <w:rPr>
                <w:sz w:val="14"/>
              </w:rPr>
              <w:t>California Health and Safety Code 123100 et seq.; NASW Code 1.08 and 3.04</w:t>
            </w:r>
          </w:p>
        </w:tc>
      </w:tr>
      <w:tr>
        <w:trPr>
          <w:cantSplit/>
        </w:trPr>
        <w:tc>
          <w:tcPr>
            <w:tcW w:type="dxa" w:w="1742"/>
            <w:vAlign w:val="center"/>
            <w:tcMar>
              <w:top w:w="55" w:type="dxa"/>
              <w:start w:w="65" w:type="dxa"/>
              <w:bottom w:w="55" w:type="dxa"/>
              <w:end w:w="65" w:type="dxa"/>
            </w:tcMar>
          </w:tcPr>
          <w:p>
            <w:pPr>
              <w:spacing w:after="0"/>
            </w:pPr>
            <w:r>
              <w:rPr>
                <w:sz w:val="14"/>
              </w:rPr>
              <w:t>37</w:t>
            </w:r>
          </w:p>
        </w:tc>
        <w:tc>
          <w:tcPr>
            <w:tcW w:type="dxa" w:w="1742"/>
            <w:vAlign w:val="center"/>
            <w:tcMar>
              <w:top w:w="55" w:type="dxa"/>
              <w:start w:w="65" w:type="dxa"/>
              <w:bottom w:w="55" w:type="dxa"/>
              <w:end w:w="65" w:type="dxa"/>
            </w:tcMar>
          </w:tcPr>
          <w:p>
            <w:pPr>
              <w:spacing w:after="0"/>
            </w:pPr>
            <w:r>
              <w:rPr>
                <w:sz w:val="14"/>
              </w:rPr>
              <w:t>Supervision versus consultation</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WB3</w:t>
            </w:r>
          </w:p>
        </w:tc>
        <w:tc>
          <w:tcPr>
            <w:tcW w:type="dxa" w:w="1742"/>
            <w:vAlign w:val="center"/>
            <w:tcMar>
              <w:top w:w="55" w:type="dxa"/>
              <w:start w:w="65" w:type="dxa"/>
              <w:bottom w:w="55" w:type="dxa"/>
              <w:end w:w="65" w:type="dxa"/>
            </w:tcMar>
          </w:tcPr>
          <w:p>
            <w:pPr>
              <w:spacing w:after="0"/>
            </w:pPr>
            <w:r>
              <w:rPr>
                <w:sz w:val="14"/>
              </w:rPr>
              <w:t>SUPERVISION-VERSUS-CONSULTATION</w:t>
            </w:r>
          </w:p>
        </w:tc>
        <w:tc>
          <w:tcPr>
            <w:tcW w:type="dxa" w:w="1742"/>
            <w:vAlign w:val="center"/>
            <w:tcMar>
              <w:top w:w="55" w:type="dxa"/>
              <w:start w:w="65" w:type="dxa"/>
              <w:bottom w:w="55" w:type="dxa"/>
              <w:end w:w="65" w:type="dxa"/>
            </w:tcMar>
          </w:tcPr>
          <w:p>
            <w:pPr>
              <w:spacing w:after="0"/>
            </w:pPr>
            <w:r>
              <w:rPr>
                <w:sz w:val="14"/>
              </w:rPr>
              <w:t>BBS supervision agreement and ASW FAQ; NASW Code 3.01</w:t>
            </w:r>
          </w:p>
        </w:tc>
      </w:tr>
      <w:tr>
        <w:trPr>
          <w:cantSplit/>
        </w:trPr>
        <w:tc>
          <w:tcPr>
            <w:tcW w:type="dxa" w:w="1742"/>
            <w:vAlign w:val="center"/>
            <w:tcMar>
              <w:top w:w="55" w:type="dxa"/>
              <w:start w:w="65" w:type="dxa"/>
              <w:bottom w:w="55" w:type="dxa"/>
              <w:end w:w="65" w:type="dxa"/>
            </w:tcMar>
            <w:shd w:fill="F2F4F7"/>
          </w:tcPr>
          <w:p>
            <w:pPr>
              <w:spacing w:after="0"/>
            </w:pPr>
            <w:r>
              <w:rPr>
                <w:sz w:val="14"/>
              </w:rPr>
              <w:t>38</w:t>
            </w:r>
          </w:p>
        </w:tc>
        <w:tc>
          <w:tcPr>
            <w:tcW w:type="dxa" w:w="1742"/>
            <w:vAlign w:val="center"/>
            <w:tcMar>
              <w:top w:w="55" w:type="dxa"/>
              <w:start w:w="65" w:type="dxa"/>
              <w:bottom w:w="55" w:type="dxa"/>
              <w:end w:w="65" w:type="dxa"/>
            </w:tcMar>
            <w:shd w:fill="F2F4F7"/>
          </w:tcPr>
          <w:p>
            <w:pPr>
              <w:spacing w:after="0"/>
            </w:pPr>
            <w:r>
              <w:rPr>
                <w:sz w:val="14"/>
              </w:rPr>
              <w:t>Organizational disability-access barrier</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WB7</w:t>
            </w:r>
          </w:p>
        </w:tc>
        <w:tc>
          <w:tcPr>
            <w:tcW w:type="dxa" w:w="1742"/>
            <w:vAlign w:val="center"/>
            <w:tcMar>
              <w:top w:w="55" w:type="dxa"/>
              <w:start w:w="65" w:type="dxa"/>
              <w:bottom w:w="55" w:type="dxa"/>
              <w:end w:w="65" w:type="dxa"/>
            </w:tcMar>
            <w:shd w:fill="F2F4F7"/>
          </w:tcPr>
          <w:p>
            <w:pPr>
              <w:spacing w:after="0"/>
            </w:pPr>
            <w:r>
              <w:rPr>
                <w:sz w:val="14"/>
              </w:rPr>
              <w:t>ORGANIZATIONAL-DISABILITY-ACCESS-BARRIER</w:t>
            </w:r>
          </w:p>
        </w:tc>
        <w:tc>
          <w:tcPr>
            <w:tcW w:type="dxa" w:w="1742"/>
            <w:vAlign w:val="center"/>
            <w:tcMar>
              <w:top w:w="55" w:type="dxa"/>
              <w:start w:w="65" w:type="dxa"/>
              <w:bottom w:w="55" w:type="dxa"/>
              <w:end w:w="65" w:type="dxa"/>
            </w:tcMar>
            <w:shd w:fill="F2F4F7"/>
          </w:tcPr>
          <w:p>
            <w:pPr>
              <w:spacing w:after="0"/>
            </w:pPr>
            <w:r>
              <w:rPr>
                <w:sz w:val="14"/>
              </w:rPr>
              <w:t>ADA and California access law as applicable; NASW Code 3.07, 3.09, and 6.04</w:t>
            </w:r>
          </w:p>
        </w:tc>
      </w:tr>
      <w:tr>
        <w:trPr>
          <w:cantSplit/>
        </w:trPr>
        <w:tc>
          <w:tcPr>
            <w:tcW w:type="dxa" w:w="1742"/>
            <w:vAlign w:val="center"/>
            <w:tcMar>
              <w:top w:w="55" w:type="dxa"/>
              <w:start w:w="65" w:type="dxa"/>
              <w:bottom w:w="55" w:type="dxa"/>
              <w:end w:w="65" w:type="dxa"/>
            </w:tcMar>
          </w:tcPr>
          <w:p>
            <w:pPr>
              <w:spacing w:after="0"/>
            </w:pPr>
            <w:r>
              <w:rPr>
                <w:sz w:val="14"/>
              </w:rPr>
              <w:t>39</w:t>
            </w:r>
          </w:p>
        </w:tc>
        <w:tc>
          <w:tcPr>
            <w:tcW w:type="dxa" w:w="1742"/>
            <w:vAlign w:val="center"/>
            <w:tcMar>
              <w:top w:w="55" w:type="dxa"/>
              <w:start w:w="65" w:type="dxa"/>
              <w:bottom w:w="55" w:type="dxa"/>
              <w:end w:w="65" w:type="dxa"/>
            </w:tcMar>
          </w:tcPr>
          <w:p>
            <w:pPr>
              <w:spacing w:after="0"/>
            </w:pPr>
            <w:r>
              <w:rPr>
                <w:sz w:val="14"/>
              </w:rPr>
              <w:t>Telehealth platform security incident</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TELEHEALTH-PLATFORM-SECURITY-INCIDENT</w:t>
            </w:r>
          </w:p>
        </w:tc>
        <w:tc>
          <w:tcPr>
            <w:tcW w:type="dxa" w:w="1742"/>
            <w:vAlign w:val="center"/>
            <w:tcMar>
              <w:top w:w="55" w:type="dxa"/>
              <w:start w:w="65" w:type="dxa"/>
              <w:bottom w:w="55" w:type="dxa"/>
              <w:end w:w="65" w:type="dxa"/>
            </w:tcMar>
          </w:tcPr>
          <w:p>
            <w:pPr>
              <w:spacing w:after="0"/>
            </w:pPr>
            <w:r>
              <w:rPr>
                <w:sz w:val="14"/>
              </w:rPr>
              <w:t>California privacy and breach law; NASW Code 1.07 and 1.15; organizational incident procedures</w:t>
            </w:r>
          </w:p>
        </w:tc>
      </w:tr>
      <w:tr>
        <w:trPr>
          <w:cantSplit/>
        </w:trPr>
        <w:tc>
          <w:tcPr>
            <w:tcW w:type="dxa" w:w="1742"/>
            <w:vAlign w:val="center"/>
            <w:tcMar>
              <w:top w:w="55" w:type="dxa"/>
              <w:start w:w="65" w:type="dxa"/>
              <w:bottom w:w="55" w:type="dxa"/>
              <w:end w:w="65" w:type="dxa"/>
            </w:tcMar>
            <w:shd w:fill="F2F4F7"/>
          </w:tcPr>
          <w:p>
            <w:pPr>
              <w:spacing w:after="0"/>
            </w:pPr>
            <w:r>
              <w:rPr>
                <w:sz w:val="14"/>
              </w:rPr>
              <w:t>40</w:t>
            </w:r>
          </w:p>
        </w:tc>
        <w:tc>
          <w:tcPr>
            <w:tcW w:type="dxa" w:w="1742"/>
            <w:vAlign w:val="center"/>
            <w:tcMar>
              <w:top w:w="55" w:type="dxa"/>
              <w:start w:w="65" w:type="dxa"/>
              <w:bottom w:w="55" w:type="dxa"/>
              <w:end w:w="65" w:type="dxa"/>
            </w:tcMar>
            <w:shd w:fill="F2F4F7"/>
          </w:tcPr>
          <w:p>
            <w:pPr>
              <w:spacing w:after="0"/>
            </w:pPr>
            <w:r>
              <w:rPr>
                <w:sz w:val="14"/>
              </w:rPr>
              <w:t>Payer status versus privilege and access</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WB8</w:t>
            </w:r>
          </w:p>
        </w:tc>
        <w:tc>
          <w:tcPr>
            <w:tcW w:type="dxa" w:w="1742"/>
            <w:vAlign w:val="center"/>
            <w:tcMar>
              <w:top w:w="55" w:type="dxa"/>
              <w:start w:w="65" w:type="dxa"/>
              <w:bottom w:w="55" w:type="dxa"/>
              <w:end w:w="65" w:type="dxa"/>
            </w:tcMar>
            <w:shd w:fill="F2F4F7"/>
          </w:tcPr>
          <w:p>
            <w:pPr>
              <w:spacing w:after="0"/>
            </w:pPr>
            <w:r>
              <w:rPr>
                <w:sz w:val="14"/>
              </w:rPr>
              <w:t>PAYER-STATUS-VERSUS-PRIVILEGE-AND-ACCESS</w:t>
            </w:r>
          </w:p>
        </w:tc>
        <w:tc>
          <w:tcPr>
            <w:tcW w:type="dxa" w:w="1742"/>
            <w:vAlign w:val="center"/>
            <w:tcMar>
              <w:top w:w="55" w:type="dxa"/>
              <w:start w:w="65" w:type="dxa"/>
              <w:bottom w:w="55" w:type="dxa"/>
              <w:end w:w="65" w:type="dxa"/>
            </w:tcMar>
            <w:shd w:fill="F2F4F7"/>
          </w:tcPr>
          <w:p>
            <w:pPr>
              <w:spacing w:after="0"/>
            </w:pPr>
            <w:r>
              <w:rPr>
                <w:sz w:val="14"/>
              </w:rPr>
              <w:t>California confidentiality and privilege law; NASW Code 1.03 and 1.07</w:t>
            </w:r>
          </w:p>
        </w:tc>
      </w:tr>
      <w:tr>
        <w:trPr>
          <w:cantSplit/>
        </w:trPr>
        <w:tc>
          <w:tcPr>
            <w:tcW w:type="dxa" w:w="1742"/>
            <w:vAlign w:val="center"/>
            <w:tcMar>
              <w:top w:w="55" w:type="dxa"/>
              <w:start w:w="65" w:type="dxa"/>
              <w:bottom w:w="55" w:type="dxa"/>
              <w:end w:w="65" w:type="dxa"/>
            </w:tcMar>
          </w:tcPr>
          <w:p>
            <w:pPr>
              <w:spacing w:after="0"/>
            </w:pPr>
            <w:r>
              <w:rPr>
                <w:sz w:val="14"/>
              </w:rPr>
              <w:t>41</w:t>
            </w:r>
          </w:p>
        </w:tc>
        <w:tc>
          <w:tcPr>
            <w:tcW w:type="dxa" w:w="1742"/>
            <w:vAlign w:val="center"/>
            <w:tcMar>
              <w:top w:w="55" w:type="dxa"/>
              <w:start w:w="65" w:type="dxa"/>
              <w:bottom w:w="55" w:type="dxa"/>
              <w:end w:w="65" w:type="dxa"/>
            </w:tcMar>
          </w:tcPr>
          <w:p>
            <w:pPr>
              <w:spacing w:after="0"/>
            </w:pPr>
            <w:r>
              <w:rPr>
                <w:sz w:val="14"/>
              </w:rPr>
              <w:t>Treating clinician asked to conduct neutral evaluation</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WB3</w:t>
            </w:r>
          </w:p>
        </w:tc>
        <w:tc>
          <w:tcPr>
            <w:tcW w:type="dxa" w:w="1742"/>
            <w:vAlign w:val="center"/>
            <w:tcMar>
              <w:top w:w="55" w:type="dxa"/>
              <w:start w:w="65" w:type="dxa"/>
              <w:bottom w:w="55" w:type="dxa"/>
              <w:end w:w="65" w:type="dxa"/>
            </w:tcMar>
          </w:tcPr>
          <w:p>
            <w:pPr>
              <w:spacing w:after="0"/>
            </w:pPr>
            <w:r>
              <w:rPr>
                <w:sz w:val="14"/>
              </w:rPr>
              <w:t>TREATING-CLINICIAN-ASKED-TO-CONDUCT-NEUTRAL-</w:t>
            </w:r>
          </w:p>
        </w:tc>
        <w:tc>
          <w:tcPr>
            <w:tcW w:type="dxa" w:w="1742"/>
            <w:vAlign w:val="center"/>
            <w:tcMar>
              <w:top w:w="55" w:type="dxa"/>
              <w:start w:w="65" w:type="dxa"/>
              <w:bottom w:w="55" w:type="dxa"/>
              <w:end w:w="65" w:type="dxa"/>
            </w:tcMar>
          </w:tcPr>
          <w:p>
            <w:pPr>
              <w:spacing w:after="0"/>
            </w:pPr>
            <w:r>
              <w:rPr>
                <w:sz w:val="14"/>
              </w:rPr>
              <w:t>NASW Code 1.04, 1.06, and 4.06; role-specific California court rules as applicable</w:t>
            </w:r>
          </w:p>
        </w:tc>
      </w:tr>
      <w:tr>
        <w:trPr>
          <w:cantSplit/>
        </w:trPr>
        <w:tc>
          <w:tcPr>
            <w:tcW w:type="dxa" w:w="1742"/>
            <w:vAlign w:val="center"/>
            <w:tcMar>
              <w:top w:w="55" w:type="dxa"/>
              <w:start w:w="65" w:type="dxa"/>
              <w:bottom w:w="55" w:type="dxa"/>
              <w:end w:w="65" w:type="dxa"/>
            </w:tcMar>
            <w:shd w:fill="F2F4F7"/>
          </w:tcPr>
          <w:p>
            <w:pPr>
              <w:spacing w:after="0"/>
            </w:pPr>
            <w:r>
              <w:rPr>
                <w:sz w:val="14"/>
              </w:rPr>
              <w:t>42</w:t>
            </w:r>
          </w:p>
        </w:tc>
        <w:tc>
          <w:tcPr>
            <w:tcW w:type="dxa" w:w="1742"/>
            <w:vAlign w:val="center"/>
            <w:tcMar>
              <w:top w:w="55" w:type="dxa"/>
              <w:start w:w="65" w:type="dxa"/>
              <w:bottom w:w="55" w:type="dxa"/>
              <w:end w:w="65" w:type="dxa"/>
            </w:tcMar>
            <w:shd w:fill="F2F4F7"/>
          </w:tcPr>
          <w:p>
            <w:pPr>
              <w:spacing w:after="0"/>
            </w:pPr>
            <w:r>
              <w:rPr>
                <w:sz w:val="14"/>
              </w:rPr>
              <w:t>Late entry and transparent correction</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WB9</w:t>
            </w:r>
          </w:p>
        </w:tc>
        <w:tc>
          <w:tcPr>
            <w:tcW w:type="dxa" w:w="1742"/>
            <w:vAlign w:val="center"/>
            <w:tcMar>
              <w:top w:w="55" w:type="dxa"/>
              <w:start w:w="65" w:type="dxa"/>
              <w:bottom w:w="55" w:type="dxa"/>
              <w:end w:w="65" w:type="dxa"/>
            </w:tcMar>
            <w:shd w:fill="F2F4F7"/>
          </w:tcPr>
          <w:p>
            <w:pPr>
              <w:spacing w:after="0"/>
            </w:pPr>
            <w:r>
              <w:rPr>
                <w:sz w:val="14"/>
              </w:rPr>
              <w:t>LATE-ENTRY-AND-TRANSPARENT-CORRECTION</w:t>
            </w:r>
          </w:p>
        </w:tc>
        <w:tc>
          <w:tcPr>
            <w:tcW w:type="dxa" w:w="1742"/>
            <w:vAlign w:val="center"/>
            <w:tcMar>
              <w:top w:w="55" w:type="dxa"/>
              <w:start w:w="65" w:type="dxa"/>
              <w:bottom w:w="55" w:type="dxa"/>
              <w:end w:w="65" w:type="dxa"/>
            </w:tcMar>
            <w:shd w:fill="F2F4F7"/>
          </w:tcPr>
          <w:p>
            <w:pPr>
              <w:spacing w:after="0"/>
            </w:pPr>
            <w:r>
              <w:rPr>
                <w:sz w:val="14"/>
              </w:rPr>
              <w:t>California record law; NASW Code 3.04</w:t>
            </w:r>
          </w:p>
        </w:tc>
      </w:tr>
      <w:tr>
        <w:trPr>
          <w:cantSplit/>
        </w:trPr>
        <w:tc>
          <w:tcPr>
            <w:tcW w:type="dxa" w:w="1742"/>
            <w:vAlign w:val="center"/>
            <w:tcMar>
              <w:top w:w="55" w:type="dxa"/>
              <w:start w:w="65" w:type="dxa"/>
              <w:bottom w:w="55" w:type="dxa"/>
              <w:end w:w="65" w:type="dxa"/>
            </w:tcMar>
          </w:tcPr>
          <w:p>
            <w:pPr>
              <w:spacing w:after="0"/>
            </w:pPr>
            <w:r>
              <w:rPr>
                <w:sz w:val="14"/>
              </w:rPr>
              <w:t>43</w:t>
            </w:r>
          </w:p>
        </w:tc>
        <w:tc>
          <w:tcPr>
            <w:tcW w:type="dxa" w:w="1742"/>
            <w:vAlign w:val="center"/>
            <w:tcMar>
              <w:top w:w="55" w:type="dxa"/>
              <w:start w:w="65" w:type="dxa"/>
              <w:bottom w:w="55" w:type="dxa"/>
              <w:end w:w="65" w:type="dxa"/>
            </w:tcMar>
          </w:tcPr>
          <w:p>
            <w:pPr>
              <w:spacing w:after="0"/>
            </w:pPr>
            <w:r>
              <w:rPr>
                <w:sz w:val="14"/>
              </w:rPr>
              <w:t>Cultural humility and diagnostic formulation</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WB7</w:t>
            </w:r>
          </w:p>
        </w:tc>
        <w:tc>
          <w:tcPr>
            <w:tcW w:type="dxa" w:w="1742"/>
            <w:vAlign w:val="center"/>
            <w:tcMar>
              <w:top w:w="55" w:type="dxa"/>
              <w:start w:w="65" w:type="dxa"/>
              <w:bottom w:w="55" w:type="dxa"/>
              <w:end w:w="65" w:type="dxa"/>
            </w:tcMar>
          </w:tcPr>
          <w:p>
            <w:pPr>
              <w:spacing w:after="0"/>
            </w:pPr>
            <w:r>
              <w:rPr>
                <w:sz w:val="14"/>
              </w:rPr>
              <w:t>CULTURAL-HUMILITY-AND-DIAGNOSTIC-FORMULATION</w:t>
            </w:r>
          </w:p>
        </w:tc>
        <w:tc>
          <w:tcPr>
            <w:tcW w:type="dxa" w:w="1742"/>
            <w:vAlign w:val="center"/>
            <w:tcMar>
              <w:top w:w="55" w:type="dxa"/>
              <w:start w:w="65" w:type="dxa"/>
              <w:bottom w:w="55" w:type="dxa"/>
              <w:end w:w="65" w:type="dxa"/>
            </w:tcMar>
          </w:tcPr>
          <w:p>
            <w:pPr>
              <w:spacing w:after="0"/>
            </w:pPr>
            <w:r>
              <w:rPr>
                <w:sz w:val="14"/>
              </w:rPr>
              <w:t>NASW Code 1.05 and 4.02; NASW cultural-competence standards</w:t>
            </w:r>
          </w:p>
        </w:tc>
      </w:tr>
      <w:tr>
        <w:trPr>
          <w:cantSplit/>
        </w:trPr>
        <w:tc>
          <w:tcPr>
            <w:tcW w:type="dxa" w:w="1742"/>
            <w:vAlign w:val="center"/>
            <w:tcMar>
              <w:top w:w="55" w:type="dxa"/>
              <w:start w:w="65" w:type="dxa"/>
              <w:bottom w:w="55" w:type="dxa"/>
              <w:end w:w="65" w:type="dxa"/>
            </w:tcMar>
            <w:shd w:fill="F2F4F7"/>
          </w:tcPr>
          <w:p>
            <w:pPr>
              <w:spacing w:after="0"/>
            </w:pPr>
            <w:r>
              <w:rPr>
                <w:sz w:val="14"/>
              </w:rPr>
              <w:t>44</w:t>
            </w:r>
          </w:p>
        </w:tc>
        <w:tc>
          <w:tcPr>
            <w:tcW w:type="dxa" w:w="1742"/>
            <w:vAlign w:val="center"/>
            <w:tcMar>
              <w:top w:w="55" w:type="dxa"/>
              <w:start w:w="65" w:type="dxa"/>
              <w:bottom w:w="55" w:type="dxa"/>
              <w:end w:w="65" w:type="dxa"/>
            </w:tcMar>
            <w:shd w:fill="F2F4F7"/>
          </w:tcPr>
          <w:p>
            <w:pPr>
              <w:spacing w:after="0"/>
            </w:pPr>
            <w:r>
              <w:rPr>
                <w:sz w:val="14"/>
              </w:rPr>
              <w:t>External ASW supervisor and meaningful authority</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EXTERNAL-ASW-SUPERVISOR-AND-MEANINGFUL-AUTHO</w:t>
            </w:r>
          </w:p>
        </w:tc>
        <w:tc>
          <w:tcPr>
            <w:tcW w:type="dxa" w:w="1742"/>
            <w:vAlign w:val="center"/>
            <w:tcMar>
              <w:top w:w="55" w:type="dxa"/>
              <w:start w:w="65" w:type="dxa"/>
              <w:bottom w:w="55" w:type="dxa"/>
              <w:end w:w="65" w:type="dxa"/>
            </w:tcMar>
            <w:shd w:fill="F2F4F7"/>
          </w:tcPr>
          <w:p>
            <w:pPr>
              <w:spacing w:after="0"/>
            </w:pPr>
            <w:r>
              <w:rPr>
                <w:sz w:val="14"/>
              </w:rPr>
              <w:t>BPC 4996.23.2; BBS supervision and oversight agreements</w:t>
            </w:r>
          </w:p>
        </w:tc>
      </w:tr>
      <w:tr>
        <w:trPr>
          <w:cantSplit/>
        </w:trPr>
        <w:tc>
          <w:tcPr>
            <w:tcW w:type="dxa" w:w="1742"/>
            <w:vAlign w:val="center"/>
            <w:tcMar>
              <w:top w:w="55" w:type="dxa"/>
              <w:start w:w="65" w:type="dxa"/>
              <w:bottom w:w="55" w:type="dxa"/>
              <w:end w:w="65" w:type="dxa"/>
            </w:tcMar>
          </w:tcPr>
          <w:p>
            <w:pPr>
              <w:spacing w:after="0"/>
            </w:pPr>
            <w:r>
              <w:rPr>
                <w:sz w:val="14"/>
              </w:rPr>
              <w:t>45</w:t>
            </w:r>
          </w:p>
        </w:tc>
        <w:tc>
          <w:tcPr>
            <w:tcW w:type="dxa" w:w="1742"/>
            <w:vAlign w:val="center"/>
            <w:tcMar>
              <w:top w:w="55" w:type="dxa"/>
              <w:start w:w="65" w:type="dxa"/>
              <w:bottom w:w="55" w:type="dxa"/>
              <w:end w:w="65" w:type="dxa"/>
            </w:tcMar>
          </w:tcPr>
          <w:p>
            <w:pPr>
              <w:spacing w:after="0"/>
            </w:pPr>
            <w:r>
              <w:rPr>
                <w:sz w:val="14"/>
              </w:rPr>
              <w:t>Client refusal of recommended treatment</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CLIENT-REFUSAL-OF-RECOMMENDED-TREATMENT</w:t>
            </w:r>
          </w:p>
        </w:tc>
        <w:tc>
          <w:tcPr>
            <w:tcW w:type="dxa" w:w="1742"/>
            <w:vAlign w:val="center"/>
            <w:tcMar>
              <w:top w:w="55" w:type="dxa"/>
              <w:start w:w="65" w:type="dxa"/>
              <w:bottom w:w="55" w:type="dxa"/>
              <w:end w:w="65" w:type="dxa"/>
            </w:tcMar>
          </w:tcPr>
          <w:p>
            <w:pPr>
              <w:spacing w:after="0"/>
            </w:pPr>
            <w:r>
              <w:rPr>
                <w:sz w:val="14"/>
              </w:rPr>
              <w:t>NASW Code 1.02, 1.03, 1.04, and 1.15</w:t>
            </w:r>
          </w:p>
        </w:tc>
      </w:tr>
      <w:tr>
        <w:trPr>
          <w:cantSplit/>
        </w:trPr>
        <w:tc>
          <w:tcPr>
            <w:tcW w:type="dxa" w:w="1742"/>
            <w:vAlign w:val="center"/>
            <w:tcMar>
              <w:top w:w="55" w:type="dxa"/>
              <w:start w:w="65" w:type="dxa"/>
              <w:bottom w:w="55" w:type="dxa"/>
              <w:end w:w="65" w:type="dxa"/>
            </w:tcMar>
            <w:shd w:fill="F2F4F7"/>
          </w:tcPr>
          <w:p>
            <w:pPr>
              <w:spacing w:after="0"/>
            </w:pPr>
            <w:r>
              <w:rPr>
                <w:sz w:val="14"/>
              </w:rPr>
              <w:t>46</w:t>
            </w:r>
          </w:p>
        </w:tc>
        <w:tc>
          <w:tcPr>
            <w:tcW w:type="dxa" w:w="1742"/>
            <w:vAlign w:val="center"/>
            <w:tcMar>
              <w:top w:w="55" w:type="dxa"/>
              <w:start w:w="65" w:type="dxa"/>
              <w:bottom w:w="55" w:type="dxa"/>
              <w:end w:w="65" w:type="dxa"/>
            </w:tcMar>
            <w:shd w:fill="F2F4F7"/>
          </w:tcPr>
          <w:p>
            <w:pPr>
              <w:spacing w:after="0"/>
            </w:pPr>
            <w:r>
              <w:rPr>
                <w:sz w:val="14"/>
              </w:rPr>
              <w:t>Client refusal during elevated but nonimminent risk</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WB5</w:t>
            </w:r>
          </w:p>
        </w:tc>
        <w:tc>
          <w:tcPr>
            <w:tcW w:type="dxa" w:w="1742"/>
            <w:vAlign w:val="center"/>
            <w:tcMar>
              <w:top w:w="55" w:type="dxa"/>
              <w:start w:w="65" w:type="dxa"/>
              <w:bottom w:w="55" w:type="dxa"/>
              <w:end w:w="65" w:type="dxa"/>
            </w:tcMar>
            <w:shd w:fill="F2F4F7"/>
          </w:tcPr>
          <w:p>
            <w:pPr>
              <w:spacing w:after="0"/>
            </w:pPr>
            <w:r>
              <w:rPr>
                <w:sz w:val="14"/>
              </w:rPr>
              <w:t>CLIENT-REFUSAL-DURING-ELEVATED-BUT-NONIMMINE</w:t>
            </w:r>
          </w:p>
        </w:tc>
        <w:tc>
          <w:tcPr>
            <w:tcW w:type="dxa" w:w="1742"/>
            <w:vAlign w:val="center"/>
            <w:tcMar>
              <w:top w:w="55" w:type="dxa"/>
              <w:start w:w="65" w:type="dxa"/>
              <w:bottom w:w="55" w:type="dxa"/>
              <w:end w:w="65" w:type="dxa"/>
            </w:tcMar>
            <w:shd w:fill="F2F4F7"/>
          </w:tcPr>
          <w:p>
            <w:pPr>
              <w:spacing w:after="0"/>
            </w:pPr>
            <w:r>
              <w:rPr>
                <w:sz w:val="14"/>
              </w:rPr>
              <w:t>NASW Code 1.01, 1.02, 1.03, and 1.15</w:t>
            </w:r>
          </w:p>
        </w:tc>
      </w:tr>
      <w:tr>
        <w:trPr>
          <w:cantSplit/>
        </w:trPr>
        <w:tc>
          <w:tcPr>
            <w:tcW w:type="dxa" w:w="1742"/>
            <w:vAlign w:val="center"/>
            <w:tcMar>
              <w:top w:w="55" w:type="dxa"/>
              <w:start w:w="65" w:type="dxa"/>
              <w:bottom w:w="55" w:type="dxa"/>
              <w:end w:w="65" w:type="dxa"/>
            </w:tcMar>
          </w:tcPr>
          <w:p>
            <w:pPr>
              <w:spacing w:after="0"/>
            </w:pPr>
            <w:r>
              <w:rPr>
                <w:sz w:val="14"/>
              </w:rPr>
              <w:t>47</w:t>
            </w:r>
          </w:p>
        </w:tc>
        <w:tc>
          <w:tcPr>
            <w:tcW w:type="dxa" w:w="1742"/>
            <w:vAlign w:val="center"/>
            <w:tcMar>
              <w:top w:w="55" w:type="dxa"/>
              <w:start w:w="65" w:type="dxa"/>
              <w:bottom w:w="55" w:type="dxa"/>
              <w:end w:w="65" w:type="dxa"/>
            </w:tcMar>
          </w:tcPr>
          <w:p>
            <w:pPr>
              <w:spacing w:after="0"/>
            </w:pPr>
            <w:r>
              <w:rPr>
                <w:sz w:val="14"/>
              </w:rPr>
              <w:t>Family-service client identity and competing loyalties</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FAMILY-SERVICE-CLIENT-IDENTITY-AND-COMPETING</w:t>
            </w:r>
          </w:p>
        </w:tc>
        <w:tc>
          <w:tcPr>
            <w:tcW w:type="dxa" w:w="1742"/>
            <w:vAlign w:val="center"/>
            <w:tcMar>
              <w:top w:w="55" w:type="dxa"/>
              <w:start w:w="65" w:type="dxa"/>
              <w:bottom w:w="55" w:type="dxa"/>
              <w:end w:w="65" w:type="dxa"/>
            </w:tcMar>
          </w:tcPr>
          <w:p>
            <w:pPr>
              <w:spacing w:after="0"/>
            </w:pPr>
            <w:r>
              <w:rPr>
                <w:sz w:val="14"/>
              </w:rPr>
              <w:t>NASW Code 1.01, 1.03, 1.06, 1.07, and 1.08</w:t>
            </w:r>
          </w:p>
        </w:tc>
      </w:tr>
      <w:tr>
        <w:trPr>
          <w:cantSplit/>
        </w:trPr>
        <w:tc>
          <w:tcPr>
            <w:tcW w:type="dxa" w:w="1742"/>
            <w:vAlign w:val="center"/>
            <w:tcMar>
              <w:top w:w="55" w:type="dxa"/>
              <w:start w:w="65" w:type="dxa"/>
              <w:bottom w:w="55" w:type="dxa"/>
              <w:end w:w="65" w:type="dxa"/>
            </w:tcMar>
            <w:shd w:fill="F2F4F7"/>
          </w:tcPr>
          <w:p>
            <w:pPr>
              <w:spacing w:after="0"/>
            </w:pPr>
            <w:r>
              <w:rPr>
                <w:sz w:val="14"/>
              </w:rPr>
              <w:t>48</w:t>
            </w:r>
          </w:p>
        </w:tc>
        <w:tc>
          <w:tcPr>
            <w:tcW w:type="dxa" w:w="1742"/>
            <w:vAlign w:val="center"/>
            <w:tcMar>
              <w:top w:w="55" w:type="dxa"/>
              <w:start w:w="65" w:type="dxa"/>
              <w:bottom w:w="55" w:type="dxa"/>
              <w:end w:w="65" w:type="dxa"/>
            </w:tcMar>
            <w:shd w:fill="F2F4F7"/>
          </w:tcPr>
          <w:p>
            <w:pPr>
              <w:spacing w:after="0"/>
            </w:pPr>
            <w:r>
              <w:rPr>
                <w:sz w:val="14"/>
              </w:rPr>
              <w:t>Role change from therapist to investigator</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ROLE-CHANGE-FROM-THERAPIST-TO-INVESTIGATOR</w:t>
            </w:r>
          </w:p>
        </w:tc>
        <w:tc>
          <w:tcPr>
            <w:tcW w:type="dxa" w:w="1742"/>
            <w:vAlign w:val="center"/>
            <w:tcMar>
              <w:top w:w="55" w:type="dxa"/>
              <w:start w:w="65" w:type="dxa"/>
              <w:bottom w:w="55" w:type="dxa"/>
              <w:end w:w="65" w:type="dxa"/>
            </w:tcMar>
            <w:shd w:fill="F2F4F7"/>
          </w:tcPr>
          <w:p>
            <w:pPr>
              <w:spacing w:after="0"/>
            </w:pPr>
            <w:r>
              <w:rPr>
                <w:sz w:val="14"/>
              </w:rPr>
              <w:t>NASW Code 1.03, 1.06, 1.07, 3.07, and 4.06</w:t>
            </w:r>
          </w:p>
        </w:tc>
      </w:tr>
      <w:tr>
        <w:trPr>
          <w:cantSplit/>
        </w:trPr>
        <w:tc>
          <w:tcPr>
            <w:tcW w:type="dxa" w:w="1742"/>
            <w:vAlign w:val="center"/>
            <w:tcMar>
              <w:top w:w="55" w:type="dxa"/>
              <w:start w:w="65" w:type="dxa"/>
              <w:bottom w:w="55" w:type="dxa"/>
              <w:end w:w="65" w:type="dxa"/>
            </w:tcMar>
          </w:tcPr>
          <w:p>
            <w:pPr>
              <w:spacing w:after="0"/>
            </w:pPr>
            <w:r>
              <w:rPr>
                <w:sz w:val="14"/>
              </w:rPr>
              <w:t>49</w:t>
            </w:r>
          </w:p>
        </w:tc>
        <w:tc>
          <w:tcPr>
            <w:tcW w:type="dxa" w:w="1742"/>
            <w:vAlign w:val="center"/>
            <w:tcMar>
              <w:top w:w="55" w:type="dxa"/>
              <w:start w:w="65" w:type="dxa"/>
              <w:bottom w:w="55" w:type="dxa"/>
              <w:end w:w="65" w:type="dxa"/>
            </w:tcMar>
          </w:tcPr>
          <w:p>
            <w:pPr>
              <w:spacing w:after="0"/>
            </w:pPr>
            <w:r>
              <w:rPr>
                <w:sz w:val="14"/>
              </w:rPr>
              <w:t>Elder abuse report and client objection</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WB5</w:t>
            </w:r>
          </w:p>
        </w:tc>
        <w:tc>
          <w:tcPr>
            <w:tcW w:type="dxa" w:w="1742"/>
            <w:vAlign w:val="center"/>
            <w:tcMar>
              <w:top w:w="55" w:type="dxa"/>
              <w:start w:w="65" w:type="dxa"/>
              <w:bottom w:w="55" w:type="dxa"/>
              <w:end w:w="65" w:type="dxa"/>
            </w:tcMar>
          </w:tcPr>
          <w:p>
            <w:pPr>
              <w:spacing w:after="0"/>
            </w:pPr>
            <w:r>
              <w:rPr>
                <w:sz w:val="14"/>
              </w:rPr>
              <w:t>ELDER-ABUSE-REPORT-AND-CLIENT-OBJECTION</w:t>
            </w:r>
          </w:p>
        </w:tc>
        <w:tc>
          <w:tcPr>
            <w:tcW w:type="dxa" w:w="1742"/>
            <w:vAlign w:val="center"/>
            <w:tcMar>
              <w:top w:w="55" w:type="dxa"/>
              <w:start w:w="65" w:type="dxa"/>
              <w:bottom w:w="55" w:type="dxa"/>
              <w:end w:w="65" w:type="dxa"/>
            </w:tcMar>
          </w:tcPr>
          <w:p>
            <w:pPr>
              <w:spacing w:after="0"/>
            </w:pPr>
            <w:r>
              <w:rPr>
                <w:sz w:val="14"/>
              </w:rPr>
              <w:t>California elder and dependent adult abuse reporting law; NASW Code 1.01 and 1.07</w:t>
            </w:r>
          </w:p>
        </w:tc>
      </w:tr>
      <w:tr>
        <w:trPr>
          <w:cantSplit/>
        </w:trPr>
        <w:tc>
          <w:tcPr>
            <w:tcW w:type="dxa" w:w="1742"/>
            <w:vAlign w:val="center"/>
            <w:tcMar>
              <w:top w:w="55" w:type="dxa"/>
              <w:start w:w="65" w:type="dxa"/>
              <w:bottom w:w="55" w:type="dxa"/>
              <w:end w:w="65" w:type="dxa"/>
            </w:tcMar>
            <w:shd w:fill="F2F4F7"/>
          </w:tcPr>
          <w:p>
            <w:pPr>
              <w:spacing w:after="0"/>
            </w:pPr>
            <w:r>
              <w:rPr>
                <w:sz w:val="14"/>
              </w:rPr>
              <w:t>50</w:t>
            </w:r>
          </w:p>
        </w:tc>
        <w:tc>
          <w:tcPr>
            <w:tcW w:type="dxa" w:w="1742"/>
            <w:vAlign w:val="center"/>
            <w:tcMar>
              <w:top w:w="55" w:type="dxa"/>
              <w:start w:w="65" w:type="dxa"/>
              <w:bottom w:w="55" w:type="dxa"/>
              <w:end w:w="65" w:type="dxa"/>
            </w:tcMar>
            <w:shd w:fill="F2F4F7"/>
          </w:tcPr>
          <w:p>
            <w:pPr>
              <w:spacing w:after="0"/>
            </w:pPr>
            <w:r>
              <w:rPr>
                <w:sz w:val="14"/>
              </w:rPr>
              <w:t>Supervisor boundary and evaluative authority</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SUPERVISOR-BOUNDARY-AND-EVALUATIVE-AUTHORITY</w:t>
            </w:r>
          </w:p>
        </w:tc>
        <w:tc>
          <w:tcPr>
            <w:tcW w:type="dxa" w:w="1742"/>
            <w:vAlign w:val="center"/>
            <w:tcMar>
              <w:top w:w="55" w:type="dxa"/>
              <w:start w:w="65" w:type="dxa"/>
              <w:bottom w:w="55" w:type="dxa"/>
              <w:end w:w="65" w:type="dxa"/>
            </w:tcMar>
            <w:shd w:fill="F2F4F7"/>
          </w:tcPr>
          <w:p>
            <w:pPr>
              <w:spacing w:after="0"/>
            </w:pPr>
            <w:r>
              <w:rPr>
                <w:sz w:val="14"/>
              </w:rPr>
              <w:t>NASW Code 3.01 and 3.03; BBS supervision requirements</w:t>
            </w:r>
          </w:p>
        </w:tc>
      </w:tr>
      <w:tr>
        <w:trPr>
          <w:cantSplit/>
        </w:trPr>
        <w:tc>
          <w:tcPr>
            <w:tcW w:type="dxa" w:w="1742"/>
            <w:vAlign w:val="center"/>
            <w:tcMar>
              <w:top w:w="55" w:type="dxa"/>
              <w:start w:w="65" w:type="dxa"/>
              <w:bottom w:w="55" w:type="dxa"/>
              <w:end w:w="65" w:type="dxa"/>
            </w:tcMar>
          </w:tcPr>
          <w:p>
            <w:pPr>
              <w:spacing w:after="0"/>
            </w:pPr>
            <w:r>
              <w:rPr>
                <w:sz w:val="14"/>
              </w:rPr>
              <w:t>51</w:t>
            </w:r>
          </w:p>
        </w:tc>
        <w:tc>
          <w:tcPr>
            <w:tcW w:type="dxa" w:w="1742"/>
            <w:vAlign w:val="center"/>
            <w:tcMar>
              <w:top w:w="55" w:type="dxa"/>
              <w:start w:w="65" w:type="dxa"/>
              <w:bottom w:w="55" w:type="dxa"/>
              <w:end w:w="65" w:type="dxa"/>
            </w:tcMar>
          </w:tcPr>
          <w:p>
            <w:pPr>
              <w:spacing w:after="0"/>
            </w:pPr>
            <w:r>
              <w:rPr>
                <w:sz w:val="14"/>
              </w:rPr>
              <w:t>Social media direct messages from a current client</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SOCIAL-MEDIA-DIRECT-MESSAGES-FROM-A-CURRENT-</w:t>
            </w:r>
          </w:p>
        </w:tc>
        <w:tc>
          <w:tcPr>
            <w:tcW w:type="dxa" w:w="1742"/>
            <w:vAlign w:val="center"/>
            <w:tcMar>
              <w:top w:w="55" w:type="dxa"/>
              <w:start w:w="65" w:type="dxa"/>
              <w:bottom w:w="55" w:type="dxa"/>
              <w:end w:w="65" w:type="dxa"/>
            </w:tcMar>
          </w:tcPr>
          <w:p>
            <w:pPr>
              <w:spacing w:after="0"/>
            </w:pPr>
            <w:r>
              <w:rPr>
                <w:sz w:val="14"/>
              </w:rPr>
              <w:t>NASW Code 1.06, 1.07, 1.13, and 1.15</w:t>
            </w:r>
          </w:p>
        </w:tc>
      </w:tr>
      <w:tr>
        <w:trPr>
          <w:cantSplit/>
        </w:trPr>
        <w:tc>
          <w:tcPr>
            <w:tcW w:type="dxa" w:w="1742"/>
            <w:vAlign w:val="center"/>
            <w:tcMar>
              <w:top w:w="55" w:type="dxa"/>
              <w:start w:w="65" w:type="dxa"/>
              <w:bottom w:w="55" w:type="dxa"/>
              <w:end w:w="65" w:type="dxa"/>
            </w:tcMar>
            <w:shd w:fill="F2F4F7"/>
          </w:tcPr>
          <w:p>
            <w:pPr>
              <w:spacing w:after="0"/>
            </w:pPr>
            <w:r>
              <w:rPr>
                <w:sz w:val="14"/>
              </w:rPr>
              <w:t>52</w:t>
            </w:r>
          </w:p>
        </w:tc>
        <w:tc>
          <w:tcPr>
            <w:tcW w:type="dxa" w:w="1742"/>
            <w:vAlign w:val="center"/>
            <w:tcMar>
              <w:top w:w="55" w:type="dxa"/>
              <w:start w:w="65" w:type="dxa"/>
              <w:bottom w:w="55" w:type="dxa"/>
              <w:end w:w="65" w:type="dxa"/>
            </w:tcMar>
            <w:shd w:fill="F2F4F7"/>
          </w:tcPr>
          <w:p>
            <w:pPr>
              <w:spacing w:after="0"/>
            </w:pPr>
            <w:r>
              <w:rPr>
                <w:sz w:val="14"/>
              </w:rPr>
              <w:t>Unauthorized access to electronic records</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WB9</w:t>
            </w:r>
          </w:p>
        </w:tc>
        <w:tc>
          <w:tcPr>
            <w:tcW w:type="dxa" w:w="1742"/>
            <w:vAlign w:val="center"/>
            <w:tcMar>
              <w:top w:w="55" w:type="dxa"/>
              <w:start w:w="65" w:type="dxa"/>
              <w:bottom w:w="55" w:type="dxa"/>
              <w:end w:w="65" w:type="dxa"/>
            </w:tcMar>
            <w:shd w:fill="F2F4F7"/>
          </w:tcPr>
          <w:p>
            <w:pPr>
              <w:spacing w:after="0"/>
            </w:pPr>
            <w:r>
              <w:rPr>
                <w:sz w:val="14"/>
              </w:rPr>
              <w:t>UNAUTHORIZED-ACCESS-TO-ELECTRONIC-RECORDS</w:t>
            </w:r>
          </w:p>
        </w:tc>
        <w:tc>
          <w:tcPr>
            <w:tcW w:type="dxa" w:w="1742"/>
            <w:vAlign w:val="center"/>
            <w:tcMar>
              <w:top w:w="55" w:type="dxa"/>
              <w:start w:w="65" w:type="dxa"/>
              <w:bottom w:w="55" w:type="dxa"/>
              <w:end w:w="65" w:type="dxa"/>
            </w:tcMar>
            <w:shd w:fill="F2F4F7"/>
          </w:tcPr>
          <w:p>
            <w:pPr>
              <w:spacing w:after="0"/>
            </w:pPr>
            <w:r>
              <w:rPr>
                <w:sz w:val="14"/>
              </w:rPr>
              <w:t>California privacy and breach law; NASW Code 1.07 and 3.04</w:t>
            </w:r>
          </w:p>
        </w:tc>
      </w:tr>
      <w:tr>
        <w:trPr>
          <w:cantSplit/>
        </w:trPr>
        <w:tc>
          <w:tcPr>
            <w:tcW w:type="dxa" w:w="1742"/>
            <w:vAlign w:val="center"/>
            <w:tcMar>
              <w:top w:w="55" w:type="dxa"/>
              <w:start w:w="65" w:type="dxa"/>
              <w:bottom w:w="55" w:type="dxa"/>
              <w:end w:w="65" w:type="dxa"/>
            </w:tcMar>
          </w:tcPr>
          <w:p>
            <w:pPr>
              <w:spacing w:after="0"/>
            </w:pPr>
            <w:r>
              <w:rPr>
                <w:sz w:val="14"/>
              </w:rPr>
              <w:t>53</w:t>
            </w:r>
          </w:p>
        </w:tc>
        <w:tc>
          <w:tcPr>
            <w:tcW w:type="dxa" w:w="1742"/>
            <w:vAlign w:val="center"/>
            <w:tcMar>
              <w:top w:w="55" w:type="dxa"/>
              <w:start w:w="65" w:type="dxa"/>
              <w:bottom w:w="55" w:type="dxa"/>
              <w:end w:w="65" w:type="dxa"/>
            </w:tcMar>
          </w:tcPr>
          <w:p>
            <w:pPr>
              <w:spacing w:after="0"/>
            </w:pPr>
            <w:r>
              <w:rPr>
                <w:sz w:val="14"/>
              </w:rPr>
              <w:t>Conjoint-services individual communication policy</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CONJOINT-SERVICES-INDIVIDUAL-COMMUNICATION-P</w:t>
            </w:r>
          </w:p>
        </w:tc>
        <w:tc>
          <w:tcPr>
            <w:tcW w:type="dxa" w:w="1742"/>
            <w:vAlign w:val="center"/>
            <w:tcMar>
              <w:top w:w="55" w:type="dxa"/>
              <w:start w:w="65" w:type="dxa"/>
              <w:bottom w:w="55" w:type="dxa"/>
              <w:end w:w="65" w:type="dxa"/>
            </w:tcMar>
          </w:tcPr>
          <w:p>
            <w:pPr>
              <w:spacing w:after="0"/>
            </w:pPr>
            <w:r>
              <w:rPr>
                <w:sz w:val="14"/>
              </w:rPr>
              <w:t>NASW Code 1.03, 1.06, 1.07, and 1.08</w:t>
            </w:r>
          </w:p>
        </w:tc>
      </w:tr>
      <w:tr>
        <w:trPr>
          <w:cantSplit/>
        </w:trPr>
        <w:tc>
          <w:tcPr>
            <w:tcW w:type="dxa" w:w="1742"/>
            <w:vAlign w:val="center"/>
            <w:tcMar>
              <w:top w:w="55" w:type="dxa"/>
              <w:start w:w="65" w:type="dxa"/>
              <w:bottom w:w="55" w:type="dxa"/>
              <w:end w:w="65" w:type="dxa"/>
            </w:tcMar>
            <w:shd w:fill="F2F4F7"/>
          </w:tcPr>
          <w:p>
            <w:pPr>
              <w:spacing w:after="0"/>
            </w:pPr>
            <w:r>
              <w:rPr>
                <w:sz w:val="14"/>
              </w:rPr>
              <w:t>54</w:t>
            </w:r>
          </w:p>
        </w:tc>
        <w:tc>
          <w:tcPr>
            <w:tcW w:type="dxa" w:w="1742"/>
            <w:vAlign w:val="center"/>
            <w:tcMar>
              <w:top w:w="55" w:type="dxa"/>
              <w:start w:w="65" w:type="dxa"/>
              <w:bottom w:w="55" w:type="dxa"/>
              <w:end w:w="65" w:type="dxa"/>
            </w:tcMar>
            <w:shd w:fill="F2F4F7"/>
          </w:tcPr>
          <w:p>
            <w:pPr>
              <w:spacing w:after="0"/>
            </w:pPr>
            <w:r>
              <w:rPr>
                <w:sz w:val="14"/>
              </w:rPr>
              <w:t>Financial hardship and continuity</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WB1</w:t>
            </w:r>
          </w:p>
        </w:tc>
        <w:tc>
          <w:tcPr>
            <w:tcW w:type="dxa" w:w="1742"/>
            <w:vAlign w:val="center"/>
            <w:tcMar>
              <w:top w:w="55" w:type="dxa"/>
              <w:start w:w="65" w:type="dxa"/>
              <w:bottom w:w="55" w:type="dxa"/>
              <w:end w:w="65" w:type="dxa"/>
            </w:tcMar>
            <w:shd w:fill="F2F4F7"/>
          </w:tcPr>
          <w:p>
            <w:pPr>
              <w:spacing w:after="0"/>
            </w:pPr>
            <w:r>
              <w:rPr>
                <w:sz w:val="14"/>
              </w:rPr>
              <w:t>FINANCIAL-HARDSHIP-AND-CONTINUITY</w:t>
            </w:r>
          </w:p>
        </w:tc>
        <w:tc>
          <w:tcPr>
            <w:tcW w:type="dxa" w:w="1742"/>
            <w:vAlign w:val="center"/>
            <w:tcMar>
              <w:top w:w="55" w:type="dxa"/>
              <w:start w:w="65" w:type="dxa"/>
              <w:bottom w:w="55" w:type="dxa"/>
              <w:end w:w="65" w:type="dxa"/>
            </w:tcMar>
            <w:shd w:fill="F2F4F7"/>
          </w:tcPr>
          <w:p>
            <w:pPr>
              <w:spacing w:after="0"/>
            </w:pPr>
            <w:r>
              <w:rPr>
                <w:sz w:val="14"/>
              </w:rPr>
              <w:t>NASW Code 1.13, 1.15, and 1.16</w:t>
            </w:r>
          </w:p>
        </w:tc>
      </w:tr>
      <w:tr>
        <w:trPr>
          <w:cantSplit/>
        </w:trPr>
        <w:tc>
          <w:tcPr>
            <w:tcW w:type="dxa" w:w="1742"/>
            <w:vAlign w:val="center"/>
            <w:tcMar>
              <w:top w:w="55" w:type="dxa"/>
              <w:start w:w="65" w:type="dxa"/>
              <w:bottom w:w="55" w:type="dxa"/>
              <w:end w:w="65" w:type="dxa"/>
            </w:tcMar>
          </w:tcPr>
          <w:p>
            <w:pPr>
              <w:spacing w:after="0"/>
            </w:pPr>
            <w:r>
              <w:rPr>
                <w:sz w:val="14"/>
              </w:rPr>
              <w:t>55</w:t>
            </w:r>
          </w:p>
        </w:tc>
        <w:tc>
          <w:tcPr>
            <w:tcW w:type="dxa" w:w="1742"/>
            <w:vAlign w:val="center"/>
            <w:tcMar>
              <w:top w:w="55" w:type="dxa"/>
              <w:start w:w="65" w:type="dxa"/>
              <w:bottom w:w="55" w:type="dxa"/>
              <w:end w:w="65" w:type="dxa"/>
            </w:tcMar>
          </w:tcPr>
          <w:p>
            <w:pPr>
              <w:spacing w:after="0"/>
            </w:pPr>
            <w:r>
              <w:rPr>
                <w:sz w:val="14"/>
              </w:rPr>
              <w:t>Expansion of a support person’s authorized role</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SUPPORT-ROLE-EXPANSION</w:t>
            </w:r>
          </w:p>
        </w:tc>
        <w:tc>
          <w:tcPr>
            <w:tcW w:type="dxa" w:w="1742"/>
            <w:vAlign w:val="center"/>
            <w:tcMar>
              <w:top w:w="55" w:type="dxa"/>
              <w:start w:w="65" w:type="dxa"/>
              <w:bottom w:w="55" w:type="dxa"/>
              <w:end w:w="65" w:type="dxa"/>
            </w:tcMar>
          </w:tcPr>
          <w:p>
            <w:pPr>
              <w:spacing w:after="0"/>
            </w:pPr>
            <w:r>
              <w:rPr>
                <w:sz w:val="14"/>
              </w:rPr>
              <w:t>NASW Code 1.02, 1.03, 1.06, and 1.07; applicable confidentiality law</w:t>
            </w:r>
          </w:p>
        </w:tc>
      </w:tr>
      <w:tr>
        <w:trPr>
          <w:cantSplit/>
        </w:trPr>
        <w:tc>
          <w:tcPr>
            <w:tcW w:type="dxa" w:w="1742"/>
            <w:vAlign w:val="center"/>
            <w:tcMar>
              <w:top w:w="55" w:type="dxa"/>
              <w:start w:w="65" w:type="dxa"/>
              <w:bottom w:w="55" w:type="dxa"/>
              <w:end w:w="65" w:type="dxa"/>
            </w:tcMar>
            <w:shd w:fill="F2F4F7"/>
          </w:tcPr>
          <w:p>
            <w:pPr>
              <w:spacing w:after="0"/>
            </w:pPr>
            <w:r>
              <w:rPr>
                <w:sz w:val="14"/>
              </w:rPr>
              <w:t>56</w:t>
            </w:r>
          </w:p>
        </w:tc>
        <w:tc>
          <w:tcPr>
            <w:tcW w:type="dxa" w:w="1742"/>
            <w:vAlign w:val="center"/>
            <w:tcMar>
              <w:top w:w="55" w:type="dxa"/>
              <w:start w:w="65" w:type="dxa"/>
              <w:bottom w:w="55" w:type="dxa"/>
              <w:end w:w="65" w:type="dxa"/>
            </w:tcMar>
            <w:shd w:fill="F2F4F7"/>
          </w:tcPr>
          <w:p>
            <w:pPr>
              <w:spacing w:after="0"/>
            </w:pPr>
            <w:r>
              <w:rPr>
                <w:sz w:val="14"/>
              </w:rPr>
              <w:t>Client-defined support person and autonomy</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WB1</w:t>
            </w:r>
          </w:p>
        </w:tc>
        <w:tc>
          <w:tcPr>
            <w:tcW w:type="dxa" w:w="1742"/>
            <w:vAlign w:val="center"/>
            <w:tcMar>
              <w:top w:w="55" w:type="dxa"/>
              <w:start w:w="65" w:type="dxa"/>
              <w:bottom w:w="55" w:type="dxa"/>
              <w:end w:w="65" w:type="dxa"/>
            </w:tcMar>
            <w:shd w:fill="F2F4F7"/>
          </w:tcPr>
          <w:p>
            <w:pPr>
              <w:spacing w:after="0"/>
            </w:pPr>
            <w:r>
              <w:rPr>
                <w:sz w:val="14"/>
              </w:rPr>
              <w:t>CLIENT-DEFINED-SUPPORT-PERSON-AND-AUTONOMY</w:t>
            </w:r>
          </w:p>
        </w:tc>
        <w:tc>
          <w:tcPr>
            <w:tcW w:type="dxa" w:w="1742"/>
            <w:vAlign w:val="center"/>
            <w:tcMar>
              <w:top w:w="55" w:type="dxa"/>
              <w:start w:w="65" w:type="dxa"/>
              <w:bottom w:w="55" w:type="dxa"/>
              <w:end w:w="65" w:type="dxa"/>
            </w:tcMar>
            <w:shd w:fill="F2F4F7"/>
          </w:tcPr>
          <w:p>
            <w:pPr>
              <w:spacing w:after="0"/>
            </w:pPr>
            <w:r>
              <w:rPr>
                <w:sz w:val="14"/>
              </w:rPr>
              <w:t>NASW Code 1.02, 1.03, 1.05, and 1.07</w:t>
            </w:r>
          </w:p>
        </w:tc>
      </w:tr>
      <w:tr>
        <w:trPr>
          <w:cantSplit/>
        </w:trPr>
        <w:tc>
          <w:tcPr>
            <w:tcW w:type="dxa" w:w="1742"/>
            <w:vAlign w:val="center"/>
            <w:tcMar>
              <w:top w:w="55" w:type="dxa"/>
              <w:start w:w="65" w:type="dxa"/>
              <w:bottom w:w="55" w:type="dxa"/>
              <w:end w:w="65" w:type="dxa"/>
            </w:tcMar>
          </w:tcPr>
          <w:p>
            <w:pPr>
              <w:spacing w:after="0"/>
            </w:pPr>
            <w:r>
              <w:rPr>
                <w:sz w:val="14"/>
              </w:rPr>
              <w:t>57</w:t>
            </w:r>
          </w:p>
        </w:tc>
        <w:tc>
          <w:tcPr>
            <w:tcW w:type="dxa" w:w="1742"/>
            <w:vAlign w:val="center"/>
            <w:tcMar>
              <w:top w:w="55" w:type="dxa"/>
              <w:start w:w="65" w:type="dxa"/>
              <w:bottom w:w="55" w:type="dxa"/>
              <w:end w:w="65" w:type="dxa"/>
            </w:tcMar>
          </w:tcPr>
          <w:p>
            <w:pPr>
              <w:spacing w:after="0"/>
            </w:pPr>
            <w:r>
              <w:rPr>
                <w:sz w:val="14"/>
              </w:rPr>
              <w:t>Qualified interpreter and client-centered communication</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WB7</w:t>
            </w:r>
          </w:p>
        </w:tc>
        <w:tc>
          <w:tcPr>
            <w:tcW w:type="dxa" w:w="1742"/>
            <w:vAlign w:val="center"/>
            <w:tcMar>
              <w:top w:w="55" w:type="dxa"/>
              <w:start w:w="65" w:type="dxa"/>
              <w:bottom w:w="55" w:type="dxa"/>
              <w:end w:w="65" w:type="dxa"/>
            </w:tcMar>
          </w:tcPr>
          <w:p>
            <w:pPr>
              <w:spacing w:after="0"/>
            </w:pPr>
            <w:r>
              <w:rPr>
                <w:sz w:val="14"/>
              </w:rPr>
              <w:t>QUALIFIED-INTERPRETER-AND-CLIENT-CENTERED-CO</w:t>
            </w:r>
          </w:p>
        </w:tc>
        <w:tc>
          <w:tcPr>
            <w:tcW w:type="dxa" w:w="1742"/>
            <w:vAlign w:val="center"/>
            <w:tcMar>
              <w:top w:w="55" w:type="dxa"/>
              <w:start w:w="65" w:type="dxa"/>
              <w:bottom w:w="55" w:type="dxa"/>
              <w:end w:w="65" w:type="dxa"/>
            </w:tcMar>
          </w:tcPr>
          <w:p>
            <w:pPr>
              <w:spacing w:after="0"/>
            </w:pPr>
            <w:r>
              <w:rPr>
                <w:sz w:val="14"/>
              </w:rPr>
              <w:t>NASW Code 1.03, 1.04, and 1.07; applicable language-access law</w:t>
            </w:r>
          </w:p>
        </w:tc>
      </w:tr>
      <w:tr>
        <w:trPr>
          <w:cantSplit/>
        </w:trPr>
        <w:tc>
          <w:tcPr>
            <w:tcW w:type="dxa" w:w="1742"/>
            <w:vAlign w:val="center"/>
            <w:tcMar>
              <w:top w:w="55" w:type="dxa"/>
              <w:start w:w="65" w:type="dxa"/>
              <w:bottom w:w="55" w:type="dxa"/>
              <w:end w:w="65" w:type="dxa"/>
            </w:tcMar>
            <w:shd w:fill="F2F4F7"/>
          </w:tcPr>
          <w:p>
            <w:pPr>
              <w:spacing w:after="0"/>
            </w:pPr>
            <w:r>
              <w:rPr>
                <w:sz w:val="14"/>
              </w:rPr>
              <w:t>58</w:t>
            </w:r>
          </w:p>
        </w:tc>
        <w:tc>
          <w:tcPr>
            <w:tcW w:type="dxa" w:w="1742"/>
            <w:vAlign w:val="center"/>
            <w:tcMar>
              <w:top w:w="55" w:type="dxa"/>
              <w:start w:w="65" w:type="dxa"/>
              <w:bottom w:w="55" w:type="dxa"/>
              <w:end w:w="65" w:type="dxa"/>
            </w:tcMar>
            <w:shd w:fill="F2F4F7"/>
          </w:tcPr>
          <w:p>
            <w:pPr>
              <w:spacing w:after="0"/>
            </w:pPr>
            <w:r>
              <w:rPr>
                <w:sz w:val="14"/>
              </w:rPr>
              <w:t>Telehealth crisis when client location is uncertain</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WB2</w:t>
            </w:r>
          </w:p>
        </w:tc>
        <w:tc>
          <w:tcPr>
            <w:tcW w:type="dxa" w:w="1742"/>
            <w:vAlign w:val="center"/>
            <w:tcMar>
              <w:top w:w="55" w:type="dxa"/>
              <w:start w:w="65" w:type="dxa"/>
              <w:bottom w:w="55" w:type="dxa"/>
              <w:end w:w="65" w:type="dxa"/>
            </w:tcMar>
            <w:shd w:fill="F2F4F7"/>
          </w:tcPr>
          <w:p>
            <w:pPr>
              <w:spacing w:after="0"/>
            </w:pPr>
            <w:r>
              <w:rPr>
                <w:sz w:val="14"/>
              </w:rPr>
              <w:t>TELEHEALTH-CRISIS-WHEN-CLIENT-LOCATION-IS-UN</w:t>
            </w:r>
          </w:p>
        </w:tc>
        <w:tc>
          <w:tcPr>
            <w:tcW w:type="dxa" w:w="1742"/>
            <w:vAlign w:val="center"/>
            <w:tcMar>
              <w:top w:w="55" w:type="dxa"/>
              <w:start w:w="65" w:type="dxa"/>
              <w:bottom w:w="55" w:type="dxa"/>
              <w:end w:w="65" w:type="dxa"/>
            </w:tcMar>
            <w:shd w:fill="F2F4F7"/>
          </w:tcPr>
          <w:p>
            <w:pPr>
              <w:spacing w:after="0"/>
            </w:pPr>
            <w:r>
              <w:rPr>
                <w:sz w:val="14"/>
              </w:rPr>
              <w:t>BPC 2290.5; applicable emergency-disclosure law; NASW Code 1.01 and 1.15</w:t>
            </w:r>
          </w:p>
        </w:tc>
      </w:tr>
      <w:tr>
        <w:trPr>
          <w:cantSplit/>
        </w:trPr>
        <w:tc>
          <w:tcPr>
            <w:tcW w:type="dxa" w:w="1742"/>
            <w:vAlign w:val="center"/>
            <w:tcMar>
              <w:top w:w="55" w:type="dxa"/>
              <w:start w:w="65" w:type="dxa"/>
              <w:bottom w:w="55" w:type="dxa"/>
              <w:end w:w="65" w:type="dxa"/>
            </w:tcMar>
          </w:tcPr>
          <w:p>
            <w:pPr>
              <w:spacing w:after="0"/>
            </w:pPr>
            <w:r>
              <w:rPr>
                <w:sz w:val="14"/>
              </w:rPr>
              <w:t>59</w:t>
            </w:r>
          </w:p>
        </w:tc>
        <w:tc>
          <w:tcPr>
            <w:tcW w:type="dxa" w:w="1742"/>
            <w:vAlign w:val="center"/>
            <w:tcMar>
              <w:top w:w="55" w:type="dxa"/>
              <w:start w:w="65" w:type="dxa"/>
              <w:bottom w:w="55" w:type="dxa"/>
              <w:end w:w="65" w:type="dxa"/>
            </w:tcMar>
          </w:tcPr>
          <w:p>
            <w:pPr>
              <w:spacing w:after="0"/>
            </w:pPr>
            <w:r>
              <w:rPr>
                <w:sz w:val="14"/>
              </w:rPr>
              <w:t>Fatigue affecting clinical judgment</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WB4</w:t>
            </w:r>
          </w:p>
        </w:tc>
        <w:tc>
          <w:tcPr>
            <w:tcW w:type="dxa" w:w="1742"/>
            <w:vAlign w:val="center"/>
            <w:tcMar>
              <w:top w:w="55" w:type="dxa"/>
              <w:start w:w="65" w:type="dxa"/>
              <w:bottom w:w="55" w:type="dxa"/>
              <w:end w:w="65" w:type="dxa"/>
            </w:tcMar>
          </w:tcPr>
          <w:p>
            <w:pPr>
              <w:spacing w:after="0"/>
            </w:pPr>
            <w:r>
              <w:rPr>
                <w:sz w:val="14"/>
              </w:rPr>
              <w:t>FATIGUE-AFFECTING-CLINICAL-JUDGMENT</w:t>
            </w:r>
          </w:p>
        </w:tc>
        <w:tc>
          <w:tcPr>
            <w:tcW w:type="dxa" w:w="1742"/>
            <w:vAlign w:val="center"/>
            <w:tcMar>
              <w:top w:w="55" w:type="dxa"/>
              <w:start w:w="65" w:type="dxa"/>
              <w:bottom w:w="55" w:type="dxa"/>
              <w:end w:w="65" w:type="dxa"/>
            </w:tcMar>
          </w:tcPr>
          <w:p>
            <w:pPr>
              <w:spacing w:after="0"/>
            </w:pPr>
            <w:r>
              <w:rPr>
                <w:sz w:val="14"/>
              </w:rPr>
              <w:t>NASW Code Purpose and 4.05; applicable professional-conduct law</w:t>
            </w:r>
          </w:p>
        </w:tc>
      </w:tr>
      <w:tr>
        <w:trPr>
          <w:cantSplit/>
        </w:trPr>
        <w:tc>
          <w:tcPr>
            <w:tcW w:type="dxa" w:w="1742"/>
            <w:vAlign w:val="center"/>
            <w:tcMar>
              <w:top w:w="55" w:type="dxa"/>
              <w:start w:w="65" w:type="dxa"/>
              <w:bottom w:w="55" w:type="dxa"/>
              <w:end w:w="65" w:type="dxa"/>
            </w:tcMar>
            <w:shd w:fill="F2F4F7"/>
          </w:tcPr>
          <w:p>
            <w:pPr>
              <w:spacing w:after="0"/>
            </w:pPr>
            <w:r>
              <w:rPr>
                <w:sz w:val="14"/>
              </w:rPr>
              <w:t>60</w:t>
            </w:r>
          </w:p>
        </w:tc>
        <w:tc>
          <w:tcPr>
            <w:tcW w:type="dxa" w:w="1742"/>
            <w:vAlign w:val="center"/>
            <w:tcMar>
              <w:top w:w="55" w:type="dxa"/>
              <w:start w:w="65" w:type="dxa"/>
              <w:bottom w:w="55" w:type="dxa"/>
              <w:end w:w="65" w:type="dxa"/>
            </w:tcMar>
            <w:shd w:fill="F2F4F7"/>
          </w:tcPr>
          <w:p>
            <w:pPr>
              <w:spacing w:after="0"/>
            </w:pPr>
            <w:r>
              <w:rPr>
                <w:sz w:val="14"/>
              </w:rPr>
              <w:t>Mandated report and minimum necessary information</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WB8</w:t>
            </w:r>
          </w:p>
        </w:tc>
        <w:tc>
          <w:tcPr>
            <w:tcW w:type="dxa" w:w="1742"/>
            <w:vAlign w:val="center"/>
            <w:tcMar>
              <w:top w:w="55" w:type="dxa"/>
              <w:start w:w="65" w:type="dxa"/>
              <w:bottom w:w="55" w:type="dxa"/>
              <w:end w:w="65" w:type="dxa"/>
            </w:tcMar>
            <w:shd w:fill="F2F4F7"/>
          </w:tcPr>
          <w:p>
            <w:pPr>
              <w:spacing w:after="0"/>
            </w:pPr>
            <w:r>
              <w:rPr>
                <w:sz w:val="14"/>
              </w:rPr>
              <w:t>MANDATED-REPORT-AND-MINIMUM-NECESSARY-INFORM</w:t>
            </w:r>
          </w:p>
        </w:tc>
        <w:tc>
          <w:tcPr>
            <w:tcW w:type="dxa" w:w="1742"/>
            <w:vAlign w:val="center"/>
            <w:tcMar>
              <w:top w:w="55" w:type="dxa"/>
              <w:start w:w="65" w:type="dxa"/>
              <w:bottom w:w="55" w:type="dxa"/>
              <w:end w:w="65" w:type="dxa"/>
            </w:tcMar>
            <w:shd w:fill="F2F4F7"/>
          </w:tcPr>
          <w:p>
            <w:pPr>
              <w:spacing w:after="0"/>
            </w:pPr>
            <w:r>
              <w:rPr>
                <w:sz w:val="14"/>
              </w:rPr>
              <w:t>Applicable California mandated-report law; NASW Code 1.07</w:t>
            </w:r>
          </w:p>
        </w:tc>
      </w:tr>
      <w:tr>
        <w:trPr>
          <w:cantSplit/>
        </w:trPr>
        <w:tc>
          <w:tcPr>
            <w:tcW w:type="dxa" w:w="1742"/>
            <w:vAlign w:val="center"/>
            <w:tcMar>
              <w:top w:w="55" w:type="dxa"/>
              <w:start w:w="65" w:type="dxa"/>
              <w:bottom w:w="55" w:type="dxa"/>
              <w:end w:w="65" w:type="dxa"/>
            </w:tcMar>
          </w:tcPr>
          <w:p>
            <w:pPr>
              <w:spacing w:after="0"/>
            </w:pPr>
            <w:r>
              <w:rPr>
                <w:sz w:val="14"/>
              </w:rPr>
              <w:t>61</w:t>
            </w:r>
          </w:p>
        </w:tc>
        <w:tc>
          <w:tcPr>
            <w:tcW w:type="dxa" w:w="1742"/>
            <w:vAlign w:val="center"/>
            <w:tcMar>
              <w:top w:w="55" w:type="dxa"/>
              <w:start w:w="65" w:type="dxa"/>
              <w:bottom w:w="55" w:type="dxa"/>
              <w:end w:w="65" w:type="dxa"/>
            </w:tcMar>
          </w:tcPr>
          <w:p>
            <w:pPr>
              <w:spacing w:after="0"/>
            </w:pPr>
            <w:r>
              <w:rPr>
                <w:sz w:val="14"/>
              </w:rPr>
              <w:t>Impairment response policy and confidentiality</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WB4</w:t>
            </w:r>
          </w:p>
        </w:tc>
        <w:tc>
          <w:tcPr>
            <w:tcW w:type="dxa" w:w="1742"/>
            <w:vAlign w:val="center"/>
            <w:tcMar>
              <w:top w:w="55" w:type="dxa"/>
              <w:start w:w="65" w:type="dxa"/>
              <w:bottom w:w="55" w:type="dxa"/>
              <w:end w:w="65" w:type="dxa"/>
            </w:tcMar>
          </w:tcPr>
          <w:p>
            <w:pPr>
              <w:spacing w:after="0"/>
            </w:pPr>
            <w:r>
              <w:rPr>
                <w:sz w:val="14"/>
              </w:rPr>
              <w:t>IMPAIRMENT-RESPONSE-POLICY-AND-CONFIDENTIALI</w:t>
            </w:r>
          </w:p>
        </w:tc>
        <w:tc>
          <w:tcPr>
            <w:tcW w:type="dxa" w:w="1742"/>
            <w:vAlign w:val="center"/>
            <w:tcMar>
              <w:top w:w="55" w:type="dxa"/>
              <w:start w:w="65" w:type="dxa"/>
              <w:bottom w:w="55" w:type="dxa"/>
              <w:end w:w="65" w:type="dxa"/>
            </w:tcMar>
          </w:tcPr>
          <w:p>
            <w:pPr>
              <w:spacing w:after="0"/>
            </w:pPr>
            <w:r>
              <w:rPr>
                <w:sz w:val="14"/>
              </w:rPr>
              <w:t>NASW Code 2.08, 3.07, and 4.05; applicable employment and privacy law</w:t>
            </w:r>
          </w:p>
        </w:tc>
      </w:tr>
      <w:tr>
        <w:trPr>
          <w:cantSplit/>
        </w:trPr>
        <w:tc>
          <w:tcPr>
            <w:tcW w:type="dxa" w:w="1742"/>
            <w:vAlign w:val="center"/>
            <w:tcMar>
              <w:top w:w="55" w:type="dxa"/>
              <w:start w:w="65" w:type="dxa"/>
              <w:bottom w:w="55" w:type="dxa"/>
              <w:end w:w="65" w:type="dxa"/>
            </w:tcMar>
            <w:shd w:fill="F2F4F7"/>
          </w:tcPr>
          <w:p>
            <w:pPr>
              <w:spacing w:after="0"/>
            </w:pPr>
            <w:r>
              <w:rPr>
                <w:sz w:val="14"/>
              </w:rPr>
              <w:t>62</w:t>
            </w:r>
          </w:p>
        </w:tc>
        <w:tc>
          <w:tcPr>
            <w:tcW w:type="dxa" w:w="1742"/>
            <w:vAlign w:val="center"/>
            <w:tcMar>
              <w:top w:w="55" w:type="dxa"/>
              <w:start w:w="65" w:type="dxa"/>
              <w:bottom w:w="55" w:type="dxa"/>
              <w:end w:w="65" w:type="dxa"/>
            </w:tcMar>
            <w:shd w:fill="F2F4F7"/>
          </w:tcPr>
          <w:p>
            <w:pPr>
              <w:spacing w:after="0"/>
            </w:pPr>
            <w:r>
              <w:rPr>
                <w:sz w:val="14"/>
              </w:rPr>
              <w:t>Sexual relationship prohibition with a current client</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WB6</w:t>
            </w:r>
          </w:p>
        </w:tc>
        <w:tc>
          <w:tcPr>
            <w:tcW w:type="dxa" w:w="1742"/>
            <w:vAlign w:val="center"/>
            <w:tcMar>
              <w:top w:w="55" w:type="dxa"/>
              <w:start w:w="65" w:type="dxa"/>
              <w:bottom w:w="55" w:type="dxa"/>
              <w:end w:w="65" w:type="dxa"/>
            </w:tcMar>
            <w:shd w:fill="F2F4F7"/>
          </w:tcPr>
          <w:p>
            <w:pPr>
              <w:spacing w:after="0"/>
            </w:pPr>
            <w:r>
              <w:rPr>
                <w:sz w:val="14"/>
              </w:rPr>
              <w:t>SEXUAL-RELATIONSHIP-PROHIBITION-WITH-A-CURRE</w:t>
            </w:r>
          </w:p>
        </w:tc>
        <w:tc>
          <w:tcPr>
            <w:tcW w:type="dxa" w:w="1742"/>
            <w:vAlign w:val="center"/>
            <w:tcMar>
              <w:top w:w="55" w:type="dxa"/>
              <w:start w:w="65" w:type="dxa"/>
              <w:bottom w:w="55" w:type="dxa"/>
              <w:end w:w="65" w:type="dxa"/>
            </w:tcMar>
            <w:shd w:fill="F2F4F7"/>
          </w:tcPr>
          <w:p>
            <w:pPr>
              <w:spacing w:after="0"/>
            </w:pPr>
            <w:r>
              <w:rPr>
                <w:sz w:val="14"/>
              </w:rPr>
              <w:t>BPC 4992.3 and applicable sexual-misconduct law; NASW Code 1.09</w:t>
            </w:r>
          </w:p>
        </w:tc>
      </w:tr>
      <w:tr>
        <w:trPr>
          <w:cantSplit/>
        </w:trPr>
        <w:tc>
          <w:tcPr>
            <w:tcW w:type="dxa" w:w="1742"/>
            <w:vAlign w:val="center"/>
            <w:tcMar>
              <w:top w:w="55" w:type="dxa"/>
              <w:start w:w="65" w:type="dxa"/>
              <w:bottom w:w="55" w:type="dxa"/>
              <w:end w:w="65" w:type="dxa"/>
            </w:tcMar>
          </w:tcPr>
          <w:p>
            <w:pPr>
              <w:spacing w:after="0"/>
            </w:pPr>
            <w:r>
              <w:rPr>
                <w:sz w:val="14"/>
              </w:rPr>
              <w:t>63</w:t>
            </w:r>
          </w:p>
        </w:tc>
        <w:tc>
          <w:tcPr>
            <w:tcW w:type="dxa" w:w="1742"/>
            <w:vAlign w:val="center"/>
            <w:tcMar>
              <w:top w:w="55" w:type="dxa"/>
              <w:start w:w="65" w:type="dxa"/>
              <w:bottom w:w="55" w:type="dxa"/>
              <w:end w:w="65" w:type="dxa"/>
            </w:tcMar>
          </w:tcPr>
          <w:p>
            <w:pPr>
              <w:spacing w:after="0"/>
            </w:pPr>
            <w:r>
              <w:rPr>
                <w:sz w:val="14"/>
              </w:rPr>
              <w:t>Health condition and functional competence</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WB4</w:t>
            </w:r>
          </w:p>
        </w:tc>
        <w:tc>
          <w:tcPr>
            <w:tcW w:type="dxa" w:w="1742"/>
            <w:vAlign w:val="center"/>
            <w:tcMar>
              <w:top w:w="55" w:type="dxa"/>
              <w:start w:w="65" w:type="dxa"/>
              <w:bottom w:w="55" w:type="dxa"/>
              <w:end w:w="65" w:type="dxa"/>
            </w:tcMar>
          </w:tcPr>
          <w:p>
            <w:pPr>
              <w:spacing w:after="0"/>
            </w:pPr>
            <w:r>
              <w:rPr>
                <w:sz w:val="14"/>
              </w:rPr>
              <w:t>HEALTH-CONDITION-AND-FUNCTIONAL-COMPETENCE</w:t>
            </w:r>
          </w:p>
        </w:tc>
        <w:tc>
          <w:tcPr>
            <w:tcW w:type="dxa" w:w="1742"/>
            <w:vAlign w:val="center"/>
            <w:tcMar>
              <w:top w:w="55" w:type="dxa"/>
              <w:start w:w="65" w:type="dxa"/>
              <w:bottom w:w="55" w:type="dxa"/>
              <w:end w:w="65" w:type="dxa"/>
            </w:tcMar>
          </w:tcPr>
          <w:p>
            <w:pPr>
              <w:spacing w:after="0"/>
            </w:pPr>
            <w:r>
              <w:rPr>
                <w:sz w:val="14"/>
              </w:rPr>
              <w:t>NASW Code 4.05; BPC 4992.3 professional-conduct provisions</w:t>
            </w:r>
          </w:p>
        </w:tc>
      </w:tr>
      <w:tr>
        <w:trPr>
          <w:cantSplit/>
        </w:trPr>
        <w:tc>
          <w:tcPr>
            <w:tcW w:type="dxa" w:w="1742"/>
            <w:vAlign w:val="center"/>
            <w:tcMar>
              <w:top w:w="55" w:type="dxa"/>
              <w:start w:w="65" w:type="dxa"/>
              <w:bottom w:w="55" w:type="dxa"/>
              <w:end w:w="65" w:type="dxa"/>
            </w:tcMar>
            <w:shd w:fill="F2F4F7"/>
          </w:tcPr>
          <w:p>
            <w:pPr>
              <w:spacing w:after="0"/>
            </w:pPr>
            <w:r>
              <w:rPr>
                <w:sz w:val="14"/>
              </w:rPr>
              <w:t>64</w:t>
            </w:r>
          </w:p>
        </w:tc>
        <w:tc>
          <w:tcPr>
            <w:tcW w:type="dxa" w:w="1742"/>
            <w:vAlign w:val="center"/>
            <w:tcMar>
              <w:top w:w="55" w:type="dxa"/>
              <w:start w:w="65" w:type="dxa"/>
              <w:bottom w:w="55" w:type="dxa"/>
              <w:end w:w="65" w:type="dxa"/>
            </w:tcMar>
            <w:shd w:fill="F2F4F7"/>
          </w:tcPr>
          <w:p>
            <w:pPr>
              <w:spacing w:after="0"/>
            </w:pPr>
            <w:r>
              <w:rPr>
                <w:sz w:val="14"/>
              </w:rPr>
              <w:t>Dependent adult financial abuse concern</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WB5</w:t>
            </w:r>
          </w:p>
        </w:tc>
        <w:tc>
          <w:tcPr>
            <w:tcW w:type="dxa" w:w="1742"/>
            <w:vAlign w:val="center"/>
            <w:tcMar>
              <w:top w:w="55" w:type="dxa"/>
              <w:start w:w="65" w:type="dxa"/>
              <w:bottom w:w="55" w:type="dxa"/>
              <w:end w:w="65" w:type="dxa"/>
            </w:tcMar>
            <w:shd w:fill="F2F4F7"/>
          </w:tcPr>
          <w:p>
            <w:pPr>
              <w:spacing w:after="0"/>
            </w:pPr>
            <w:r>
              <w:rPr>
                <w:sz w:val="14"/>
              </w:rPr>
              <w:t>DEPENDENT-ADULT-FINANCIAL-ABUSE-CONCERN</w:t>
            </w:r>
          </w:p>
        </w:tc>
        <w:tc>
          <w:tcPr>
            <w:tcW w:type="dxa" w:w="1742"/>
            <w:vAlign w:val="center"/>
            <w:tcMar>
              <w:top w:w="55" w:type="dxa"/>
              <w:start w:w="65" w:type="dxa"/>
              <w:bottom w:w="55" w:type="dxa"/>
              <w:end w:w="65" w:type="dxa"/>
            </w:tcMar>
            <w:shd w:fill="F2F4F7"/>
          </w:tcPr>
          <w:p>
            <w:pPr>
              <w:spacing w:after="0"/>
            </w:pPr>
            <w:r>
              <w:rPr>
                <w:sz w:val="14"/>
              </w:rPr>
              <w:t>California elder and dependent adult abuse reporting law; NASW Code 1.01 and 1.07</w:t>
            </w:r>
          </w:p>
        </w:tc>
      </w:tr>
      <w:tr>
        <w:trPr>
          <w:cantSplit/>
        </w:trPr>
        <w:tc>
          <w:tcPr>
            <w:tcW w:type="dxa" w:w="1742"/>
            <w:vAlign w:val="center"/>
            <w:tcMar>
              <w:top w:w="55" w:type="dxa"/>
              <w:start w:w="65" w:type="dxa"/>
              <w:bottom w:w="55" w:type="dxa"/>
              <w:end w:w="65" w:type="dxa"/>
            </w:tcMar>
          </w:tcPr>
          <w:p>
            <w:pPr>
              <w:spacing w:after="0"/>
            </w:pPr>
            <w:r>
              <w:rPr>
                <w:sz w:val="14"/>
              </w:rPr>
              <w:t>65</w:t>
            </w:r>
          </w:p>
        </w:tc>
        <w:tc>
          <w:tcPr>
            <w:tcW w:type="dxa" w:w="1742"/>
            <w:vAlign w:val="center"/>
            <w:tcMar>
              <w:top w:w="55" w:type="dxa"/>
              <w:start w:w="65" w:type="dxa"/>
              <w:bottom w:w="55" w:type="dxa"/>
              <w:end w:w="65" w:type="dxa"/>
            </w:tcMar>
          </w:tcPr>
          <w:p>
            <w:pPr>
              <w:spacing w:after="0"/>
            </w:pPr>
            <w:r>
              <w:rPr>
                <w:sz w:val="14"/>
              </w:rPr>
              <w:t>Serious threat and protective action</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WB5</w:t>
            </w:r>
          </w:p>
        </w:tc>
        <w:tc>
          <w:tcPr>
            <w:tcW w:type="dxa" w:w="1742"/>
            <w:vAlign w:val="center"/>
            <w:tcMar>
              <w:top w:w="55" w:type="dxa"/>
              <w:start w:w="65" w:type="dxa"/>
              <w:bottom w:w="55" w:type="dxa"/>
              <w:end w:w="65" w:type="dxa"/>
            </w:tcMar>
          </w:tcPr>
          <w:p>
            <w:pPr>
              <w:spacing w:after="0"/>
            </w:pPr>
            <w:r>
              <w:rPr>
                <w:sz w:val="14"/>
              </w:rPr>
              <w:t>SERIOUS-THREAT-AND-PROTECTIVE-ACTION</w:t>
            </w:r>
          </w:p>
        </w:tc>
        <w:tc>
          <w:tcPr>
            <w:tcW w:type="dxa" w:w="1742"/>
            <w:vAlign w:val="center"/>
            <w:tcMar>
              <w:top w:w="55" w:type="dxa"/>
              <w:start w:w="65" w:type="dxa"/>
              <w:bottom w:w="55" w:type="dxa"/>
              <w:end w:w="65" w:type="dxa"/>
            </w:tcMar>
          </w:tcPr>
          <w:p>
            <w:pPr>
              <w:spacing w:after="0"/>
            </w:pPr>
            <w:r>
              <w:rPr>
                <w:sz w:val="14"/>
              </w:rPr>
              <w:t>California dangerous-patient duty law; applicable confidentiality law; NASW Code 1.01 and 1.07</w:t>
            </w:r>
          </w:p>
        </w:tc>
      </w:tr>
      <w:tr>
        <w:trPr>
          <w:cantSplit/>
        </w:trPr>
        <w:tc>
          <w:tcPr>
            <w:tcW w:type="dxa" w:w="1742"/>
            <w:vAlign w:val="center"/>
            <w:tcMar>
              <w:top w:w="55" w:type="dxa"/>
              <w:start w:w="65" w:type="dxa"/>
              <w:bottom w:w="55" w:type="dxa"/>
              <w:end w:w="65" w:type="dxa"/>
            </w:tcMar>
            <w:shd w:fill="F2F4F7"/>
          </w:tcPr>
          <w:p>
            <w:pPr>
              <w:spacing w:after="0"/>
            </w:pPr>
            <w:r>
              <w:rPr>
                <w:sz w:val="14"/>
              </w:rPr>
              <w:t>66</w:t>
            </w:r>
          </w:p>
        </w:tc>
        <w:tc>
          <w:tcPr>
            <w:tcW w:type="dxa" w:w="1742"/>
            <w:vAlign w:val="center"/>
            <w:tcMar>
              <w:top w:w="55" w:type="dxa"/>
              <w:start w:w="65" w:type="dxa"/>
              <w:bottom w:w="55" w:type="dxa"/>
              <w:end w:w="65" w:type="dxa"/>
            </w:tcMar>
            <w:shd w:fill="F2F4F7"/>
          </w:tcPr>
          <w:p>
            <w:pPr>
              <w:spacing w:after="0"/>
            </w:pPr>
            <w:r>
              <w:rPr>
                <w:sz w:val="14"/>
              </w:rPr>
              <w:t>Identity verification for remote care</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WB2</w:t>
            </w:r>
          </w:p>
        </w:tc>
        <w:tc>
          <w:tcPr>
            <w:tcW w:type="dxa" w:w="1742"/>
            <w:vAlign w:val="center"/>
            <w:tcMar>
              <w:top w:w="55" w:type="dxa"/>
              <w:start w:w="65" w:type="dxa"/>
              <w:bottom w:w="55" w:type="dxa"/>
              <w:end w:w="65" w:type="dxa"/>
            </w:tcMar>
            <w:shd w:fill="F2F4F7"/>
          </w:tcPr>
          <w:p>
            <w:pPr>
              <w:spacing w:after="0"/>
            </w:pPr>
            <w:r>
              <w:rPr>
                <w:sz w:val="14"/>
              </w:rPr>
              <w:t>IDENTITY-VERIFICATION-FOR-REMOTE-CARE</w:t>
            </w:r>
          </w:p>
        </w:tc>
        <w:tc>
          <w:tcPr>
            <w:tcW w:type="dxa" w:w="1742"/>
            <w:vAlign w:val="center"/>
            <w:tcMar>
              <w:top w:w="55" w:type="dxa"/>
              <w:start w:w="65" w:type="dxa"/>
              <w:bottom w:w="55" w:type="dxa"/>
              <w:end w:w="65" w:type="dxa"/>
            </w:tcMar>
            <w:shd w:fill="F2F4F7"/>
          </w:tcPr>
          <w:p>
            <w:pPr>
              <w:spacing w:after="0"/>
            </w:pPr>
            <w:r>
              <w:rPr>
                <w:sz w:val="14"/>
              </w:rPr>
              <w:t>BPC 2290.5; BBS telehealth guidance; NASW Code 1.03</w:t>
            </w:r>
          </w:p>
        </w:tc>
      </w:tr>
      <w:tr>
        <w:trPr>
          <w:cantSplit/>
        </w:trPr>
        <w:tc>
          <w:tcPr>
            <w:tcW w:type="dxa" w:w="1742"/>
            <w:vAlign w:val="center"/>
            <w:tcMar>
              <w:top w:w="55" w:type="dxa"/>
              <w:start w:w="65" w:type="dxa"/>
              <w:bottom w:w="55" w:type="dxa"/>
              <w:end w:w="65" w:type="dxa"/>
            </w:tcMar>
          </w:tcPr>
          <w:p>
            <w:pPr>
              <w:spacing w:after="0"/>
            </w:pPr>
            <w:r>
              <w:rPr>
                <w:sz w:val="14"/>
              </w:rPr>
              <w:t>67</w:t>
            </w:r>
          </w:p>
        </w:tc>
        <w:tc>
          <w:tcPr>
            <w:tcW w:type="dxa" w:w="1742"/>
            <w:vAlign w:val="center"/>
            <w:tcMar>
              <w:top w:w="55" w:type="dxa"/>
              <w:start w:w="65" w:type="dxa"/>
              <w:bottom w:w="55" w:type="dxa"/>
              <w:end w:w="65" w:type="dxa"/>
            </w:tcMar>
          </w:tcPr>
          <w:p>
            <w:pPr>
              <w:spacing w:after="0"/>
            </w:pPr>
            <w:r>
              <w:rPr>
                <w:sz w:val="14"/>
              </w:rPr>
              <w:t>Protecting group-member contact information</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WB8</w:t>
            </w:r>
          </w:p>
        </w:tc>
        <w:tc>
          <w:tcPr>
            <w:tcW w:type="dxa" w:w="1742"/>
            <w:vAlign w:val="center"/>
            <w:tcMar>
              <w:top w:w="55" w:type="dxa"/>
              <w:start w:w="65" w:type="dxa"/>
              <w:bottom w:w="55" w:type="dxa"/>
              <w:end w:w="65" w:type="dxa"/>
            </w:tcMar>
          </w:tcPr>
          <w:p>
            <w:pPr>
              <w:spacing w:after="0"/>
            </w:pPr>
            <w:r>
              <w:rPr>
                <w:sz w:val="14"/>
              </w:rPr>
              <w:t>GROUP-CONTACT-CONFIDENTIALITY</w:t>
            </w:r>
          </w:p>
        </w:tc>
        <w:tc>
          <w:tcPr>
            <w:tcW w:type="dxa" w:w="1742"/>
            <w:vAlign w:val="center"/>
            <w:tcMar>
              <w:top w:w="55" w:type="dxa"/>
              <w:start w:w="65" w:type="dxa"/>
              <w:bottom w:w="55" w:type="dxa"/>
              <w:end w:w="65" w:type="dxa"/>
            </w:tcMar>
          </w:tcPr>
          <w:p>
            <w:pPr>
              <w:spacing w:after="0"/>
            </w:pPr>
            <w:r>
              <w:rPr>
                <w:sz w:val="14"/>
              </w:rPr>
              <w:t>NASW Code 1.03, 1.07, and 1.08; applicable California confidentiality law</w:t>
            </w:r>
          </w:p>
        </w:tc>
      </w:tr>
      <w:tr>
        <w:trPr>
          <w:cantSplit/>
        </w:trPr>
        <w:tc>
          <w:tcPr>
            <w:tcW w:type="dxa" w:w="1742"/>
            <w:vAlign w:val="center"/>
            <w:tcMar>
              <w:top w:w="55" w:type="dxa"/>
              <w:start w:w="65" w:type="dxa"/>
              <w:bottom w:w="55" w:type="dxa"/>
              <w:end w:w="65" w:type="dxa"/>
            </w:tcMar>
            <w:shd w:fill="F2F4F7"/>
          </w:tcPr>
          <w:p>
            <w:pPr>
              <w:spacing w:after="0"/>
            </w:pPr>
            <w:r>
              <w:rPr>
                <w:sz w:val="14"/>
              </w:rPr>
              <w:t>68</w:t>
            </w:r>
          </w:p>
        </w:tc>
        <w:tc>
          <w:tcPr>
            <w:tcW w:type="dxa" w:w="1742"/>
            <w:vAlign w:val="center"/>
            <w:tcMar>
              <w:top w:w="55" w:type="dxa"/>
              <w:start w:w="65" w:type="dxa"/>
              <w:bottom w:w="55" w:type="dxa"/>
              <w:end w:w="65" w:type="dxa"/>
            </w:tcMar>
            <w:shd w:fill="F2F4F7"/>
          </w:tcPr>
          <w:p>
            <w:pPr>
              <w:spacing w:after="0"/>
            </w:pPr>
            <w:r>
              <w:rPr>
                <w:sz w:val="14"/>
              </w:rPr>
              <w:t>Continuity after emergency evaluation</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WB5</w:t>
            </w:r>
          </w:p>
        </w:tc>
        <w:tc>
          <w:tcPr>
            <w:tcW w:type="dxa" w:w="1742"/>
            <w:vAlign w:val="center"/>
            <w:tcMar>
              <w:top w:w="55" w:type="dxa"/>
              <w:start w:w="65" w:type="dxa"/>
              <w:bottom w:w="55" w:type="dxa"/>
              <w:end w:w="65" w:type="dxa"/>
            </w:tcMar>
            <w:shd w:fill="F2F4F7"/>
          </w:tcPr>
          <w:p>
            <w:pPr>
              <w:spacing w:after="0"/>
            </w:pPr>
            <w:r>
              <w:rPr>
                <w:sz w:val="14"/>
              </w:rPr>
              <w:t>CONTINUITY-AFTER-EMERGENCY-EVALUATION</w:t>
            </w:r>
          </w:p>
        </w:tc>
        <w:tc>
          <w:tcPr>
            <w:tcW w:type="dxa" w:w="1742"/>
            <w:vAlign w:val="center"/>
            <w:tcMar>
              <w:top w:w="55" w:type="dxa"/>
              <w:start w:w="65" w:type="dxa"/>
              <w:bottom w:w="55" w:type="dxa"/>
              <w:end w:w="65" w:type="dxa"/>
            </w:tcMar>
            <w:shd w:fill="F2F4F7"/>
          </w:tcPr>
          <w:p>
            <w:pPr>
              <w:spacing w:after="0"/>
            </w:pPr>
            <w:r>
              <w:rPr>
                <w:sz w:val="14"/>
              </w:rPr>
              <w:t>NASW Code 1.15 and 1.16; applicable continuity and confidentiality law</w:t>
            </w:r>
          </w:p>
        </w:tc>
      </w:tr>
      <w:tr>
        <w:trPr>
          <w:cantSplit/>
        </w:trPr>
        <w:tc>
          <w:tcPr>
            <w:tcW w:type="dxa" w:w="1742"/>
            <w:vAlign w:val="center"/>
            <w:tcMar>
              <w:top w:w="55" w:type="dxa"/>
              <w:start w:w="65" w:type="dxa"/>
              <w:bottom w:w="55" w:type="dxa"/>
              <w:end w:w="65" w:type="dxa"/>
            </w:tcMar>
          </w:tcPr>
          <w:p>
            <w:pPr>
              <w:spacing w:after="0"/>
            </w:pPr>
            <w:r>
              <w:rPr>
                <w:sz w:val="14"/>
              </w:rPr>
              <w:t>69</w:t>
            </w:r>
          </w:p>
        </w:tc>
        <w:tc>
          <w:tcPr>
            <w:tcW w:type="dxa" w:w="1742"/>
            <w:vAlign w:val="center"/>
            <w:tcMar>
              <w:top w:w="55" w:type="dxa"/>
              <w:start w:w="65" w:type="dxa"/>
              <w:bottom w:w="55" w:type="dxa"/>
              <w:end w:w="65" w:type="dxa"/>
            </w:tcMar>
          </w:tcPr>
          <w:p>
            <w:pPr>
              <w:spacing w:after="0"/>
            </w:pPr>
            <w:r>
              <w:rPr>
                <w:sz w:val="14"/>
              </w:rPr>
              <w:t>Text messaging and communication expectations</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TEXT-MESSAGING-AND-COMMUNICATION-EXPECTATION</w:t>
            </w:r>
          </w:p>
        </w:tc>
        <w:tc>
          <w:tcPr>
            <w:tcW w:type="dxa" w:w="1742"/>
            <w:vAlign w:val="center"/>
            <w:tcMar>
              <w:top w:w="55" w:type="dxa"/>
              <w:start w:w="65" w:type="dxa"/>
              <w:bottom w:w="55" w:type="dxa"/>
              <w:end w:w="65" w:type="dxa"/>
            </w:tcMar>
          </w:tcPr>
          <w:p>
            <w:pPr>
              <w:spacing w:after="0"/>
            </w:pPr>
            <w:r>
              <w:rPr>
                <w:sz w:val="14"/>
              </w:rPr>
              <w:t>NASW Code 1.03, 1.07, and 1.15; applicable privacy law</w:t>
            </w:r>
          </w:p>
        </w:tc>
      </w:tr>
      <w:tr>
        <w:trPr>
          <w:cantSplit/>
        </w:trPr>
        <w:tc>
          <w:tcPr>
            <w:tcW w:type="dxa" w:w="1742"/>
            <w:vAlign w:val="center"/>
            <w:tcMar>
              <w:top w:w="55" w:type="dxa"/>
              <w:start w:w="65" w:type="dxa"/>
              <w:bottom w:w="55" w:type="dxa"/>
              <w:end w:w="65" w:type="dxa"/>
            </w:tcMar>
            <w:shd w:fill="F2F4F7"/>
          </w:tcPr>
          <w:p>
            <w:pPr>
              <w:spacing w:after="0"/>
            </w:pPr>
            <w:r>
              <w:rPr>
                <w:sz w:val="14"/>
              </w:rPr>
              <w:t>70</w:t>
            </w:r>
          </w:p>
        </w:tc>
        <w:tc>
          <w:tcPr>
            <w:tcW w:type="dxa" w:w="1742"/>
            <w:vAlign w:val="center"/>
            <w:tcMar>
              <w:top w:w="55" w:type="dxa"/>
              <w:start w:w="65" w:type="dxa"/>
              <w:bottom w:w="55" w:type="dxa"/>
              <w:end w:w="65" w:type="dxa"/>
            </w:tcMar>
            <w:shd w:fill="F2F4F7"/>
          </w:tcPr>
          <w:p>
            <w:pPr>
              <w:spacing w:after="0"/>
            </w:pPr>
            <w:r>
              <w:rPr>
                <w:sz w:val="14"/>
              </w:rPr>
              <w:t>Conflict of interest in vendor selection</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WB6</w:t>
            </w:r>
          </w:p>
        </w:tc>
        <w:tc>
          <w:tcPr>
            <w:tcW w:type="dxa" w:w="1742"/>
            <w:vAlign w:val="center"/>
            <w:tcMar>
              <w:top w:w="55" w:type="dxa"/>
              <w:start w:w="65" w:type="dxa"/>
              <w:bottom w:w="55" w:type="dxa"/>
              <w:end w:w="65" w:type="dxa"/>
            </w:tcMar>
            <w:shd w:fill="F2F4F7"/>
          </w:tcPr>
          <w:p>
            <w:pPr>
              <w:spacing w:after="0"/>
            </w:pPr>
            <w:r>
              <w:rPr>
                <w:sz w:val="14"/>
              </w:rPr>
              <w:t>CONFLICT-OF-INTEREST-IN-VENDOR-SELECTION</w:t>
            </w:r>
          </w:p>
        </w:tc>
        <w:tc>
          <w:tcPr>
            <w:tcW w:type="dxa" w:w="1742"/>
            <w:vAlign w:val="center"/>
            <w:tcMar>
              <w:top w:w="55" w:type="dxa"/>
              <w:start w:w="65" w:type="dxa"/>
              <w:bottom w:w="55" w:type="dxa"/>
              <w:end w:w="65" w:type="dxa"/>
            </w:tcMar>
            <w:shd w:fill="F2F4F7"/>
          </w:tcPr>
          <w:p>
            <w:pPr>
              <w:spacing w:after="0"/>
            </w:pPr>
            <w:r>
              <w:rPr>
                <w:sz w:val="14"/>
              </w:rPr>
              <w:t>NASW Code 1.06, 3.07, and 4.04</w:t>
            </w:r>
          </w:p>
        </w:tc>
      </w:tr>
      <w:tr>
        <w:trPr>
          <w:cantSplit/>
        </w:trPr>
        <w:tc>
          <w:tcPr>
            <w:tcW w:type="dxa" w:w="1742"/>
            <w:vAlign w:val="center"/>
            <w:tcMar>
              <w:top w:w="55" w:type="dxa"/>
              <w:start w:w="65" w:type="dxa"/>
              <w:bottom w:w="55" w:type="dxa"/>
              <w:end w:w="65" w:type="dxa"/>
            </w:tcMar>
          </w:tcPr>
          <w:p>
            <w:pPr>
              <w:spacing w:after="0"/>
            </w:pPr>
            <w:r>
              <w:rPr>
                <w:sz w:val="14"/>
              </w:rPr>
              <w:t>71</w:t>
            </w:r>
          </w:p>
        </w:tc>
        <w:tc>
          <w:tcPr>
            <w:tcW w:type="dxa" w:w="1742"/>
            <w:vAlign w:val="center"/>
            <w:tcMar>
              <w:top w:w="55" w:type="dxa"/>
              <w:start w:w="65" w:type="dxa"/>
              <w:bottom w:w="55" w:type="dxa"/>
              <w:end w:w="65" w:type="dxa"/>
            </w:tcMar>
          </w:tcPr>
          <w:p>
            <w:pPr>
              <w:spacing w:after="0"/>
            </w:pPr>
            <w:r>
              <w:rPr>
                <w:sz w:val="14"/>
              </w:rPr>
              <w:t>Record retention and planned destruction</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WB9</w:t>
            </w:r>
          </w:p>
        </w:tc>
        <w:tc>
          <w:tcPr>
            <w:tcW w:type="dxa" w:w="1742"/>
            <w:vAlign w:val="center"/>
            <w:tcMar>
              <w:top w:w="55" w:type="dxa"/>
              <w:start w:w="65" w:type="dxa"/>
              <w:bottom w:w="55" w:type="dxa"/>
              <w:end w:w="65" w:type="dxa"/>
            </w:tcMar>
          </w:tcPr>
          <w:p>
            <w:pPr>
              <w:spacing w:after="0"/>
            </w:pPr>
            <w:r>
              <w:rPr>
                <w:sz w:val="14"/>
              </w:rPr>
              <w:t>RECORD-RETENTION-AND-PLANNED-DESTRUCTION</w:t>
            </w:r>
          </w:p>
        </w:tc>
        <w:tc>
          <w:tcPr>
            <w:tcW w:type="dxa" w:w="1742"/>
            <w:vAlign w:val="center"/>
            <w:tcMar>
              <w:top w:w="55" w:type="dxa"/>
              <w:start w:w="65" w:type="dxa"/>
              <w:bottom w:w="55" w:type="dxa"/>
              <w:end w:w="65" w:type="dxa"/>
            </w:tcMar>
          </w:tcPr>
          <w:p>
            <w:pPr>
              <w:spacing w:after="0"/>
            </w:pPr>
            <w:r>
              <w:rPr>
                <w:sz w:val="14"/>
              </w:rPr>
              <w:t>California record-retention law and BBS guidance; NASW Code 3.04</w:t>
            </w:r>
          </w:p>
        </w:tc>
      </w:tr>
      <w:tr>
        <w:trPr>
          <w:cantSplit/>
        </w:trPr>
        <w:tc>
          <w:tcPr>
            <w:tcW w:type="dxa" w:w="1742"/>
            <w:vAlign w:val="center"/>
            <w:tcMar>
              <w:top w:w="55" w:type="dxa"/>
              <w:start w:w="65" w:type="dxa"/>
              <w:bottom w:w="55" w:type="dxa"/>
              <w:end w:w="65" w:type="dxa"/>
            </w:tcMar>
            <w:shd w:fill="F2F4F7"/>
          </w:tcPr>
          <w:p>
            <w:pPr>
              <w:spacing w:after="0"/>
            </w:pPr>
            <w:r>
              <w:rPr>
                <w:sz w:val="14"/>
              </w:rPr>
              <w:t>72</w:t>
            </w:r>
          </w:p>
        </w:tc>
        <w:tc>
          <w:tcPr>
            <w:tcW w:type="dxa" w:w="1742"/>
            <w:vAlign w:val="center"/>
            <w:tcMar>
              <w:top w:w="55" w:type="dxa"/>
              <w:start w:w="65" w:type="dxa"/>
              <w:bottom w:w="55" w:type="dxa"/>
              <w:end w:w="65" w:type="dxa"/>
            </w:tcMar>
            <w:shd w:fill="F2F4F7"/>
          </w:tcPr>
          <w:p>
            <w:pPr>
              <w:spacing w:after="0"/>
            </w:pPr>
            <w:r>
              <w:rPr>
                <w:sz w:val="14"/>
              </w:rPr>
              <w:t>Subsequent ASW registration and private-practice setting restriction</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LS Module</w:t>
            </w:r>
          </w:p>
        </w:tc>
        <w:tc>
          <w:tcPr>
            <w:tcW w:type="dxa" w:w="1742"/>
            <w:vAlign w:val="center"/>
            <w:tcMar>
              <w:top w:w="55" w:type="dxa"/>
              <w:start w:w="65" w:type="dxa"/>
              <w:bottom w:w="55" w:type="dxa"/>
              <w:end w:w="65" w:type="dxa"/>
            </w:tcMar>
            <w:shd w:fill="F2F4F7"/>
          </w:tcPr>
          <w:p>
            <w:pPr>
              <w:spacing w:after="0"/>
            </w:pPr>
            <w:r>
              <w:rPr>
                <w:sz w:val="14"/>
              </w:rPr>
              <w:t>SUBSEQUENT-ASW-REGISTRATION-AND-PRIVATE-PRAC</w:t>
            </w:r>
          </w:p>
        </w:tc>
        <w:tc>
          <w:tcPr>
            <w:tcW w:type="dxa" w:w="1742"/>
            <w:vAlign w:val="center"/>
            <w:tcMar>
              <w:top w:w="55" w:type="dxa"/>
              <w:start w:w="65" w:type="dxa"/>
              <w:bottom w:w="55" w:type="dxa"/>
              <w:end w:w="65" w:type="dxa"/>
            </w:tcMar>
            <w:shd w:fill="F2F4F7"/>
          </w:tcPr>
          <w:p>
            <w:pPr>
              <w:spacing w:after="0"/>
            </w:pPr>
            <w:r>
              <w:rPr>
                <w:sz w:val="14"/>
              </w:rPr>
              <w:t>BBS ASW FAQ revised January 2026; BBS supervision forms; applicable BPC provisions</w:t>
            </w:r>
          </w:p>
        </w:tc>
      </w:tr>
      <w:tr>
        <w:trPr>
          <w:cantSplit/>
        </w:trPr>
        <w:tc>
          <w:tcPr>
            <w:tcW w:type="dxa" w:w="1742"/>
            <w:vAlign w:val="center"/>
            <w:tcMar>
              <w:top w:w="55" w:type="dxa"/>
              <w:start w:w="65" w:type="dxa"/>
              <w:bottom w:w="55" w:type="dxa"/>
              <w:end w:w="65" w:type="dxa"/>
            </w:tcMar>
          </w:tcPr>
          <w:p>
            <w:pPr>
              <w:spacing w:after="0"/>
            </w:pPr>
            <w:r>
              <w:rPr>
                <w:sz w:val="14"/>
              </w:rPr>
              <w:t>73</w:t>
            </w:r>
          </w:p>
        </w:tc>
        <w:tc>
          <w:tcPr>
            <w:tcW w:type="dxa" w:w="1742"/>
            <w:vAlign w:val="center"/>
            <w:tcMar>
              <w:top w:w="55" w:type="dxa"/>
              <w:start w:w="65" w:type="dxa"/>
              <w:bottom w:w="55" w:type="dxa"/>
              <w:end w:w="65" w:type="dxa"/>
            </w:tcMar>
          </w:tcPr>
          <w:p>
            <w:pPr>
              <w:spacing w:after="0"/>
            </w:pPr>
            <w:r>
              <w:rPr>
                <w:sz w:val="14"/>
              </w:rPr>
              <w:t>Suicide risk and necessary disclosure</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WB5</w:t>
            </w:r>
          </w:p>
        </w:tc>
        <w:tc>
          <w:tcPr>
            <w:tcW w:type="dxa" w:w="1742"/>
            <w:vAlign w:val="center"/>
            <w:tcMar>
              <w:top w:w="55" w:type="dxa"/>
              <w:start w:w="65" w:type="dxa"/>
              <w:bottom w:w="55" w:type="dxa"/>
              <w:end w:w="65" w:type="dxa"/>
            </w:tcMar>
          </w:tcPr>
          <w:p>
            <w:pPr>
              <w:spacing w:after="0"/>
            </w:pPr>
            <w:r>
              <w:rPr>
                <w:sz w:val="14"/>
              </w:rPr>
              <w:t>SUICIDE-RISK-AND-NECESSARY-DISCLOSURE</w:t>
            </w:r>
          </w:p>
        </w:tc>
        <w:tc>
          <w:tcPr>
            <w:tcW w:type="dxa" w:w="1742"/>
            <w:vAlign w:val="center"/>
            <w:tcMar>
              <w:top w:w="55" w:type="dxa"/>
              <w:start w:w="65" w:type="dxa"/>
              <w:bottom w:w="55" w:type="dxa"/>
              <w:end w:w="65" w:type="dxa"/>
            </w:tcMar>
          </w:tcPr>
          <w:p>
            <w:pPr>
              <w:spacing w:after="0"/>
            </w:pPr>
            <w:r>
              <w:rPr>
                <w:sz w:val="14"/>
              </w:rPr>
              <w:t>Applicable California confidentiality exceptions; NASW Code 1.01 and 1.07</w:t>
            </w:r>
          </w:p>
        </w:tc>
      </w:tr>
      <w:tr>
        <w:trPr>
          <w:cantSplit/>
        </w:trPr>
        <w:tc>
          <w:tcPr>
            <w:tcW w:type="dxa" w:w="1742"/>
            <w:vAlign w:val="center"/>
            <w:tcMar>
              <w:top w:w="55" w:type="dxa"/>
              <w:start w:w="65" w:type="dxa"/>
              <w:bottom w:w="55" w:type="dxa"/>
              <w:end w:w="65" w:type="dxa"/>
            </w:tcMar>
            <w:shd w:fill="F2F4F7"/>
          </w:tcPr>
          <w:p>
            <w:pPr>
              <w:spacing w:after="0"/>
            </w:pPr>
            <w:r>
              <w:rPr>
                <w:sz w:val="14"/>
              </w:rPr>
              <w:t>74</w:t>
            </w:r>
          </w:p>
        </w:tc>
        <w:tc>
          <w:tcPr>
            <w:tcW w:type="dxa" w:w="1742"/>
            <w:vAlign w:val="center"/>
            <w:tcMar>
              <w:top w:w="55" w:type="dxa"/>
              <w:start w:w="65" w:type="dxa"/>
              <w:bottom w:w="55" w:type="dxa"/>
              <w:end w:w="65" w:type="dxa"/>
            </w:tcMar>
            <w:shd w:fill="F2F4F7"/>
          </w:tcPr>
          <w:p>
            <w:pPr>
              <w:spacing w:after="0"/>
            </w:pPr>
            <w:r>
              <w:rPr>
                <w:sz w:val="14"/>
              </w:rPr>
              <w:t>Informed agreement when service purpose changes</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WB1</w:t>
            </w:r>
          </w:p>
        </w:tc>
        <w:tc>
          <w:tcPr>
            <w:tcW w:type="dxa" w:w="1742"/>
            <w:vAlign w:val="center"/>
            <w:tcMar>
              <w:top w:w="55" w:type="dxa"/>
              <w:start w:w="65" w:type="dxa"/>
              <w:bottom w:w="55" w:type="dxa"/>
              <w:end w:w="65" w:type="dxa"/>
            </w:tcMar>
            <w:shd w:fill="F2F4F7"/>
          </w:tcPr>
          <w:p>
            <w:pPr>
              <w:spacing w:after="0"/>
            </w:pPr>
            <w:r>
              <w:rPr>
                <w:sz w:val="14"/>
              </w:rPr>
              <w:t>INFORMED-AGREEMENT-WHEN-SERVICE-PURPOSE-CHAN</w:t>
            </w:r>
          </w:p>
        </w:tc>
        <w:tc>
          <w:tcPr>
            <w:tcW w:type="dxa" w:w="1742"/>
            <w:vAlign w:val="center"/>
            <w:tcMar>
              <w:top w:w="55" w:type="dxa"/>
              <w:start w:w="65" w:type="dxa"/>
              <w:bottom w:w="55" w:type="dxa"/>
              <w:end w:w="65" w:type="dxa"/>
            </w:tcMar>
            <w:shd w:fill="F2F4F7"/>
          </w:tcPr>
          <w:p>
            <w:pPr>
              <w:spacing w:after="0"/>
            </w:pPr>
            <w:r>
              <w:rPr>
                <w:sz w:val="14"/>
              </w:rPr>
              <w:t>NASW Code 1.03, 1.06, and 4.06</w:t>
            </w:r>
          </w:p>
        </w:tc>
      </w:tr>
      <w:tr>
        <w:trPr>
          <w:cantSplit/>
        </w:trPr>
        <w:tc>
          <w:tcPr>
            <w:tcW w:type="dxa" w:w="1742"/>
            <w:vAlign w:val="center"/>
            <w:tcMar>
              <w:top w:w="55" w:type="dxa"/>
              <w:start w:w="65" w:type="dxa"/>
              <w:bottom w:w="55" w:type="dxa"/>
              <w:end w:w="65" w:type="dxa"/>
            </w:tcMar>
          </w:tcPr>
          <w:p>
            <w:pPr>
              <w:spacing w:after="0"/>
            </w:pPr>
            <w:r>
              <w:rPr>
                <w:sz w:val="14"/>
              </w:rPr>
              <w:t>75</w:t>
            </w:r>
          </w:p>
        </w:tc>
        <w:tc>
          <w:tcPr>
            <w:tcW w:type="dxa" w:w="1742"/>
            <w:vAlign w:val="center"/>
            <w:tcMar>
              <w:top w:w="55" w:type="dxa"/>
              <w:start w:w="65" w:type="dxa"/>
              <w:bottom w:w="55" w:type="dxa"/>
              <w:end w:w="65" w:type="dxa"/>
            </w:tcMar>
          </w:tcPr>
          <w:p>
            <w:pPr>
              <w:spacing w:after="0"/>
            </w:pPr>
            <w:r>
              <w:rPr>
                <w:sz w:val="14"/>
              </w:rPr>
              <w:t>Narrow court order and scope-limited disclosure</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WB8</w:t>
            </w:r>
          </w:p>
        </w:tc>
        <w:tc>
          <w:tcPr>
            <w:tcW w:type="dxa" w:w="1742"/>
            <w:vAlign w:val="center"/>
            <w:tcMar>
              <w:top w:w="55" w:type="dxa"/>
              <w:start w:w="65" w:type="dxa"/>
              <w:bottom w:w="55" w:type="dxa"/>
              <w:end w:w="65" w:type="dxa"/>
            </w:tcMar>
          </w:tcPr>
          <w:p>
            <w:pPr>
              <w:spacing w:after="0"/>
            </w:pPr>
            <w:r>
              <w:rPr>
                <w:sz w:val="14"/>
              </w:rPr>
              <w:t>COURT-ORDER-SCOPE</w:t>
            </w:r>
          </w:p>
        </w:tc>
        <w:tc>
          <w:tcPr>
            <w:tcW w:type="dxa" w:w="1742"/>
            <w:vAlign w:val="center"/>
            <w:tcMar>
              <w:top w:w="55" w:type="dxa"/>
              <w:start w:w="65" w:type="dxa"/>
              <w:bottom w:w="55" w:type="dxa"/>
              <w:end w:w="65" w:type="dxa"/>
            </w:tcMar>
          </w:tcPr>
          <w:p>
            <w:pPr>
              <w:spacing w:after="0"/>
            </w:pPr>
            <w:r>
              <w:rPr>
                <w:sz w:val="14"/>
              </w:rPr>
              <w:t>California privilege and legal-process law; NASW Code 1.07</w:t>
            </w:r>
          </w:p>
        </w:tc>
      </w:tr>
      <w:tr>
        <w:trPr>
          <w:cantSplit/>
        </w:trPr>
        <w:tc>
          <w:tcPr>
            <w:tcW w:type="dxa" w:w="1742"/>
            <w:vAlign w:val="center"/>
            <w:tcMar>
              <w:top w:w="55" w:type="dxa"/>
              <w:start w:w="65" w:type="dxa"/>
              <w:bottom w:w="55" w:type="dxa"/>
              <w:end w:w="65" w:type="dxa"/>
            </w:tcMar>
            <w:shd w:fill="F2F4F7"/>
          </w:tcPr>
          <w:p>
            <w:pPr>
              <w:spacing w:after="0"/>
            </w:pPr>
            <w:r>
              <w:rPr>
                <w:sz w:val="14"/>
              </w:rPr>
              <w:t>76</w:t>
            </w:r>
          </w:p>
        </w:tc>
        <w:tc>
          <w:tcPr>
            <w:tcW w:type="dxa" w:w="1742"/>
            <w:vAlign w:val="center"/>
            <w:tcMar>
              <w:top w:w="55" w:type="dxa"/>
              <w:start w:w="65" w:type="dxa"/>
              <w:bottom w:w="55" w:type="dxa"/>
              <w:end w:w="65" w:type="dxa"/>
            </w:tcMar>
            <w:shd w:fill="F2F4F7"/>
          </w:tcPr>
          <w:p>
            <w:pPr>
              <w:spacing w:after="0"/>
            </w:pPr>
            <w:r>
              <w:rPr>
                <w:sz w:val="14"/>
              </w:rPr>
              <w:t>Dual role in a small community</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WB6</w:t>
            </w:r>
          </w:p>
        </w:tc>
        <w:tc>
          <w:tcPr>
            <w:tcW w:type="dxa" w:w="1742"/>
            <w:vAlign w:val="center"/>
            <w:tcMar>
              <w:top w:w="55" w:type="dxa"/>
              <w:start w:w="65" w:type="dxa"/>
              <w:bottom w:w="55" w:type="dxa"/>
              <w:end w:w="65" w:type="dxa"/>
            </w:tcMar>
            <w:shd w:fill="F2F4F7"/>
          </w:tcPr>
          <w:p>
            <w:pPr>
              <w:spacing w:after="0"/>
            </w:pPr>
            <w:r>
              <w:rPr>
                <w:sz w:val="14"/>
              </w:rPr>
              <w:t>DUAL-ROLE-IN-A-SMALL-COMMUNITY</w:t>
            </w:r>
          </w:p>
        </w:tc>
        <w:tc>
          <w:tcPr>
            <w:tcW w:type="dxa" w:w="1742"/>
            <w:vAlign w:val="center"/>
            <w:tcMar>
              <w:top w:w="55" w:type="dxa"/>
              <w:start w:w="65" w:type="dxa"/>
              <w:bottom w:w="55" w:type="dxa"/>
              <w:end w:w="65" w:type="dxa"/>
            </w:tcMar>
            <w:shd w:fill="F2F4F7"/>
          </w:tcPr>
          <w:p>
            <w:pPr>
              <w:spacing w:after="0"/>
            </w:pPr>
            <w:r>
              <w:rPr>
                <w:sz w:val="14"/>
              </w:rPr>
              <w:t>NASW Code 1.06 and 1.07</w:t>
            </w:r>
          </w:p>
        </w:tc>
      </w:tr>
      <w:tr>
        <w:trPr>
          <w:cantSplit/>
        </w:trPr>
        <w:tc>
          <w:tcPr>
            <w:tcW w:type="dxa" w:w="1742"/>
            <w:vAlign w:val="center"/>
            <w:tcMar>
              <w:top w:w="55" w:type="dxa"/>
              <w:start w:w="65" w:type="dxa"/>
              <w:bottom w:w="55" w:type="dxa"/>
              <w:end w:w="65" w:type="dxa"/>
            </w:tcMar>
          </w:tcPr>
          <w:p>
            <w:pPr>
              <w:spacing w:after="0"/>
            </w:pPr>
            <w:r>
              <w:rPr>
                <w:sz w:val="14"/>
              </w:rPr>
              <w:t>77</w:t>
            </w:r>
          </w:p>
        </w:tc>
        <w:tc>
          <w:tcPr>
            <w:tcW w:type="dxa" w:w="1742"/>
            <w:vAlign w:val="center"/>
            <w:tcMar>
              <w:top w:w="55" w:type="dxa"/>
              <w:start w:w="65" w:type="dxa"/>
              <w:bottom w:w="55" w:type="dxa"/>
              <w:end w:w="65" w:type="dxa"/>
            </w:tcMar>
          </w:tcPr>
          <w:p>
            <w:pPr>
              <w:spacing w:after="0"/>
            </w:pPr>
            <w:r>
              <w:rPr>
                <w:sz w:val="14"/>
              </w:rPr>
              <w:t>Nondiscrimination source-layer analysis</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WB7</w:t>
            </w:r>
          </w:p>
        </w:tc>
        <w:tc>
          <w:tcPr>
            <w:tcW w:type="dxa" w:w="1742"/>
            <w:vAlign w:val="center"/>
            <w:tcMar>
              <w:top w:w="55" w:type="dxa"/>
              <w:start w:w="65" w:type="dxa"/>
              <w:bottom w:w="55" w:type="dxa"/>
              <w:end w:w="65" w:type="dxa"/>
            </w:tcMar>
          </w:tcPr>
          <w:p>
            <w:pPr>
              <w:spacing w:after="0"/>
            </w:pPr>
            <w:r>
              <w:rPr>
                <w:sz w:val="14"/>
              </w:rPr>
              <w:t>NONDISCRIMINATION-SOURCE-LAYER-ANALYSIS</w:t>
            </w:r>
          </w:p>
        </w:tc>
        <w:tc>
          <w:tcPr>
            <w:tcW w:type="dxa" w:w="1742"/>
            <w:vAlign w:val="center"/>
            <w:tcMar>
              <w:top w:w="55" w:type="dxa"/>
              <w:start w:w="65" w:type="dxa"/>
              <w:bottom w:w="55" w:type="dxa"/>
              <w:end w:w="65" w:type="dxa"/>
            </w:tcMar>
          </w:tcPr>
          <w:p>
            <w:pPr>
              <w:spacing w:after="0"/>
            </w:pPr>
            <w:r>
              <w:rPr>
                <w:sz w:val="14"/>
              </w:rPr>
              <w:t>California civil-rights law; setting-dependent federal law; NASW Code 4.02 and 6.04</w:t>
            </w:r>
          </w:p>
        </w:tc>
      </w:tr>
      <w:tr>
        <w:trPr>
          <w:cantSplit/>
        </w:trPr>
        <w:tc>
          <w:tcPr>
            <w:tcW w:type="dxa" w:w="1742"/>
            <w:vAlign w:val="center"/>
            <w:tcMar>
              <w:top w:w="55" w:type="dxa"/>
              <w:start w:w="65" w:type="dxa"/>
              <w:bottom w:w="55" w:type="dxa"/>
              <w:end w:w="65" w:type="dxa"/>
            </w:tcMar>
            <w:shd w:fill="F2F4F7"/>
          </w:tcPr>
          <w:p>
            <w:pPr>
              <w:spacing w:after="0"/>
            </w:pPr>
            <w:r>
              <w:rPr>
                <w:sz w:val="14"/>
              </w:rPr>
              <w:t>78</w:t>
            </w:r>
          </w:p>
        </w:tc>
        <w:tc>
          <w:tcPr>
            <w:tcW w:type="dxa" w:w="1742"/>
            <w:vAlign w:val="center"/>
            <w:tcMar>
              <w:top w:w="55" w:type="dxa"/>
              <w:start w:w="65" w:type="dxa"/>
              <w:bottom w:w="55" w:type="dxa"/>
              <w:end w:w="65" w:type="dxa"/>
            </w:tcMar>
            <w:shd w:fill="F2F4F7"/>
          </w:tcPr>
          <w:p>
            <w:pPr>
              <w:spacing w:after="0"/>
            </w:pPr>
            <w:r>
              <w:rPr>
                <w:sz w:val="14"/>
              </w:rPr>
              <w:t>Introducing a new intervention under supervision</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INTRODUCING-A-NEW-INTERVENTION-UNDER-SUPERVI</w:t>
            </w:r>
          </w:p>
        </w:tc>
        <w:tc>
          <w:tcPr>
            <w:tcW w:type="dxa" w:w="1742"/>
            <w:vAlign w:val="center"/>
            <w:tcMar>
              <w:top w:w="55" w:type="dxa"/>
              <w:start w:w="65" w:type="dxa"/>
              <w:bottom w:w="55" w:type="dxa"/>
              <w:end w:w="65" w:type="dxa"/>
            </w:tcMar>
            <w:shd w:fill="F2F4F7"/>
          </w:tcPr>
          <w:p>
            <w:pPr>
              <w:spacing w:after="0"/>
            </w:pPr>
            <w:r>
              <w:rPr>
                <w:sz w:val="14"/>
              </w:rPr>
              <w:t>NASW Code 1.04 and 3.01; BBS supervision competence requirements</w:t>
            </w:r>
          </w:p>
        </w:tc>
      </w:tr>
      <w:tr>
        <w:trPr>
          <w:cantSplit/>
        </w:trPr>
        <w:tc>
          <w:tcPr>
            <w:tcW w:type="dxa" w:w="1742"/>
            <w:vAlign w:val="center"/>
            <w:tcMar>
              <w:top w:w="55" w:type="dxa"/>
              <w:start w:w="65" w:type="dxa"/>
              <w:bottom w:w="55" w:type="dxa"/>
              <w:end w:w="65" w:type="dxa"/>
            </w:tcMar>
          </w:tcPr>
          <w:p>
            <w:pPr>
              <w:spacing w:after="0"/>
            </w:pPr>
            <w:r>
              <w:rPr>
                <w:sz w:val="14"/>
              </w:rPr>
              <w:t>79</w:t>
            </w:r>
          </w:p>
        </w:tc>
        <w:tc>
          <w:tcPr>
            <w:tcW w:type="dxa" w:w="1742"/>
            <w:vAlign w:val="center"/>
            <w:tcMar>
              <w:top w:w="55" w:type="dxa"/>
              <w:start w:w="65" w:type="dxa"/>
              <w:bottom w:w="55" w:type="dxa"/>
              <w:end w:w="65" w:type="dxa"/>
            </w:tcMar>
          </w:tcPr>
          <w:p>
            <w:pPr>
              <w:spacing w:after="0"/>
            </w:pPr>
            <w:r>
              <w:rPr>
                <w:sz w:val="14"/>
              </w:rPr>
              <w:t>Colleague impairment and objective observations</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WB4</w:t>
            </w:r>
          </w:p>
        </w:tc>
        <w:tc>
          <w:tcPr>
            <w:tcW w:type="dxa" w:w="1742"/>
            <w:vAlign w:val="center"/>
            <w:tcMar>
              <w:top w:w="55" w:type="dxa"/>
              <w:start w:w="65" w:type="dxa"/>
              <w:bottom w:w="55" w:type="dxa"/>
              <w:end w:w="65" w:type="dxa"/>
            </w:tcMar>
          </w:tcPr>
          <w:p>
            <w:pPr>
              <w:spacing w:after="0"/>
            </w:pPr>
            <w:r>
              <w:rPr>
                <w:sz w:val="14"/>
              </w:rPr>
              <w:t>COLLEAGUE-IMPAIRMENT-AND-OBJECTIVE-OBSERVATI</w:t>
            </w:r>
          </w:p>
        </w:tc>
        <w:tc>
          <w:tcPr>
            <w:tcW w:type="dxa" w:w="1742"/>
            <w:vAlign w:val="center"/>
            <w:tcMar>
              <w:top w:w="55" w:type="dxa"/>
              <w:start w:w="65" w:type="dxa"/>
              <w:bottom w:w="55" w:type="dxa"/>
              <w:end w:w="65" w:type="dxa"/>
            </w:tcMar>
          </w:tcPr>
          <w:p>
            <w:pPr>
              <w:spacing w:after="0"/>
            </w:pPr>
            <w:r>
              <w:rPr>
                <w:sz w:val="14"/>
              </w:rPr>
              <w:t>NASW Code 2.08 and 4.05; BPC 4992.3</w:t>
            </w:r>
          </w:p>
        </w:tc>
      </w:tr>
      <w:tr>
        <w:trPr>
          <w:cantSplit/>
        </w:trPr>
        <w:tc>
          <w:tcPr>
            <w:tcW w:type="dxa" w:w="1742"/>
            <w:vAlign w:val="center"/>
            <w:tcMar>
              <w:top w:w="55" w:type="dxa"/>
              <w:start w:w="65" w:type="dxa"/>
              <w:bottom w:w="55" w:type="dxa"/>
              <w:end w:w="65" w:type="dxa"/>
            </w:tcMar>
            <w:shd w:fill="F2F4F7"/>
          </w:tcPr>
          <w:p>
            <w:pPr>
              <w:spacing w:after="0"/>
            </w:pPr>
            <w:r>
              <w:rPr>
                <w:sz w:val="14"/>
              </w:rPr>
              <w:t>80</w:t>
            </w:r>
          </w:p>
        </w:tc>
        <w:tc>
          <w:tcPr>
            <w:tcW w:type="dxa" w:w="1742"/>
            <w:vAlign w:val="center"/>
            <w:tcMar>
              <w:top w:w="55" w:type="dxa"/>
              <w:start w:w="65" w:type="dxa"/>
              <w:bottom w:w="55" w:type="dxa"/>
              <w:end w:w="65" w:type="dxa"/>
            </w:tcMar>
            <w:shd w:fill="F2F4F7"/>
          </w:tcPr>
          <w:p>
            <w:pPr>
              <w:spacing w:after="0"/>
            </w:pPr>
            <w:r>
              <w:rPr>
                <w:sz w:val="14"/>
              </w:rPr>
              <w:t>Associate competence and duty to seek supervision</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LS Module</w:t>
            </w:r>
          </w:p>
        </w:tc>
        <w:tc>
          <w:tcPr>
            <w:tcW w:type="dxa" w:w="1742"/>
            <w:vAlign w:val="center"/>
            <w:tcMar>
              <w:top w:w="55" w:type="dxa"/>
              <w:start w:w="65" w:type="dxa"/>
              <w:bottom w:w="55" w:type="dxa"/>
              <w:end w:w="65" w:type="dxa"/>
            </w:tcMar>
            <w:shd w:fill="F2F4F7"/>
          </w:tcPr>
          <w:p>
            <w:pPr>
              <w:spacing w:after="0"/>
            </w:pPr>
            <w:r>
              <w:rPr>
                <w:sz w:val="14"/>
              </w:rPr>
              <w:t>ASSOCIATE-COMPETENCE-AND-DUTY-TO-SEEK-SUPERV</w:t>
            </w:r>
          </w:p>
        </w:tc>
        <w:tc>
          <w:tcPr>
            <w:tcW w:type="dxa" w:w="1742"/>
            <w:vAlign w:val="center"/>
            <w:tcMar>
              <w:top w:w="55" w:type="dxa"/>
              <w:start w:w="65" w:type="dxa"/>
              <w:bottom w:w="55" w:type="dxa"/>
              <w:end w:w="65" w:type="dxa"/>
            </w:tcMar>
            <w:shd w:fill="F2F4F7"/>
          </w:tcPr>
          <w:p>
            <w:pPr>
              <w:spacing w:after="0"/>
            </w:pPr>
            <w:r>
              <w:rPr>
                <w:sz w:val="14"/>
              </w:rPr>
              <w:t>BPC 4992.3; NASW Code 1.04 and 3.01</w:t>
            </w:r>
          </w:p>
        </w:tc>
      </w:tr>
      <w:tr>
        <w:trPr>
          <w:cantSplit/>
        </w:trPr>
        <w:tc>
          <w:tcPr>
            <w:tcW w:type="dxa" w:w="1742"/>
            <w:vAlign w:val="center"/>
            <w:tcMar>
              <w:top w:w="55" w:type="dxa"/>
              <w:start w:w="65" w:type="dxa"/>
              <w:bottom w:w="55" w:type="dxa"/>
              <w:end w:w="65" w:type="dxa"/>
            </w:tcMar>
          </w:tcPr>
          <w:p>
            <w:pPr>
              <w:spacing w:after="0"/>
            </w:pPr>
            <w:r>
              <w:rPr>
                <w:sz w:val="14"/>
              </w:rPr>
              <w:t>81</w:t>
            </w:r>
          </w:p>
        </w:tc>
        <w:tc>
          <w:tcPr>
            <w:tcW w:type="dxa" w:w="1742"/>
            <w:vAlign w:val="center"/>
            <w:tcMar>
              <w:top w:w="55" w:type="dxa"/>
              <w:start w:w="65" w:type="dxa"/>
              <w:bottom w:w="55" w:type="dxa"/>
              <w:end w:w="65" w:type="dxa"/>
            </w:tcMar>
          </w:tcPr>
          <w:p>
            <w:pPr>
              <w:spacing w:after="0"/>
            </w:pPr>
            <w:r>
              <w:rPr>
                <w:sz w:val="14"/>
              </w:rPr>
              <w:t>Clear disclosure of ASW status to clients</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LS Module</w:t>
            </w:r>
          </w:p>
        </w:tc>
        <w:tc>
          <w:tcPr>
            <w:tcW w:type="dxa" w:w="1742"/>
            <w:vAlign w:val="center"/>
            <w:tcMar>
              <w:top w:w="55" w:type="dxa"/>
              <w:start w:w="65" w:type="dxa"/>
              <w:bottom w:w="55" w:type="dxa"/>
              <w:end w:w="65" w:type="dxa"/>
            </w:tcMar>
          </w:tcPr>
          <w:p>
            <w:pPr>
              <w:spacing w:after="0"/>
            </w:pPr>
            <w:r>
              <w:rPr>
                <w:sz w:val="14"/>
              </w:rPr>
              <w:t>CLEAR-DISCLOSURE-OF-ASW-STATUS-TO-CLIENTS</w:t>
            </w:r>
          </w:p>
        </w:tc>
        <w:tc>
          <w:tcPr>
            <w:tcW w:type="dxa" w:w="1742"/>
            <w:vAlign w:val="center"/>
            <w:tcMar>
              <w:top w:w="55" w:type="dxa"/>
              <w:start w:w="65" w:type="dxa"/>
              <w:bottom w:w="55" w:type="dxa"/>
              <w:end w:w="65" w:type="dxa"/>
            </w:tcMar>
          </w:tcPr>
          <w:p>
            <w:pPr>
              <w:spacing w:after="0"/>
            </w:pPr>
            <w:r>
              <w:rPr>
                <w:sz w:val="14"/>
              </w:rPr>
              <w:t>BPC 4992.2 and 4992.3; BBS advertising and status-disclosure guidance</w:t>
            </w:r>
          </w:p>
        </w:tc>
      </w:tr>
      <w:tr>
        <w:trPr>
          <w:cantSplit/>
        </w:trPr>
        <w:tc>
          <w:tcPr>
            <w:tcW w:type="dxa" w:w="1742"/>
            <w:vAlign w:val="center"/>
            <w:tcMar>
              <w:top w:w="55" w:type="dxa"/>
              <w:start w:w="65" w:type="dxa"/>
              <w:bottom w:w="55" w:type="dxa"/>
              <w:end w:w="65" w:type="dxa"/>
            </w:tcMar>
            <w:shd w:fill="F2F4F7"/>
          </w:tcPr>
          <w:p>
            <w:pPr>
              <w:spacing w:after="0"/>
            </w:pPr>
            <w:r>
              <w:rPr>
                <w:sz w:val="14"/>
              </w:rPr>
              <w:t>82</w:t>
            </w:r>
          </w:p>
        </w:tc>
        <w:tc>
          <w:tcPr>
            <w:tcW w:type="dxa" w:w="1742"/>
            <w:vAlign w:val="center"/>
            <w:tcMar>
              <w:top w:w="55" w:type="dxa"/>
              <w:start w:w="65" w:type="dxa"/>
              <w:bottom w:w="55" w:type="dxa"/>
              <w:end w:w="65" w:type="dxa"/>
            </w:tcMar>
            <w:shd w:fill="F2F4F7"/>
          </w:tcPr>
          <w:p>
            <w:pPr>
              <w:spacing w:after="0"/>
            </w:pPr>
            <w:r>
              <w:rPr>
                <w:sz w:val="14"/>
              </w:rPr>
              <w:t>Client-requested amendment of disputed facts</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WB9</w:t>
            </w:r>
          </w:p>
        </w:tc>
        <w:tc>
          <w:tcPr>
            <w:tcW w:type="dxa" w:w="1742"/>
            <w:vAlign w:val="center"/>
            <w:tcMar>
              <w:top w:w="55" w:type="dxa"/>
              <w:start w:w="65" w:type="dxa"/>
              <w:bottom w:w="55" w:type="dxa"/>
              <w:end w:w="65" w:type="dxa"/>
            </w:tcMar>
            <w:shd w:fill="F2F4F7"/>
          </w:tcPr>
          <w:p>
            <w:pPr>
              <w:spacing w:after="0"/>
            </w:pPr>
            <w:r>
              <w:rPr>
                <w:sz w:val="14"/>
              </w:rPr>
              <w:t>CLIENT-REQUESTED-AMENDMENT-OF-DISPUTED-FACTS</w:t>
            </w:r>
          </w:p>
        </w:tc>
        <w:tc>
          <w:tcPr>
            <w:tcW w:type="dxa" w:w="1742"/>
            <w:vAlign w:val="center"/>
            <w:tcMar>
              <w:top w:w="55" w:type="dxa"/>
              <w:start w:w="65" w:type="dxa"/>
              <w:bottom w:w="55" w:type="dxa"/>
              <w:end w:w="65" w:type="dxa"/>
            </w:tcMar>
            <w:shd w:fill="F2F4F7"/>
          </w:tcPr>
          <w:p>
            <w:pPr>
              <w:spacing w:after="0"/>
            </w:pPr>
            <w:r>
              <w:rPr>
                <w:sz w:val="14"/>
              </w:rPr>
              <w:t>California health-record law; NASW Code 3.04</w:t>
            </w:r>
          </w:p>
        </w:tc>
      </w:tr>
      <w:tr>
        <w:trPr>
          <w:cantSplit/>
        </w:trPr>
        <w:tc>
          <w:tcPr>
            <w:tcW w:type="dxa" w:w="1742"/>
            <w:vAlign w:val="center"/>
            <w:tcMar>
              <w:top w:w="55" w:type="dxa"/>
              <w:start w:w="65" w:type="dxa"/>
              <w:bottom w:w="55" w:type="dxa"/>
              <w:end w:w="65" w:type="dxa"/>
            </w:tcMar>
          </w:tcPr>
          <w:p>
            <w:pPr>
              <w:spacing w:after="0"/>
            </w:pPr>
            <w:r>
              <w:rPr>
                <w:sz w:val="14"/>
              </w:rPr>
              <w:t>83</w:t>
            </w:r>
          </w:p>
        </w:tc>
        <w:tc>
          <w:tcPr>
            <w:tcW w:type="dxa" w:w="1742"/>
            <w:vAlign w:val="center"/>
            <w:tcMar>
              <w:top w:w="55" w:type="dxa"/>
              <w:start w:w="65" w:type="dxa"/>
              <w:bottom w:w="55" w:type="dxa"/>
              <w:end w:w="65" w:type="dxa"/>
            </w:tcMar>
          </w:tcPr>
          <w:p>
            <w:pPr>
              <w:spacing w:after="0"/>
            </w:pPr>
            <w:r>
              <w:rPr>
                <w:sz w:val="14"/>
              </w:rPr>
              <w:t>ASW advertising combined with unlawful independent payment structure</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LS Module</w:t>
            </w:r>
          </w:p>
        </w:tc>
        <w:tc>
          <w:tcPr>
            <w:tcW w:type="dxa" w:w="1742"/>
            <w:vAlign w:val="center"/>
            <w:tcMar>
              <w:top w:w="55" w:type="dxa"/>
              <w:start w:w="65" w:type="dxa"/>
              <w:bottom w:w="55" w:type="dxa"/>
              <w:end w:w="65" w:type="dxa"/>
            </w:tcMar>
          </w:tcPr>
          <w:p>
            <w:pPr>
              <w:spacing w:after="0"/>
            </w:pPr>
            <w:r>
              <w:rPr>
                <w:sz w:val="14"/>
              </w:rPr>
              <w:t>ASW-ADVERTISING-AND-PAYMENT</w:t>
            </w:r>
          </w:p>
        </w:tc>
        <w:tc>
          <w:tcPr>
            <w:tcW w:type="dxa" w:w="1742"/>
            <w:vAlign w:val="center"/>
            <w:tcMar>
              <w:top w:w="55" w:type="dxa"/>
              <w:start w:w="65" w:type="dxa"/>
              <w:bottom w:w="55" w:type="dxa"/>
              <w:end w:w="65" w:type="dxa"/>
            </w:tcMar>
          </w:tcPr>
          <w:p>
            <w:pPr>
              <w:spacing w:after="0"/>
            </w:pPr>
            <w:r>
              <w:rPr>
                <w:sz w:val="14"/>
              </w:rPr>
              <w:t>BBS Advertising Requirements Fact Sheet revised March 2026; BPC 4992.2, 4992.3, and 4996.23.2</w:t>
            </w:r>
          </w:p>
        </w:tc>
      </w:tr>
      <w:tr>
        <w:trPr>
          <w:cantSplit/>
        </w:trPr>
        <w:tc>
          <w:tcPr>
            <w:tcW w:type="dxa" w:w="1742"/>
            <w:vAlign w:val="center"/>
            <w:tcMar>
              <w:top w:w="55" w:type="dxa"/>
              <w:start w:w="65" w:type="dxa"/>
              <w:bottom w:w="55" w:type="dxa"/>
              <w:end w:w="65" w:type="dxa"/>
            </w:tcMar>
            <w:shd w:fill="F2F4F7"/>
          </w:tcPr>
          <w:p>
            <w:pPr>
              <w:spacing w:after="0"/>
            </w:pPr>
            <w:r>
              <w:rPr>
                <w:sz w:val="14"/>
              </w:rPr>
              <w:t>84</w:t>
            </w:r>
          </w:p>
        </w:tc>
        <w:tc>
          <w:tcPr>
            <w:tcW w:type="dxa" w:w="1742"/>
            <w:vAlign w:val="center"/>
            <w:tcMar>
              <w:top w:w="55" w:type="dxa"/>
              <w:start w:w="65" w:type="dxa"/>
              <w:bottom w:w="55" w:type="dxa"/>
              <w:end w:w="65" w:type="dxa"/>
            </w:tcMar>
            <w:shd w:fill="F2F4F7"/>
          </w:tcPr>
          <w:p>
            <w:pPr>
              <w:spacing w:after="0"/>
            </w:pPr>
            <w:r>
              <w:rPr>
                <w:sz w:val="14"/>
              </w:rPr>
              <w:t>Boundary policy for home and community services</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WB6</w:t>
            </w:r>
          </w:p>
        </w:tc>
        <w:tc>
          <w:tcPr>
            <w:tcW w:type="dxa" w:w="1742"/>
            <w:vAlign w:val="center"/>
            <w:tcMar>
              <w:top w:w="55" w:type="dxa"/>
              <w:start w:w="65" w:type="dxa"/>
              <w:bottom w:w="55" w:type="dxa"/>
              <w:end w:w="65" w:type="dxa"/>
            </w:tcMar>
            <w:shd w:fill="F2F4F7"/>
          </w:tcPr>
          <w:p>
            <w:pPr>
              <w:spacing w:after="0"/>
            </w:pPr>
            <w:r>
              <w:rPr>
                <w:sz w:val="14"/>
              </w:rPr>
              <w:t>BOUNDARY-POLICY-FOR-HOME-AND-COMMUNITY-SERVI</w:t>
            </w:r>
          </w:p>
        </w:tc>
        <w:tc>
          <w:tcPr>
            <w:tcW w:type="dxa" w:w="1742"/>
            <w:vAlign w:val="center"/>
            <w:tcMar>
              <w:top w:w="55" w:type="dxa"/>
              <w:start w:w="65" w:type="dxa"/>
              <w:bottom w:w="55" w:type="dxa"/>
              <w:end w:w="65" w:type="dxa"/>
            </w:tcMar>
            <w:shd w:fill="F2F4F7"/>
          </w:tcPr>
          <w:p>
            <w:pPr>
              <w:spacing w:after="0"/>
            </w:pPr>
            <w:r>
              <w:rPr>
                <w:sz w:val="14"/>
              </w:rPr>
              <w:t>NASW Code 1.06, 1.07, and 3.07</w:t>
            </w:r>
          </w:p>
        </w:tc>
      </w:tr>
      <w:tr>
        <w:trPr>
          <w:cantSplit/>
        </w:trPr>
        <w:tc>
          <w:tcPr>
            <w:tcW w:type="dxa" w:w="1742"/>
            <w:vAlign w:val="center"/>
            <w:tcMar>
              <w:top w:w="55" w:type="dxa"/>
              <w:start w:w="65" w:type="dxa"/>
              <w:bottom w:w="55" w:type="dxa"/>
              <w:end w:w="65" w:type="dxa"/>
            </w:tcMar>
          </w:tcPr>
          <w:p>
            <w:pPr>
              <w:spacing w:after="0"/>
            </w:pPr>
            <w:r>
              <w:rPr>
                <w:sz w:val="14"/>
              </w:rPr>
              <w:t>85</w:t>
            </w:r>
          </w:p>
        </w:tc>
        <w:tc>
          <w:tcPr>
            <w:tcW w:type="dxa" w:w="1742"/>
            <w:vAlign w:val="center"/>
            <w:tcMar>
              <w:top w:w="55" w:type="dxa"/>
              <w:start w:w="65" w:type="dxa"/>
              <w:bottom w:w="55" w:type="dxa"/>
              <w:end w:w="65" w:type="dxa"/>
            </w:tcMar>
          </w:tcPr>
          <w:p>
            <w:pPr>
              <w:spacing w:after="0"/>
            </w:pPr>
            <w:r>
              <w:rPr>
                <w:sz w:val="14"/>
              </w:rPr>
              <w:t>Compensation for client referrals</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WB6</w:t>
            </w:r>
          </w:p>
        </w:tc>
        <w:tc>
          <w:tcPr>
            <w:tcW w:type="dxa" w:w="1742"/>
            <w:vAlign w:val="center"/>
            <w:tcMar>
              <w:top w:w="55" w:type="dxa"/>
              <w:start w:w="65" w:type="dxa"/>
              <w:bottom w:w="55" w:type="dxa"/>
              <w:end w:w="65" w:type="dxa"/>
            </w:tcMar>
          </w:tcPr>
          <w:p>
            <w:pPr>
              <w:spacing w:after="0"/>
            </w:pPr>
            <w:r>
              <w:rPr>
                <w:sz w:val="14"/>
              </w:rPr>
              <w:t>COMPENSATION-FOR-CLIENT-REFERRALS</w:t>
            </w:r>
          </w:p>
        </w:tc>
        <w:tc>
          <w:tcPr>
            <w:tcW w:type="dxa" w:w="1742"/>
            <w:vAlign w:val="center"/>
            <w:tcMar>
              <w:top w:w="55" w:type="dxa"/>
              <w:start w:w="65" w:type="dxa"/>
              <w:bottom w:w="55" w:type="dxa"/>
              <w:end w:w="65" w:type="dxa"/>
            </w:tcMar>
          </w:tcPr>
          <w:p>
            <w:pPr>
              <w:spacing w:after="0"/>
            </w:pPr>
            <w:r>
              <w:rPr>
                <w:sz w:val="14"/>
              </w:rPr>
              <w:t>BPC 4992.3; NASW Code 4.04</w:t>
            </w:r>
          </w:p>
        </w:tc>
      </w:tr>
      <w:tr>
        <w:trPr>
          <w:cantSplit/>
        </w:trPr>
        <w:tc>
          <w:tcPr>
            <w:tcW w:type="dxa" w:w="1742"/>
            <w:vAlign w:val="center"/>
            <w:tcMar>
              <w:top w:w="55" w:type="dxa"/>
              <w:start w:w="65" w:type="dxa"/>
              <w:bottom w:w="55" w:type="dxa"/>
              <w:end w:w="65" w:type="dxa"/>
            </w:tcMar>
            <w:shd w:fill="F2F4F7"/>
          </w:tcPr>
          <w:p>
            <w:pPr>
              <w:spacing w:after="0"/>
            </w:pPr>
            <w:r>
              <w:rPr>
                <w:sz w:val="14"/>
              </w:rPr>
              <w:t>86</w:t>
            </w:r>
          </w:p>
        </w:tc>
        <w:tc>
          <w:tcPr>
            <w:tcW w:type="dxa" w:w="1742"/>
            <w:vAlign w:val="center"/>
            <w:tcMar>
              <w:top w:w="55" w:type="dxa"/>
              <w:start w:w="65" w:type="dxa"/>
              <w:bottom w:w="55" w:type="dxa"/>
              <w:end w:w="65" w:type="dxa"/>
            </w:tcMar>
            <w:shd w:fill="F2F4F7"/>
          </w:tcPr>
          <w:p>
            <w:pPr>
              <w:spacing w:after="0"/>
            </w:pPr>
            <w:r>
              <w:rPr>
                <w:sz w:val="14"/>
              </w:rPr>
              <w:t>Personal social media connection with a client</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WB6</w:t>
            </w:r>
          </w:p>
        </w:tc>
        <w:tc>
          <w:tcPr>
            <w:tcW w:type="dxa" w:w="1742"/>
            <w:vAlign w:val="center"/>
            <w:tcMar>
              <w:top w:w="55" w:type="dxa"/>
              <w:start w:w="65" w:type="dxa"/>
              <w:bottom w:w="55" w:type="dxa"/>
              <w:end w:w="65" w:type="dxa"/>
            </w:tcMar>
            <w:shd w:fill="F2F4F7"/>
          </w:tcPr>
          <w:p>
            <w:pPr>
              <w:spacing w:after="0"/>
            </w:pPr>
            <w:r>
              <w:rPr>
                <w:sz w:val="14"/>
              </w:rPr>
              <w:t>PERSONAL-SOCIAL-MEDIA-CONNECTION-WITH-A-CLIE</w:t>
            </w:r>
          </w:p>
        </w:tc>
        <w:tc>
          <w:tcPr>
            <w:tcW w:type="dxa" w:w="1742"/>
            <w:vAlign w:val="center"/>
            <w:tcMar>
              <w:top w:w="55" w:type="dxa"/>
              <w:start w:w="65" w:type="dxa"/>
              <w:bottom w:w="55" w:type="dxa"/>
              <w:end w:w="65" w:type="dxa"/>
            </w:tcMar>
            <w:shd w:fill="F2F4F7"/>
          </w:tcPr>
          <w:p>
            <w:pPr>
              <w:spacing w:after="0"/>
            </w:pPr>
            <w:r>
              <w:rPr>
                <w:sz w:val="14"/>
              </w:rPr>
              <w:t>NASW Code 1.06, 1.07, and 1.15</w:t>
            </w:r>
          </w:p>
        </w:tc>
      </w:tr>
      <w:tr>
        <w:trPr>
          <w:cantSplit/>
        </w:trPr>
        <w:tc>
          <w:tcPr>
            <w:tcW w:type="dxa" w:w="1742"/>
            <w:vAlign w:val="center"/>
            <w:tcMar>
              <w:top w:w="55" w:type="dxa"/>
              <w:start w:w="65" w:type="dxa"/>
              <w:bottom w:w="55" w:type="dxa"/>
              <w:end w:w="65" w:type="dxa"/>
            </w:tcMar>
          </w:tcPr>
          <w:p>
            <w:pPr>
              <w:spacing w:after="0"/>
            </w:pPr>
            <w:r>
              <w:rPr>
                <w:sz w:val="14"/>
              </w:rPr>
              <w:t>87</w:t>
            </w:r>
          </w:p>
        </w:tc>
        <w:tc>
          <w:tcPr>
            <w:tcW w:type="dxa" w:w="1742"/>
            <w:vAlign w:val="center"/>
            <w:tcMar>
              <w:top w:w="55" w:type="dxa"/>
              <w:start w:w="65" w:type="dxa"/>
              <w:bottom w:w="55" w:type="dxa"/>
              <w:end w:w="65" w:type="dxa"/>
            </w:tcMar>
          </w:tcPr>
          <w:p>
            <w:pPr>
              <w:spacing w:after="0"/>
            </w:pPr>
            <w:r>
              <w:rPr>
                <w:sz w:val="14"/>
              </w:rPr>
              <w:t>Court order versus broad informal request</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WB8</w:t>
            </w:r>
          </w:p>
        </w:tc>
        <w:tc>
          <w:tcPr>
            <w:tcW w:type="dxa" w:w="1742"/>
            <w:vAlign w:val="center"/>
            <w:tcMar>
              <w:top w:w="55" w:type="dxa"/>
              <w:start w:w="65" w:type="dxa"/>
              <w:bottom w:w="55" w:type="dxa"/>
              <w:end w:w="65" w:type="dxa"/>
            </w:tcMar>
          </w:tcPr>
          <w:p>
            <w:pPr>
              <w:spacing w:after="0"/>
            </w:pPr>
            <w:r>
              <w:rPr>
                <w:sz w:val="14"/>
              </w:rPr>
              <w:t>COURT-ORDER-VERSUS-BROAD-INFORMAL-REQUEST</w:t>
            </w:r>
          </w:p>
        </w:tc>
        <w:tc>
          <w:tcPr>
            <w:tcW w:type="dxa" w:w="1742"/>
            <w:vAlign w:val="center"/>
            <w:tcMar>
              <w:top w:w="55" w:type="dxa"/>
              <w:start w:w="65" w:type="dxa"/>
              <w:bottom w:w="55" w:type="dxa"/>
              <w:end w:w="65" w:type="dxa"/>
            </w:tcMar>
          </w:tcPr>
          <w:p>
            <w:pPr>
              <w:spacing w:after="0"/>
            </w:pPr>
            <w:r>
              <w:rPr>
                <w:sz w:val="14"/>
              </w:rPr>
              <w:t>California privilege and court-process law; NASW Code 1.07</w:t>
            </w:r>
          </w:p>
        </w:tc>
      </w:tr>
      <w:tr>
        <w:trPr>
          <w:cantSplit/>
        </w:trPr>
        <w:tc>
          <w:tcPr>
            <w:tcW w:type="dxa" w:w="1742"/>
            <w:vAlign w:val="center"/>
            <w:tcMar>
              <w:top w:w="55" w:type="dxa"/>
              <w:start w:w="65" w:type="dxa"/>
              <w:bottom w:w="55" w:type="dxa"/>
              <w:end w:w="65" w:type="dxa"/>
            </w:tcMar>
            <w:shd w:fill="F2F4F7"/>
          </w:tcPr>
          <w:p>
            <w:pPr>
              <w:spacing w:after="0"/>
            </w:pPr>
            <w:r>
              <w:rPr>
                <w:sz w:val="14"/>
              </w:rPr>
              <w:t>88</w:t>
            </w:r>
          </w:p>
        </w:tc>
        <w:tc>
          <w:tcPr>
            <w:tcW w:type="dxa" w:w="1742"/>
            <w:vAlign w:val="center"/>
            <w:tcMar>
              <w:top w:w="55" w:type="dxa"/>
              <w:start w:w="65" w:type="dxa"/>
              <w:bottom w:w="55" w:type="dxa"/>
              <w:end w:w="65" w:type="dxa"/>
            </w:tcMar>
            <w:shd w:fill="F2F4F7"/>
          </w:tcPr>
          <w:p>
            <w:pPr>
              <w:spacing w:after="0"/>
            </w:pPr>
            <w:r>
              <w:rPr>
                <w:sz w:val="14"/>
              </w:rPr>
              <w:t>Third-party payer request and consent limits</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WB1</w:t>
            </w:r>
          </w:p>
        </w:tc>
        <w:tc>
          <w:tcPr>
            <w:tcW w:type="dxa" w:w="1742"/>
            <w:vAlign w:val="center"/>
            <w:tcMar>
              <w:top w:w="55" w:type="dxa"/>
              <w:start w:w="65" w:type="dxa"/>
              <w:bottom w:w="55" w:type="dxa"/>
              <w:end w:w="65" w:type="dxa"/>
            </w:tcMar>
            <w:shd w:fill="F2F4F7"/>
          </w:tcPr>
          <w:p>
            <w:pPr>
              <w:spacing w:after="0"/>
            </w:pPr>
            <w:r>
              <w:rPr>
                <w:sz w:val="14"/>
              </w:rPr>
              <w:t>THIRD-PARTY-PAYER-REQUEST-AND-CONSENT-LIMITS</w:t>
            </w:r>
          </w:p>
        </w:tc>
        <w:tc>
          <w:tcPr>
            <w:tcW w:type="dxa" w:w="1742"/>
            <w:vAlign w:val="center"/>
            <w:tcMar>
              <w:top w:w="55" w:type="dxa"/>
              <w:start w:w="65" w:type="dxa"/>
              <w:bottom w:w="55" w:type="dxa"/>
              <w:end w:w="65" w:type="dxa"/>
            </w:tcMar>
            <w:shd w:fill="F2F4F7"/>
          </w:tcPr>
          <w:p>
            <w:pPr>
              <w:spacing w:after="0"/>
            </w:pPr>
            <w:r>
              <w:rPr>
                <w:sz w:val="14"/>
              </w:rPr>
              <w:t>NASW Code 1.03, 1.07, and 1.13; applicable California authorization law</w:t>
            </w:r>
          </w:p>
        </w:tc>
      </w:tr>
      <w:tr>
        <w:trPr>
          <w:cantSplit/>
        </w:trPr>
        <w:tc>
          <w:tcPr>
            <w:tcW w:type="dxa" w:w="1742"/>
            <w:vAlign w:val="center"/>
            <w:tcMar>
              <w:top w:w="55" w:type="dxa"/>
              <w:start w:w="65" w:type="dxa"/>
              <w:bottom w:w="55" w:type="dxa"/>
              <w:end w:w="65" w:type="dxa"/>
            </w:tcMar>
          </w:tcPr>
          <w:p>
            <w:pPr>
              <w:spacing w:after="0"/>
            </w:pPr>
            <w:r>
              <w:rPr>
                <w:sz w:val="14"/>
              </w:rPr>
              <w:t>89</w:t>
            </w:r>
          </w:p>
        </w:tc>
        <w:tc>
          <w:tcPr>
            <w:tcW w:type="dxa" w:w="1742"/>
            <w:vAlign w:val="center"/>
            <w:tcMar>
              <w:top w:w="55" w:type="dxa"/>
              <w:start w:w="65" w:type="dxa"/>
              <w:bottom w:w="55" w:type="dxa"/>
              <w:end w:w="65" w:type="dxa"/>
            </w:tcMar>
          </w:tcPr>
          <w:p>
            <w:pPr>
              <w:spacing w:after="0"/>
            </w:pPr>
            <w:r>
              <w:rPr>
                <w:sz w:val="14"/>
              </w:rPr>
              <w:t>Minor record request and competing authority</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WB8</w:t>
            </w:r>
          </w:p>
        </w:tc>
        <w:tc>
          <w:tcPr>
            <w:tcW w:type="dxa" w:w="1742"/>
            <w:vAlign w:val="center"/>
            <w:tcMar>
              <w:top w:w="55" w:type="dxa"/>
              <w:start w:w="65" w:type="dxa"/>
              <w:bottom w:w="55" w:type="dxa"/>
              <w:end w:w="65" w:type="dxa"/>
            </w:tcMar>
          </w:tcPr>
          <w:p>
            <w:pPr>
              <w:spacing w:after="0"/>
            </w:pPr>
            <w:r>
              <w:rPr>
                <w:sz w:val="14"/>
              </w:rPr>
              <w:t>MINOR-RECORD-REQUEST-AND-COMPETING-AUTHORITY</w:t>
            </w:r>
          </w:p>
        </w:tc>
        <w:tc>
          <w:tcPr>
            <w:tcW w:type="dxa" w:w="1742"/>
            <w:vAlign w:val="center"/>
            <w:tcMar>
              <w:top w:w="55" w:type="dxa"/>
              <w:start w:w="65" w:type="dxa"/>
              <w:bottom w:w="55" w:type="dxa"/>
              <w:end w:w="65" w:type="dxa"/>
            </w:tcMar>
          </w:tcPr>
          <w:p>
            <w:pPr>
              <w:spacing w:after="0"/>
            </w:pPr>
            <w:r>
              <w:rPr>
                <w:sz w:val="14"/>
              </w:rPr>
              <w:t>Applicable California minor, custody, privilege, and records law; NASW Code 1.07</w:t>
            </w:r>
          </w:p>
        </w:tc>
      </w:tr>
      <w:tr>
        <w:trPr>
          <w:cantSplit/>
        </w:trPr>
        <w:tc>
          <w:tcPr>
            <w:tcW w:type="dxa" w:w="1742"/>
            <w:vAlign w:val="center"/>
            <w:tcMar>
              <w:top w:w="55" w:type="dxa"/>
              <w:start w:w="65" w:type="dxa"/>
              <w:bottom w:w="55" w:type="dxa"/>
              <w:end w:w="65" w:type="dxa"/>
            </w:tcMar>
            <w:shd w:fill="F2F4F7"/>
          </w:tcPr>
          <w:p>
            <w:pPr>
              <w:spacing w:after="0"/>
            </w:pPr>
            <w:r>
              <w:rPr>
                <w:sz w:val="14"/>
              </w:rPr>
              <w:t>90</w:t>
            </w:r>
          </w:p>
        </w:tc>
        <w:tc>
          <w:tcPr>
            <w:tcW w:type="dxa" w:w="1742"/>
            <w:vAlign w:val="center"/>
            <w:tcMar>
              <w:top w:w="55" w:type="dxa"/>
              <w:start w:w="65" w:type="dxa"/>
              <w:bottom w:w="55" w:type="dxa"/>
              <w:end w:w="65" w:type="dxa"/>
            </w:tcMar>
            <w:shd w:fill="F2F4F7"/>
          </w:tcPr>
          <w:p>
            <w:pPr>
              <w:spacing w:after="0"/>
            </w:pPr>
            <w:r>
              <w:rPr>
                <w:sz w:val="14"/>
              </w:rPr>
              <w:t>Recurring ASW law-and-ethics and renewal responsibilities</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LS Module</w:t>
            </w:r>
          </w:p>
        </w:tc>
        <w:tc>
          <w:tcPr>
            <w:tcW w:type="dxa" w:w="1742"/>
            <w:vAlign w:val="center"/>
            <w:tcMar>
              <w:top w:w="55" w:type="dxa"/>
              <w:start w:w="65" w:type="dxa"/>
              <w:bottom w:w="55" w:type="dxa"/>
              <w:end w:w="65" w:type="dxa"/>
            </w:tcMar>
            <w:shd w:fill="F2F4F7"/>
          </w:tcPr>
          <w:p>
            <w:pPr>
              <w:spacing w:after="0"/>
            </w:pPr>
            <w:r>
              <w:rPr>
                <w:sz w:val="14"/>
              </w:rPr>
              <w:t>RECURRING-ASW-LAW-AND-ETHICS-AND-RENEWAL-RES</w:t>
            </w:r>
          </w:p>
        </w:tc>
        <w:tc>
          <w:tcPr>
            <w:tcW w:type="dxa" w:w="1742"/>
            <w:vAlign w:val="center"/>
            <w:tcMar>
              <w:top w:w="55" w:type="dxa"/>
              <w:start w:w="65" w:type="dxa"/>
              <w:bottom w:w="55" w:type="dxa"/>
              <w:end w:w="65" w:type="dxa"/>
            </w:tcMar>
            <w:shd w:fill="F2F4F7"/>
          </w:tcPr>
          <w:p>
            <w:pPr>
              <w:spacing w:after="0"/>
            </w:pPr>
            <w:r>
              <w:rPr>
                <w:sz w:val="14"/>
              </w:rPr>
              <w:t>BBS Manage License/Registration guidance; applicable BPC and Title 16 provisions</w:t>
            </w:r>
          </w:p>
        </w:tc>
      </w:tr>
      <w:tr>
        <w:trPr>
          <w:cantSplit/>
        </w:trPr>
        <w:tc>
          <w:tcPr>
            <w:tcW w:type="dxa" w:w="1742"/>
            <w:vAlign w:val="center"/>
            <w:tcMar>
              <w:top w:w="55" w:type="dxa"/>
              <w:start w:w="65" w:type="dxa"/>
              <w:bottom w:w="55" w:type="dxa"/>
              <w:end w:w="65" w:type="dxa"/>
            </w:tcMar>
          </w:tcPr>
          <w:p>
            <w:pPr>
              <w:spacing w:after="0"/>
            </w:pPr>
            <w:r>
              <w:rPr>
                <w:sz w:val="14"/>
              </w:rPr>
              <w:t>91</w:t>
            </w:r>
          </w:p>
        </w:tc>
        <w:tc>
          <w:tcPr>
            <w:tcW w:type="dxa" w:w="1742"/>
            <w:vAlign w:val="center"/>
            <w:tcMar>
              <w:top w:w="55" w:type="dxa"/>
              <w:start w:w="65" w:type="dxa"/>
              <w:bottom w:w="55" w:type="dxa"/>
              <w:end w:w="65" w:type="dxa"/>
            </w:tcMar>
          </w:tcPr>
          <w:p>
            <w:pPr>
              <w:spacing w:after="0"/>
            </w:pPr>
            <w:r>
              <w:rPr>
                <w:sz w:val="14"/>
              </w:rPr>
              <w:t>Remote-session privacy in the clinician environment</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REMOTE-SESSION-PRIVACY-IN-THE-CLINICIAN-ENVI</w:t>
            </w:r>
          </w:p>
        </w:tc>
        <w:tc>
          <w:tcPr>
            <w:tcW w:type="dxa" w:w="1742"/>
            <w:vAlign w:val="center"/>
            <w:tcMar>
              <w:top w:w="55" w:type="dxa"/>
              <w:start w:w="65" w:type="dxa"/>
              <w:bottom w:w="55" w:type="dxa"/>
              <w:end w:w="65" w:type="dxa"/>
            </w:tcMar>
          </w:tcPr>
          <w:p>
            <w:pPr>
              <w:spacing w:after="0"/>
            </w:pPr>
            <w:r>
              <w:rPr>
                <w:sz w:val="14"/>
              </w:rPr>
              <w:t>NASW Code 1.07 and 1.15; applicable privacy and telehealth guidance</w:t>
            </w:r>
          </w:p>
        </w:tc>
      </w:tr>
      <w:tr>
        <w:trPr>
          <w:cantSplit/>
        </w:trPr>
        <w:tc>
          <w:tcPr>
            <w:tcW w:type="dxa" w:w="1742"/>
            <w:vAlign w:val="center"/>
            <w:tcMar>
              <w:top w:w="55" w:type="dxa"/>
              <w:start w:w="65" w:type="dxa"/>
              <w:bottom w:w="55" w:type="dxa"/>
              <w:end w:w="65" w:type="dxa"/>
            </w:tcMar>
            <w:shd w:fill="F2F4F7"/>
          </w:tcPr>
          <w:p>
            <w:pPr>
              <w:spacing w:after="0"/>
            </w:pPr>
            <w:r>
              <w:rPr>
                <w:sz w:val="14"/>
              </w:rPr>
              <w:t>92</w:t>
            </w:r>
          </w:p>
        </w:tc>
        <w:tc>
          <w:tcPr>
            <w:tcW w:type="dxa" w:w="1742"/>
            <w:vAlign w:val="center"/>
            <w:tcMar>
              <w:top w:w="55" w:type="dxa"/>
              <w:start w:w="65" w:type="dxa"/>
              <w:bottom w:w="55" w:type="dxa"/>
              <w:end w:w="65" w:type="dxa"/>
            </w:tcMar>
            <w:shd w:fill="F2F4F7"/>
          </w:tcPr>
          <w:p>
            <w:pPr>
              <w:spacing w:after="0"/>
            </w:pPr>
            <w:r>
              <w:rPr>
                <w:sz w:val="14"/>
              </w:rPr>
              <w:t>Client-directed community support</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WB7</w:t>
            </w:r>
          </w:p>
        </w:tc>
        <w:tc>
          <w:tcPr>
            <w:tcW w:type="dxa" w:w="1742"/>
            <w:vAlign w:val="center"/>
            <w:tcMar>
              <w:top w:w="55" w:type="dxa"/>
              <w:start w:w="65" w:type="dxa"/>
              <w:bottom w:w="55" w:type="dxa"/>
              <w:end w:w="65" w:type="dxa"/>
            </w:tcMar>
            <w:shd w:fill="F2F4F7"/>
          </w:tcPr>
          <w:p>
            <w:pPr>
              <w:spacing w:after="0"/>
            </w:pPr>
            <w:r>
              <w:rPr>
                <w:sz w:val="14"/>
              </w:rPr>
              <w:t>CLIENT-DIRECTED-COMMUNITY-SUPPORT</w:t>
            </w:r>
          </w:p>
        </w:tc>
        <w:tc>
          <w:tcPr>
            <w:tcW w:type="dxa" w:w="1742"/>
            <w:vAlign w:val="center"/>
            <w:tcMar>
              <w:top w:w="55" w:type="dxa"/>
              <w:start w:w="65" w:type="dxa"/>
              <w:bottom w:w="55" w:type="dxa"/>
              <w:end w:w="65" w:type="dxa"/>
            </w:tcMar>
            <w:shd w:fill="F2F4F7"/>
          </w:tcPr>
          <w:p>
            <w:pPr>
              <w:spacing w:after="0"/>
            </w:pPr>
            <w:r>
              <w:rPr>
                <w:sz w:val="14"/>
              </w:rPr>
              <w:t>NASW Code 1.02, 1.03, 1.05, and 1.07</w:t>
            </w:r>
          </w:p>
        </w:tc>
      </w:tr>
      <w:tr>
        <w:trPr>
          <w:cantSplit/>
        </w:trPr>
        <w:tc>
          <w:tcPr>
            <w:tcW w:type="dxa" w:w="1742"/>
            <w:vAlign w:val="center"/>
            <w:tcMar>
              <w:top w:w="55" w:type="dxa"/>
              <w:start w:w="65" w:type="dxa"/>
              <w:bottom w:w="55" w:type="dxa"/>
              <w:end w:w="65" w:type="dxa"/>
            </w:tcMar>
          </w:tcPr>
          <w:p>
            <w:pPr>
              <w:spacing w:after="0"/>
            </w:pPr>
            <w:r>
              <w:rPr>
                <w:sz w:val="14"/>
              </w:rPr>
              <w:t>93</w:t>
            </w:r>
          </w:p>
        </w:tc>
        <w:tc>
          <w:tcPr>
            <w:tcW w:type="dxa" w:w="1742"/>
            <w:vAlign w:val="center"/>
            <w:tcMar>
              <w:top w:w="55" w:type="dxa"/>
              <w:start w:w="65" w:type="dxa"/>
              <w:bottom w:w="55" w:type="dxa"/>
              <w:end w:w="65" w:type="dxa"/>
            </w:tcMar>
          </w:tcPr>
          <w:p>
            <w:pPr>
              <w:spacing w:after="0"/>
            </w:pPr>
            <w:r>
              <w:rPr>
                <w:sz w:val="14"/>
              </w:rPr>
              <w:t>Organizational policy conflicting with professional role</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WB3</w:t>
            </w:r>
          </w:p>
        </w:tc>
        <w:tc>
          <w:tcPr>
            <w:tcW w:type="dxa" w:w="1742"/>
            <w:vAlign w:val="center"/>
            <w:tcMar>
              <w:top w:w="55" w:type="dxa"/>
              <w:start w:w="65" w:type="dxa"/>
              <w:bottom w:w="55" w:type="dxa"/>
              <w:end w:w="65" w:type="dxa"/>
            </w:tcMar>
          </w:tcPr>
          <w:p>
            <w:pPr>
              <w:spacing w:after="0"/>
            </w:pPr>
            <w:r>
              <w:rPr>
                <w:sz w:val="14"/>
              </w:rPr>
              <w:t>ORGANIZATIONAL-POLICY-CONFLICTING-WITH-PROFE</w:t>
            </w:r>
          </w:p>
        </w:tc>
        <w:tc>
          <w:tcPr>
            <w:tcW w:type="dxa" w:w="1742"/>
            <w:vAlign w:val="center"/>
            <w:tcMar>
              <w:top w:w="55" w:type="dxa"/>
              <w:start w:w="65" w:type="dxa"/>
              <w:bottom w:w="55" w:type="dxa"/>
              <w:end w:w="65" w:type="dxa"/>
            </w:tcMar>
          </w:tcPr>
          <w:p>
            <w:pPr>
              <w:spacing w:after="0"/>
            </w:pPr>
            <w:r>
              <w:rPr>
                <w:sz w:val="14"/>
              </w:rPr>
              <w:t>NASW Code 3.07 and 3.09; applicable California law</w:t>
            </w:r>
          </w:p>
        </w:tc>
      </w:tr>
      <w:tr>
        <w:trPr>
          <w:cantSplit/>
        </w:trPr>
        <w:tc>
          <w:tcPr>
            <w:tcW w:type="dxa" w:w="1742"/>
            <w:vAlign w:val="center"/>
            <w:tcMar>
              <w:top w:w="55" w:type="dxa"/>
              <w:start w:w="65" w:type="dxa"/>
              <w:bottom w:w="55" w:type="dxa"/>
              <w:end w:w="65" w:type="dxa"/>
            </w:tcMar>
            <w:shd w:fill="F2F4F7"/>
          </w:tcPr>
          <w:p>
            <w:pPr>
              <w:spacing w:after="0"/>
            </w:pPr>
            <w:r>
              <w:rPr>
                <w:sz w:val="14"/>
              </w:rPr>
              <w:t>94</w:t>
            </w:r>
          </w:p>
        </w:tc>
        <w:tc>
          <w:tcPr>
            <w:tcW w:type="dxa" w:w="1742"/>
            <w:vAlign w:val="center"/>
            <w:tcMar>
              <w:top w:w="55" w:type="dxa"/>
              <w:start w:w="65" w:type="dxa"/>
              <w:bottom w:w="55" w:type="dxa"/>
              <w:end w:w="65" w:type="dxa"/>
            </w:tcMar>
            <w:shd w:fill="F2F4F7"/>
          </w:tcPr>
          <w:p>
            <w:pPr>
              <w:spacing w:after="0"/>
            </w:pPr>
            <w:r>
              <w:rPr>
                <w:sz w:val="14"/>
              </w:rPr>
              <w:t>Emergency contact does not create routine access</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WB8</w:t>
            </w:r>
          </w:p>
        </w:tc>
        <w:tc>
          <w:tcPr>
            <w:tcW w:type="dxa" w:w="1742"/>
            <w:vAlign w:val="center"/>
            <w:tcMar>
              <w:top w:w="55" w:type="dxa"/>
              <w:start w:w="65" w:type="dxa"/>
              <w:bottom w:w="55" w:type="dxa"/>
              <w:end w:w="65" w:type="dxa"/>
            </w:tcMar>
            <w:shd w:fill="F2F4F7"/>
          </w:tcPr>
          <w:p>
            <w:pPr>
              <w:spacing w:after="0"/>
            </w:pPr>
            <w:r>
              <w:rPr>
                <w:sz w:val="14"/>
              </w:rPr>
              <w:t>EMERGENCY-CONTACT-DOES-NOT-CREATE-ROUTINE-AC</w:t>
            </w:r>
          </w:p>
        </w:tc>
        <w:tc>
          <w:tcPr>
            <w:tcW w:type="dxa" w:w="1742"/>
            <w:vAlign w:val="center"/>
            <w:tcMar>
              <w:top w:w="55" w:type="dxa"/>
              <w:start w:w="65" w:type="dxa"/>
              <w:bottom w:w="55" w:type="dxa"/>
              <w:end w:w="65" w:type="dxa"/>
            </w:tcMar>
            <w:shd w:fill="F2F4F7"/>
          </w:tcPr>
          <w:p>
            <w:pPr>
              <w:spacing w:after="0"/>
            </w:pPr>
            <w:r>
              <w:rPr>
                <w:sz w:val="14"/>
              </w:rPr>
              <w:t>California confidentiality law; NASW Code 1.03 and 1.07</w:t>
            </w:r>
          </w:p>
        </w:tc>
      </w:tr>
      <w:tr>
        <w:trPr>
          <w:cantSplit/>
        </w:trPr>
        <w:tc>
          <w:tcPr>
            <w:tcW w:type="dxa" w:w="1742"/>
            <w:vAlign w:val="center"/>
            <w:tcMar>
              <w:top w:w="55" w:type="dxa"/>
              <w:start w:w="65" w:type="dxa"/>
              <w:bottom w:w="55" w:type="dxa"/>
              <w:end w:w="65" w:type="dxa"/>
            </w:tcMar>
          </w:tcPr>
          <w:p>
            <w:pPr>
              <w:spacing w:after="0"/>
            </w:pPr>
            <w:r>
              <w:rPr>
                <w:sz w:val="14"/>
              </w:rPr>
              <w:t>95</w:t>
            </w:r>
          </w:p>
        </w:tc>
        <w:tc>
          <w:tcPr>
            <w:tcW w:type="dxa" w:w="1742"/>
            <w:vAlign w:val="center"/>
            <w:tcMar>
              <w:top w:w="55" w:type="dxa"/>
              <w:start w:w="65" w:type="dxa"/>
              <w:bottom w:w="55" w:type="dxa"/>
              <w:end w:w="65" w:type="dxa"/>
            </w:tcMar>
          </w:tcPr>
          <w:p>
            <w:pPr>
              <w:spacing w:after="0"/>
            </w:pPr>
            <w:r>
              <w:rPr>
                <w:sz w:val="14"/>
              </w:rPr>
              <w:t>Domestic violence disclosure without automatic universal reporting</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WB5</w:t>
            </w:r>
          </w:p>
        </w:tc>
        <w:tc>
          <w:tcPr>
            <w:tcW w:type="dxa" w:w="1742"/>
            <w:vAlign w:val="center"/>
            <w:tcMar>
              <w:top w:w="55" w:type="dxa"/>
              <w:start w:w="65" w:type="dxa"/>
              <w:bottom w:w="55" w:type="dxa"/>
              <w:end w:w="65" w:type="dxa"/>
            </w:tcMar>
          </w:tcPr>
          <w:p>
            <w:pPr>
              <w:spacing w:after="0"/>
            </w:pPr>
            <w:r>
              <w:rPr>
                <w:sz w:val="14"/>
              </w:rPr>
              <w:t>DOMESTIC-VIOLENCE-DISCLOSURE-WITHOUT-AUTOMAT</w:t>
            </w:r>
          </w:p>
        </w:tc>
        <w:tc>
          <w:tcPr>
            <w:tcW w:type="dxa" w:w="1742"/>
            <w:vAlign w:val="center"/>
            <w:tcMar>
              <w:top w:w="55" w:type="dxa"/>
              <w:start w:w="65" w:type="dxa"/>
              <w:bottom w:w="55" w:type="dxa"/>
              <w:end w:w="65" w:type="dxa"/>
            </w:tcMar>
          </w:tcPr>
          <w:p>
            <w:pPr>
              <w:spacing w:after="0"/>
            </w:pPr>
            <w:r>
              <w:rPr>
                <w:sz w:val="14"/>
              </w:rPr>
              <w:t>Applicable California reporting law; NASW Code 1.01, 1.02, and 1.07</w:t>
            </w:r>
          </w:p>
        </w:tc>
      </w:tr>
      <w:tr>
        <w:trPr>
          <w:cantSplit/>
        </w:trPr>
        <w:tc>
          <w:tcPr>
            <w:tcW w:type="dxa" w:w="1742"/>
            <w:vAlign w:val="center"/>
            <w:tcMar>
              <w:top w:w="55" w:type="dxa"/>
              <w:start w:w="65" w:type="dxa"/>
              <w:bottom w:w="55" w:type="dxa"/>
              <w:end w:w="65" w:type="dxa"/>
            </w:tcMar>
            <w:shd w:fill="F2F4F7"/>
          </w:tcPr>
          <w:p>
            <w:pPr>
              <w:spacing w:after="0"/>
            </w:pPr>
            <w:r>
              <w:rPr>
                <w:sz w:val="14"/>
              </w:rPr>
              <w:t>96</w:t>
            </w:r>
          </w:p>
        </w:tc>
        <w:tc>
          <w:tcPr>
            <w:tcW w:type="dxa" w:w="1742"/>
            <w:vAlign w:val="center"/>
            <w:tcMar>
              <w:top w:w="55" w:type="dxa"/>
              <w:start w:w="65" w:type="dxa"/>
              <w:bottom w:w="55" w:type="dxa"/>
              <w:end w:w="65" w:type="dxa"/>
            </w:tcMar>
            <w:shd w:fill="F2F4F7"/>
          </w:tcPr>
          <w:p>
            <w:pPr>
              <w:spacing w:after="0"/>
            </w:pPr>
            <w:r>
              <w:rPr>
                <w:sz w:val="14"/>
              </w:rPr>
              <w:t>Burnout and biased decision-making</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WB4</w:t>
            </w:r>
          </w:p>
        </w:tc>
        <w:tc>
          <w:tcPr>
            <w:tcW w:type="dxa" w:w="1742"/>
            <w:vAlign w:val="center"/>
            <w:tcMar>
              <w:top w:w="55" w:type="dxa"/>
              <w:start w:w="65" w:type="dxa"/>
              <w:bottom w:w="55" w:type="dxa"/>
              <w:end w:w="65" w:type="dxa"/>
            </w:tcMar>
            <w:shd w:fill="F2F4F7"/>
          </w:tcPr>
          <w:p>
            <w:pPr>
              <w:spacing w:after="0"/>
            </w:pPr>
            <w:r>
              <w:rPr>
                <w:sz w:val="14"/>
              </w:rPr>
              <w:t>BURNOUT-AND-BIASED-DECISION-MAKING</w:t>
            </w:r>
          </w:p>
        </w:tc>
        <w:tc>
          <w:tcPr>
            <w:tcW w:type="dxa" w:w="1742"/>
            <w:vAlign w:val="center"/>
            <w:tcMar>
              <w:top w:w="55" w:type="dxa"/>
              <w:start w:w="65" w:type="dxa"/>
              <w:bottom w:w="55" w:type="dxa"/>
              <w:end w:w="65" w:type="dxa"/>
            </w:tcMar>
            <w:shd w:fill="F2F4F7"/>
          </w:tcPr>
          <w:p>
            <w:pPr>
              <w:spacing w:after="0"/>
            </w:pPr>
            <w:r>
              <w:rPr>
                <w:sz w:val="14"/>
              </w:rPr>
              <w:t>NASW Code 4.05 and 4.02</w:t>
            </w:r>
          </w:p>
        </w:tc>
      </w:tr>
      <w:tr>
        <w:trPr>
          <w:cantSplit/>
        </w:trPr>
        <w:tc>
          <w:tcPr>
            <w:tcW w:type="dxa" w:w="1742"/>
            <w:vAlign w:val="center"/>
            <w:tcMar>
              <w:top w:w="55" w:type="dxa"/>
              <w:start w:w="65" w:type="dxa"/>
              <w:bottom w:w="55" w:type="dxa"/>
              <w:end w:w="65" w:type="dxa"/>
            </w:tcMar>
          </w:tcPr>
          <w:p>
            <w:pPr>
              <w:spacing w:after="0"/>
            </w:pPr>
            <w:r>
              <w:rPr>
                <w:sz w:val="14"/>
              </w:rPr>
              <w:t>97</w:t>
            </w:r>
          </w:p>
        </w:tc>
        <w:tc>
          <w:tcPr>
            <w:tcW w:type="dxa" w:w="1742"/>
            <w:vAlign w:val="center"/>
            <w:tcMar>
              <w:top w:w="55" w:type="dxa"/>
              <w:start w:w="65" w:type="dxa"/>
              <w:bottom w:w="55" w:type="dxa"/>
              <w:end w:w="65" w:type="dxa"/>
            </w:tcMar>
          </w:tcPr>
          <w:p>
            <w:pPr>
              <w:spacing w:after="0"/>
            </w:pPr>
            <w:r>
              <w:rPr>
                <w:sz w:val="14"/>
              </w:rPr>
              <w:t>Advocacy consistent with client goals</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WB7</w:t>
            </w:r>
          </w:p>
        </w:tc>
        <w:tc>
          <w:tcPr>
            <w:tcW w:type="dxa" w:w="1742"/>
            <w:vAlign w:val="center"/>
            <w:tcMar>
              <w:top w:w="55" w:type="dxa"/>
              <w:start w:w="65" w:type="dxa"/>
              <w:bottom w:w="55" w:type="dxa"/>
              <w:end w:w="65" w:type="dxa"/>
            </w:tcMar>
          </w:tcPr>
          <w:p>
            <w:pPr>
              <w:spacing w:after="0"/>
            </w:pPr>
            <w:r>
              <w:rPr>
                <w:sz w:val="14"/>
              </w:rPr>
              <w:t>ADVOCACY-CONSISTENT-WITH-CLIENT-GOALS</w:t>
            </w:r>
          </w:p>
        </w:tc>
        <w:tc>
          <w:tcPr>
            <w:tcW w:type="dxa" w:w="1742"/>
            <w:vAlign w:val="center"/>
            <w:tcMar>
              <w:top w:w="55" w:type="dxa"/>
              <w:start w:w="65" w:type="dxa"/>
              <w:bottom w:w="55" w:type="dxa"/>
              <w:end w:w="65" w:type="dxa"/>
            </w:tcMar>
          </w:tcPr>
          <w:p>
            <w:pPr>
              <w:spacing w:after="0"/>
            </w:pPr>
            <w:r>
              <w:rPr>
                <w:sz w:val="14"/>
              </w:rPr>
              <w:t>NASW Code 1.02, 1.07, 6.01, and 6.04</w:t>
            </w:r>
          </w:p>
        </w:tc>
      </w:tr>
      <w:tr>
        <w:trPr>
          <w:cantSplit/>
        </w:trPr>
        <w:tc>
          <w:tcPr>
            <w:tcW w:type="dxa" w:w="1742"/>
            <w:vAlign w:val="center"/>
            <w:tcMar>
              <w:top w:w="55" w:type="dxa"/>
              <w:start w:w="65" w:type="dxa"/>
              <w:bottom w:w="55" w:type="dxa"/>
              <w:end w:w="65" w:type="dxa"/>
            </w:tcMar>
            <w:shd w:fill="F2F4F7"/>
          </w:tcPr>
          <w:p>
            <w:pPr>
              <w:spacing w:after="0"/>
            </w:pPr>
            <w:r>
              <w:rPr>
                <w:sz w:val="14"/>
              </w:rPr>
              <w:t>98</w:t>
            </w:r>
          </w:p>
        </w:tc>
        <w:tc>
          <w:tcPr>
            <w:tcW w:type="dxa" w:w="1742"/>
            <w:vAlign w:val="center"/>
            <w:tcMar>
              <w:top w:w="55" w:type="dxa"/>
              <w:start w:w="65" w:type="dxa"/>
              <w:bottom w:w="55" w:type="dxa"/>
              <w:end w:w="65" w:type="dxa"/>
            </w:tcMar>
            <w:shd w:fill="F2F4F7"/>
          </w:tcPr>
          <w:p>
            <w:pPr>
              <w:spacing w:after="0"/>
            </w:pPr>
            <w:r>
              <w:rPr>
                <w:sz w:val="14"/>
              </w:rPr>
              <w:t>Competence through consultation rather than identity matching</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WB7</w:t>
            </w:r>
          </w:p>
        </w:tc>
        <w:tc>
          <w:tcPr>
            <w:tcW w:type="dxa" w:w="1742"/>
            <w:vAlign w:val="center"/>
            <w:tcMar>
              <w:top w:w="55" w:type="dxa"/>
              <w:start w:w="65" w:type="dxa"/>
              <w:bottom w:w="55" w:type="dxa"/>
              <w:end w:w="65" w:type="dxa"/>
            </w:tcMar>
            <w:shd w:fill="F2F4F7"/>
          </w:tcPr>
          <w:p>
            <w:pPr>
              <w:spacing w:after="0"/>
            </w:pPr>
            <w:r>
              <w:rPr>
                <w:sz w:val="14"/>
              </w:rPr>
              <w:t>COMPETENCE-THROUGH-CONSULTATION-RATHER-THAN-</w:t>
            </w:r>
          </w:p>
        </w:tc>
        <w:tc>
          <w:tcPr>
            <w:tcW w:type="dxa" w:w="1742"/>
            <w:vAlign w:val="center"/>
            <w:tcMar>
              <w:top w:w="55" w:type="dxa"/>
              <w:start w:w="65" w:type="dxa"/>
              <w:bottom w:w="55" w:type="dxa"/>
              <w:end w:w="65" w:type="dxa"/>
            </w:tcMar>
            <w:shd w:fill="F2F4F7"/>
          </w:tcPr>
          <w:p>
            <w:pPr>
              <w:spacing w:after="0"/>
            </w:pPr>
            <w:r>
              <w:rPr>
                <w:sz w:val="14"/>
              </w:rPr>
              <w:t>NASW Code 1.04, 1.05, and 2.05</w:t>
            </w:r>
          </w:p>
        </w:tc>
      </w:tr>
      <w:tr>
        <w:trPr>
          <w:cantSplit/>
        </w:trPr>
        <w:tc>
          <w:tcPr>
            <w:tcW w:type="dxa" w:w="1742"/>
            <w:vAlign w:val="center"/>
            <w:tcMar>
              <w:top w:w="55" w:type="dxa"/>
              <w:start w:w="65" w:type="dxa"/>
              <w:bottom w:w="55" w:type="dxa"/>
              <w:end w:w="65" w:type="dxa"/>
            </w:tcMar>
          </w:tcPr>
          <w:p>
            <w:pPr>
              <w:spacing w:after="0"/>
            </w:pPr>
            <w:r>
              <w:rPr>
                <w:sz w:val="14"/>
              </w:rPr>
              <w:t>99</w:t>
            </w:r>
          </w:p>
        </w:tc>
        <w:tc>
          <w:tcPr>
            <w:tcW w:type="dxa" w:w="1742"/>
            <w:vAlign w:val="center"/>
            <w:tcMar>
              <w:top w:w="55" w:type="dxa"/>
              <w:start w:w="65" w:type="dxa"/>
              <w:bottom w:w="55" w:type="dxa"/>
              <w:end w:w="65" w:type="dxa"/>
            </w:tcMar>
          </w:tcPr>
          <w:p>
            <w:pPr>
              <w:spacing w:after="0"/>
            </w:pPr>
            <w:r>
              <w:rPr>
                <w:sz w:val="14"/>
              </w:rPr>
              <w:t>Minimum necessary client-centered information sharing</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WB8</w:t>
            </w:r>
          </w:p>
        </w:tc>
        <w:tc>
          <w:tcPr>
            <w:tcW w:type="dxa" w:w="1742"/>
            <w:vAlign w:val="center"/>
            <w:tcMar>
              <w:top w:w="55" w:type="dxa"/>
              <w:start w:w="65" w:type="dxa"/>
              <w:bottom w:w="55" w:type="dxa"/>
              <w:end w:w="65" w:type="dxa"/>
            </w:tcMar>
          </w:tcPr>
          <w:p>
            <w:pPr>
              <w:spacing w:after="0"/>
            </w:pPr>
            <w:r>
              <w:rPr>
                <w:sz w:val="14"/>
              </w:rPr>
              <w:t>MINIMUM-NECESSARY-CLIENT-CENTERED-INFORMATIO</w:t>
            </w:r>
          </w:p>
        </w:tc>
        <w:tc>
          <w:tcPr>
            <w:tcW w:type="dxa" w:w="1742"/>
            <w:vAlign w:val="center"/>
            <w:tcMar>
              <w:top w:w="55" w:type="dxa"/>
              <w:start w:w="65" w:type="dxa"/>
              <w:bottom w:w="55" w:type="dxa"/>
              <w:end w:w="65" w:type="dxa"/>
            </w:tcMar>
          </w:tcPr>
          <w:p>
            <w:pPr>
              <w:spacing w:after="0"/>
            </w:pPr>
            <w:r>
              <w:rPr>
                <w:sz w:val="14"/>
              </w:rPr>
              <w:t>NASW Code 1.07; applicable California confidentiality law</w:t>
            </w:r>
          </w:p>
        </w:tc>
      </w:tr>
      <w:tr>
        <w:trPr>
          <w:cantSplit/>
        </w:trPr>
        <w:tc>
          <w:tcPr>
            <w:tcW w:type="dxa" w:w="1742"/>
            <w:vAlign w:val="center"/>
            <w:tcMar>
              <w:top w:w="55" w:type="dxa"/>
              <w:start w:w="65" w:type="dxa"/>
              <w:bottom w:w="55" w:type="dxa"/>
              <w:end w:w="65" w:type="dxa"/>
            </w:tcMar>
            <w:shd w:fill="F2F4F7"/>
          </w:tcPr>
          <w:p>
            <w:pPr>
              <w:spacing w:after="0"/>
            </w:pPr>
            <w:r>
              <w:rPr>
                <w:sz w:val="14"/>
              </w:rPr>
              <w:t>100</w:t>
            </w:r>
          </w:p>
        </w:tc>
        <w:tc>
          <w:tcPr>
            <w:tcW w:type="dxa" w:w="1742"/>
            <w:vAlign w:val="center"/>
            <w:tcMar>
              <w:top w:w="55" w:type="dxa"/>
              <w:start w:w="65" w:type="dxa"/>
              <w:bottom w:w="55" w:type="dxa"/>
              <w:end w:w="65" w:type="dxa"/>
            </w:tcMar>
            <w:shd w:fill="F2F4F7"/>
          </w:tcPr>
          <w:p>
            <w:pPr>
              <w:spacing w:after="0"/>
            </w:pPr>
            <w:r>
              <w:rPr>
                <w:sz w:val="14"/>
              </w:rPr>
              <w:t>Supervisor competence for specialized ASW services</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LS Module</w:t>
            </w:r>
          </w:p>
        </w:tc>
        <w:tc>
          <w:tcPr>
            <w:tcW w:type="dxa" w:w="1742"/>
            <w:vAlign w:val="center"/>
            <w:tcMar>
              <w:top w:w="55" w:type="dxa"/>
              <w:start w:w="65" w:type="dxa"/>
              <w:bottom w:w="55" w:type="dxa"/>
              <w:end w:w="65" w:type="dxa"/>
            </w:tcMar>
            <w:shd w:fill="F2F4F7"/>
          </w:tcPr>
          <w:p>
            <w:pPr>
              <w:spacing w:after="0"/>
            </w:pPr>
            <w:r>
              <w:rPr>
                <w:sz w:val="14"/>
              </w:rPr>
              <w:t>SUPERVISOR-COMPETENCE-FOR-SPECIALIZED-ASW-SE</w:t>
            </w:r>
          </w:p>
        </w:tc>
        <w:tc>
          <w:tcPr>
            <w:tcW w:type="dxa" w:w="1742"/>
            <w:vAlign w:val="center"/>
            <w:tcMar>
              <w:top w:w="55" w:type="dxa"/>
              <w:start w:w="65" w:type="dxa"/>
              <w:bottom w:w="55" w:type="dxa"/>
              <w:end w:w="65" w:type="dxa"/>
            </w:tcMar>
            <w:shd w:fill="F2F4F7"/>
          </w:tcPr>
          <w:p>
            <w:pPr>
              <w:spacing w:after="0"/>
            </w:pPr>
            <w:r>
              <w:rPr>
                <w:sz w:val="14"/>
              </w:rPr>
              <w:t>BBS supervisor qualifications and supervision agreement; NASW Code 3.01</w:t>
            </w:r>
          </w:p>
        </w:tc>
      </w:tr>
    </w:tbl>
    <w:p>
      <w:pPr>
        <w:pStyle w:val="Heading1"/>
      </w:pPr>
      <w:r>
        <w:t>Official Source-Control Register</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5227"/>
            <w:shd w:fill="17365D"/>
            <w:tcMar>
              <w:top w:w="55" w:type="dxa"/>
              <w:start w:w="65" w:type="dxa"/>
              <w:bottom w:w="55" w:type="dxa"/>
              <w:end w:w="65" w:type="dxa"/>
            </w:tcMar>
            <w:vAlign w:val="center"/>
          </w:tcPr>
          <w:p>
            <w:pPr>
              <w:spacing w:after="0"/>
            </w:pPr>
            <w:r>
              <w:rPr>
                <w:sz w:val="15"/>
              </w:rPr>
            </w:r>
            <w:r>
              <w:rPr>
                <w:b/>
                <w:color w:val="FFFFFF"/>
                <w:sz w:val="15"/>
              </w:rPr>
              <w:t>Code</w:t>
            </w:r>
          </w:p>
        </w:tc>
        <w:tc>
          <w:tcPr>
            <w:tcW w:type="dxa" w:w="5227"/>
            <w:shd w:fill="17365D"/>
            <w:tcMar>
              <w:top w:w="55" w:type="dxa"/>
              <w:start w:w="65" w:type="dxa"/>
              <w:bottom w:w="55" w:type="dxa"/>
              <w:end w:w="65" w:type="dxa"/>
            </w:tcMar>
            <w:vAlign w:val="center"/>
          </w:tcPr>
          <w:p>
            <w:pPr>
              <w:spacing w:after="0"/>
            </w:pPr>
            <w:r>
              <w:rPr>
                <w:sz w:val="15"/>
              </w:rPr>
            </w:r>
            <w:r>
              <w:rPr>
                <w:b/>
                <w:color w:val="FFFFFF"/>
                <w:sz w:val="15"/>
              </w:rPr>
              <w:t>Controlling source family</w:t>
            </w:r>
          </w:p>
        </w:tc>
      </w:tr>
      <w:tr>
        <w:trPr>
          <w:cantSplit/>
        </w:trPr>
        <w:tc>
          <w:tcPr>
            <w:tcW w:type="dxa" w:w="5227"/>
            <w:vAlign w:val="center"/>
            <w:tcMar>
              <w:top w:w="55" w:type="dxa"/>
              <w:start w:w="65" w:type="dxa"/>
              <w:bottom w:w="55" w:type="dxa"/>
              <w:end w:w="65" w:type="dxa"/>
            </w:tcMar>
          </w:tcPr>
          <w:p>
            <w:pPr>
              <w:spacing w:after="0"/>
            </w:pPr>
            <w:r>
              <w:rPr>
                <w:sz w:val="15"/>
              </w:rPr>
              <w:t>BBS-LAWS-2026</w:t>
            </w:r>
          </w:p>
        </w:tc>
        <w:tc>
          <w:tcPr>
            <w:tcW w:type="dxa" w:w="5227"/>
            <w:vAlign w:val="center"/>
            <w:tcMar>
              <w:top w:w="55" w:type="dxa"/>
              <w:start w:w="65" w:type="dxa"/>
              <w:bottom w:w="55" w:type="dxa"/>
              <w:end w:w="65" w:type="dxa"/>
            </w:tcMar>
          </w:tcPr>
          <w:p>
            <w:pPr>
              <w:spacing w:after="0"/>
            </w:pPr>
            <w:r>
              <w:rPr>
                <w:sz w:val="15"/>
              </w:rPr>
              <w:t>California Board of Behavioral Sciences, Statutes and Regulations relating to clinical social work, issued January 2026; later effective and post-January changes require separate Law Changes review.</w:t>
            </w:r>
          </w:p>
        </w:tc>
      </w:tr>
      <w:tr>
        <w:trPr>
          <w:cantSplit/>
        </w:trPr>
        <w:tc>
          <w:tcPr>
            <w:tcW w:type="dxa" w:w="5227"/>
            <w:vAlign w:val="center"/>
            <w:tcMar>
              <w:top w:w="55" w:type="dxa"/>
              <w:start w:w="65" w:type="dxa"/>
              <w:bottom w:w="55" w:type="dxa"/>
              <w:end w:w="65" w:type="dxa"/>
            </w:tcMar>
            <w:shd w:fill="F2F4F7"/>
          </w:tcPr>
          <w:p>
            <w:pPr>
              <w:spacing w:after="0"/>
            </w:pPr>
            <w:r>
              <w:rPr>
                <w:sz w:val="15"/>
              </w:rPr>
              <w:t>BBS-ADVERTISING-2026</w:t>
            </w:r>
          </w:p>
        </w:tc>
        <w:tc>
          <w:tcPr>
            <w:tcW w:type="dxa" w:w="5227"/>
            <w:vAlign w:val="center"/>
            <w:tcMar>
              <w:top w:w="55" w:type="dxa"/>
              <w:start w:w="65" w:type="dxa"/>
              <w:bottom w:w="55" w:type="dxa"/>
              <w:end w:w="65" w:type="dxa"/>
            </w:tcMar>
            <w:shd w:fill="F2F4F7"/>
          </w:tcPr>
          <w:p>
            <w:pPr>
              <w:spacing w:after="0"/>
            </w:pPr>
            <w:r>
              <w:rPr>
                <w:sz w:val="15"/>
              </w:rPr>
              <w:t>BBS advertising and title/status materials effective in 2026, including the April 1, 2026 associate-advertising requirements.</w:t>
            </w:r>
          </w:p>
        </w:tc>
      </w:tr>
      <w:tr>
        <w:trPr>
          <w:cantSplit/>
        </w:trPr>
        <w:tc>
          <w:tcPr>
            <w:tcW w:type="dxa" w:w="5227"/>
            <w:vAlign w:val="center"/>
            <w:tcMar>
              <w:top w:w="55" w:type="dxa"/>
              <w:start w:w="65" w:type="dxa"/>
              <w:bottom w:w="55" w:type="dxa"/>
              <w:end w:w="65" w:type="dxa"/>
            </w:tcMar>
          </w:tcPr>
          <w:p>
            <w:pPr>
              <w:spacing w:after="0"/>
            </w:pPr>
            <w:r>
              <w:rPr>
                <w:sz w:val="15"/>
              </w:rPr>
              <w:t>BBS-SUPERVISION</w:t>
            </w:r>
          </w:p>
        </w:tc>
        <w:tc>
          <w:tcPr>
            <w:tcW w:type="dxa" w:w="5227"/>
            <w:vAlign w:val="center"/>
            <w:tcMar>
              <w:top w:w="55" w:type="dxa"/>
              <w:start w:w="65" w:type="dxa"/>
              <w:bottom w:w="55" w:type="dxa"/>
              <w:end w:w="65" w:type="dxa"/>
            </w:tcMar>
          </w:tcPr>
          <w:p>
            <w:pPr>
              <w:spacing w:after="0"/>
            </w:pPr>
            <w:r>
              <w:rPr>
                <w:sz w:val="15"/>
              </w:rPr>
              <w:t>BBS ASW supervision statutes, Supervisor Information, FAQs, and Supervision Agreement revised May 2026.</w:t>
            </w:r>
          </w:p>
        </w:tc>
      </w:tr>
      <w:tr>
        <w:trPr>
          <w:cantSplit/>
        </w:trPr>
        <w:tc>
          <w:tcPr>
            <w:tcW w:type="dxa" w:w="5227"/>
            <w:vAlign w:val="center"/>
            <w:tcMar>
              <w:top w:w="55" w:type="dxa"/>
              <w:start w:w="65" w:type="dxa"/>
              <w:bottom w:w="55" w:type="dxa"/>
              <w:end w:w="65" w:type="dxa"/>
            </w:tcMar>
            <w:shd w:fill="F2F4F7"/>
          </w:tcPr>
          <w:p>
            <w:pPr>
              <w:spacing w:after="0"/>
            </w:pPr>
            <w:r>
              <w:rPr>
                <w:sz w:val="15"/>
              </w:rPr>
              <w:t>CA-RECORDS</w:t>
            </w:r>
          </w:p>
        </w:tc>
        <w:tc>
          <w:tcPr>
            <w:tcW w:type="dxa" w:w="5227"/>
            <w:vAlign w:val="center"/>
            <w:tcMar>
              <w:top w:w="55" w:type="dxa"/>
              <w:start w:w="65" w:type="dxa"/>
              <w:bottom w:w="55" w:type="dxa"/>
              <w:end w:w="65" w:type="dxa"/>
            </w:tcMar>
            <w:shd w:fill="F2F4F7"/>
          </w:tcPr>
          <w:p>
            <w:pPr>
              <w:spacing w:after="0"/>
            </w:pPr>
            <w:r>
              <w:rPr>
                <w:sz w:val="15"/>
              </w:rPr>
              <w:t>California patient-access, confidentiality, authorization, privilege, record-integrity, and legal-process law applicable to the facts.</w:t>
            </w:r>
          </w:p>
        </w:tc>
      </w:tr>
      <w:tr>
        <w:trPr>
          <w:cantSplit/>
        </w:trPr>
        <w:tc>
          <w:tcPr>
            <w:tcW w:type="dxa" w:w="5227"/>
            <w:vAlign w:val="center"/>
            <w:tcMar>
              <w:top w:w="55" w:type="dxa"/>
              <w:start w:w="65" w:type="dxa"/>
              <w:bottom w:w="55" w:type="dxa"/>
              <w:end w:w="65" w:type="dxa"/>
            </w:tcMar>
          </w:tcPr>
          <w:p>
            <w:pPr>
              <w:spacing w:after="0"/>
            </w:pPr>
            <w:r>
              <w:rPr>
                <w:sz w:val="15"/>
              </w:rPr>
              <w:t>CA-SAFETY</w:t>
            </w:r>
          </w:p>
        </w:tc>
        <w:tc>
          <w:tcPr>
            <w:tcW w:type="dxa" w:w="5227"/>
            <w:vAlign w:val="center"/>
            <w:tcMar>
              <w:top w:w="55" w:type="dxa"/>
              <w:start w:w="65" w:type="dxa"/>
              <w:bottom w:w="55" w:type="dxa"/>
              <w:end w:w="65" w:type="dxa"/>
            </w:tcMar>
          </w:tcPr>
          <w:p>
            <w:pPr>
              <w:spacing w:after="0"/>
            </w:pPr>
            <w:r>
              <w:rPr>
                <w:sz w:val="15"/>
              </w:rPr>
              <w:t>California serious-threat, emergency, mandated-action, and minimum-disclosure authority applicable to the facts.</w:t>
            </w:r>
          </w:p>
        </w:tc>
      </w:tr>
      <w:tr>
        <w:trPr>
          <w:cantSplit/>
        </w:trPr>
        <w:tc>
          <w:tcPr>
            <w:tcW w:type="dxa" w:w="5227"/>
            <w:vAlign w:val="center"/>
            <w:tcMar>
              <w:top w:w="55" w:type="dxa"/>
              <w:start w:w="65" w:type="dxa"/>
              <w:bottom w:w="55" w:type="dxa"/>
              <w:end w:w="65" w:type="dxa"/>
            </w:tcMar>
            <w:shd w:fill="F2F4F7"/>
          </w:tcPr>
          <w:p>
            <w:pPr>
              <w:spacing w:after="0"/>
            </w:pPr>
            <w:r>
              <w:rPr>
                <w:sz w:val="15"/>
              </w:rPr>
              <w:t>CA-PRIVACY-TECH</w:t>
            </w:r>
          </w:p>
        </w:tc>
        <w:tc>
          <w:tcPr>
            <w:tcW w:type="dxa" w:w="5227"/>
            <w:vAlign w:val="center"/>
            <w:tcMar>
              <w:top w:w="55" w:type="dxa"/>
              <w:start w:w="65" w:type="dxa"/>
              <w:bottom w:w="55" w:type="dxa"/>
              <w:end w:w="65" w:type="dxa"/>
            </w:tcMar>
            <w:shd w:fill="F2F4F7"/>
          </w:tcPr>
          <w:p>
            <w:pPr>
              <w:spacing w:after="0"/>
            </w:pPr>
            <w:r>
              <w:rPr>
                <w:sz w:val="15"/>
              </w:rPr>
              <w:t>Applicable California privacy, telehealth, electronic-communication, breach, accessibility, and organizational security requirements.</w:t>
            </w:r>
          </w:p>
        </w:tc>
      </w:tr>
      <w:tr>
        <w:trPr>
          <w:cantSplit/>
        </w:trPr>
        <w:tc>
          <w:tcPr>
            <w:tcW w:type="dxa" w:w="5227"/>
            <w:vAlign w:val="center"/>
            <w:tcMar>
              <w:top w:w="55" w:type="dxa"/>
              <w:start w:w="65" w:type="dxa"/>
              <w:bottom w:w="55" w:type="dxa"/>
              <w:end w:w="65" w:type="dxa"/>
            </w:tcMar>
          </w:tcPr>
          <w:p>
            <w:pPr>
              <w:spacing w:after="0"/>
            </w:pPr>
            <w:r>
              <w:rPr>
                <w:sz w:val="15"/>
              </w:rPr>
              <w:t>FEDERAL-OVERLAYS</w:t>
            </w:r>
          </w:p>
        </w:tc>
        <w:tc>
          <w:tcPr>
            <w:tcW w:type="dxa" w:w="5227"/>
            <w:vAlign w:val="center"/>
            <w:tcMar>
              <w:top w:w="55" w:type="dxa"/>
              <w:start w:w="65" w:type="dxa"/>
              <w:bottom w:w="55" w:type="dxa"/>
              <w:end w:w="65" w:type="dxa"/>
            </w:tcMar>
          </w:tcPr>
          <w:p>
            <w:pPr>
              <w:spacing w:after="0"/>
            </w:pPr>
            <w:r>
              <w:rPr>
                <w:sz w:val="15"/>
              </w:rPr>
              <w:t>HIPAA, ADA, Section 1557, and other federal requirements only when entity, program, funding, and service facts make them applicable.</w:t>
            </w:r>
          </w:p>
        </w:tc>
      </w:tr>
      <w:tr>
        <w:trPr>
          <w:cantSplit/>
        </w:trPr>
        <w:tc>
          <w:tcPr>
            <w:tcW w:type="dxa" w:w="5227"/>
            <w:vAlign w:val="center"/>
            <w:tcMar>
              <w:top w:w="55" w:type="dxa"/>
              <w:start w:w="65" w:type="dxa"/>
              <w:bottom w:w="55" w:type="dxa"/>
              <w:end w:w="65" w:type="dxa"/>
            </w:tcMar>
            <w:shd w:fill="F2F4F7"/>
          </w:tcPr>
          <w:p>
            <w:pPr>
              <w:spacing w:after="0"/>
            </w:pPr>
            <w:r>
              <w:rPr>
                <w:sz w:val="15"/>
              </w:rPr>
              <w:t>NASW-2021</w:t>
            </w:r>
          </w:p>
        </w:tc>
        <w:tc>
          <w:tcPr>
            <w:tcW w:type="dxa" w:w="5227"/>
            <w:vAlign w:val="center"/>
            <w:tcMar>
              <w:top w:w="55" w:type="dxa"/>
              <w:start w:w="65" w:type="dxa"/>
              <w:bottom w:w="55" w:type="dxa"/>
              <w:end w:w="65" w:type="dxa"/>
            </w:tcMar>
            <w:shd w:fill="F2F4F7"/>
          </w:tcPr>
          <w:p>
            <w:pPr>
              <w:spacing w:after="0"/>
            </w:pPr>
            <w:r>
              <w:rPr>
                <w:sz w:val="15"/>
              </w:rPr>
              <w:t>NASW Code of Ethics, including 2021 cultural-competence and self-care revisions.</w:t>
            </w:r>
          </w:p>
        </w:tc>
      </w:tr>
    </w:tbl>
    <w:p>
      <w:pPr>
        <w:pStyle w:val="Heading1"/>
      </w:pPr>
      <w:r>
        <w:t>Controlled Release and Synchronization Rules</w:t>
      </w:r>
    </w:p>
    <w:p>
      <w:pPr>
        <w:pStyle w:val="ListBullet"/>
      </w:pPr>
      <w:r>
        <w:t>Keep this file separate from the answer-hidden candidate booklet until the approved post-attempt review point.</w:t>
      </w:r>
    </w:p>
    <w:p>
      <w:pPr>
        <w:pStyle w:val="ListBullet"/>
      </w:pPr>
      <w:r>
        <w:t>Any correction requires synchronized review of the stem, all four options, key, all four rationales, source mapping, remediation route, answer sheet, LMS record, duplicate scan, and version history.</w:t>
      </w:r>
    </w:p>
    <w:p>
      <w:pPr>
        <w:pStyle w:val="ListBullet"/>
      </w:pPr>
      <w:r>
        <w:t>Do not represent CTA items as copied, recalled, psychometrically equivalent to, or officially endorsed versions of the California licensing examination.</w:t>
      </w:r>
    </w:p>
    <w:p>
      <w:pPr>
        <w:pStyle w:val="ListBullet"/>
      </w:pPr>
      <w:r>
        <w:t>Recheck high-change subjects—including advertising, telehealth, supervision, registration, records, privacy, technology, mandated action, accessibility, and nondiscrimination—before LMS lock and public release.</w:t>
      </w:r>
    </w:p>
    <w:p>
      <w:pPr>
        <w:pStyle w:val="Heading1"/>
      </w:pPr>
      <w:r>
        <w:t>Stage 4D2 Exit Record</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5227"/>
            <w:shd w:fill="17365D"/>
            <w:tcMar>
              <w:top w:w="55" w:type="dxa"/>
              <w:start w:w="65" w:type="dxa"/>
              <w:bottom w:w="55" w:type="dxa"/>
              <w:end w:w="65" w:type="dxa"/>
            </w:tcMar>
            <w:vAlign w:val="center"/>
          </w:tcPr>
          <w:p>
            <w:pPr>
              <w:spacing w:after="0"/>
            </w:pPr>
            <w:r>
              <w:rPr>
                <w:sz w:val="16"/>
              </w:rPr>
            </w:r>
            <w:r>
              <w:rPr>
                <w:b/>
                <w:color w:val="FFFFFF"/>
                <w:sz w:val="16"/>
              </w:rPr>
              <w:t>Control</w:t>
            </w:r>
          </w:p>
        </w:tc>
        <w:tc>
          <w:tcPr>
            <w:tcW w:type="dxa" w:w="5227"/>
            <w:shd w:fill="17365D"/>
            <w:tcMar>
              <w:top w:w="55" w:type="dxa"/>
              <w:start w:w="65" w:type="dxa"/>
              <w:bottom w:w="55" w:type="dxa"/>
              <w:end w:w="65" w:type="dxa"/>
            </w:tcMar>
            <w:vAlign w:val="center"/>
          </w:tcPr>
          <w:p>
            <w:pPr>
              <w:spacing w:after="0"/>
            </w:pPr>
            <w:r>
              <w:rPr>
                <w:sz w:val="16"/>
              </w:rPr>
            </w:r>
            <w:r>
              <w:rPr>
                <w:b/>
                <w:color w:val="FFFFFF"/>
                <w:sz w:val="16"/>
              </w:rPr>
              <w:t>Status</w:t>
            </w:r>
          </w:p>
        </w:tc>
      </w:tr>
      <w:tr>
        <w:trPr>
          <w:cantSplit/>
        </w:trPr>
        <w:tc>
          <w:tcPr>
            <w:tcW w:type="dxa" w:w="5227"/>
            <w:vAlign w:val="center"/>
            <w:tcMar>
              <w:top w:w="55" w:type="dxa"/>
              <w:start w:w="65" w:type="dxa"/>
              <w:bottom w:w="55" w:type="dxa"/>
              <w:end w:w="65" w:type="dxa"/>
            </w:tcMar>
          </w:tcPr>
          <w:p>
            <w:pPr>
              <w:spacing w:after="0"/>
            </w:pPr>
            <w:r>
              <w:rPr>
                <w:sz w:val="16"/>
              </w:rPr>
              <w:t>Question count</w:t>
            </w:r>
          </w:p>
        </w:tc>
        <w:tc>
          <w:tcPr>
            <w:tcW w:type="dxa" w:w="5227"/>
            <w:vAlign w:val="center"/>
            <w:tcMar>
              <w:top w:w="55" w:type="dxa"/>
              <w:start w:w="65" w:type="dxa"/>
              <w:bottom w:w="55" w:type="dxa"/>
              <w:end w:w="65" w:type="dxa"/>
            </w:tcMar>
          </w:tcPr>
          <w:p>
            <w:pPr>
              <w:spacing w:after="0"/>
            </w:pPr>
            <w:r>
              <w:rPr>
                <w:sz w:val="16"/>
              </w:rPr>
              <w:t>100</w:t>
            </w:r>
          </w:p>
        </w:tc>
      </w:tr>
      <w:tr>
        <w:trPr>
          <w:cantSplit/>
        </w:trPr>
        <w:tc>
          <w:tcPr>
            <w:tcW w:type="dxa" w:w="5227"/>
            <w:vAlign w:val="center"/>
            <w:tcMar>
              <w:top w:w="55" w:type="dxa"/>
              <w:start w:w="65" w:type="dxa"/>
              <w:bottom w:w="55" w:type="dxa"/>
              <w:end w:w="65" w:type="dxa"/>
            </w:tcMar>
            <w:shd w:fill="F2F4F7"/>
          </w:tcPr>
          <w:p>
            <w:pPr>
              <w:spacing w:after="0"/>
            </w:pPr>
            <w:r>
              <w:rPr>
                <w:sz w:val="16"/>
              </w:rPr>
              <w:t>Correct-answer key</w:t>
            </w:r>
          </w:p>
        </w:tc>
        <w:tc>
          <w:tcPr>
            <w:tcW w:type="dxa" w:w="5227"/>
            <w:vAlign w:val="center"/>
            <w:tcMar>
              <w:top w:w="55" w:type="dxa"/>
              <w:start w:w="65" w:type="dxa"/>
              <w:bottom w:w="55" w:type="dxa"/>
              <w:end w:w="65" w:type="dxa"/>
            </w:tcMar>
            <w:shd w:fill="F2F4F7"/>
          </w:tcPr>
          <w:p>
            <w:pPr>
              <w:spacing w:after="0"/>
            </w:pPr>
            <w:r>
              <w:rPr>
                <w:sz w:val="16"/>
              </w:rPr>
              <w:t>Complete</w:t>
            </w:r>
          </w:p>
        </w:tc>
      </w:tr>
      <w:tr>
        <w:trPr>
          <w:cantSplit/>
        </w:trPr>
        <w:tc>
          <w:tcPr>
            <w:tcW w:type="dxa" w:w="5227"/>
            <w:vAlign w:val="center"/>
            <w:tcMar>
              <w:top w:w="55" w:type="dxa"/>
              <w:start w:w="65" w:type="dxa"/>
              <w:bottom w:w="55" w:type="dxa"/>
              <w:end w:w="65" w:type="dxa"/>
            </w:tcMar>
          </w:tcPr>
          <w:p>
            <w:pPr>
              <w:spacing w:after="0"/>
            </w:pPr>
            <w:r>
              <w:rPr>
                <w:sz w:val="16"/>
              </w:rPr>
              <w:t>Option-by-option rationales</w:t>
            </w:r>
          </w:p>
        </w:tc>
        <w:tc>
          <w:tcPr>
            <w:tcW w:type="dxa" w:w="5227"/>
            <w:vAlign w:val="center"/>
            <w:tcMar>
              <w:top w:w="55" w:type="dxa"/>
              <w:start w:w="65" w:type="dxa"/>
              <w:bottom w:w="55" w:type="dxa"/>
              <w:end w:w="65" w:type="dxa"/>
            </w:tcMar>
          </w:tcPr>
          <w:p>
            <w:pPr>
              <w:spacing w:after="0"/>
            </w:pPr>
            <w:r>
              <w:rPr>
                <w:sz w:val="16"/>
              </w:rPr>
              <w:t>Complete for all 400 answer choices</w:t>
            </w:r>
          </w:p>
        </w:tc>
      </w:tr>
      <w:tr>
        <w:trPr>
          <w:cantSplit/>
        </w:trPr>
        <w:tc>
          <w:tcPr>
            <w:tcW w:type="dxa" w:w="5227"/>
            <w:vAlign w:val="center"/>
            <w:tcMar>
              <w:top w:w="55" w:type="dxa"/>
              <w:start w:w="65" w:type="dxa"/>
              <w:bottom w:w="55" w:type="dxa"/>
              <w:end w:w="65" w:type="dxa"/>
            </w:tcMar>
            <w:shd w:fill="F2F4F7"/>
          </w:tcPr>
          <w:p>
            <w:pPr>
              <w:spacing w:after="0"/>
            </w:pPr>
            <w:r>
              <w:rPr>
                <w:sz w:val="16"/>
              </w:rPr>
              <w:t>Exam strategies</w:t>
            </w:r>
          </w:p>
        </w:tc>
        <w:tc>
          <w:tcPr>
            <w:tcW w:type="dxa" w:w="5227"/>
            <w:vAlign w:val="center"/>
            <w:tcMar>
              <w:top w:w="55" w:type="dxa"/>
              <w:start w:w="65" w:type="dxa"/>
              <w:bottom w:w="55" w:type="dxa"/>
              <w:end w:w="65" w:type="dxa"/>
            </w:tcMar>
            <w:shd w:fill="F2F4F7"/>
          </w:tcPr>
          <w:p>
            <w:pPr>
              <w:spacing w:after="0"/>
            </w:pPr>
            <w:r>
              <w:rPr>
                <w:sz w:val="16"/>
              </w:rPr>
              <w:t>100 complete</w:t>
            </w:r>
          </w:p>
        </w:tc>
      </w:tr>
      <w:tr>
        <w:trPr>
          <w:cantSplit/>
        </w:trPr>
        <w:tc>
          <w:tcPr>
            <w:tcW w:type="dxa" w:w="5227"/>
            <w:vAlign w:val="center"/>
            <w:tcMar>
              <w:top w:w="55" w:type="dxa"/>
              <w:start w:w="65" w:type="dxa"/>
              <w:bottom w:w="55" w:type="dxa"/>
              <w:end w:w="65" w:type="dxa"/>
            </w:tcMar>
          </w:tcPr>
          <w:p>
            <w:pPr>
              <w:spacing w:after="0"/>
            </w:pPr>
            <w:r>
              <w:rPr>
                <w:sz w:val="16"/>
              </w:rPr>
              <w:t>Remediation routes</w:t>
            </w:r>
          </w:p>
        </w:tc>
        <w:tc>
          <w:tcPr>
            <w:tcW w:type="dxa" w:w="5227"/>
            <w:vAlign w:val="center"/>
            <w:tcMar>
              <w:top w:w="55" w:type="dxa"/>
              <w:start w:w="65" w:type="dxa"/>
              <w:bottom w:w="55" w:type="dxa"/>
              <w:end w:w="65" w:type="dxa"/>
            </w:tcMar>
          </w:tcPr>
          <w:p>
            <w:pPr>
              <w:spacing w:after="0"/>
            </w:pPr>
            <w:r>
              <w:rPr>
                <w:sz w:val="16"/>
              </w:rPr>
              <w:t>100 complete</w:t>
            </w:r>
          </w:p>
        </w:tc>
      </w:tr>
      <w:tr>
        <w:trPr>
          <w:cantSplit/>
        </w:trPr>
        <w:tc>
          <w:tcPr>
            <w:tcW w:type="dxa" w:w="5227"/>
            <w:vAlign w:val="center"/>
            <w:tcMar>
              <w:top w:w="55" w:type="dxa"/>
              <w:start w:w="65" w:type="dxa"/>
              <w:bottom w:w="55" w:type="dxa"/>
              <w:end w:w="65" w:type="dxa"/>
            </w:tcMar>
            <w:shd w:fill="F2F4F7"/>
          </w:tcPr>
          <w:p>
            <w:pPr>
              <w:spacing w:after="0"/>
            </w:pPr>
            <w:r>
              <w:rPr>
                <w:sz w:val="16"/>
              </w:rPr>
              <w:t>Source controls</w:t>
            </w:r>
          </w:p>
        </w:tc>
        <w:tc>
          <w:tcPr>
            <w:tcW w:type="dxa" w:w="5227"/>
            <w:vAlign w:val="center"/>
            <w:tcMar>
              <w:top w:w="55" w:type="dxa"/>
              <w:start w:w="65" w:type="dxa"/>
              <w:bottom w:w="55" w:type="dxa"/>
              <w:end w:w="65" w:type="dxa"/>
            </w:tcMar>
            <w:shd w:fill="F2F4F7"/>
          </w:tcPr>
          <w:p>
            <w:pPr>
              <w:spacing w:after="0"/>
            </w:pPr>
            <w:r>
              <w:rPr>
                <w:sz w:val="16"/>
              </w:rPr>
              <w:t>100 item-level controls plus consolidated register</w:t>
            </w:r>
          </w:p>
        </w:tc>
      </w:tr>
      <w:tr>
        <w:trPr>
          <w:cantSplit/>
        </w:trPr>
        <w:tc>
          <w:tcPr>
            <w:tcW w:type="dxa" w:w="5227"/>
            <w:vAlign w:val="center"/>
            <w:tcMar>
              <w:top w:w="55" w:type="dxa"/>
              <w:start w:w="65" w:type="dxa"/>
              <w:bottom w:w="55" w:type="dxa"/>
              <w:end w:w="65" w:type="dxa"/>
            </w:tcMar>
          </w:tcPr>
          <w:p>
            <w:pPr>
              <w:spacing w:after="0"/>
            </w:pPr>
            <w:r>
              <w:rPr>
                <w:sz w:val="16"/>
              </w:rPr>
              <w:t>Independent legal/ethical review</w:t>
            </w:r>
          </w:p>
        </w:tc>
        <w:tc>
          <w:tcPr>
            <w:tcW w:type="dxa" w:w="5227"/>
            <w:vAlign w:val="center"/>
            <w:tcMar>
              <w:top w:w="55" w:type="dxa"/>
              <w:start w:w="65" w:type="dxa"/>
              <w:bottom w:w="55" w:type="dxa"/>
              <w:end w:w="65" w:type="dxa"/>
            </w:tcMar>
          </w:tcPr>
          <w:p>
            <w:pPr>
              <w:spacing w:after="0"/>
            </w:pPr>
            <w:r>
              <w:rPr>
                <w:sz w:val="16"/>
              </w:rPr>
              <w:t>Open</w:t>
            </w:r>
          </w:p>
        </w:tc>
      </w:tr>
      <w:tr>
        <w:trPr>
          <w:cantSplit/>
        </w:trPr>
        <w:tc>
          <w:tcPr>
            <w:tcW w:type="dxa" w:w="5227"/>
            <w:vAlign w:val="center"/>
            <w:tcMar>
              <w:top w:w="55" w:type="dxa"/>
              <w:start w:w="65" w:type="dxa"/>
              <w:bottom w:w="55" w:type="dxa"/>
              <w:end w:w="65" w:type="dxa"/>
            </w:tcMar>
            <w:shd w:fill="F2F4F7"/>
          </w:tcPr>
          <w:p>
            <w:pPr>
              <w:spacing w:after="0"/>
            </w:pPr>
            <w:r>
              <w:rPr>
                <w:sz w:val="16"/>
              </w:rPr>
              <w:t>Duplicate and scenario-skeleton audit</w:t>
            </w:r>
          </w:p>
        </w:tc>
        <w:tc>
          <w:tcPr>
            <w:tcW w:type="dxa" w:w="5227"/>
            <w:vAlign w:val="center"/>
            <w:tcMar>
              <w:top w:w="55" w:type="dxa"/>
              <w:start w:w="65" w:type="dxa"/>
              <w:bottom w:w="55" w:type="dxa"/>
              <w:end w:w="65" w:type="dxa"/>
            </w:tcMar>
            <w:shd w:fill="F2F4F7"/>
          </w:tcPr>
          <w:p>
            <w:pPr>
              <w:spacing w:after="0"/>
            </w:pPr>
            <w:r>
              <w:rPr>
                <w:sz w:val="16"/>
              </w:rPr>
              <w:t>Open</w:t>
            </w:r>
          </w:p>
        </w:tc>
      </w:tr>
      <w:tr>
        <w:trPr>
          <w:cantSplit/>
        </w:trPr>
        <w:tc>
          <w:tcPr>
            <w:tcW w:type="dxa" w:w="5227"/>
            <w:vAlign w:val="center"/>
            <w:tcMar>
              <w:top w:w="55" w:type="dxa"/>
              <w:start w:w="65" w:type="dxa"/>
              <w:bottom w:w="55" w:type="dxa"/>
              <w:end w:w="65" w:type="dxa"/>
            </w:tcMar>
          </w:tcPr>
          <w:p>
            <w:pPr>
              <w:spacing w:after="0"/>
            </w:pPr>
            <w:r>
              <w:rPr>
                <w:sz w:val="16"/>
              </w:rPr>
              <w:t>Learner-view and LMS testing</w:t>
            </w:r>
          </w:p>
        </w:tc>
        <w:tc>
          <w:tcPr>
            <w:tcW w:type="dxa" w:w="5227"/>
            <w:vAlign w:val="center"/>
            <w:tcMar>
              <w:top w:w="55" w:type="dxa"/>
              <w:start w:w="65" w:type="dxa"/>
              <w:bottom w:w="55" w:type="dxa"/>
              <w:end w:w="65" w:type="dxa"/>
            </w:tcMar>
          </w:tcPr>
          <w:p>
            <w:pPr>
              <w:spacing w:after="0"/>
            </w:pPr>
            <w:r>
              <w:rPr>
                <w:sz w:val="16"/>
              </w:rPr>
              <w:t>Open</w:t>
            </w:r>
          </w:p>
        </w:tc>
      </w:tr>
      <w:tr>
        <w:trPr>
          <w:cantSplit/>
        </w:trPr>
        <w:tc>
          <w:tcPr>
            <w:tcW w:type="dxa" w:w="5227"/>
            <w:vAlign w:val="center"/>
            <w:tcMar>
              <w:top w:w="55" w:type="dxa"/>
              <w:start w:w="65" w:type="dxa"/>
              <w:bottom w:w="55" w:type="dxa"/>
              <w:end w:w="65" w:type="dxa"/>
            </w:tcMar>
            <w:shd w:fill="F2F4F7"/>
          </w:tcPr>
          <w:p>
            <w:pPr>
              <w:spacing w:after="0"/>
            </w:pPr>
            <w:r>
              <w:rPr>
                <w:sz w:val="16"/>
              </w:rPr>
              <w:t>Public release</w:t>
            </w:r>
          </w:p>
        </w:tc>
        <w:tc>
          <w:tcPr>
            <w:tcW w:type="dxa" w:w="5227"/>
            <w:vAlign w:val="center"/>
            <w:tcMar>
              <w:top w:w="55" w:type="dxa"/>
              <w:start w:w="65" w:type="dxa"/>
              <w:bottom w:w="55" w:type="dxa"/>
              <w:end w:w="65" w:type="dxa"/>
            </w:tcMar>
            <w:shd w:fill="F2F4F7"/>
          </w:tcPr>
          <w:p>
            <w:pPr>
              <w:spacing w:after="0"/>
            </w:pPr>
            <w:r>
              <w:rPr>
                <w:sz w:val="16"/>
              </w:rPr>
              <w:t>Blocked</w:t>
            </w:r>
          </w:p>
        </w:tc>
      </w:tr>
      <w:tr>
        <w:trPr>
          <w:cantSplit/>
        </w:trPr>
        <w:tc>
          <w:tcPr>
            <w:tcW w:type="dxa" w:w="5227"/>
            <w:vAlign w:val="center"/>
            <w:tcMar>
              <w:top w:w="55" w:type="dxa"/>
              <w:start w:w="65" w:type="dxa"/>
              <w:bottom w:w="55" w:type="dxa"/>
              <w:end w:w="65" w:type="dxa"/>
            </w:tcMar>
          </w:tcPr>
          <w:p>
            <w:pPr>
              <w:spacing w:after="0"/>
            </w:pPr>
            <w:r>
              <w:rPr>
                <w:sz w:val="16"/>
              </w:rPr>
              <w:t>Next controlled build</w:t>
            </w:r>
          </w:p>
        </w:tc>
        <w:tc>
          <w:tcPr>
            <w:tcW w:type="dxa" w:w="5227"/>
            <w:vAlign w:val="center"/>
            <w:tcMar>
              <w:top w:w="55" w:type="dxa"/>
              <w:start w:w="65" w:type="dxa"/>
              <w:bottom w:w="55" w:type="dxa"/>
              <w:end w:w="65" w:type="dxa"/>
            </w:tcMar>
          </w:tcPr>
          <w:p>
            <w:pPr>
              <w:spacing w:after="0"/>
            </w:pPr>
            <w:r>
              <w:rPr>
                <w:sz w:val="16"/>
              </w:rPr>
              <w:t>Stage 4D3 complete; see the separate QA closeout register and learner performance workbook</w:t>
            </w:r>
          </w:p>
        </w:tc>
      </w:tr>
    </w:tbl>
    <w:sectPr w:rsidR="00FC693F" w:rsidRPr="0006063C" w:rsidSect="00034616">
      <w:headerReference w:type="default" r:id="rId9"/>
      <w:footerReference w:type="default" r:id="rId10"/>
      <w:pgSz w:w="12240" w:h="15840"/>
      <w:pgMar w:top="749"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CTA-EP-002 | Comprehensive Final Rationales v1.3 | POST-ATTEMPT CONTROLLED | 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AA6A6"/>
      </w:pBdr>
    </w:pPr>
    <w:r>
      <w:drawing>
        <wp:inline xmlns:a="http://schemas.openxmlformats.org/drawingml/2006/main" xmlns:pic="http://schemas.openxmlformats.org/drawingml/2006/picture">
          <wp:extent cx="1828800" cy="125790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1828800" cy="1257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A6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Comprehensive Final Controlled Answer Key and Detailed Rationales</dc:title>
  <dc:subject>Protected answer key, option-by-option rationales, exam strategy, source control, and remediation</dc:subject>
  <dc:creator>Clinical Training and Supervision Academy</dc:creator>
  <cp:keywords>CTA-EP-002, LCSW, ASW, California Law and Ethics, Comprehensive Final, controlled rationales</cp:keywords>
  <dc:description>generated by python-docx</dc:description>
  <cp:lastModifiedBy/>
  <cp:revision>1</cp:revision>
  <dcterms:created xsi:type="dcterms:W3CDTF">2013-12-23T23:15:00Z</dcterms:created>
  <dcterms:modified xsi:type="dcterms:W3CDTF">2013-12-23T23:15:00Z</dcterms:modified>
  <cp:category/>
</cp:coreProperties>
</file>