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A6A6"/>
          <w:sz w:val="23"/>
        </w:rPr>
        <w:t>CALIFORNIA LAW &amp; ETHICS EXAM PREPARATION</w:t>
      </w:r>
    </w:p>
    <w:p>
      <w:pPr>
        <w:jc w:val="center"/>
      </w:pPr>
      <w:r>
        <w:rPr>
          <w:b/>
          <w:color w:val="17365D"/>
          <w:sz w:val="42"/>
        </w:rPr>
        <w:t>Comprehensive Final Examination</w:t>
      </w:r>
    </w:p>
    <w:p>
      <w:pPr>
        <w:jc w:val="center"/>
      </w:pPr>
      <w:r>
        <w:rPr>
          <w:b/>
          <w:color w:val="17365D"/>
          <w:sz w:val="32"/>
        </w:rPr>
        <w:t>Learner Performance and Remediation Workbook</w:t>
      </w:r>
    </w:p>
    <w:p>
      <w:pPr>
        <w:jc w:val="center"/>
      </w:pPr>
      <w:r>
        <w:rPr>
          <w:color w:val="4B4B4B"/>
          <w:sz w:val="20"/>
        </w:rPr>
        <w:t>CTA-EP-002 | Version 1.1 | August 6, 2026</w:t>
      </w:r>
    </w:p>
    <w:p>
      <w:pPr>
        <w:jc w:val="center"/>
      </w:pPr>
      <w:r>
        <w:rPr>
          <w:i/>
          <w:color w:val="1AA6A6"/>
        </w:rPr>
        <w:t>Teaching Clinicians How to Think.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  <w:tblHeader/>
        </w:trPr>
        <w:tc>
          <w:tcPr>
            <w:tcW w:type="dxa" w:w="9504"/>
            <w:shd w:fill="EAF7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POST-ATTEMPT LEARNER TOOL</w:t>
            </w:r>
            <w:r>
              <w:rPr>
                <w:sz w:val="18"/>
              </w:rPr>
              <w:br/>
              <w:t>Use this workbook only after preserving the Comprehensive Final attempt and opening the controlled rationale file. It contains no correct-answer letters and supports cumulative comparison with Practice A and Practice B.</w:t>
            </w:r>
          </w:p>
        </w:tc>
      </w:tr>
    </w:tbl>
    <w:p>
      <w:pPr>
        <w:pStyle w:val="Heading1"/>
      </w:pPr>
      <w:r>
        <w:t>How to Use This Workbook</w:t>
      </w:r>
    </w:p>
    <w:p>
      <w:pPr>
        <w:pStyle w:val="ListNumber"/>
      </w:pPr>
      <w:r>
        <w:t>Score the preserved Comprehensive Final attempt with the separate controlled answer key.</w:t>
      </w:r>
    </w:p>
    <w:p>
      <w:pPr>
        <w:pStyle w:val="ListNumber"/>
      </w:pPr>
      <w:r>
        <w:t>Record raw performance, time, confidence, and review flags before changing any response.</w:t>
      </w:r>
    </w:p>
    <w:p>
      <w:pPr>
        <w:pStyle w:val="ListNumber"/>
      </w:pPr>
      <w:r>
        <w:t>Compare Practice A, Practice B, and the Comprehensive Final to identify stable mastery, transfer gains, and recurring weaknesses.</w:t>
      </w:r>
    </w:p>
    <w:p>
      <w:pPr>
        <w:pStyle w:val="ListNumber"/>
      </w:pPr>
      <w:r>
        <w:t>Review all four rationales for every missed or low-confidence item.</w:t>
      </w:r>
    </w:p>
    <w:p>
      <w:pPr>
        <w:pStyle w:val="ListNumber"/>
      </w:pPr>
      <w:r>
        <w:t>Use the mapped module or workbook route, error category, and mastery prompt to build a focused remediation plan.</w:t>
      </w:r>
    </w:p>
    <w:p>
      <w:pPr>
        <w:pStyle w:val="ListNumber"/>
      </w:pPr>
      <w:r>
        <w:t>Reassess only after you can state the governing rule, apply it to a new scenario, and reject the strongest distractor.</w:t>
      </w:r>
    </w:p>
    <w:p>
      <w:pPr>
        <w:pStyle w:val="Heading1"/>
      </w:pPr>
      <w:r>
        <w:t>Attempt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Learner entry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Date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Attempt mode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☐ Timed   ☐ Untimed cumulative diagnostic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Start / end time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Total minutes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Practice A raw score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________ / 50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Practice B raw score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________ / 50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Comprehensive Final raw score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________ / 100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Items marked Review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High-confidence errors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Low-confidence correct items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____________________________</w:t>
            </w:r>
          </w:p>
        </w:tc>
      </w:tr>
    </w:tbl>
    <w:p>
      <w:pPr>
        <w:pStyle w:val="Heading1"/>
      </w:pPr>
      <w:r>
        <w:t>Three-Form Cumulative Transfer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  <w:cantSplit/>
        </w:trPr>
        <w:tc>
          <w:tcPr>
            <w:tcW w:type="dxa" w:w="1296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Area</w:t>
            </w:r>
          </w:p>
        </w:tc>
        <w:tc>
          <w:tcPr>
            <w:tcW w:type="dxa" w:w="1296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Practice A</w:t>
            </w:r>
          </w:p>
        </w:tc>
        <w:tc>
          <w:tcPr>
            <w:tcW w:type="dxa" w:w="1296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Practice B</w:t>
            </w:r>
          </w:p>
        </w:tc>
        <w:tc>
          <w:tcPr>
            <w:tcW w:type="dxa" w:w="1296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Final</w:t>
            </w:r>
          </w:p>
        </w:tc>
        <w:tc>
          <w:tcPr>
            <w:tcW w:type="dxa" w:w="1296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A→B</w:t>
            </w:r>
          </w:p>
        </w:tc>
        <w:tc>
          <w:tcPr>
            <w:tcW w:type="dxa" w:w="1296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B→Final</w:t>
            </w:r>
          </w:p>
        </w:tc>
        <w:tc>
          <w:tcPr>
            <w:tcW w:type="dxa" w:w="1296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Pattern</w:t>
            </w:r>
          </w:p>
        </w:tc>
        <w:tc>
          <w:tcPr>
            <w:tcW w:type="dxa" w:w="1296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Action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Overall score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☐ Improved ☐ Stable ☐ Declined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Law total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☐ Improved ☐ Stable ☐ Declined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Ethics total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☐ Improved ☐ Stable ☐ Declined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1A - Consent, Confidentiality, and Privilege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☐ Improved ☐ Stable ☐ Declined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1B - Limits to Confidentiality and Mandated Reporting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☐ Improved ☐ Stable ☐ Declined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1C - Legal Standards for Professional Practice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☐ Improved ☐ Stable ☐ Declined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2A - Professional Competence and Integrity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☐ Improved ☐ Stable ☐ Declined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2B - Responsibility to Clients and Social Work Relationships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☐ Improved ☐ Stable ☐ Declined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2C - Practice Policies and Professional Responsibilities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☐ Improved ☐ Stable ☐ Declined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</w:tr>
    </w:tbl>
    <w:p>
      <w:pPr>
        <w:pStyle w:val="Heading1"/>
      </w:pPr>
      <w:r>
        <w:t>Final Law, Ethics, and Official Domain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481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1481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Items</w:t>
            </w:r>
          </w:p>
        </w:tc>
        <w:tc>
          <w:tcPr>
            <w:tcW w:type="dxa" w:w="1481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Correct</w:t>
            </w:r>
          </w:p>
        </w:tc>
        <w:tc>
          <w:tcPr>
            <w:tcW w:type="dxa" w:w="1481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Percent</w:t>
            </w:r>
          </w:p>
        </w:tc>
        <w:tc>
          <w:tcPr>
            <w:tcW w:type="dxa" w:w="1481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Confidence pattern</w:t>
            </w:r>
          </w:p>
        </w:tc>
        <w:tc>
          <w:tcPr>
            <w:tcW w:type="dxa" w:w="1481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1481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Action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Law total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44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____%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☐ H ☐ M ☐ L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Ethics total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56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____%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☐ H ☐ M ☐ L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1A - Consent, Confidentiality, and Privilege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16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____%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☐ H ☐ M ☐ L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1B - Limits to Confidentiality and Mandated Reporting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16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____%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☐ H ☐ M ☐ L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1C - Legal Standards for Professional Practice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____%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☐ H ☐ M ☐ L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2A - Professional Competence and Integrity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16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____%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☐ H ☐ M ☐ L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2B - Responsibility to Clients and Social Work Relationships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24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____%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☐ H ☐ M ☐ L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2C - Practice Policies and Professional Responsibilities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16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____%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☐ H ☐ M ☐ L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</w:tbl>
    <w:p>
      <w:pPr>
        <w:pStyle w:val="Heading1"/>
      </w:pPr>
      <w:r>
        <w:t>Reasoning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72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Dimension</w:t>
            </w:r>
          </w:p>
        </w:tc>
        <w:tc>
          <w:tcPr>
            <w:tcW w:type="dxa" w:w="172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172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Items</w:t>
            </w:r>
          </w:p>
        </w:tc>
        <w:tc>
          <w:tcPr>
            <w:tcW w:type="dxa" w:w="172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Correct</w:t>
            </w:r>
          </w:p>
        </w:tc>
        <w:tc>
          <w:tcPr>
            <w:tcW w:type="dxa" w:w="172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Pattern</w:t>
            </w:r>
          </w:p>
        </w:tc>
        <w:tc>
          <w:tcPr>
            <w:tcW w:type="dxa" w:w="172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Remediation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Easy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25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Moderate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50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25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Construction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Foundational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18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Construction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Applied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50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Construction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Integrated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32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Decision word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Sequence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25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Decision word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BEST/MOST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40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Decision word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Direct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35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</w:tbl>
    <w:p>
      <w:pPr>
        <w:pStyle w:val="Heading1"/>
      </w:pPr>
      <w:r>
        <w:t>Confidence Calibration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207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Result / confidence</w:t>
            </w:r>
          </w:p>
        </w:tc>
        <w:tc>
          <w:tcPr>
            <w:tcW w:type="dxa" w:w="207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type="dxa" w:w="207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What it may mean</w:t>
            </w:r>
          </w:p>
        </w:tc>
        <w:tc>
          <w:tcPr>
            <w:tcW w:type="dxa" w:w="207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Required review</w:t>
            </w:r>
          </w:p>
        </w:tc>
        <w:tc>
          <w:tcPr>
            <w:tcW w:type="dxa" w:w="207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Completed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Correct + high confidence</w:t>
            </w:r>
          </w:p>
        </w:tc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Likely stable mastery</w:t>
            </w:r>
          </w:p>
        </w:tc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Verify rule and strongest distractor</w:t>
            </w:r>
          </w:p>
        </w:tc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Correct + low confidence</w:t>
            </w:r>
          </w:p>
        </w:tc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Unstable knowledge or guessing</w:t>
            </w:r>
          </w:p>
        </w:tc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Review rationale and restate rule</w:t>
            </w:r>
          </w:p>
        </w:tc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Incorrect + low confidence</w:t>
            </w:r>
          </w:p>
        </w:tc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Recognized uncertainty</w:t>
            </w:r>
          </w:p>
        </w:tc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Repair concept and practice sequence</w:t>
            </w:r>
          </w:p>
        </w:tc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Incorrect + high confidence</w:t>
            </w:r>
          </w:p>
        </w:tc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Priority misconception</w:t>
            </w:r>
          </w:p>
        </w:tc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Full remediation, error analysis, delayed reassessment</w:t>
            </w:r>
          </w:p>
        </w:tc>
        <w:tc>
          <w:tcPr>
            <w:tcW w:type="dxa" w:w="207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749" w:right="936" w:bottom="749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t>Item-by-Item Remediation Tracker</w:t>
      </w:r>
    </w:p>
    <w:p>
      <w:r>
        <w:t>This post-attempt tracker identifies the tested concept and remediation route but intentionally omits the correct answer. Use the controlled rationale file when completing Result, Confidence, Error analysis, and Reassessment.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3"/>
        <w:gridCol w:w="1463"/>
        <w:gridCol w:w="1463"/>
        <w:gridCol w:w="1463"/>
        <w:gridCol w:w="1463"/>
        <w:gridCol w:w="1463"/>
        <w:gridCol w:w="1463"/>
        <w:gridCol w:w="1463"/>
        <w:gridCol w:w="1463"/>
        <w:gridCol w:w="1463"/>
      </w:tblGrid>
      <w:tr>
        <w:trPr>
          <w:tblHeader w:val="true"/>
          <w:cantSplit/>
        </w:trPr>
        <w:tc>
          <w:tcPr>
            <w:tcW w:type="dxa" w:w="1463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/>
                <w:color w:val="FFFFFF"/>
                <w:sz w:val="12"/>
              </w:rPr>
              <w:t>Item</w:t>
            </w:r>
          </w:p>
        </w:tc>
        <w:tc>
          <w:tcPr>
            <w:tcW w:type="dxa" w:w="1463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/>
                <w:color w:val="FFFFFF"/>
                <w:sz w:val="12"/>
              </w:rPr>
              <w:t>Domain</w:t>
            </w:r>
          </w:p>
        </w:tc>
        <w:tc>
          <w:tcPr>
            <w:tcW w:type="dxa" w:w="1463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/>
                <w:color w:val="FFFFFF"/>
                <w:sz w:val="12"/>
              </w:rPr>
              <w:t>Concept</w:t>
            </w:r>
          </w:p>
        </w:tc>
        <w:tc>
          <w:tcPr>
            <w:tcW w:type="dxa" w:w="1463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/>
                <w:color w:val="FFFFFF"/>
                <w:sz w:val="12"/>
              </w:rPr>
              <w:t>Route</w:t>
            </w:r>
          </w:p>
        </w:tc>
        <w:tc>
          <w:tcPr>
            <w:tcW w:type="dxa" w:w="1463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/>
                <w:color w:val="FFFFFF"/>
                <w:sz w:val="12"/>
              </w:rPr>
              <w:t>Primary error category</w:t>
            </w:r>
          </w:p>
        </w:tc>
        <w:tc>
          <w:tcPr>
            <w:tcW w:type="dxa" w:w="1463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/>
                <w:color w:val="FFFFFF"/>
                <w:sz w:val="12"/>
              </w:rPr>
              <w:t>Result</w:t>
            </w:r>
          </w:p>
        </w:tc>
        <w:tc>
          <w:tcPr>
            <w:tcW w:type="dxa" w:w="1463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/>
                <w:color w:val="FFFFFF"/>
                <w:sz w:val="12"/>
              </w:rPr>
              <w:t>Conf.</w:t>
            </w:r>
          </w:p>
        </w:tc>
        <w:tc>
          <w:tcPr>
            <w:tcW w:type="dxa" w:w="1463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/>
                <w:color w:val="FFFFFF"/>
                <w:sz w:val="12"/>
              </w:rPr>
              <w:t>Why I missed / hesitated</w:t>
            </w:r>
          </w:p>
        </w:tc>
        <w:tc>
          <w:tcPr>
            <w:tcW w:type="dxa" w:w="1463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/>
                <w:color w:val="FFFFFF"/>
                <w:sz w:val="12"/>
              </w:rPr>
              <w:t>Remediation completed</w:t>
            </w:r>
          </w:p>
        </w:tc>
        <w:tc>
          <w:tcPr>
            <w:tcW w:type="dxa" w:w="1463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/>
                <w:color w:val="FFFFFF"/>
                <w:sz w:val="12"/>
              </w:rPr>
              <w:t>Reassess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Competence with a new telehealth platform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COMPETENCE-WITH-A-NEW-TELEHEALTH-PLATFORM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Immediate supervision response to falsified high-risk documentation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HIGH-RISK-DOCUMENTATION-INTEGRITY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1A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Material fee change and renewed informed consent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MATERIAL-FEE-CHANGE-AND-RENEWED-INFORMED-CON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Continuity after clinician hospitalization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CONTINUITY-AFTER-CLINICIAN-HOSPITALIZATION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1A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Mandated or employer-referred service consent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MANDATED-OR-EMPLOYER-REFERRED-SERVICE-CONSEN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Repairing an error associated with impairment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REPAIRING-AN-ERROR-ASSOCIATED-WITH-IMPAIRMEN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7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1C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Falsification or deceptive alteration of records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FALSIFICATION-OR-DECEPTIVE-ALTERATION-OF-REC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Client financing offer and financial-boundary conflict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FINANCIAL-ENTANGLEMENT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Adolescent goals and parental pressure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ADOLESCENT-GOALS-AND-PARENTAL-PRESSURE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10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2C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Documenting significant consultation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DOCUMENTING-SIGNIFICANT-CONSULTATION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11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1C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Scope of practice versus scope of competence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SCOPE-OF-PRACTICE-VERSUS-SCOPE-OF-COMPETENCE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12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1C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Supervisor license lapse and lawful ASW supervision structure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LS Module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SUPERVISOR-LICENSE-STATUS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13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Client located outside California during telehealth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CLIENT-LOCATED-OUTSIDE-CALIFORNIA-DURING-TEL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14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2C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Organizational workload and unsafe practice conditions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ORGANIZATIONAL-WORKLOAD-AND-UNSAFE-PRACTICE-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15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Least restrictive safety response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LEAST-RESTRICTIVE-SAFETY-RESPONSE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16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2C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EHR template integrity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EHR-TEMPLATE-INTEGRITY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17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1A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Minor consent and parent involvement analysis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MINOR-CONSENT-AND-PARENT-INVOLVEMENT-ANALYSI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18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1A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Expired and scope-limited authorization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AUTHORIZATION-SCOPE-AND-DURATION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19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Consultation for an unfamiliar diagnostic presentation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CONSULTATION-FOR-AN-UNFAMILIAR-DIAGNOSTIC-PR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20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1A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Telehealth location and emergency information at session start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TELEHEALTH-LOCATION-AND-EMERGENCY-INFORMATIO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Client welfare when reducing caseload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CLIENT-WELFARE-WHEN-REDUCING-CASELOAD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22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2A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Supervisor competence and cultural responsiveness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SUPERVISOR-COMPETENCE-AND-CULTURAL-RESPONSIV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Bartering and exploitation risk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BARTERING-AND-EXPLOITATION-RISK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24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1A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Recording a telehealth session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RECORDING-A-TELEHEALTH-SESSION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Accessible digital communication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ACCESSIBLE-DIGITAL-COMMUNICATION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26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1B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Reasonable-suspicion child abuse reporting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REASONABLE-SUSPICION-CHILD-ABUSE-REPORTING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27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Former client and social relationship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FORMER-CLIENT-AND-SOCIAL-RELATIONSHIP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28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1C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r>
              <w:t>Contractor-style invoicing and ASW employee-or-volunteer status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LS Module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r>
              <w:t>ASW-CONTRACTOR-INVOICING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1C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Signing records for services not reviewed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SIGNING-RECORDS-FOR-SERVICES-NOT-REVIEWED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30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1B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Necessary disclosure during imminent safety concern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NECESSARY-DISCLOSURE-DURING-IMMINENT-SAFETY-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31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Transparent financial policies and collections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TRANSPARENT-FINANCIAL-POLICIES-AND-COLLECTIO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32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2C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Role-based access to clinical records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ROLE-BASED-ACCESS-TO-CLINICAL-RECORDS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33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Safety planning as collaborative process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SAFETY-PLANNING-AS-COLLABORATIVE-PROCESS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34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1B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Documenting risk reasoning and follow-through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DOCUMENTING-RISK-REASONING-AND-FOLLOW-THROUG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35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1A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Separated parents and child treatment information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SEPARATED-PARENTS-AND-CHILD-TREATMENT-INFORM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36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1C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Client access versus record ownership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CLIENT-ACCESS-VERSUS-RECORD-OWNERSHIP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37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1C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Setting-specific supervision versus consultation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SETTING-SPECIFIC-SUPERVISION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38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2C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Organizational disability-access barrier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WB7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ORGANIZATIONAL-DISABILITY-ACCESS-BARRIER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39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Telehealth platform security incident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TELEHEALTH-PLATFORM-SECURITY-INCIDENT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40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1A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Payer status versus privilege and access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PAYER-STATUS-VERSUS-PRIVILEGE-AND-ACCESS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41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1C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Treating clinician asked to conduct neutral evaluation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TREATING-CLINICIAN-ASKED-TO-CONDUCT-NEUTRAL-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42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1B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Late entry and transparent correction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LATE-ENTRY-AND-TRANSPARENT-CORRECTION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43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Cultural humility and diagnostic formulation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WB7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CULTURAL-HUMILITY-AND-DIAGNOSTIC-FORMULATION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44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1C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External ASW supervisor and meaningful authority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EXTERNAL-ASW-SUPERVISOR-AND-MEANINGFUL-AUTHO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45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Client refusal of recommended treatment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CLIENT-REFUSAL-OF-RECOMMENDED-TREATMENT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46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Client refusal during elevated but nonimminent risk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CLIENT-REFUSAL-DURING-ELEVATED-BUT-NONIMMINE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47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Family-service client identity and competing loyalties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FAMILY-SERVICE-CLIENT-IDENTITY-AND-COMPETING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48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2C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Role change from therapist to investigator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ROLE-CHANGE-FROM-THERAPIST-TO-INVESTIGATOR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49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1B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Elder abuse report and client objection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ELDER-ABUSE-REPORT-AND-CLIENT-OBJECTION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50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2C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Supervisor boundary and evaluative authority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SUPERVISOR-BOUNDARY-AND-EVALUATIVE-AUTHORITY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51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Social media direct messages from a current client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SOCIAL-MEDIA-DIRECT-MESSAGES-FROM-A-CURRENT-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52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1B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Unauthorized access to electronic records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UNAUTHORIZED-ACCESS-TO-ELECTRONIC-RECORDS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53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1A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Private communications and secrecy requests in group treatment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GROUP-PRIVATE-COMMUNICATIONS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54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Financial hardship and continuity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FINANCIAL-HARDSHIP-AND-CONTINUITY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55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1A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Expansion of a support person’s authorized role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SUPPORT-ROLE-EXPANSION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56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Client-defined support person and autonomy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CLIENT-DEFINED-SUPPORT-PERSON-AND-AUTONOMY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57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Qualified interpreter and client-centered communication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WB7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QUALIFIED-INTERPRETER-AND-CLIENT-CENTERED-CO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58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1B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Telehealth crisis when client location is uncertain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TELEHEALTH-CRISIS-WHEN-CLIENT-LOCATION-IS-UN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59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Fatigue affecting clinical judgment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FATIGUE-AFFECTING-CLINICAL-JUDGMENT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60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1B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Mandated report and minimum necessary information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MANDATED-REPORT-AND-MINIMUM-NECESSARY-INFORM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61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Impairment response policy and confidentiality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IMPAIRMENT-RESPONSE-POLICY-AND-CONFIDENTIALI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62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1C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Sexual relationship prohibition with a current client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SEXUAL-RELATIONSHIP-PROHIBITION-WITH-A-CURRE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63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Health condition and functional competence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HEALTH-CONDITION-AND-FUNCTIONAL-COMPETENCE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64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1B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Dependent adult financial abuse concern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DEPENDENT-ADULT-FINANCIAL-ABUSE-CONCERN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65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1B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Serious threat and protective action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SERIOUS-THREAT-AND-PROTECTIVE-ACTION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66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1A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Identity verification for remote care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IDENTITY-VERIFICATION-FOR-REMOTE-CARE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67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1A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Protecting group-member contact information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GROUP-CONTACT-CONFIDENTIALITY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68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Continuity after emergency evaluation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CONTINUITY-AFTER-EMERGENCY-EVALUATION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69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1A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Text messaging and communication expectations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TEXT-MESSAGING-AND-COMMUNICATION-EXPECTATION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70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2A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Conflict of interest in vendor selection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CONFLICT-OF-INTEREST-IN-VENDOR-SELECTION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71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1B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Record retention and planned destruction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RECORD-RETENTION-AND-PLANNED-DESTRUCTION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72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1C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r>
              <w:t>Subsequent registration after prior lawful private-practice employment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LS Module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r>
              <w:t>SUBSEQUENT-REGISTRATION-RETURN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73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1B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Suicide risk and necessary disclosure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SUICIDE-RISK-AND-NECESSARY-DISCLOSURE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74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Informed agreement when service purpose changes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INFORMED-AGREEMENT-WHEN-SERVICE-PURPOSE-CHAN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75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1A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Narrow court order and scope-limited disclosure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COURT-ORDER-SCOPE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76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2A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Dual role in a small community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DUAL-ROLE-IN-A-SMALL-COMMUNITY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77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Nondiscrimination source-layer analysis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WB7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NONDISCRIMINATION-SOURCE-LAYER-ANALYSIS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78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2A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Introducing a new intervention under supervision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INTRODUCING-A-NEW-INTERVENTION-UNDER-SUPERVI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79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Colleague impairment and objective observations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COLLEAGUE-IMPAIRMENT-AND-OBJECTIVE-OBSERVATI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80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2A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Associate competence and duty to seek supervision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LS Module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ASSOCIATE-COMPETENCE-AND-DUTY-TO-SEEK-SUPERV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81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Clear disclosure of ASW status to clients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LS Module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CLEAR-DISCLOSURE-OF-ASW-STATUS-TO-CLIENTS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82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1B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Client-requested amendment of disputed facts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CLIENT-REQUESTED-AMENDMENT-OF-DISPUTED-FACTS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83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ASW advertising combined with unlawful independent payment structure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LS Module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ASW-ADVERTISING-AND-PAYMENT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84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2C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Boundary policy for home and community services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BOUNDARY-POLICY-FOR-HOME-AND-COMMUNITY-SERVI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85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1C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Compensation for client referrals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COMPENSATION-FOR-CLIENT-REFERRALS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86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Personal social media connection with a client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PERSONAL-SOCIAL-MEDIA-CONNECTION-WITH-A-CLIE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87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1B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Court order versus broad informal request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COURT-ORDER-VERSUS-BROAD-INFORMAL-REQUEST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88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1A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Third-party payer request and consent limits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THIRD-PARTY-PAYER-REQUEST-AND-CONSENT-LIMITS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89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1A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Minor record request and competing authority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MINOR-RECORD-REQUEST-AND-COMPETING-AUTHORITY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90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2C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Recurring ASW law-and-ethics and renewal responsibilities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LS Module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RECURRING-ASW-LAW-AND-ETHICS-AND-RENEWAL-RES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91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Remote-session privacy in the clinician environment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REMOTE-SESSION-PRIVACY-IN-THE-CLINICIAN-ENVI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92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Client-directed community support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WB7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CLIENT-DIRECTED-COMMUNITY-SUPPORT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93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Organizational policy conflicting with professional role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ORGANIZATIONAL-POLICY-CONFLICTING-WITH-PROFE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94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1B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Emergency contact does not create routine access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EMERGENCY-CONTACT-DOES-NOT-CREATE-ROUTINE-AC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95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1B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Domestic violence disclosure without automatic universal reporting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DOMESTIC-VIOLENCE-DISCLOSURE-WITHOUT-AUTOMAT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96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2A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Burnout and biased decision-making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BURNOUT-AND-BIASED-DECISION-MAKING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97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Advocacy consistent with client goals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WB7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ADVOCACY-CONSISTENT-WITH-CLIENT-GOALS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98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2A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r>
              <w:t>Blanket identity-matching policy versus individualized competence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WB7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r>
              <w:t>BLANKET-IDENTITY-MATCHING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99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Minimum necessary client-centered information sharing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WB8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MINIMUM-NECESSARY-CLIENT-CENTERED-INFORMATIO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100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2A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Supervisor competence for specialized ASW services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LS Module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SUPERVISOR-COMPETENCE-FOR-SPECIALIZED-ASW-SE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2"/>
              </w:rPr>
              <w:t>☐</w:t>
            </w:r>
          </w:p>
        </w:tc>
      </w:tr>
    </w:tbl>
    <w:p>
      <w:pPr>
        <w:pStyle w:val="Heading1"/>
      </w:pPr>
      <w:r>
        <w:t>Remediation Route Planner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243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Route</w:t>
            </w:r>
          </w:p>
        </w:tc>
        <w:tc>
          <w:tcPr>
            <w:tcW w:type="dxa" w:w="243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Mapped items</w:t>
            </w:r>
          </w:p>
        </w:tc>
        <w:tc>
          <w:tcPr>
            <w:tcW w:type="dxa" w:w="243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Primary topics</w:t>
            </w:r>
          </w:p>
        </w:tc>
        <w:tc>
          <w:tcPr>
            <w:tcW w:type="dxa" w:w="243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Assigned resource</w:t>
            </w:r>
          </w:p>
        </w:tc>
        <w:tc>
          <w:tcPr>
            <w:tcW w:type="dxa" w:w="243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Completion date</w:t>
            </w:r>
          </w:p>
        </w:tc>
        <w:tc>
          <w:tcPr>
            <w:tcW w:type="dxa" w:w="243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Reassessment result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LCSW/ASW License-Specific Module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12, 28, 72, 80, 81, 83, 90, 100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Supervisor license lapse and lawful ASW supervision structure; Contractor-style invoicing and ASW employee-or-volunteer status; Subsequent registration after prior lawful private-practice employment; Associate competence and duty to seek supervision; Clear disclosure of ASW status to clients…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WB1 - Informed Consent, Minors, and Family Involvement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3, 5, 9, 17, 35, 45, 47, 53, 54, 55, 56, 74, 88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Material fee change and renewed informed consent; Mandated or employer-referred service consent; Adolescent goals and parental pressure; Minor consent and parent involvement analysis; Separated parents and child treatment information…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WB2 - Telehealth Law and Ethics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1, 13, 20, 24, 25, 39, 51, 58, 66, 69, 91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Competence with a new telehealth platform; Client located outside California during telehealth; Telehealth location and emergency information at session start; Recording a telehealth session; Accessible digital communication…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WB3 - Professional Competence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10, 11, 19, 22, 37, 41, 44, 48, 50, 78, 93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Documenting significant consultation; Scope of practice versus scope of competence; Consultation for an unfamiliar diagnostic presentation; Supervisor competence and cultural responsiveness; Setting-specific supervision versus consultation…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WB4 - Professional Impairment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2, 4, 6, 14, 21, 59, 61, 63, 79, 96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Immediate supervision response to falsified high-risk documentation; Continuity after clinician hospitalization; Repairing an error associated with impairment; Organizational workload and unsafe practice conditions; Client welfare when reducing caseload…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WB5 - Preventing Harm and Promoting Client Welfare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15, 26, 33, 46, 49, 64, 65, 68, 73, 95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Least restrictive safety response; Reasonable-suspicion child abuse reporting; Safety planning as collaborative process; Client refusal during elevated but nonimminent risk; Elder abuse report and client objection…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WB6 - Professional Boundaries, Multiple Relationships, and Exploitation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8, 23, 27, 31, 62, 70, 76, 84, 85, 86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Client financing offer and financial-boundary conflict; Bartering and exploitation risk; Former client and social relationship; Transparent financial policies and collections; Sexual relationship prohibition with a current client…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WB7 - Cultural Humility, Bias, and Diverse Populations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38, 43, 57, 77, 92, 97, 98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Organizational disability-access barrier; Cultural humility and diagnostic formulation; Qualified interpreter and client-centered communication; Nondiscrimination source-layer analysis; Client-directed community support…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WB8 - Confidentiality, Privacy, and Information Sharing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18, 30, 40, 60, 67, 75, 87, 89, 94, 99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Expired and scope-limited authorization; Necessary disclosure during imminent safety concern; Payer status versus privilege and access; Mandated report and minimum necessary information; Protecting group-member contact information…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WB9 - Clinical Documentation, Record Management, and Technology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7, 16, 29, 32, 34, 36, 42, 52, 71, 82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Falsification or deceptive alteration of records; EHR template integrity; Signing records for services not reviewed; Role-based access to clinical records; Documenting risk reasoning and follow-through…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</w:tr>
    </w:tbl>
    <w:p>
      <w:pPr>
        <w:pStyle w:val="Heading1"/>
      </w:pPr>
      <w:r>
        <w:t>Reasoning-Error Repair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tblHeader w:val="true"/>
          <w:cantSplit/>
        </w:trPr>
        <w:tc>
          <w:tcPr>
            <w:tcW w:type="dxa" w:w="3657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Error category</w:t>
            </w:r>
          </w:p>
        </w:tc>
        <w:tc>
          <w:tcPr>
            <w:tcW w:type="dxa" w:w="3657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Items</w:t>
            </w:r>
          </w:p>
        </w:tc>
        <w:tc>
          <w:tcPr>
            <w:tcW w:type="dxa" w:w="3657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Repair question</w:t>
            </w:r>
          </w:p>
        </w:tc>
        <w:tc>
          <w:tcPr>
            <w:tcW w:type="dxa" w:w="3657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Mastery evidence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ACCESSIBLE-DIGITAL-COMMUNICATION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25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ADOLESCENT-GOALS-AND-PARENTAL-PRESSURE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ADVOCACY-CONSISTENT-WITH-CLIENT-GOALS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97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ASSOCIATE-COMPETENCE-AND-DUTY-TO-SEEK-SUPERV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80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ASW-ADVERTISING-AND-PAYMENT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83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Are status, employment, supervision, payment, and advertising all lawful and truthful?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ASW-CONTRACTOR-INVOICING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28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AUTHORIZATION-SCOPE-AND-DURATION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18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Who, what, why, and how long does the authorization actually permit?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BARTERING-AND-EXPLOITATION-RISK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23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BOUNDARY-POLICY-FOR-HOME-AND-COMMUNITY-SERVI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84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BURNOUT-AND-BIASED-DECISION-MAKING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96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CLEAR-DISCLOSURE-OF-ASW-STATUS-TO-CLIENTS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81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CLIENT-ACCESS-VERSUS-RECORD-OWNERSHIP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36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CLIENT-DEFINED-SUPPORT-PERSON-AND-AUTONOMY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56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CLIENT-DIRECTED-COMMUNITY-SUPPORT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92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CLIENT-LOCATED-OUTSIDE-CALIFORNIA-DURING-TEL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13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CLIENT-REFUSAL-DURING-ELEVATED-BUT-NONIMMINE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46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CLIENT-REFUSAL-OF-RECOMMENDED-TREATMENT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45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CLIENT-REQUESTED-AMENDMENT-OF-DISPUTED-FACTS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82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CLIENT-WELFARE-WHEN-REDUCING-CASELOAD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21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COLLEAGUE-IMPAIRMENT-AND-OBJECTIVE-OBSERVATI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79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COMPENSATION-FOR-CLIENT-REFERRALS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85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BLANKET-IDENTITY-MATCHING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98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COMPETENCE-WITH-A-NEW-TELEHEALTH-PLATFORM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CONFLICT-OF-INTEREST-IN-VENDOR-SELECTION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70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GROUP-PRIVATE-COMMUNICATIONS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53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CONSULTATION-FOR-AN-UNFAMILIAR-DIAGNOSTIC-PR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19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CONTINUITY-AFTER-CLINICIAN-HOSPITALIZATION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CONTINUITY-AFTER-EMERGENCY-EVALUATION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68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COURT-ORDER-SCOPE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75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does the verified order actually require, and what remains protected?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COURT-ORDER-VERSUS-BROAD-INFORMAL-REQUEST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87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CULTURAL-HUMILITY-AND-DIAGNOSTIC-FORMULATION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43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DEPENDENT-ADULT-FINANCIAL-ABUSE-CONCERN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64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DOCUMENTING-RISK-REASONING-AND-FOLLOW-THROUG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34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DOCUMENTING-SIGNIFICANT-CONSULTATION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DOMESTIC-VIOLENCE-DISCLOSURE-WITHOUT-AUTOMAT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95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DUAL-ROLE-IN-A-SMALL-COMMUNITY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76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EHR-TEMPLATE-INTEGRITY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16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ELDER-ABUSE-REPORT-AND-CLIENT-OBJECTION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49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EMERGENCY-CONTACT-DOES-NOT-CREATE-ROUTINE-AC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94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EXTERNAL-ASW-SUPERVISOR-AND-MEANINGFUL-AUTHO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44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FALSIFICATION-OR-DECEPTIVE-ALTERATION-OF-REC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FAMILY-SERVICE-CLIENT-IDENTITY-AND-COMPETING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47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FATIGUE-AFFECTING-CLINICAL-JUDGMENT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59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FINANCIAL-ENTANGLEMENT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How does money, preferential access, or investment affect power and professional judgment?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FINANCIAL-HARDSHIP-AND-CONTINUITY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54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FORMER-CLIENT-AND-SOCIAL-RELATIONSHIP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27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GROUP-CONTACT-CONFIDENTIALITY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67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information belongs to another participant, and is there a privacy-protective alternative?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HEALTH-CONDITION-AND-FUNCTIONAL-COMPETENCE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63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HIGH-RISK-DOCUMENTATION-INTEGRITY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must be protected now, what record must be preserved, and what review process follows?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IDENTITY-VERIFICATION-FOR-REMOTE-CARE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66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IMPAIRMENT-RESPONSE-POLICY-AND-CONFIDENTIALI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61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INFORMED-AGREEMENT-WHEN-SERVICE-PURPOSE-CHAN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74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INTRODUCING-A-NEW-INTERVENTION-UNDER-SUPERVI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78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LATE-ENTRY-AND-TRANSPARENT-CORRECTION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42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LEAST-RESTRICTIVE-SAFETY-RESPONSE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15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MANDATED-OR-EMPLOYER-REFERRED-SERVICE-CONSEN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MANDATED-REPORT-AND-MINIMUM-NECESSARY-INFORM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60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MATERIAL-FEE-CHANGE-AND-RENEWED-INFORMED-CON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MINIMUM-NECESSARY-CLIENT-CENTERED-INFORMATIO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99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MINOR-CONSENT-AND-PARENT-INVOLVEMENT-ANALYSI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17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MINOR-RECORD-REQUEST-AND-COMPETING-AUTHORITY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89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NECESSARY-DISCLOSURE-DURING-IMMINENT-SAFETY-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30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NONDISCRIMINATION-SOURCE-LAYER-ANALYSIS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77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ORGANIZATIONAL-DISABILITY-ACCESS-BARRIER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38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ORGANIZATIONAL-POLICY-CONFLICTING-WITH-PROFE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93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ORGANIZATIONAL-WORKLOAD-AND-UNSAFE-PRACTICE-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14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PAYER-STATUS-VERSUS-PRIVILEGE-AND-ACCESS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40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PERSONAL-SOCIAL-MEDIA-CONNECTION-WITH-A-CLIE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86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QUALIFIED-INTERPRETER-AND-CLIENT-CENTERED-CO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57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REASONABLE-SUSPICION-CHILD-ABUSE-REPORTING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26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RECORD-RETENTION-AND-PLANNED-DESTRUCTION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71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RECORDING-A-TELEHEALTH-SESSION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24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RECURRING-ASW-LAW-AND-ETHICS-AND-RENEWAL-RES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90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REMOTE-SESSION-PRIVACY-IN-THE-CLINICIAN-ENVI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91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REPAIRING-AN-ERROR-ASSOCIATED-WITH-IMPAIRMEN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ROLE-BASED-ACCESS-TO-CLINICAL-RECORDS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32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ROLE-CHANGE-FROM-THERAPIST-TO-INVESTIGATOR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48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SAFETY-PLANNING-AS-COLLABORATIVE-PROCESS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33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SCOPE-OF-PRACTICE-VERSUS-SCOPE-OF-COMPETENCE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11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SEPARATED-PARENTS-AND-CHILD-TREATMENT-INFORM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35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SERIOUS-THREAT-AND-PROTECTIVE-ACTION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65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SEXUAL-RELATIONSHIP-PROHIBITION-WITH-A-CURRE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62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SIGNING-RECORDS-FOR-SERVICES-NOT-REVIEWED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29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SOCIAL-MEDIA-DIRECT-MESSAGES-FROM-A-CURRENT-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51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SUBSEQUENT-REGISTRATION-RETURN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72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SUICIDE-RISK-AND-NECESSARY-DISCLOSURE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73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SETTING-SPECIFIC-SUPERVISION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37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SUPERVISOR-BOUNDARY-AND-EVALUATIVE-AUTHORITY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50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SUPERVISOR-COMPETENCE-AND-CULTURAL-RESPONSIV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22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SUPERVISOR-COMPETENCE-FOR-SPECIALIZED-ASW-SE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100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SUPERVISOR-LICENSE-STATUS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12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Is the supervisor currently qualified, and what must pause while the structure is repaired?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SUPPORT-ROLE-EXPANSION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55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was authorized originally, what has changed, and who retains decision authority?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TELEHEALTH-CRISIS-WHEN-CLIENT-LOCATION-IS-UN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58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TELEHEALTH-LOCATION-AND-EMERGENCY-INFORMATIO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20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TELEHEALTH-PLATFORM-SECURITY-INCIDENT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39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TEXT-MESSAGING-AND-COMMUNICATION-EXPECTATION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69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THIRD-PARTY-PAYER-REQUEST-AND-CONSENT-LIMITS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88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TRANSPARENT-FINANCIAL-POLICIES-AND-COLLECTIO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31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TREATING-CLINICIAN-ASKED-TO-CONDUCT-NEUTRAL-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41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UNAUTHORIZED-ACCESS-TO-ELECTRONIC-RECORDS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52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State the rule; apply it to a new scenario; reject the strongest distractor.</w:t>
            </w:r>
          </w:p>
        </w:tc>
      </w:tr>
    </w:tbl>
    <w:p>
      <w:pPr>
        <w:pStyle w:val="Heading1"/>
      </w:pPr>
      <w:r>
        <w:t>Focused Final-Remediation Plan</w:t>
      </w:r>
    </w:p>
    <w:p>
      <w:r>
        <w:rPr>
          <w:b/>
        </w:rPr>
        <w:t xml:space="preserve">Recurring weakness across all three forms: </w:t>
      </w:r>
      <w:r>
        <w:t>Domain / concept ____________________  Assigned route ____________________  Deadline __________  Reassessment __________</w:t>
      </w:r>
    </w:p>
    <w:p>
      <w:r>
        <w:rPr>
          <w:b/>
        </w:rPr>
        <w:t xml:space="preserve">Practice B-to-Final transfer loss: </w:t>
      </w:r>
      <w:r>
        <w:t>Domain / concept ____________________  Assigned route ____________________  Deadline __________  Reassessment __________</w:t>
      </w:r>
    </w:p>
    <w:p>
      <w:r>
        <w:rPr>
          <w:b/>
        </w:rPr>
        <w:t xml:space="preserve">High-confidence misconception: </w:t>
      </w:r>
      <w:r>
        <w:t>Domain / concept ____________________  Assigned route ____________________  Deadline __________  Reassessment __________</w:t>
      </w:r>
    </w:p>
    <w:p>
      <w:r>
        <w:rPr>
          <w:b/>
        </w:rPr>
        <w:t xml:space="preserve">Final-only systems or integration weakness: </w:t>
      </w:r>
      <w:r>
        <w:t>Domain / concept ____________________  Assigned route ____________________  Deadline __________  Reassessment __________</w:t>
      </w:r>
    </w:p>
    <w:p>
      <w:pPr>
        <w:pStyle w:val="Heading1"/>
      </w:pPr>
      <w:r>
        <w:t>Reassessment Readiness Gate</w:t>
      </w:r>
    </w:p>
    <w:p>
      <w:r>
        <w:t>☐ I reviewed all four rationales for every missed or low-confidence Final item.</w:t>
      </w:r>
    </w:p>
    <w:p>
      <w:r>
        <w:t>☐ I compared all three forms and identified recurring, transferred, and new errors.</w:t>
      </w:r>
    </w:p>
    <w:p>
      <w:r>
        <w:t>☐ I can state the controlling legal or ethical rule without looking at the answer.</w:t>
      </w:r>
    </w:p>
    <w:p>
      <w:r>
        <w:t>☐ I can identify the actor’s role, status, setting, authority, and decision point.</w:t>
      </w:r>
    </w:p>
    <w:p>
      <w:r>
        <w:t>☐ I can explain why the strongest distractor is weaker.</w:t>
      </w:r>
    </w:p>
    <w:p>
      <w:r>
        <w:t>☐ I completed the assigned module, workbook, flashcards, or toolkit practice.</w:t>
      </w:r>
    </w:p>
    <w:p>
      <w:r>
        <w:t>☐ I waited long enough to test learning rather than immediate answer memory.</w:t>
      </w:r>
    </w:p>
    <w:p>
      <w:r>
        <w:t>☐ I recorded reassessment results and remaining priorities.</w:t>
      </w:r>
    </w:p>
    <w:p>
      <w:pPr>
        <w:pStyle w:val="Heading1"/>
      </w:pPr>
      <w:r>
        <w:t>Readiness Boundary</w:t>
      </w:r>
    </w:p>
    <w:p>
      <w:r>
        <w:rPr>
          <w:b/>
        </w:rPr>
        <w:t xml:space="preserve">CTA performance results are educational indicators only. </w:t>
      </w:r>
      <w:r>
        <w:t>They are not the official BBS passing score, an eligibility decision, a diagnosis of readiness, or a guarantee of examination performance.</w:t>
      </w:r>
    </w:p>
    <w:sectPr w:rsidR="00FC693F" w:rsidRPr="0006063C" w:rsidSect="00034616">
      <w:pgSz w:w="15840" w:h="12240" w:orient="landscape"/>
      <w:pgMar w:top="648" w:right="605" w:bottom="648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5"/>
      </w:rPr>
      <w:t xml:space="preserve">CTA-EP-002 | Comprehensive Final Learner Performance and Remediation Workbook | Post-Attempt |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AA6A6"/>
      </w:pBdr>
    </w:pPr>
    <w:r>
      <w:drawing>
        <wp:inline xmlns:a="http://schemas.openxmlformats.org/drawingml/2006/main" xmlns:pic="http://schemas.openxmlformats.org/drawingml/2006/picture">
          <wp:extent cx="1828800" cy="1257905"/>
          <wp:docPr id="1" name="Picture 1" descr="Image: item1.xm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rimary Horizontal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125790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A6A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LCSW Law and Ethics EP Comprehensive Final Learner Performance and Remediation Workbook - Stage 4E synchronized v1.1</dc:title>
  <dc:subject>Post-attempt three-form cumulative analysis, confidence calibration, remediation, and reassessment</dc:subject>
  <dc:creator>Clinical Training and Supervision Academy</dc:creator>
  <cp:keywords>CTA-EP-002, LCSW, ASW, comprehensive final, performance, remediation, transfer, confidence calibration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