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A6A6"/>
          <w:sz w:val="23"/>
        </w:rPr>
        <w:t>CONTROLLED | CALIFORNIA LAW &amp; ETHICS EXAM PREPARATION</w:t>
      </w:r>
    </w:p>
    <w:p>
      <w:pPr>
        <w:jc w:val="center"/>
      </w:pPr>
      <w:r>
        <w:rPr>
          <w:b/>
          <w:color w:val="17365D"/>
          <w:sz w:val="40"/>
        </w:rPr>
        <w:t>CTA LCSW California Law &amp; Ethics</w:t>
        <w:br/>
        <w:t>Exam Preparation Program</w:t>
      </w:r>
    </w:p>
    <w:p>
      <w:pPr>
        <w:jc w:val="center"/>
      </w:pPr>
      <w:r>
        <w:rPr>
          <w:b/>
          <w:color w:val="17365D"/>
          <w:sz w:val="34"/>
        </w:rPr>
        <w:t>Practice Examination A</w:t>
        <w:br/>
        <w:t>Controlled Answer Key and Detailed Rationales</w:t>
      </w:r>
    </w:p>
    <w:p>
      <w:pPr>
        <w:jc w:val="center"/>
      </w:pPr>
      <w:r>
        <w:rPr>
          <w:b/>
          <w:sz w:val="24"/>
        </w:rPr>
        <w:t>50 Released Questions | 200 Option Rationales</w:t>
      </w:r>
    </w:p>
    <w:p>
      <w:pPr>
        <w:jc w:val="center"/>
      </w:pPr>
      <w:r>
        <w:t>CTA-EP-002 | Version 1.2 | August 5, 2026</w:t>
      </w:r>
    </w:p>
    <w:p>
      <w:pPr>
        <w:jc w:val="center"/>
      </w:pPr>
      <w:r>
        <w:rPr>
          <w:i/>
          <w:color w:val="1AA6A6"/>
        </w:rPr>
        <w:t>Teaching Clinicians How to Think.</w:t>
      </w:r>
    </w:p>
    <w:tbl>
      <w:tblPr>
        <w:tblStyle w:val="TableGrid"/>
        <w:tblW w:type="auto" w:w="0"/>
        <w:jc w:val="center"/>
        <w:tblLook w:firstColumn="1" w:firstRow="1" w:lastColumn="0" w:lastRow="0" w:noHBand="0" w:noVBand="1" w:val="04A0"/>
      </w:tblPr>
      <w:tblGrid>
        <w:gridCol w:w="10454"/>
      </w:tblGrid>
      <w:tr>
        <w:trPr>
          <w:cantSplit/>
          <w:tblHeader/>
        </w:trPr>
        <w:tc>
          <w:tcPr>
            <w:tcW w:type="dxa" w:w="10454"/>
            <w:shd w:fill="EAF7F7"/>
            <w:tcMar>
              <w:top w:w="55" w:type="dxa"/>
              <w:start w:w="65" w:type="dxa"/>
              <w:bottom w:w="55" w:type="dxa"/>
              <w:end w:w="65" w:type="dxa"/>
            </w:tcMar>
            <w:vAlign w:val="center"/>
          </w:tcPr>
          <w:p>
            <w:pPr>
              <w:spacing w:after="0"/>
            </w:pPr>
            <w:r>
              <w:t>DETAILED RATIONALE STUDY EDITION</w:t>
              <w:br/>
              <w:t>Recommended for post-attempt learner review. Keep this printable rationale file accessible from enrollment; do not apply a prerequisite, score, or completion lock. This file contains correct answers, detailed rationales, and internal source/remediation controls.</w:t>
            </w:r>
          </w:p>
        </w:tc>
      </w:tr>
    </w:tbl>
    <w:p>
      <w:pPr>
        <w:pStyle w:val="Heading1"/>
      </w:pPr>
      <w:r>
        <w:t>Document Control</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5227"/>
            <w:shd w:fill="17365D"/>
            <w:tcMar>
              <w:top w:w="55" w:type="dxa"/>
              <w:start w:w="65" w:type="dxa"/>
              <w:bottom w:w="55" w:type="dxa"/>
              <w:end w:w="65" w:type="dxa"/>
            </w:tcMar>
            <w:vAlign w:val="center"/>
          </w:tcPr>
          <w:p>
            <w:pPr>
              <w:spacing w:after="0"/>
            </w:pPr>
            <w:r>
              <w:rPr>
                <w:sz w:val="16"/>
              </w:rPr>
            </w:r>
            <w:r>
              <w:rPr>
                <w:b/>
                <w:color w:val="FFFFFF"/>
                <w:sz w:val="16"/>
              </w:rPr>
              <w:t>Field</w:t>
            </w:r>
          </w:p>
        </w:tc>
        <w:tc>
          <w:tcPr>
            <w:tcW w:type="dxa" w:w="5227"/>
            <w:shd w:fill="17365D"/>
            <w:tcMar>
              <w:top w:w="55" w:type="dxa"/>
              <w:start w:w="65" w:type="dxa"/>
              <w:bottom w:w="55" w:type="dxa"/>
              <w:end w:w="65" w:type="dxa"/>
            </w:tcMar>
            <w:vAlign w:val="center"/>
          </w:tcPr>
          <w:p>
            <w:pPr>
              <w:spacing w:after="0"/>
            </w:pPr>
            <w:r>
              <w:rPr>
                <w:sz w:val="16"/>
              </w:rPr>
            </w:r>
            <w:r>
              <w:rPr>
                <w:b/>
                <w:color w:val="FFFFFF"/>
                <w:sz w:val="16"/>
              </w:rPr>
              <w:t>Controlling entry</w:t>
            </w:r>
          </w:p>
        </w:tc>
      </w:tr>
      <w:tr>
        <w:trPr>
          <w:cantSplit/>
        </w:trPr>
        <w:tc>
          <w:tcPr>
            <w:tcW w:type="dxa" w:w="5227"/>
            <w:vAlign w:val="center"/>
            <w:tcMar>
              <w:top w:w="55" w:type="dxa"/>
              <w:start w:w="65" w:type="dxa"/>
              <w:bottom w:w="55" w:type="dxa"/>
              <w:end w:w="65" w:type="dxa"/>
            </w:tcMar>
          </w:tcPr>
          <w:p>
            <w:pPr>
              <w:spacing w:after="0"/>
            </w:pPr>
            <w:r>
              <w:rPr>
                <w:sz w:val="16"/>
              </w:rPr>
              <w:t>Program</w:t>
            </w:r>
          </w:p>
        </w:tc>
        <w:tc>
          <w:tcPr>
            <w:tcW w:type="dxa" w:w="5227"/>
            <w:vAlign w:val="center"/>
            <w:tcMar>
              <w:top w:w="55" w:type="dxa"/>
              <w:start w:w="65" w:type="dxa"/>
              <w:bottom w:w="55" w:type="dxa"/>
              <w:end w:w="65" w:type="dxa"/>
            </w:tcMar>
          </w:tcPr>
          <w:p>
            <w:pPr>
              <w:spacing w:after="0"/>
            </w:pPr>
            <w:r>
              <w:rPr>
                <w:sz w:val="16"/>
              </w:rPr>
              <w:t>CTA LCSW California Law &amp; Ethics Exam Preparation Program</w:t>
            </w:r>
          </w:p>
        </w:tc>
      </w:tr>
      <w:tr>
        <w:trPr>
          <w:cantSplit/>
        </w:trPr>
        <w:tc>
          <w:tcPr>
            <w:tcW w:type="dxa" w:w="5227"/>
            <w:vAlign w:val="center"/>
            <w:tcMar>
              <w:top w:w="55" w:type="dxa"/>
              <w:start w:w="65" w:type="dxa"/>
              <w:bottom w:w="55" w:type="dxa"/>
              <w:end w:w="65" w:type="dxa"/>
            </w:tcMar>
            <w:shd w:fill="F2F4F7"/>
          </w:tcPr>
          <w:p>
            <w:pPr>
              <w:spacing w:after="0"/>
            </w:pPr>
            <w:r>
              <w:rPr>
                <w:sz w:val="16"/>
              </w:rPr>
              <w:t>Program code</w:t>
            </w:r>
          </w:p>
        </w:tc>
        <w:tc>
          <w:tcPr>
            <w:tcW w:type="dxa" w:w="5227"/>
            <w:vAlign w:val="center"/>
            <w:tcMar>
              <w:top w:w="55" w:type="dxa"/>
              <w:start w:w="65" w:type="dxa"/>
              <w:bottom w:w="55" w:type="dxa"/>
              <w:end w:w="65" w:type="dxa"/>
            </w:tcMar>
            <w:shd w:fill="F2F4F7"/>
          </w:tcPr>
          <w:p>
            <w:pPr>
              <w:spacing w:after="0"/>
            </w:pPr>
            <w:r>
              <w:rPr>
                <w:sz w:val="16"/>
              </w:rPr>
              <w:t>CTA-EP-002</w:t>
            </w:r>
          </w:p>
        </w:tc>
      </w:tr>
      <w:tr>
        <w:trPr>
          <w:cantSplit/>
        </w:trPr>
        <w:tc>
          <w:tcPr>
            <w:tcW w:type="dxa" w:w="5227"/>
            <w:vAlign w:val="center"/>
            <w:tcMar>
              <w:top w:w="55" w:type="dxa"/>
              <w:start w:w="65" w:type="dxa"/>
              <w:bottom w:w="55" w:type="dxa"/>
              <w:end w:w="65" w:type="dxa"/>
            </w:tcMar>
          </w:tcPr>
          <w:p>
            <w:pPr>
              <w:spacing w:after="0"/>
            </w:pPr>
            <w:r>
              <w:rPr>
                <w:sz w:val="16"/>
              </w:rPr>
              <w:t>Component</w:t>
            </w:r>
          </w:p>
        </w:tc>
        <w:tc>
          <w:tcPr>
            <w:tcW w:type="dxa" w:w="5227"/>
            <w:vAlign w:val="center"/>
            <w:tcMar>
              <w:top w:w="55" w:type="dxa"/>
              <w:start w:w="65" w:type="dxa"/>
              <w:bottom w:w="55" w:type="dxa"/>
              <w:end w:w="65" w:type="dxa"/>
            </w:tcMar>
          </w:tcPr>
          <w:p>
            <w:pPr>
              <w:spacing w:after="0"/>
            </w:pPr>
            <w:r>
              <w:rPr>
                <w:sz w:val="16"/>
              </w:rPr>
              <w:t>Practice Examination A - 50-question controlled answer key and detailed rationales</w:t>
            </w:r>
          </w:p>
        </w:tc>
      </w:tr>
      <w:tr>
        <w:trPr>
          <w:cantSplit/>
        </w:trPr>
        <w:tc>
          <w:tcPr>
            <w:tcW w:type="dxa" w:w="5227"/>
            <w:vAlign w:val="center"/>
            <w:tcMar>
              <w:top w:w="55" w:type="dxa"/>
              <w:start w:w="65" w:type="dxa"/>
              <w:bottom w:w="55" w:type="dxa"/>
              <w:end w:w="65" w:type="dxa"/>
            </w:tcMar>
            <w:shd w:fill="F2F4F7"/>
          </w:tcPr>
          <w:p>
            <w:pPr>
              <w:spacing w:after="0"/>
            </w:pPr>
            <w:r>
              <w:rPr>
                <w:sz w:val="16"/>
              </w:rPr>
              <w:t>Item IDs</w:t>
            </w:r>
          </w:p>
        </w:tc>
        <w:tc>
          <w:tcPr>
            <w:tcW w:type="dxa" w:w="5227"/>
            <w:vAlign w:val="center"/>
            <w:tcMar>
              <w:top w:w="55" w:type="dxa"/>
              <w:start w:w="65" w:type="dxa"/>
              <w:bottom w:w="55" w:type="dxa"/>
              <w:end w:w="65" w:type="dxa"/>
            </w:tcMar>
            <w:shd w:fill="F2F4F7"/>
          </w:tcPr>
          <w:p>
            <w:pPr>
              <w:spacing w:after="0"/>
            </w:pPr>
            <w:r>
              <w:rPr>
                <w:sz w:val="16"/>
              </w:rPr>
              <w:t>CTA-EP-002-CUM-A-001 through CTA-EP-002-CUM-A-050</w:t>
            </w:r>
          </w:p>
        </w:tc>
      </w:tr>
      <w:tr>
        <w:trPr>
          <w:cantSplit/>
        </w:trPr>
        <w:tc>
          <w:tcPr>
            <w:tcW w:type="dxa" w:w="5227"/>
            <w:vAlign w:val="center"/>
            <w:tcMar>
              <w:top w:w="55" w:type="dxa"/>
              <w:start w:w="65" w:type="dxa"/>
              <w:bottom w:w="55" w:type="dxa"/>
              <w:end w:w="65" w:type="dxa"/>
            </w:tcMar>
          </w:tcPr>
          <w:p>
            <w:pPr>
              <w:spacing w:after="0"/>
            </w:pPr>
            <w:r>
              <w:rPr>
                <w:sz w:val="16"/>
              </w:rPr>
              <w:t>Release rule</w:t>
            </w:r>
          </w:p>
        </w:tc>
        <w:tc>
          <w:tcPr>
            <w:tcW w:type="dxa" w:w="5227"/>
            <w:vAlign w:val="center"/>
            <w:tcMar>
              <w:top w:w="55" w:type="dxa"/>
              <w:start w:w="65" w:type="dxa"/>
              <w:bottom w:w="55" w:type="dxa"/>
              <w:end w:w="65" w:type="dxa"/>
            </w:tcMar>
          </w:tcPr>
          <w:p>
            <w:pPr>
              <w:spacing w:after="0"/>
            </w:pPr>
            <w:r>
              <w:rPr>
                <w:sz w:val="16"/>
              </w:rPr>
              <w:t>Open from enrollment; recommend post-attempt review for strongest diagnostic value; no technical access lock</w:t>
            </w:r>
          </w:p>
        </w:tc>
      </w:tr>
      <w:tr>
        <w:trPr>
          <w:cantSplit/>
        </w:trPr>
        <w:tc>
          <w:tcPr>
            <w:tcW w:type="dxa" w:w="5227"/>
            <w:vAlign w:val="center"/>
            <w:tcMar>
              <w:top w:w="55" w:type="dxa"/>
              <w:start w:w="65" w:type="dxa"/>
              <w:bottom w:w="55" w:type="dxa"/>
              <w:end w:w="65" w:type="dxa"/>
            </w:tcMar>
            <w:shd w:fill="F2F4F7"/>
          </w:tcPr>
          <w:p>
            <w:pPr>
              <w:spacing w:after="0"/>
            </w:pPr>
            <w:r>
              <w:rPr>
                <w:sz w:val="16"/>
              </w:rPr>
              <w:t>Source review basis</w:t>
            </w:r>
          </w:p>
        </w:tc>
        <w:tc>
          <w:tcPr>
            <w:tcW w:type="dxa" w:w="5227"/>
            <w:vAlign w:val="center"/>
            <w:tcMar>
              <w:top w:w="55" w:type="dxa"/>
              <w:start w:w="65" w:type="dxa"/>
              <w:bottom w:w="55" w:type="dxa"/>
              <w:end w:w="65" w:type="dxa"/>
            </w:tcMar>
            <w:shd w:fill="F2F4F7"/>
          </w:tcPr>
          <w:p>
            <w:pPr>
              <w:spacing w:after="0"/>
            </w:pPr>
            <w:r>
              <w:rPr>
                <w:sz w:val="16"/>
              </w:rPr>
              <w:t>BBS Statutes and Regulations issued January 2026; BBS 2026 telehealth and advertising changes; current California codes; NASW Code of Ethics with 2021 revisions; Stage 4B1 source-control records</w:t>
            </w:r>
          </w:p>
        </w:tc>
      </w:tr>
      <w:tr>
        <w:trPr>
          <w:cantSplit/>
        </w:trPr>
        <w:tc>
          <w:tcPr>
            <w:tcW w:type="dxa" w:w="5227"/>
            <w:vAlign w:val="center"/>
            <w:tcMar>
              <w:top w:w="55" w:type="dxa"/>
              <w:start w:w="65" w:type="dxa"/>
              <w:bottom w:w="55" w:type="dxa"/>
              <w:end w:w="65" w:type="dxa"/>
            </w:tcMar>
          </w:tcPr>
          <w:p>
            <w:pPr>
              <w:spacing w:after="0"/>
            </w:pPr>
            <w:r>
              <w:rPr>
                <w:sz w:val="16"/>
              </w:rPr>
              <w:t>Current status</w:t>
            </w:r>
          </w:p>
        </w:tc>
        <w:tc>
          <w:tcPr>
            <w:tcW w:type="dxa" w:w="5227"/>
            <w:vAlign w:val="center"/>
            <w:tcMar>
              <w:top w:w="55" w:type="dxa"/>
              <w:start w:w="65" w:type="dxa"/>
              <w:bottom w:w="55" w:type="dxa"/>
              <w:end w:w="65" w:type="dxa"/>
            </w:tcMar>
          </w:tcPr>
          <w:p>
            <w:pPr>
              <w:spacing w:after="0"/>
            </w:pPr>
            <w:r>
              <w:t>STAGE 5D CURRENTNESS &amp; CONSISTENCY QA COMPLETE; Version 1.2 is the controlling implementation copy. Private staging is authorized; public activation remains blocked pending Stage 5E learner-view testing, defect closure, backup/rollback verification, and owner release approval</w:t>
            </w:r>
          </w:p>
        </w:tc>
      </w:tr>
      <w:tr>
        <w:trPr>
          <w:cantSplit/>
        </w:trPr>
        <w:tc>
          <w:tcPr>
            <w:tcW w:type="dxa" w:w="5227"/>
            <w:vAlign w:val="center"/>
            <w:tcMar>
              <w:top w:w="55" w:type="dxa"/>
              <w:start w:w="65" w:type="dxa"/>
              <w:bottom w:w="55" w:type="dxa"/>
              <w:end w:w="65" w:type="dxa"/>
            </w:tcMar>
            <w:shd w:fill="F2F4F7"/>
          </w:tcPr>
          <w:p>
            <w:pPr>
              <w:spacing w:after="0"/>
            </w:pPr>
            <w:r>
              <w:rPr>
                <w:sz w:val="16"/>
              </w:rPr>
              <w:t>Public release</w:t>
            </w:r>
          </w:p>
        </w:tc>
        <w:tc>
          <w:tcPr>
            <w:tcW w:type="dxa" w:w="5227"/>
            <w:vAlign w:val="center"/>
            <w:tcMar>
              <w:top w:w="55" w:type="dxa"/>
              <w:start w:w="65" w:type="dxa"/>
              <w:bottom w:w="55" w:type="dxa"/>
              <w:end w:w="65" w:type="dxa"/>
            </w:tcMar>
            <w:shd w:fill="F2F4F7"/>
          </w:tcPr>
          <w:p>
            <w:pPr>
              <w:spacing w:after="0"/>
            </w:pPr>
            <w:r>
              <w:t>PRIVATE STAGING ONLY - PUBLIC ACTIVATION PENDING STAGE 5E</w:t>
            </w:r>
          </w:p>
        </w:tc>
      </w:tr>
    </w:tbl>
    <w:p>
      <w:pPr>
        <w:pStyle w:val="Heading1"/>
      </w:pPr>
      <w:r>
        <w:t>Master Answer Key and Profile</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rPr>
          <w:tblHeader w:val="true"/>
          <w:cantSplit/>
        </w:trPr>
        <w:tc>
          <w:tcPr>
            <w:tcW w:type="dxa" w:w="1493"/>
            <w:shd w:fill="17365D"/>
            <w:tcMar>
              <w:top w:w="55" w:type="dxa"/>
              <w:start w:w="65" w:type="dxa"/>
              <w:bottom w:w="55" w:type="dxa"/>
              <w:end w:w="65" w:type="dxa"/>
            </w:tcMar>
            <w:vAlign w:val="center"/>
          </w:tcPr>
          <w:p>
            <w:pPr>
              <w:spacing w:after="0"/>
            </w:pPr>
            <w:r>
              <w:rPr>
                <w:sz w:val="15"/>
              </w:rPr>
            </w:r>
            <w:r>
              <w:rPr>
                <w:b/>
                <w:color w:val="FFFFFF"/>
                <w:sz w:val="15"/>
              </w:rPr>
              <w:t>Item</w:t>
            </w:r>
          </w:p>
        </w:tc>
        <w:tc>
          <w:tcPr>
            <w:tcW w:type="dxa" w:w="1493"/>
            <w:shd w:fill="17365D"/>
            <w:tcMar>
              <w:top w:w="55" w:type="dxa"/>
              <w:start w:w="65" w:type="dxa"/>
              <w:bottom w:w="55" w:type="dxa"/>
              <w:end w:w="65" w:type="dxa"/>
            </w:tcMar>
            <w:vAlign w:val="center"/>
          </w:tcPr>
          <w:p>
            <w:pPr>
              <w:spacing w:after="0"/>
            </w:pPr>
            <w:r>
              <w:rPr>
                <w:sz w:val="15"/>
              </w:rPr>
            </w:r>
            <w:r>
              <w:rPr>
                <w:b/>
                <w:color w:val="FFFFFF"/>
                <w:sz w:val="15"/>
              </w:rPr>
              <w:t>Key</w:t>
            </w:r>
          </w:p>
        </w:tc>
        <w:tc>
          <w:tcPr>
            <w:tcW w:type="dxa" w:w="1493"/>
            <w:shd w:fill="17365D"/>
            <w:tcMar>
              <w:top w:w="55" w:type="dxa"/>
              <w:start w:w="65" w:type="dxa"/>
              <w:bottom w:w="55" w:type="dxa"/>
              <w:end w:w="65" w:type="dxa"/>
            </w:tcMar>
            <w:vAlign w:val="center"/>
          </w:tcPr>
          <w:p>
            <w:pPr>
              <w:spacing w:after="0"/>
            </w:pPr>
            <w:r>
              <w:rPr>
                <w:sz w:val="15"/>
              </w:rPr>
            </w:r>
            <w:r>
              <w:rPr>
                <w:b/>
                <w:color w:val="FFFFFF"/>
                <w:sz w:val="15"/>
              </w:rPr>
              <w:t>Domain</w:t>
            </w:r>
          </w:p>
        </w:tc>
        <w:tc>
          <w:tcPr>
            <w:tcW w:type="dxa" w:w="1493"/>
            <w:shd w:fill="17365D"/>
            <w:tcMar>
              <w:top w:w="55" w:type="dxa"/>
              <w:start w:w="65" w:type="dxa"/>
              <w:bottom w:w="55" w:type="dxa"/>
              <w:end w:w="65" w:type="dxa"/>
            </w:tcMar>
            <w:vAlign w:val="center"/>
          </w:tcPr>
          <w:p>
            <w:pPr>
              <w:spacing w:after="0"/>
            </w:pPr>
            <w:r>
              <w:rPr>
                <w:sz w:val="15"/>
              </w:rPr>
            </w:r>
            <w:r>
              <w:rPr>
                <w:b/>
                <w:color w:val="FFFFFF"/>
                <w:sz w:val="15"/>
              </w:rPr>
              <w:t>Difficulty</w:t>
            </w:r>
          </w:p>
        </w:tc>
        <w:tc>
          <w:tcPr>
            <w:tcW w:type="dxa" w:w="1493"/>
            <w:shd w:fill="17365D"/>
            <w:tcMar>
              <w:top w:w="55" w:type="dxa"/>
              <w:start w:w="65" w:type="dxa"/>
              <w:bottom w:w="55" w:type="dxa"/>
              <w:end w:w="65" w:type="dxa"/>
            </w:tcMar>
            <w:vAlign w:val="center"/>
          </w:tcPr>
          <w:p>
            <w:pPr>
              <w:spacing w:after="0"/>
            </w:pPr>
            <w:r>
              <w:rPr>
                <w:sz w:val="15"/>
              </w:rPr>
            </w:r>
            <w:r>
              <w:rPr>
                <w:b/>
                <w:color w:val="FFFFFF"/>
                <w:sz w:val="15"/>
              </w:rPr>
              <w:t>Type</w:t>
            </w:r>
          </w:p>
        </w:tc>
        <w:tc>
          <w:tcPr>
            <w:tcW w:type="dxa" w:w="1493"/>
            <w:shd w:fill="17365D"/>
            <w:tcMar>
              <w:top w:w="55" w:type="dxa"/>
              <w:start w:w="65" w:type="dxa"/>
              <w:bottom w:w="55" w:type="dxa"/>
              <w:end w:w="65" w:type="dxa"/>
            </w:tcMar>
            <w:vAlign w:val="center"/>
          </w:tcPr>
          <w:p>
            <w:pPr>
              <w:spacing w:after="0"/>
            </w:pPr>
            <w:r>
              <w:rPr>
                <w:sz w:val="15"/>
              </w:rPr>
            </w:r>
            <w:r>
              <w:rPr>
                <w:b/>
                <w:color w:val="FFFFFF"/>
                <w:sz w:val="15"/>
              </w:rPr>
              <w:t>Decision</w:t>
            </w:r>
          </w:p>
        </w:tc>
        <w:tc>
          <w:tcPr>
            <w:tcW w:type="dxa" w:w="1493"/>
            <w:shd w:fill="17365D"/>
            <w:tcMar>
              <w:top w:w="55" w:type="dxa"/>
              <w:start w:w="65" w:type="dxa"/>
              <w:bottom w:w="55" w:type="dxa"/>
              <w:end w:w="65" w:type="dxa"/>
            </w:tcMar>
            <w:vAlign w:val="center"/>
          </w:tcPr>
          <w:p>
            <w:pPr>
              <w:spacing w:after="0"/>
            </w:pPr>
            <w:r>
              <w:rPr>
                <w:sz w:val="15"/>
              </w:rPr>
            </w:r>
            <w:r>
              <w:rPr>
                <w:b/>
                <w:color w:val="FFFFFF"/>
                <w:sz w:val="15"/>
              </w:rPr>
              <w:t>Route</w:t>
            </w:r>
          </w:p>
        </w:tc>
      </w:tr>
      <w:tr>
        <w:trPr>
          <w:cantSplit/>
        </w:trPr>
        <w:tc>
          <w:tcPr>
            <w:tcW w:type="dxa" w:w="1493"/>
            <w:vAlign w:val="center"/>
            <w:tcMar>
              <w:top w:w="55" w:type="dxa"/>
              <w:start w:w="65" w:type="dxa"/>
              <w:bottom w:w="55" w:type="dxa"/>
              <w:end w:w="65" w:type="dxa"/>
            </w:tcMar>
          </w:tcPr>
          <w:p>
            <w:pPr>
              <w:spacing w:after="0"/>
            </w:pPr>
            <w:r>
              <w:rPr>
                <w:sz w:val="15"/>
              </w:rPr>
              <w:t>1</w:t>
            </w:r>
          </w:p>
        </w:tc>
        <w:tc>
          <w:tcPr>
            <w:tcW w:type="dxa" w:w="1493"/>
            <w:vAlign w:val="center"/>
            <w:tcMar>
              <w:top w:w="55" w:type="dxa"/>
              <w:start w:w="65" w:type="dxa"/>
              <w:bottom w:w="55" w:type="dxa"/>
              <w:end w:w="65" w:type="dxa"/>
            </w:tcMar>
          </w:tcPr>
          <w:p>
            <w:pPr>
              <w:spacing w:after="0"/>
            </w:pPr>
            <w:r>
              <w:rPr>
                <w:sz w:val="15"/>
              </w:rPr>
              <w:t>A</w:t>
            </w:r>
          </w:p>
        </w:tc>
        <w:tc>
          <w:tcPr>
            <w:tcW w:type="dxa" w:w="1493"/>
            <w:vAlign w:val="center"/>
            <w:tcMar>
              <w:top w:w="55" w:type="dxa"/>
              <w:start w:w="65" w:type="dxa"/>
              <w:bottom w:w="55" w:type="dxa"/>
              <w:end w:w="65" w:type="dxa"/>
            </w:tcMar>
          </w:tcPr>
          <w:p>
            <w:pPr>
              <w:spacing w:after="0"/>
            </w:pPr>
            <w:r>
              <w:rPr>
                <w:sz w:val="15"/>
              </w:rPr>
              <w:t>2B</w:t>
            </w:r>
          </w:p>
        </w:tc>
        <w:tc>
          <w:tcPr>
            <w:tcW w:type="dxa" w:w="1493"/>
            <w:vAlign w:val="center"/>
            <w:tcMar>
              <w:top w:w="55" w:type="dxa"/>
              <w:start w:w="65" w:type="dxa"/>
              <w:bottom w:w="55" w:type="dxa"/>
              <w:end w:w="65" w:type="dxa"/>
            </w:tcMar>
          </w:tcPr>
          <w:p>
            <w:pPr>
              <w:spacing w:after="0"/>
            </w:pPr>
            <w:r>
              <w:rPr>
                <w:sz w:val="15"/>
              </w:rPr>
              <w:t>Easy</w:t>
            </w:r>
          </w:p>
        </w:tc>
        <w:tc>
          <w:tcPr>
            <w:tcW w:type="dxa" w:w="1493"/>
            <w:vAlign w:val="center"/>
            <w:tcMar>
              <w:top w:w="55" w:type="dxa"/>
              <w:start w:w="65" w:type="dxa"/>
              <w:bottom w:w="55" w:type="dxa"/>
              <w:end w:w="65" w:type="dxa"/>
            </w:tcMar>
          </w:tcPr>
          <w:p>
            <w:pPr>
              <w:spacing w:after="0"/>
            </w:pPr>
            <w:r>
              <w:rPr>
                <w:sz w:val="15"/>
              </w:rPr>
              <w:t>Foundational</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WB1</w:t>
            </w:r>
          </w:p>
        </w:tc>
      </w:tr>
      <w:tr>
        <w:trPr>
          <w:cantSplit/>
        </w:trPr>
        <w:tc>
          <w:tcPr>
            <w:tcW w:type="dxa" w:w="1493"/>
            <w:vAlign w:val="center"/>
            <w:tcMar>
              <w:top w:w="55" w:type="dxa"/>
              <w:start w:w="65" w:type="dxa"/>
              <w:bottom w:w="55" w:type="dxa"/>
              <w:end w:w="65" w:type="dxa"/>
            </w:tcMar>
            <w:shd w:fill="F2F4F7"/>
          </w:tcPr>
          <w:p>
            <w:pPr>
              <w:spacing w:after="0"/>
            </w:pPr>
            <w:r>
              <w:rPr>
                <w:sz w:val="15"/>
              </w:rPr>
              <w:t>2</w:t>
            </w:r>
          </w:p>
        </w:tc>
        <w:tc>
          <w:tcPr>
            <w:tcW w:type="dxa" w:w="1493"/>
            <w:vAlign w:val="center"/>
            <w:tcMar>
              <w:top w:w="55" w:type="dxa"/>
              <w:start w:w="65" w:type="dxa"/>
              <w:bottom w:w="55" w:type="dxa"/>
              <w:end w:w="65" w:type="dxa"/>
            </w:tcMar>
            <w:shd w:fill="F2F4F7"/>
          </w:tcPr>
          <w:p>
            <w:pPr>
              <w:spacing w:after="0"/>
            </w:pPr>
            <w:r>
              <w:rPr>
                <w:sz w:val="15"/>
              </w:rPr>
              <w:t>C</w:t>
            </w:r>
          </w:p>
        </w:tc>
        <w:tc>
          <w:tcPr>
            <w:tcW w:type="dxa" w:w="1493"/>
            <w:vAlign w:val="center"/>
            <w:tcMar>
              <w:top w:w="55" w:type="dxa"/>
              <w:start w:w="65" w:type="dxa"/>
              <w:bottom w:w="55" w:type="dxa"/>
              <w:end w:w="65" w:type="dxa"/>
            </w:tcMar>
            <w:shd w:fill="F2F4F7"/>
          </w:tcPr>
          <w:p>
            <w:pPr>
              <w:spacing w:after="0"/>
            </w:pPr>
            <w:r>
              <w:rPr>
                <w:sz w:val="15"/>
              </w:rPr>
              <w:t>1A</w:t>
            </w:r>
          </w:p>
        </w:tc>
        <w:tc>
          <w:tcPr>
            <w:tcW w:type="dxa" w:w="1493"/>
            <w:vAlign w:val="center"/>
            <w:tcMar>
              <w:top w:w="55" w:type="dxa"/>
              <w:start w:w="65" w:type="dxa"/>
              <w:bottom w:w="55" w:type="dxa"/>
              <w:end w:w="65" w:type="dxa"/>
            </w:tcMar>
            <w:shd w:fill="F2F4F7"/>
          </w:tcPr>
          <w:p>
            <w:pPr>
              <w:spacing w:after="0"/>
            </w:pPr>
            <w:r>
              <w:rPr>
                <w:sz w:val="15"/>
              </w:rPr>
              <w:t>Difficult</w:t>
            </w:r>
          </w:p>
        </w:tc>
        <w:tc>
          <w:tcPr>
            <w:tcW w:type="dxa" w:w="1493"/>
            <w:vAlign w:val="center"/>
            <w:tcMar>
              <w:top w:w="55" w:type="dxa"/>
              <w:start w:w="65" w:type="dxa"/>
              <w:bottom w:w="55" w:type="dxa"/>
              <w:end w:w="65" w:type="dxa"/>
            </w:tcMar>
            <w:shd w:fill="F2F4F7"/>
          </w:tcPr>
          <w:p>
            <w:pPr>
              <w:spacing w:after="0"/>
            </w:pPr>
            <w:r>
              <w:rPr>
                <w:sz w:val="15"/>
              </w:rPr>
              <w:t>Integrated</w:t>
            </w:r>
          </w:p>
        </w:tc>
        <w:tc>
          <w:tcPr>
            <w:tcW w:type="dxa" w:w="1493"/>
            <w:vAlign w:val="center"/>
            <w:tcMar>
              <w:top w:w="55" w:type="dxa"/>
              <w:start w:w="65" w:type="dxa"/>
              <w:bottom w:w="55" w:type="dxa"/>
              <w:end w:w="65" w:type="dxa"/>
            </w:tcMar>
            <w:shd w:fill="F2F4F7"/>
          </w:tcPr>
          <w:p>
            <w:pPr>
              <w:spacing w:after="0"/>
            </w:pPr>
            <w:r>
              <w:rPr>
                <w:sz w:val="15"/>
              </w:rPr>
              <w:t>Sequence</w:t>
            </w:r>
          </w:p>
        </w:tc>
        <w:tc>
          <w:tcPr>
            <w:tcW w:type="dxa" w:w="1493"/>
            <w:vAlign w:val="center"/>
            <w:tcMar>
              <w:top w:w="55" w:type="dxa"/>
              <w:start w:w="65" w:type="dxa"/>
              <w:bottom w:w="55" w:type="dxa"/>
              <w:end w:w="65" w:type="dxa"/>
            </w:tcMar>
            <w:shd w:fill="F2F4F7"/>
          </w:tcPr>
          <w:p>
            <w:pPr>
              <w:spacing w:after="0"/>
            </w:pPr>
            <w:r>
              <w:rPr>
                <w:sz w:val="15"/>
              </w:rPr>
              <w:t>WB1</w:t>
            </w:r>
          </w:p>
        </w:tc>
      </w:tr>
      <w:tr>
        <w:trPr>
          <w:cantSplit/>
        </w:trPr>
        <w:tc>
          <w:tcPr>
            <w:tcW w:type="dxa" w:w="1493"/>
            <w:vAlign w:val="center"/>
            <w:tcMar>
              <w:top w:w="55" w:type="dxa"/>
              <w:start w:w="65" w:type="dxa"/>
              <w:bottom w:w="55" w:type="dxa"/>
              <w:end w:w="65" w:type="dxa"/>
            </w:tcMar>
          </w:tcPr>
          <w:p>
            <w:pPr>
              <w:spacing w:after="0"/>
            </w:pPr>
            <w:r>
              <w:rPr>
                <w:sz w:val="15"/>
              </w:rPr>
              <w:t>3</w:t>
            </w:r>
          </w:p>
        </w:tc>
        <w:tc>
          <w:tcPr>
            <w:tcW w:type="dxa" w:w="1493"/>
            <w:vAlign w:val="center"/>
            <w:tcMar>
              <w:top w:w="55" w:type="dxa"/>
              <w:start w:w="65" w:type="dxa"/>
              <w:bottom w:w="55" w:type="dxa"/>
              <w:end w:w="65" w:type="dxa"/>
            </w:tcMar>
          </w:tcPr>
          <w:p>
            <w:pPr>
              <w:spacing w:after="0"/>
            </w:pPr>
            <w:r>
              <w:rPr>
                <w:sz w:val="15"/>
              </w:rPr>
              <w:t>C</w:t>
            </w:r>
          </w:p>
        </w:tc>
        <w:tc>
          <w:tcPr>
            <w:tcW w:type="dxa" w:w="1493"/>
            <w:vAlign w:val="center"/>
            <w:tcMar>
              <w:top w:w="55" w:type="dxa"/>
              <w:start w:w="65" w:type="dxa"/>
              <w:bottom w:w="55" w:type="dxa"/>
              <w:end w:w="65" w:type="dxa"/>
            </w:tcMar>
          </w:tcPr>
          <w:p>
            <w:pPr>
              <w:spacing w:after="0"/>
            </w:pPr>
            <w:r>
              <w:rPr>
                <w:sz w:val="15"/>
              </w:rPr>
              <w:t>2B</w:t>
            </w:r>
          </w:p>
        </w:tc>
        <w:tc>
          <w:tcPr>
            <w:tcW w:type="dxa" w:w="1493"/>
            <w:vAlign w:val="center"/>
            <w:tcMar>
              <w:top w:w="55" w:type="dxa"/>
              <w:start w:w="65" w:type="dxa"/>
              <w:bottom w:w="55" w:type="dxa"/>
              <w:end w:w="65" w:type="dxa"/>
            </w:tcMar>
          </w:tcPr>
          <w:p>
            <w:pPr>
              <w:spacing w:after="0"/>
            </w:pPr>
            <w:r>
              <w:rPr>
                <w:sz w:val="15"/>
              </w:rPr>
              <w:t>Difficult</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WB6</w:t>
            </w:r>
          </w:p>
        </w:tc>
      </w:tr>
      <w:tr>
        <w:trPr>
          <w:cantSplit/>
        </w:trPr>
        <w:tc>
          <w:tcPr>
            <w:tcW w:type="dxa" w:w="1493"/>
            <w:vAlign w:val="center"/>
            <w:tcMar>
              <w:top w:w="55" w:type="dxa"/>
              <w:start w:w="65" w:type="dxa"/>
              <w:bottom w:w="55" w:type="dxa"/>
              <w:end w:w="65" w:type="dxa"/>
            </w:tcMar>
            <w:shd w:fill="F2F4F7"/>
          </w:tcPr>
          <w:p>
            <w:pPr>
              <w:spacing w:after="0"/>
            </w:pPr>
            <w:r>
              <w:rPr>
                <w:sz w:val="15"/>
              </w:rPr>
              <w:t>4</w:t>
            </w:r>
          </w:p>
        </w:tc>
        <w:tc>
          <w:tcPr>
            <w:tcW w:type="dxa" w:w="1493"/>
            <w:vAlign w:val="center"/>
            <w:tcMar>
              <w:top w:w="55" w:type="dxa"/>
              <w:start w:w="65" w:type="dxa"/>
              <w:bottom w:w="55" w:type="dxa"/>
              <w:end w:w="65" w:type="dxa"/>
            </w:tcMar>
            <w:shd w:fill="F2F4F7"/>
          </w:tcPr>
          <w:p>
            <w:pPr>
              <w:spacing w:after="0"/>
            </w:pPr>
            <w:r>
              <w:rPr>
                <w:sz w:val="15"/>
              </w:rPr>
              <w:t>C</w:t>
            </w:r>
          </w:p>
        </w:tc>
        <w:tc>
          <w:tcPr>
            <w:tcW w:type="dxa" w:w="1493"/>
            <w:vAlign w:val="center"/>
            <w:tcMar>
              <w:top w:w="55" w:type="dxa"/>
              <w:start w:w="65" w:type="dxa"/>
              <w:bottom w:w="55" w:type="dxa"/>
              <w:end w:w="65" w:type="dxa"/>
            </w:tcMar>
            <w:shd w:fill="F2F4F7"/>
          </w:tcPr>
          <w:p>
            <w:pPr>
              <w:spacing w:after="0"/>
            </w:pPr>
            <w:r>
              <w:rPr>
                <w:sz w:val="15"/>
              </w:rPr>
              <w:t>2A</w:t>
            </w:r>
          </w:p>
        </w:tc>
        <w:tc>
          <w:tcPr>
            <w:tcW w:type="dxa" w:w="1493"/>
            <w:vAlign w:val="center"/>
            <w:tcMar>
              <w:top w:w="55" w:type="dxa"/>
              <w:start w:w="65" w:type="dxa"/>
              <w:bottom w:w="55" w:type="dxa"/>
              <w:end w:w="65" w:type="dxa"/>
            </w:tcMar>
            <w:shd w:fill="F2F4F7"/>
          </w:tcPr>
          <w:p>
            <w:pPr>
              <w:spacing w:after="0"/>
            </w:pPr>
            <w:r>
              <w:rPr>
                <w:sz w:val="15"/>
              </w:rPr>
              <w:t>Difficult</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WB6</w:t>
            </w:r>
          </w:p>
        </w:tc>
      </w:tr>
      <w:tr>
        <w:trPr>
          <w:cantSplit/>
        </w:trPr>
        <w:tc>
          <w:tcPr>
            <w:tcW w:type="dxa" w:w="1493"/>
            <w:vAlign w:val="center"/>
            <w:tcMar>
              <w:top w:w="55" w:type="dxa"/>
              <w:start w:w="65" w:type="dxa"/>
              <w:bottom w:w="55" w:type="dxa"/>
              <w:end w:w="65" w:type="dxa"/>
            </w:tcMar>
          </w:tcPr>
          <w:p>
            <w:pPr>
              <w:spacing w:after="0"/>
            </w:pPr>
            <w:r>
              <w:rPr>
                <w:sz w:val="15"/>
              </w:rPr>
              <w:t>5</w:t>
            </w:r>
          </w:p>
        </w:tc>
        <w:tc>
          <w:tcPr>
            <w:tcW w:type="dxa" w:w="1493"/>
            <w:vAlign w:val="center"/>
            <w:tcMar>
              <w:top w:w="55" w:type="dxa"/>
              <w:start w:w="65" w:type="dxa"/>
              <w:bottom w:w="55" w:type="dxa"/>
              <w:end w:w="65" w:type="dxa"/>
            </w:tcMar>
          </w:tcPr>
          <w:p>
            <w:pPr>
              <w:spacing w:after="0"/>
            </w:pPr>
            <w:r>
              <w:rPr>
                <w:sz w:val="15"/>
              </w:rPr>
              <w:t>A</w:t>
            </w:r>
          </w:p>
        </w:tc>
        <w:tc>
          <w:tcPr>
            <w:tcW w:type="dxa" w:w="1493"/>
            <w:vAlign w:val="center"/>
            <w:tcMar>
              <w:top w:w="55" w:type="dxa"/>
              <w:start w:w="65" w:type="dxa"/>
              <w:bottom w:w="55" w:type="dxa"/>
              <w:end w:w="65" w:type="dxa"/>
            </w:tcMar>
          </w:tcPr>
          <w:p>
            <w:pPr>
              <w:spacing w:after="0"/>
            </w:pPr>
            <w:r>
              <w:rPr>
                <w:sz w:val="15"/>
              </w:rPr>
              <w:t>2C</w:t>
            </w:r>
          </w:p>
        </w:tc>
        <w:tc>
          <w:tcPr>
            <w:tcW w:type="dxa" w:w="1493"/>
            <w:vAlign w:val="center"/>
            <w:tcMar>
              <w:top w:w="55" w:type="dxa"/>
              <w:start w:w="65" w:type="dxa"/>
              <w:bottom w:w="55" w:type="dxa"/>
              <w:end w:w="65" w:type="dxa"/>
            </w:tcMar>
          </w:tcPr>
          <w:p>
            <w:pPr>
              <w:spacing w:after="0"/>
            </w:pPr>
            <w:r>
              <w:rPr>
                <w:sz w:val="15"/>
              </w:rPr>
              <w:t>Easy</w:t>
            </w:r>
          </w:p>
        </w:tc>
        <w:tc>
          <w:tcPr>
            <w:tcW w:type="dxa" w:w="1493"/>
            <w:vAlign w:val="center"/>
            <w:tcMar>
              <w:top w:w="55" w:type="dxa"/>
              <w:start w:w="65" w:type="dxa"/>
              <w:bottom w:w="55" w:type="dxa"/>
              <w:end w:w="65" w:type="dxa"/>
            </w:tcMar>
          </w:tcPr>
          <w:p>
            <w:pPr>
              <w:spacing w:after="0"/>
            </w:pPr>
            <w:r>
              <w:rPr>
                <w:sz w:val="15"/>
              </w:rPr>
              <w:t>Foundational</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WB3</w:t>
            </w:r>
          </w:p>
        </w:tc>
      </w:tr>
      <w:tr>
        <w:trPr>
          <w:cantSplit/>
        </w:trPr>
        <w:tc>
          <w:tcPr>
            <w:tcW w:type="dxa" w:w="1493"/>
            <w:vAlign w:val="center"/>
            <w:tcMar>
              <w:top w:w="55" w:type="dxa"/>
              <w:start w:w="65" w:type="dxa"/>
              <w:bottom w:w="55" w:type="dxa"/>
              <w:end w:w="65" w:type="dxa"/>
            </w:tcMar>
            <w:shd w:fill="F2F4F7"/>
          </w:tcPr>
          <w:p>
            <w:pPr>
              <w:spacing w:after="0"/>
            </w:pPr>
            <w:r>
              <w:rPr>
                <w:sz w:val="15"/>
              </w:rPr>
              <w:t>6</w:t>
            </w:r>
          </w:p>
        </w:tc>
        <w:tc>
          <w:tcPr>
            <w:tcW w:type="dxa" w:w="1493"/>
            <w:vAlign w:val="center"/>
            <w:tcMar>
              <w:top w:w="55" w:type="dxa"/>
              <w:start w:w="65" w:type="dxa"/>
              <w:bottom w:w="55" w:type="dxa"/>
              <w:end w:w="65" w:type="dxa"/>
            </w:tcMar>
            <w:shd w:fill="F2F4F7"/>
          </w:tcPr>
          <w:p>
            <w:pPr>
              <w:spacing w:after="0"/>
            </w:pPr>
            <w:r>
              <w:rPr>
                <w:sz w:val="15"/>
              </w:rPr>
              <w:t>B</w:t>
            </w:r>
          </w:p>
        </w:tc>
        <w:tc>
          <w:tcPr>
            <w:tcW w:type="dxa" w:w="1493"/>
            <w:vAlign w:val="center"/>
            <w:tcMar>
              <w:top w:w="55" w:type="dxa"/>
              <w:start w:w="65" w:type="dxa"/>
              <w:bottom w:w="55" w:type="dxa"/>
              <w:end w:w="65" w:type="dxa"/>
            </w:tcMar>
            <w:shd w:fill="F2F4F7"/>
          </w:tcPr>
          <w:p>
            <w:pPr>
              <w:spacing w:after="0"/>
            </w:pPr>
            <w:r>
              <w:rPr>
                <w:sz w:val="15"/>
              </w:rPr>
              <w:t>2B</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WB4</w:t>
            </w:r>
          </w:p>
        </w:tc>
      </w:tr>
      <w:tr>
        <w:trPr>
          <w:cantSplit/>
        </w:trPr>
        <w:tc>
          <w:tcPr>
            <w:tcW w:type="dxa" w:w="1493"/>
            <w:vAlign w:val="center"/>
            <w:tcMar>
              <w:top w:w="55" w:type="dxa"/>
              <w:start w:w="65" w:type="dxa"/>
              <w:bottom w:w="55" w:type="dxa"/>
              <w:end w:w="65" w:type="dxa"/>
            </w:tcMar>
          </w:tcPr>
          <w:p>
            <w:pPr>
              <w:spacing w:after="0"/>
            </w:pPr>
            <w:r>
              <w:rPr>
                <w:sz w:val="15"/>
              </w:rPr>
              <w:t>7</w:t>
            </w:r>
          </w:p>
        </w:tc>
        <w:tc>
          <w:tcPr>
            <w:tcW w:type="dxa" w:w="1493"/>
            <w:vAlign w:val="center"/>
            <w:tcMar>
              <w:top w:w="55" w:type="dxa"/>
              <w:start w:w="65" w:type="dxa"/>
              <w:bottom w:w="55" w:type="dxa"/>
              <w:end w:w="65" w:type="dxa"/>
            </w:tcMar>
          </w:tcPr>
          <w:p>
            <w:pPr>
              <w:spacing w:after="0"/>
            </w:pPr>
            <w:r>
              <w:rPr>
                <w:sz w:val="15"/>
              </w:rPr>
              <w:t>C</w:t>
            </w:r>
          </w:p>
        </w:tc>
        <w:tc>
          <w:tcPr>
            <w:tcW w:type="dxa" w:w="1493"/>
            <w:vAlign w:val="center"/>
            <w:tcMar>
              <w:top w:w="55" w:type="dxa"/>
              <w:start w:w="65" w:type="dxa"/>
              <w:bottom w:w="55" w:type="dxa"/>
              <w:end w:w="65" w:type="dxa"/>
            </w:tcMar>
          </w:tcPr>
          <w:p>
            <w:pPr>
              <w:spacing w:after="0"/>
            </w:pPr>
            <w:r>
              <w:rPr>
                <w:sz w:val="15"/>
              </w:rPr>
              <w:t>2C</w:t>
            </w:r>
          </w:p>
        </w:tc>
        <w:tc>
          <w:tcPr>
            <w:tcW w:type="dxa" w:w="1493"/>
            <w:vAlign w:val="center"/>
            <w:tcMar>
              <w:top w:w="55" w:type="dxa"/>
              <w:start w:w="65" w:type="dxa"/>
              <w:bottom w:w="55" w:type="dxa"/>
              <w:end w:w="65" w:type="dxa"/>
            </w:tcMar>
          </w:tcPr>
          <w:p>
            <w:pPr>
              <w:spacing w:after="0"/>
            </w:pPr>
            <w:r>
              <w:rPr>
                <w:sz w:val="15"/>
              </w:rPr>
              <w:t>Easy</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WB4</w:t>
            </w:r>
          </w:p>
        </w:tc>
      </w:tr>
      <w:tr>
        <w:trPr>
          <w:cantSplit/>
        </w:trPr>
        <w:tc>
          <w:tcPr>
            <w:tcW w:type="dxa" w:w="1493"/>
            <w:vAlign w:val="center"/>
            <w:tcMar>
              <w:top w:w="55" w:type="dxa"/>
              <w:start w:w="65" w:type="dxa"/>
              <w:bottom w:w="55" w:type="dxa"/>
              <w:end w:w="65" w:type="dxa"/>
            </w:tcMar>
            <w:shd w:fill="F2F4F7"/>
          </w:tcPr>
          <w:p>
            <w:pPr>
              <w:spacing w:after="0"/>
            </w:pPr>
            <w:r>
              <w:rPr>
                <w:sz w:val="15"/>
              </w:rPr>
              <w:t>8</w:t>
            </w:r>
          </w:p>
        </w:tc>
        <w:tc>
          <w:tcPr>
            <w:tcW w:type="dxa" w:w="1493"/>
            <w:vAlign w:val="center"/>
            <w:tcMar>
              <w:top w:w="55" w:type="dxa"/>
              <w:start w:w="65" w:type="dxa"/>
              <w:bottom w:w="55" w:type="dxa"/>
              <w:end w:w="65" w:type="dxa"/>
            </w:tcMar>
            <w:shd w:fill="F2F4F7"/>
          </w:tcPr>
          <w:p>
            <w:pPr>
              <w:spacing w:after="0"/>
            </w:pPr>
            <w:r>
              <w:rPr>
                <w:sz w:val="15"/>
              </w:rPr>
              <w:t>B</w:t>
            </w:r>
          </w:p>
        </w:tc>
        <w:tc>
          <w:tcPr>
            <w:tcW w:type="dxa" w:w="1493"/>
            <w:vAlign w:val="center"/>
            <w:tcMar>
              <w:top w:w="55" w:type="dxa"/>
              <w:start w:w="65" w:type="dxa"/>
              <w:bottom w:w="55" w:type="dxa"/>
              <w:end w:w="65" w:type="dxa"/>
            </w:tcMar>
            <w:shd w:fill="F2F4F7"/>
          </w:tcPr>
          <w:p>
            <w:pPr>
              <w:spacing w:after="0"/>
            </w:pPr>
            <w:r>
              <w:rPr>
                <w:sz w:val="15"/>
              </w:rPr>
              <w:t>2C</w:t>
            </w:r>
          </w:p>
        </w:tc>
        <w:tc>
          <w:tcPr>
            <w:tcW w:type="dxa" w:w="1493"/>
            <w:vAlign w:val="center"/>
            <w:tcMar>
              <w:top w:w="55" w:type="dxa"/>
              <w:start w:w="65" w:type="dxa"/>
              <w:bottom w:w="55" w:type="dxa"/>
              <w:end w:w="65" w:type="dxa"/>
            </w:tcMar>
            <w:shd w:fill="F2F4F7"/>
          </w:tcPr>
          <w:p>
            <w:pPr>
              <w:spacing w:after="0"/>
            </w:pPr>
            <w:r>
              <w:rPr>
                <w:sz w:val="15"/>
              </w:rPr>
              <w:t>Difficult</w:t>
            </w:r>
          </w:p>
        </w:tc>
        <w:tc>
          <w:tcPr>
            <w:tcW w:type="dxa" w:w="1493"/>
            <w:vAlign w:val="center"/>
            <w:tcMar>
              <w:top w:w="55" w:type="dxa"/>
              <w:start w:w="65" w:type="dxa"/>
              <w:bottom w:w="55" w:type="dxa"/>
              <w:end w:w="65" w:type="dxa"/>
            </w:tcMar>
            <w:shd w:fill="F2F4F7"/>
          </w:tcPr>
          <w:p>
            <w:pPr>
              <w:spacing w:after="0"/>
            </w:pPr>
            <w:r>
              <w:rPr>
                <w:sz w:val="15"/>
              </w:rPr>
              <w:t>Integrated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WB7</w:t>
            </w:r>
          </w:p>
        </w:tc>
      </w:tr>
      <w:tr>
        <w:trPr>
          <w:cantSplit/>
        </w:trPr>
        <w:tc>
          <w:tcPr>
            <w:tcW w:type="dxa" w:w="1493"/>
            <w:vAlign w:val="center"/>
            <w:tcMar>
              <w:top w:w="55" w:type="dxa"/>
              <w:start w:w="65" w:type="dxa"/>
              <w:bottom w:w="55" w:type="dxa"/>
              <w:end w:w="65" w:type="dxa"/>
            </w:tcMar>
          </w:tcPr>
          <w:p>
            <w:pPr>
              <w:spacing w:after="0"/>
            </w:pPr>
            <w:r>
              <w:rPr>
                <w:sz w:val="15"/>
              </w:rPr>
              <w:t>9</w:t>
            </w:r>
          </w:p>
        </w:tc>
        <w:tc>
          <w:tcPr>
            <w:tcW w:type="dxa" w:w="1493"/>
            <w:vAlign w:val="center"/>
            <w:tcMar>
              <w:top w:w="55" w:type="dxa"/>
              <w:start w:w="65" w:type="dxa"/>
              <w:bottom w:w="55" w:type="dxa"/>
              <w:end w:w="65" w:type="dxa"/>
            </w:tcMar>
          </w:tcPr>
          <w:p>
            <w:pPr>
              <w:spacing w:after="0"/>
            </w:pPr>
            <w:r>
              <w:rPr>
                <w:sz w:val="15"/>
              </w:rPr>
              <w:t>D</w:t>
            </w:r>
          </w:p>
        </w:tc>
        <w:tc>
          <w:tcPr>
            <w:tcW w:type="dxa" w:w="1493"/>
            <w:vAlign w:val="center"/>
            <w:tcMar>
              <w:top w:w="55" w:type="dxa"/>
              <w:start w:w="65" w:type="dxa"/>
              <w:bottom w:w="55" w:type="dxa"/>
              <w:end w:w="65" w:type="dxa"/>
            </w:tcMar>
          </w:tcPr>
          <w:p>
            <w:pPr>
              <w:spacing w:after="0"/>
            </w:pPr>
            <w:r>
              <w:rPr>
                <w:sz w:val="15"/>
              </w:rPr>
              <w:t>1B</w:t>
            </w:r>
          </w:p>
        </w:tc>
        <w:tc>
          <w:tcPr>
            <w:tcW w:type="dxa" w:w="1493"/>
            <w:vAlign w:val="center"/>
            <w:tcMar>
              <w:top w:w="55" w:type="dxa"/>
              <w:start w:w="65" w:type="dxa"/>
              <w:bottom w:w="55" w:type="dxa"/>
              <w:end w:w="65" w:type="dxa"/>
            </w:tcMar>
          </w:tcPr>
          <w:p>
            <w:pPr>
              <w:spacing w:after="0"/>
            </w:pPr>
            <w:r>
              <w:rPr>
                <w:sz w:val="15"/>
              </w:rPr>
              <w:t>Difficult</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Sequence</w:t>
            </w:r>
          </w:p>
        </w:tc>
        <w:tc>
          <w:tcPr>
            <w:tcW w:type="dxa" w:w="1493"/>
            <w:vAlign w:val="center"/>
            <w:tcMar>
              <w:top w:w="55" w:type="dxa"/>
              <w:start w:w="65" w:type="dxa"/>
              <w:bottom w:w="55" w:type="dxa"/>
              <w:end w:w="65" w:type="dxa"/>
            </w:tcMar>
          </w:tcPr>
          <w:p>
            <w:pPr>
              <w:spacing w:after="0"/>
            </w:pPr>
            <w:r>
              <w:rPr>
                <w:sz w:val="15"/>
              </w:rPr>
              <w:t>WB5</w:t>
            </w:r>
          </w:p>
        </w:tc>
      </w:tr>
      <w:tr>
        <w:trPr>
          <w:cantSplit/>
        </w:trPr>
        <w:tc>
          <w:tcPr>
            <w:tcW w:type="dxa" w:w="1493"/>
            <w:vAlign w:val="center"/>
            <w:tcMar>
              <w:top w:w="55" w:type="dxa"/>
              <w:start w:w="65" w:type="dxa"/>
              <w:bottom w:w="55" w:type="dxa"/>
              <w:end w:w="65" w:type="dxa"/>
            </w:tcMar>
            <w:shd w:fill="F2F4F7"/>
          </w:tcPr>
          <w:p>
            <w:pPr>
              <w:spacing w:after="0"/>
            </w:pPr>
            <w:r>
              <w:rPr>
                <w:sz w:val="15"/>
              </w:rPr>
              <w:t>10</w:t>
            </w:r>
          </w:p>
        </w:tc>
        <w:tc>
          <w:tcPr>
            <w:tcW w:type="dxa" w:w="1493"/>
            <w:vAlign w:val="center"/>
            <w:tcMar>
              <w:top w:w="55" w:type="dxa"/>
              <w:start w:w="65" w:type="dxa"/>
              <w:bottom w:w="55" w:type="dxa"/>
              <w:end w:w="65" w:type="dxa"/>
            </w:tcMar>
            <w:shd w:fill="F2F4F7"/>
          </w:tcPr>
          <w:p>
            <w:pPr>
              <w:spacing w:after="0"/>
            </w:pPr>
            <w:r>
              <w:rPr>
                <w:sz w:val="15"/>
              </w:rPr>
              <w:t>D</w:t>
            </w:r>
          </w:p>
        </w:tc>
        <w:tc>
          <w:tcPr>
            <w:tcW w:type="dxa" w:w="1493"/>
            <w:vAlign w:val="center"/>
            <w:tcMar>
              <w:top w:w="55" w:type="dxa"/>
              <w:start w:w="65" w:type="dxa"/>
              <w:bottom w:w="55" w:type="dxa"/>
              <w:end w:w="65" w:type="dxa"/>
            </w:tcMar>
            <w:shd w:fill="F2F4F7"/>
          </w:tcPr>
          <w:p>
            <w:pPr>
              <w:spacing w:after="0"/>
            </w:pPr>
            <w:r>
              <w:rPr>
                <w:sz w:val="15"/>
              </w:rPr>
              <w:t>1C</w:t>
            </w:r>
          </w:p>
        </w:tc>
        <w:tc>
          <w:tcPr>
            <w:tcW w:type="dxa" w:w="1493"/>
            <w:vAlign w:val="center"/>
            <w:tcMar>
              <w:top w:w="55" w:type="dxa"/>
              <w:start w:w="65" w:type="dxa"/>
              <w:bottom w:w="55" w:type="dxa"/>
              <w:end w:w="65" w:type="dxa"/>
            </w:tcMar>
            <w:shd w:fill="F2F4F7"/>
          </w:tcPr>
          <w:p>
            <w:pPr>
              <w:spacing w:after="0"/>
            </w:pPr>
            <w:r>
              <w:rPr>
                <w:sz w:val="15"/>
              </w:rPr>
              <w:t>Easy</w:t>
            </w:r>
          </w:p>
        </w:tc>
        <w:tc>
          <w:tcPr>
            <w:tcW w:type="dxa" w:w="1493"/>
            <w:vAlign w:val="center"/>
            <w:tcMar>
              <w:top w:w="55" w:type="dxa"/>
              <w:start w:w="65" w:type="dxa"/>
              <w:bottom w:w="55" w:type="dxa"/>
              <w:end w:w="65" w:type="dxa"/>
            </w:tcMar>
            <w:shd w:fill="F2F4F7"/>
          </w:tcPr>
          <w:p>
            <w:pPr>
              <w:spacing w:after="0"/>
            </w:pPr>
            <w:r>
              <w:rPr>
                <w:sz w:val="15"/>
              </w:rPr>
              <w:t>Foundational</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WB3</w:t>
            </w:r>
          </w:p>
        </w:tc>
      </w:tr>
      <w:tr>
        <w:trPr>
          <w:cantSplit/>
        </w:trPr>
        <w:tc>
          <w:tcPr>
            <w:tcW w:type="dxa" w:w="1493"/>
            <w:vAlign w:val="center"/>
            <w:tcMar>
              <w:top w:w="55" w:type="dxa"/>
              <w:start w:w="65" w:type="dxa"/>
              <w:bottom w:w="55" w:type="dxa"/>
              <w:end w:w="65" w:type="dxa"/>
            </w:tcMar>
          </w:tcPr>
          <w:p>
            <w:pPr>
              <w:spacing w:after="0"/>
            </w:pPr>
            <w:r>
              <w:rPr>
                <w:sz w:val="15"/>
              </w:rPr>
              <w:t>11</w:t>
            </w:r>
          </w:p>
        </w:tc>
        <w:tc>
          <w:tcPr>
            <w:tcW w:type="dxa" w:w="1493"/>
            <w:vAlign w:val="center"/>
            <w:tcMar>
              <w:top w:w="55" w:type="dxa"/>
              <w:start w:w="65" w:type="dxa"/>
              <w:bottom w:w="55" w:type="dxa"/>
              <w:end w:w="65" w:type="dxa"/>
            </w:tcMar>
          </w:tcPr>
          <w:p>
            <w:pPr>
              <w:spacing w:after="0"/>
            </w:pPr>
            <w:r>
              <w:rPr>
                <w:sz w:val="15"/>
              </w:rPr>
              <w:t>B</w:t>
            </w:r>
          </w:p>
        </w:tc>
        <w:tc>
          <w:tcPr>
            <w:tcW w:type="dxa" w:w="1493"/>
            <w:vAlign w:val="center"/>
            <w:tcMar>
              <w:top w:w="55" w:type="dxa"/>
              <w:start w:w="65" w:type="dxa"/>
              <w:bottom w:w="55" w:type="dxa"/>
              <w:end w:w="65" w:type="dxa"/>
            </w:tcMar>
          </w:tcPr>
          <w:p>
            <w:pPr>
              <w:spacing w:after="0"/>
            </w:pPr>
            <w:r>
              <w:rPr>
                <w:sz w:val="15"/>
              </w:rPr>
              <w:t>2B</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Sequence</w:t>
            </w:r>
          </w:p>
        </w:tc>
        <w:tc>
          <w:tcPr>
            <w:tcW w:type="dxa" w:w="1493"/>
            <w:vAlign w:val="center"/>
            <w:tcMar>
              <w:top w:w="55" w:type="dxa"/>
              <w:start w:w="65" w:type="dxa"/>
              <w:bottom w:w="55" w:type="dxa"/>
              <w:end w:w="65" w:type="dxa"/>
            </w:tcMar>
          </w:tcPr>
          <w:p>
            <w:pPr>
              <w:spacing w:after="0"/>
            </w:pPr>
            <w:r>
              <w:rPr>
                <w:sz w:val="15"/>
              </w:rPr>
              <w:t>WB4</w:t>
            </w:r>
          </w:p>
        </w:tc>
      </w:tr>
      <w:tr>
        <w:trPr>
          <w:cantSplit/>
        </w:trPr>
        <w:tc>
          <w:tcPr>
            <w:tcW w:type="dxa" w:w="1493"/>
            <w:vAlign w:val="center"/>
            <w:tcMar>
              <w:top w:w="55" w:type="dxa"/>
              <w:start w:w="65" w:type="dxa"/>
              <w:bottom w:w="55" w:type="dxa"/>
              <w:end w:w="65" w:type="dxa"/>
            </w:tcMar>
            <w:shd w:fill="F2F4F7"/>
          </w:tcPr>
          <w:p>
            <w:pPr>
              <w:spacing w:after="0"/>
            </w:pPr>
            <w:r>
              <w:rPr>
                <w:sz w:val="15"/>
              </w:rPr>
              <w:t>12</w:t>
            </w:r>
          </w:p>
        </w:tc>
        <w:tc>
          <w:tcPr>
            <w:tcW w:type="dxa" w:w="1493"/>
            <w:vAlign w:val="center"/>
            <w:tcMar>
              <w:top w:w="55" w:type="dxa"/>
              <w:start w:w="65" w:type="dxa"/>
              <w:bottom w:w="55" w:type="dxa"/>
              <w:end w:w="65" w:type="dxa"/>
            </w:tcMar>
            <w:shd w:fill="F2F4F7"/>
          </w:tcPr>
          <w:p>
            <w:pPr>
              <w:spacing w:after="0"/>
            </w:pPr>
            <w:r>
              <w:rPr>
                <w:sz w:val="15"/>
              </w:rPr>
              <w:t>C</w:t>
            </w:r>
          </w:p>
        </w:tc>
        <w:tc>
          <w:tcPr>
            <w:tcW w:type="dxa" w:w="1493"/>
            <w:vAlign w:val="center"/>
            <w:tcMar>
              <w:top w:w="55" w:type="dxa"/>
              <w:start w:w="65" w:type="dxa"/>
              <w:bottom w:w="55" w:type="dxa"/>
              <w:end w:w="65" w:type="dxa"/>
            </w:tcMar>
            <w:shd w:fill="F2F4F7"/>
          </w:tcPr>
          <w:p>
            <w:pPr>
              <w:spacing w:after="0"/>
            </w:pPr>
            <w:r>
              <w:rPr>
                <w:sz w:val="15"/>
              </w:rPr>
              <w:t>2B</w:t>
            </w:r>
          </w:p>
        </w:tc>
        <w:tc>
          <w:tcPr>
            <w:tcW w:type="dxa" w:w="1493"/>
            <w:vAlign w:val="center"/>
            <w:tcMar>
              <w:top w:w="55" w:type="dxa"/>
              <w:start w:w="65" w:type="dxa"/>
              <w:bottom w:w="55" w:type="dxa"/>
              <w:end w:w="65" w:type="dxa"/>
            </w:tcMar>
            <w:shd w:fill="F2F4F7"/>
          </w:tcPr>
          <w:p>
            <w:pPr>
              <w:spacing w:after="0"/>
            </w:pPr>
            <w:r>
              <w:rPr>
                <w:sz w:val="15"/>
              </w:rPr>
              <w:t>Difficult</w:t>
            </w:r>
          </w:p>
        </w:tc>
        <w:tc>
          <w:tcPr>
            <w:tcW w:type="dxa" w:w="1493"/>
            <w:vAlign w:val="center"/>
            <w:tcMar>
              <w:top w:w="55" w:type="dxa"/>
              <w:start w:w="65" w:type="dxa"/>
              <w:bottom w:w="55" w:type="dxa"/>
              <w:end w:w="65" w:type="dxa"/>
            </w:tcMar>
            <w:shd w:fill="F2F4F7"/>
          </w:tcPr>
          <w:p>
            <w:pPr>
              <w:spacing w:after="0"/>
            </w:pPr>
            <w:r>
              <w:rPr>
                <w:sz w:val="15"/>
              </w:rPr>
              <w:t>Foundational</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WB7</w:t>
            </w:r>
          </w:p>
        </w:tc>
      </w:tr>
      <w:tr>
        <w:trPr>
          <w:cantSplit/>
        </w:trPr>
        <w:tc>
          <w:tcPr>
            <w:tcW w:type="dxa" w:w="1493"/>
            <w:vAlign w:val="center"/>
            <w:tcMar>
              <w:top w:w="55" w:type="dxa"/>
              <w:start w:w="65" w:type="dxa"/>
              <w:bottom w:w="55" w:type="dxa"/>
              <w:end w:w="65" w:type="dxa"/>
            </w:tcMar>
          </w:tcPr>
          <w:p>
            <w:pPr>
              <w:spacing w:after="0"/>
            </w:pPr>
            <w:r>
              <w:rPr>
                <w:sz w:val="15"/>
              </w:rPr>
              <w:t>13</w:t>
            </w:r>
          </w:p>
        </w:tc>
        <w:tc>
          <w:tcPr>
            <w:tcW w:type="dxa" w:w="1493"/>
            <w:vAlign w:val="center"/>
            <w:tcMar>
              <w:top w:w="55" w:type="dxa"/>
              <w:start w:w="65" w:type="dxa"/>
              <w:bottom w:w="55" w:type="dxa"/>
              <w:end w:w="65" w:type="dxa"/>
            </w:tcMar>
          </w:tcPr>
          <w:p>
            <w:pPr>
              <w:spacing w:after="0"/>
            </w:pPr>
            <w:r>
              <w:rPr>
                <w:sz w:val="15"/>
              </w:rPr>
              <w:t>A</w:t>
            </w:r>
          </w:p>
        </w:tc>
        <w:tc>
          <w:tcPr>
            <w:tcW w:type="dxa" w:w="1493"/>
            <w:vAlign w:val="center"/>
            <w:tcMar>
              <w:top w:w="55" w:type="dxa"/>
              <w:start w:w="65" w:type="dxa"/>
              <w:bottom w:w="55" w:type="dxa"/>
              <w:end w:w="65" w:type="dxa"/>
            </w:tcMar>
          </w:tcPr>
          <w:p>
            <w:pPr>
              <w:spacing w:after="0"/>
            </w:pPr>
            <w:r>
              <w:rPr>
                <w:sz w:val="15"/>
              </w:rPr>
              <w:t>2C</w:t>
            </w:r>
          </w:p>
        </w:tc>
        <w:tc>
          <w:tcPr>
            <w:tcW w:type="dxa" w:w="1493"/>
            <w:vAlign w:val="center"/>
            <w:tcMar>
              <w:top w:w="55" w:type="dxa"/>
              <w:start w:w="65" w:type="dxa"/>
              <w:bottom w:w="55" w:type="dxa"/>
              <w:end w:w="65" w:type="dxa"/>
            </w:tcMar>
          </w:tcPr>
          <w:p>
            <w:pPr>
              <w:spacing w:after="0"/>
            </w:pPr>
            <w:r>
              <w:rPr>
                <w:sz w:val="15"/>
              </w:rPr>
              <w:t>Easy</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WB9</w:t>
            </w:r>
          </w:p>
        </w:tc>
      </w:tr>
      <w:tr>
        <w:trPr>
          <w:cantSplit/>
        </w:trPr>
        <w:tc>
          <w:tcPr>
            <w:tcW w:type="dxa" w:w="1493"/>
            <w:vAlign w:val="center"/>
            <w:tcMar>
              <w:top w:w="55" w:type="dxa"/>
              <w:start w:w="65" w:type="dxa"/>
              <w:bottom w:w="55" w:type="dxa"/>
              <w:end w:w="65" w:type="dxa"/>
            </w:tcMar>
            <w:shd w:fill="F2F4F7"/>
          </w:tcPr>
          <w:p>
            <w:pPr>
              <w:spacing w:after="0"/>
            </w:pPr>
            <w:r>
              <w:rPr>
                <w:sz w:val="15"/>
              </w:rPr>
              <w:t>14</w:t>
            </w:r>
          </w:p>
        </w:tc>
        <w:tc>
          <w:tcPr>
            <w:tcW w:type="dxa" w:w="1493"/>
            <w:vAlign w:val="center"/>
            <w:tcMar>
              <w:top w:w="55" w:type="dxa"/>
              <w:start w:w="65" w:type="dxa"/>
              <w:bottom w:w="55" w:type="dxa"/>
              <w:end w:w="65" w:type="dxa"/>
            </w:tcMar>
            <w:shd w:fill="F2F4F7"/>
          </w:tcPr>
          <w:p>
            <w:pPr>
              <w:spacing w:after="0"/>
            </w:pPr>
            <w:r>
              <w:rPr>
                <w:sz w:val="15"/>
              </w:rPr>
              <w:t>A</w:t>
            </w:r>
          </w:p>
        </w:tc>
        <w:tc>
          <w:tcPr>
            <w:tcW w:type="dxa" w:w="1493"/>
            <w:vAlign w:val="center"/>
            <w:tcMar>
              <w:top w:w="55" w:type="dxa"/>
              <w:start w:w="65" w:type="dxa"/>
              <w:bottom w:w="55" w:type="dxa"/>
              <w:end w:w="65" w:type="dxa"/>
            </w:tcMar>
            <w:shd w:fill="F2F4F7"/>
          </w:tcPr>
          <w:p>
            <w:pPr>
              <w:spacing w:after="0"/>
            </w:pPr>
            <w:r>
              <w:rPr>
                <w:sz w:val="15"/>
              </w:rPr>
              <w:t>2B</w:t>
            </w:r>
          </w:p>
        </w:tc>
        <w:tc>
          <w:tcPr>
            <w:tcW w:type="dxa" w:w="1493"/>
            <w:vAlign w:val="center"/>
            <w:tcMar>
              <w:top w:w="55" w:type="dxa"/>
              <w:start w:w="65" w:type="dxa"/>
              <w:bottom w:w="55" w:type="dxa"/>
              <w:end w:w="65" w:type="dxa"/>
            </w:tcMar>
            <w:shd w:fill="F2F4F7"/>
          </w:tcPr>
          <w:p>
            <w:pPr>
              <w:spacing w:after="0"/>
            </w:pPr>
            <w:r>
              <w:rPr>
                <w:sz w:val="15"/>
              </w:rPr>
              <w:t>Easy</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WB6</w:t>
            </w:r>
          </w:p>
        </w:tc>
      </w:tr>
      <w:tr>
        <w:trPr>
          <w:cantSplit/>
        </w:trPr>
        <w:tc>
          <w:tcPr>
            <w:tcW w:type="dxa" w:w="1493"/>
            <w:vAlign w:val="center"/>
            <w:tcMar>
              <w:top w:w="55" w:type="dxa"/>
              <w:start w:w="65" w:type="dxa"/>
              <w:bottom w:w="55" w:type="dxa"/>
              <w:end w:w="65" w:type="dxa"/>
            </w:tcMar>
          </w:tcPr>
          <w:p>
            <w:pPr>
              <w:spacing w:after="0"/>
            </w:pPr>
            <w:r>
              <w:rPr>
                <w:sz w:val="15"/>
              </w:rPr>
              <w:t>15</w:t>
            </w:r>
          </w:p>
        </w:tc>
        <w:tc>
          <w:tcPr>
            <w:tcW w:type="dxa" w:w="1493"/>
            <w:vAlign w:val="center"/>
            <w:tcMar>
              <w:top w:w="55" w:type="dxa"/>
              <w:start w:w="65" w:type="dxa"/>
              <w:bottom w:w="55" w:type="dxa"/>
              <w:end w:w="65" w:type="dxa"/>
            </w:tcMar>
          </w:tcPr>
          <w:p>
            <w:pPr>
              <w:spacing w:after="0"/>
            </w:pPr>
            <w:r>
              <w:rPr>
                <w:sz w:val="15"/>
              </w:rPr>
              <w:t>D</w:t>
            </w:r>
          </w:p>
        </w:tc>
        <w:tc>
          <w:tcPr>
            <w:tcW w:type="dxa" w:w="1493"/>
            <w:vAlign w:val="center"/>
            <w:tcMar>
              <w:top w:w="55" w:type="dxa"/>
              <w:start w:w="65" w:type="dxa"/>
              <w:bottom w:w="55" w:type="dxa"/>
              <w:end w:w="65" w:type="dxa"/>
            </w:tcMar>
          </w:tcPr>
          <w:p>
            <w:pPr>
              <w:spacing w:after="0"/>
            </w:pPr>
            <w:r>
              <w:rPr>
                <w:sz w:val="15"/>
              </w:rPr>
              <w:t>2B</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Sequence</w:t>
            </w:r>
          </w:p>
        </w:tc>
        <w:tc>
          <w:tcPr>
            <w:tcW w:type="dxa" w:w="1493"/>
            <w:vAlign w:val="center"/>
            <w:tcMar>
              <w:top w:w="55" w:type="dxa"/>
              <w:start w:w="65" w:type="dxa"/>
              <w:bottom w:w="55" w:type="dxa"/>
              <w:end w:w="65" w:type="dxa"/>
            </w:tcMar>
          </w:tcPr>
          <w:p>
            <w:pPr>
              <w:spacing w:after="0"/>
            </w:pPr>
            <w:r>
              <w:rPr>
                <w:sz w:val="15"/>
              </w:rPr>
              <w:t>WB8</w:t>
            </w:r>
          </w:p>
        </w:tc>
      </w:tr>
      <w:tr>
        <w:trPr>
          <w:cantSplit/>
        </w:trPr>
        <w:tc>
          <w:tcPr>
            <w:tcW w:type="dxa" w:w="1493"/>
            <w:vAlign w:val="center"/>
            <w:tcMar>
              <w:top w:w="55" w:type="dxa"/>
              <w:start w:w="65" w:type="dxa"/>
              <w:bottom w:w="55" w:type="dxa"/>
              <w:end w:w="65" w:type="dxa"/>
            </w:tcMar>
            <w:shd w:fill="F2F4F7"/>
          </w:tcPr>
          <w:p>
            <w:pPr>
              <w:spacing w:after="0"/>
            </w:pPr>
            <w:r>
              <w:rPr>
                <w:sz w:val="15"/>
              </w:rPr>
              <w:t>16</w:t>
            </w:r>
          </w:p>
        </w:tc>
        <w:tc>
          <w:tcPr>
            <w:tcW w:type="dxa" w:w="1493"/>
            <w:vAlign w:val="center"/>
            <w:tcMar>
              <w:top w:w="55" w:type="dxa"/>
              <w:start w:w="65" w:type="dxa"/>
              <w:bottom w:w="55" w:type="dxa"/>
              <w:end w:w="65" w:type="dxa"/>
            </w:tcMar>
            <w:shd w:fill="F2F4F7"/>
          </w:tcPr>
          <w:p>
            <w:pPr>
              <w:spacing w:after="0"/>
            </w:pPr>
            <w:r>
              <w:rPr>
                <w:sz w:val="15"/>
              </w:rPr>
              <w:t>B</w:t>
            </w:r>
          </w:p>
        </w:tc>
        <w:tc>
          <w:tcPr>
            <w:tcW w:type="dxa" w:w="1493"/>
            <w:vAlign w:val="center"/>
            <w:tcMar>
              <w:top w:w="55" w:type="dxa"/>
              <w:start w:w="65" w:type="dxa"/>
              <w:bottom w:w="55" w:type="dxa"/>
              <w:end w:w="65" w:type="dxa"/>
            </w:tcMar>
            <w:shd w:fill="F2F4F7"/>
          </w:tcPr>
          <w:p>
            <w:pPr>
              <w:spacing w:after="0"/>
            </w:pPr>
            <w:r>
              <w:rPr>
                <w:sz w:val="15"/>
              </w:rPr>
              <w:t>2A</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Sequence</w:t>
            </w:r>
          </w:p>
        </w:tc>
        <w:tc>
          <w:tcPr>
            <w:tcW w:type="dxa" w:w="1493"/>
            <w:vAlign w:val="center"/>
            <w:tcMar>
              <w:top w:w="55" w:type="dxa"/>
              <w:start w:w="65" w:type="dxa"/>
              <w:bottom w:w="55" w:type="dxa"/>
              <w:end w:w="65" w:type="dxa"/>
            </w:tcMar>
            <w:shd w:fill="F2F4F7"/>
          </w:tcPr>
          <w:p>
            <w:pPr>
              <w:spacing w:after="0"/>
            </w:pPr>
            <w:r>
              <w:rPr>
                <w:sz w:val="15"/>
              </w:rPr>
              <w:t>WB3</w:t>
            </w:r>
          </w:p>
        </w:tc>
      </w:tr>
      <w:tr>
        <w:trPr>
          <w:cantSplit/>
        </w:trPr>
        <w:tc>
          <w:tcPr>
            <w:tcW w:type="dxa" w:w="1493"/>
            <w:vAlign w:val="center"/>
            <w:tcMar>
              <w:top w:w="55" w:type="dxa"/>
              <w:start w:w="65" w:type="dxa"/>
              <w:bottom w:w="55" w:type="dxa"/>
              <w:end w:w="65" w:type="dxa"/>
            </w:tcMar>
          </w:tcPr>
          <w:p>
            <w:pPr>
              <w:spacing w:after="0"/>
            </w:pPr>
            <w:r>
              <w:rPr>
                <w:sz w:val="15"/>
              </w:rPr>
              <w:t>17</w:t>
            </w:r>
          </w:p>
        </w:tc>
        <w:tc>
          <w:tcPr>
            <w:tcW w:type="dxa" w:w="1493"/>
            <w:vAlign w:val="center"/>
            <w:tcMar>
              <w:top w:w="55" w:type="dxa"/>
              <w:start w:w="65" w:type="dxa"/>
              <w:bottom w:w="55" w:type="dxa"/>
              <w:end w:w="65" w:type="dxa"/>
            </w:tcMar>
          </w:tcPr>
          <w:p>
            <w:pPr>
              <w:spacing w:after="0"/>
            </w:pPr>
            <w:r>
              <w:rPr>
                <w:sz w:val="15"/>
              </w:rPr>
              <w:t>C</w:t>
            </w:r>
          </w:p>
        </w:tc>
        <w:tc>
          <w:tcPr>
            <w:tcW w:type="dxa" w:w="1493"/>
            <w:vAlign w:val="center"/>
            <w:tcMar>
              <w:top w:w="55" w:type="dxa"/>
              <w:start w:w="65" w:type="dxa"/>
              <w:bottom w:w="55" w:type="dxa"/>
              <w:end w:w="65" w:type="dxa"/>
            </w:tcMar>
          </w:tcPr>
          <w:p>
            <w:pPr>
              <w:spacing w:after="0"/>
            </w:pPr>
            <w:r>
              <w:rPr>
                <w:sz w:val="15"/>
              </w:rPr>
              <w:t>1B</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WB9</w:t>
            </w:r>
          </w:p>
        </w:tc>
      </w:tr>
      <w:tr>
        <w:trPr>
          <w:cantSplit/>
        </w:trPr>
        <w:tc>
          <w:tcPr>
            <w:tcW w:type="dxa" w:w="1493"/>
            <w:vAlign w:val="center"/>
            <w:tcMar>
              <w:top w:w="55" w:type="dxa"/>
              <w:start w:w="65" w:type="dxa"/>
              <w:bottom w:w="55" w:type="dxa"/>
              <w:end w:w="65" w:type="dxa"/>
            </w:tcMar>
            <w:shd w:fill="F2F4F7"/>
          </w:tcPr>
          <w:p>
            <w:pPr>
              <w:spacing w:after="0"/>
            </w:pPr>
            <w:r>
              <w:rPr>
                <w:sz w:val="15"/>
              </w:rPr>
              <w:t>18</w:t>
            </w:r>
          </w:p>
        </w:tc>
        <w:tc>
          <w:tcPr>
            <w:tcW w:type="dxa" w:w="1493"/>
            <w:vAlign w:val="center"/>
            <w:tcMar>
              <w:top w:w="55" w:type="dxa"/>
              <w:start w:w="65" w:type="dxa"/>
              <w:bottom w:w="55" w:type="dxa"/>
              <w:end w:w="65" w:type="dxa"/>
            </w:tcMar>
            <w:shd w:fill="F2F4F7"/>
          </w:tcPr>
          <w:p>
            <w:pPr>
              <w:spacing w:after="0"/>
            </w:pPr>
            <w:r>
              <w:rPr>
                <w:sz w:val="15"/>
              </w:rPr>
              <w:t>D</w:t>
            </w:r>
          </w:p>
        </w:tc>
        <w:tc>
          <w:tcPr>
            <w:tcW w:type="dxa" w:w="1493"/>
            <w:vAlign w:val="center"/>
            <w:tcMar>
              <w:top w:w="55" w:type="dxa"/>
              <w:start w:w="65" w:type="dxa"/>
              <w:bottom w:w="55" w:type="dxa"/>
              <w:end w:w="65" w:type="dxa"/>
            </w:tcMar>
            <w:shd w:fill="F2F4F7"/>
          </w:tcPr>
          <w:p>
            <w:pPr>
              <w:spacing w:after="0"/>
            </w:pPr>
            <w:r>
              <w:rPr>
                <w:sz w:val="15"/>
              </w:rPr>
              <w:t>1C</w:t>
            </w:r>
          </w:p>
        </w:tc>
        <w:tc>
          <w:tcPr>
            <w:tcW w:type="dxa" w:w="1493"/>
            <w:vAlign w:val="center"/>
            <w:tcMar>
              <w:top w:w="55" w:type="dxa"/>
              <w:start w:w="65" w:type="dxa"/>
              <w:bottom w:w="55" w:type="dxa"/>
              <w:end w:w="65" w:type="dxa"/>
            </w:tcMar>
            <w:shd w:fill="F2F4F7"/>
          </w:tcPr>
          <w:p>
            <w:pPr>
              <w:spacing w:after="0"/>
            </w:pPr>
            <w:r>
              <w:rPr>
                <w:sz w:val="15"/>
              </w:rPr>
              <w:t>Difficult</w:t>
            </w:r>
          </w:p>
        </w:tc>
        <w:tc>
          <w:tcPr>
            <w:tcW w:type="dxa" w:w="1493"/>
            <w:vAlign w:val="center"/>
            <w:tcMar>
              <w:top w:w="55" w:type="dxa"/>
              <w:start w:w="65" w:type="dxa"/>
              <w:bottom w:w="55" w:type="dxa"/>
              <w:end w:w="65" w:type="dxa"/>
            </w:tcMar>
            <w:shd w:fill="F2F4F7"/>
          </w:tcPr>
          <w:p>
            <w:pPr>
              <w:spacing w:after="0"/>
            </w:pPr>
            <w:r>
              <w:rPr>
                <w:sz w:val="15"/>
              </w:rPr>
              <w:t>Foundational</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WB1</w:t>
            </w:r>
          </w:p>
        </w:tc>
      </w:tr>
      <w:tr>
        <w:trPr>
          <w:cantSplit/>
        </w:trPr>
        <w:tc>
          <w:tcPr>
            <w:tcW w:type="dxa" w:w="1493"/>
            <w:vAlign w:val="center"/>
            <w:tcMar>
              <w:top w:w="55" w:type="dxa"/>
              <w:start w:w="65" w:type="dxa"/>
              <w:bottom w:w="55" w:type="dxa"/>
              <w:end w:w="65" w:type="dxa"/>
            </w:tcMar>
          </w:tcPr>
          <w:p>
            <w:pPr>
              <w:spacing w:after="0"/>
            </w:pPr>
            <w:r>
              <w:rPr>
                <w:sz w:val="15"/>
              </w:rPr>
              <w:t>19</w:t>
            </w:r>
          </w:p>
        </w:tc>
        <w:tc>
          <w:tcPr>
            <w:tcW w:type="dxa" w:w="1493"/>
            <w:vAlign w:val="center"/>
            <w:tcMar>
              <w:top w:w="55" w:type="dxa"/>
              <w:start w:w="65" w:type="dxa"/>
              <w:bottom w:w="55" w:type="dxa"/>
              <w:end w:w="65" w:type="dxa"/>
            </w:tcMar>
          </w:tcPr>
          <w:p>
            <w:pPr>
              <w:spacing w:after="0"/>
            </w:pPr>
            <w:r>
              <w:rPr>
                <w:sz w:val="15"/>
              </w:rPr>
              <w:t>C</w:t>
            </w:r>
          </w:p>
        </w:tc>
        <w:tc>
          <w:tcPr>
            <w:tcW w:type="dxa" w:w="1493"/>
            <w:vAlign w:val="center"/>
            <w:tcMar>
              <w:top w:w="55" w:type="dxa"/>
              <w:start w:w="65" w:type="dxa"/>
              <w:bottom w:w="55" w:type="dxa"/>
              <w:end w:w="65" w:type="dxa"/>
            </w:tcMar>
          </w:tcPr>
          <w:p>
            <w:pPr>
              <w:spacing w:after="0"/>
            </w:pPr>
            <w:r>
              <w:rPr>
                <w:sz w:val="15"/>
              </w:rPr>
              <w:t>2C</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WB2</w:t>
            </w:r>
          </w:p>
        </w:tc>
      </w:tr>
      <w:tr>
        <w:trPr>
          <w:cantSplit/>
        </w:trPr>
        <w:tc>
          <w:tcPr>
            <w:tcW w:type="dxa" w:w="1493"/>
            <w:vAlign w:val="center"/>
            <w:tcMar>
              <w:top w:w="55" w:type="dxa"/>
              <w:start w:w="65" w:type="dxa"/>
              <w:bottom w:w="55" w:type="dxa"/>
              <w:end w:w="65" w:type="dxa"/>
            </w:tcMar>
            <w:shd w:fill="F2F4F7"/>
          </w:tcPr>
          <w:p>
            <w:pPr>
              <w:spacing w:after="0"/>
            </w:pPr>
            <w:r>
              <w:rPr>
                <w:sz w:val="15"/>
              </w:rPr>
              <w:t>20</w:t>
            </w:r>
          </w:p>
        </w:tc>
        <w:tc>
          <w:tcPr>
            <w:tcW w:type="dxa" w:w="1493"/>
            <w:vAlign w:val="center"/>
            <w:tcMar>
              <w:top w:w="55" w:type="dxa"/>
              <w:start w:w="65" w:type="dxa"/>
              <w:bottom w:w="55" w:type="dxa"/>
              <w:end w:w="65" w:type="dxa"/>
            </w:tcMar>
            <w:shd w:fill="F2F4F7"/>
          </w:tcPr>
          <w:p>
            <w:pPr>
              <w:spacing w:after="0"/>
            </w:pPr>
            <w:r>
              <w:rPr>
                <w:sz w:val="15"/>
              </w:rPr>
              <w:t>B</w:t>
            </w:r>
          </w:p>
        </w:tc>
        <w:tc>
          <w:tcPr>
            <w:tcW w:type="dxa" w:w="1493"/>
            <w:vAlign w:val="center"/>
            <w:tcMar>
              <w:top w:w="55" w:type="dxa"/>
              <w:start w:w="65" w:type="dxa"/>
              <w:bottom w:w="55" w:type="dxa"/>
              <w:end w:w="65" w:type="dxa"/>
            </w:tcMar>
            <w:shd w:fill="F2F4F7"/>
          </w:tcPr>
          <w:p>
            <w:pPr>
              <w:spacing w:after="0"/>
            </w:pPr>
            <w:r>
              <w:rPr>
                <w:sz w:val="15"/>
              </w:rPr>
              <w:t>2A</w:t>
            </w:r>
          </w:p>
        </w:tc>
        <w:tc>
          <w:tcPr>
            <w:tcW w:type="dxa" w:w="1493"/>
            <w:vAlign w:val="center"/>
            <w:tcMar>
              <w:top w:w="55" w:type="dxa"/>
              <w:start w:w="65" w:type="dxa"/>
              <w:bottom w:w="55" w:type="dxa"/>
              <w:end w:w="65" w:type="dxa"/>
            </w:tcMar>
            <w:shd w:fill="F2F4F7"/>
          </w:tcPr>
          <w:p>
            <w:pPr>
              <w:spacing w:after="0"/>
            </w:pPr>
            <w:r>
              <w:rPr>
                <w:sz w:val="15"/>
              </w:rPr>
              <w:t>Easy</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WB4</w:t>
            </w:r>
          </w:p>
        </w:tc>
      </w:tr>
      <w:tr>
        <w:trPr>
          <w:cantSplit/>
        </w:trPr>
        <w:tc>
          <w:tcPr>
            <w:tcW w:type="dxa" w:w="1493"/>
            <w:vAlign w:val="center"/>
            <w:tcMar>
              <w:top w:w="55" w:type="dxa"/>
              <w:start w:w="65" w:type="dxa"/>
              <w:bottom w:w="55" w:type="dxa"/>
              <w:end w:w="65" w:type="dxa"/>
            </w:tcMar>
          </w:tcPr>
          <w:p>
            <w:pPr>
              <w:spacing w:after="0"/>
            </w:pPr>
            <w:r>
              <w:rPr>
                <w:sz w:val="15"/>
              </w:rPr>
              <w:t>21</w:t>
            </w:r>
          </w:p>
        </w:tc>
        <w:tc>
          <w:tcPr>
            <w:tcW w:type="dxa" w:w="1493"/>
            <w:vAlign w:val="center"/>
            <w:tcMar>
              <w:top w:w="55" w:type="dxa"/>
              <w:start w:w="65" w:type="dxa"/>
              <w:bottom w:w="55" w:type="dxa"/>
              <w:end w:w="65" w:type="dxa"/>
            </w:tcMar>
          </w:tcPr>
          <w:p>
            <w:pPr>
              <w:spacing w:after="0"/>
            </w:pPr>
            <w:r>
              <w:rPr>
                <w:sz w:val="15"/>
              </w:rPr>
              <w:t>B</w:t>
            </w:r>
          </w:p>
        </w:tc>
        <w:tc>
          <w:tcPr>
            <w:tcW w:type="dxa" w:w="1493"/>
            <w:vAlign w:val="center"/>
            <w:tcMar>
              <w:top w:w="55" w:type="dxa"/>
              <w:start w:w="65" w:type="dxa"/>
              <w:bottom w:w="55" w:type="dxa"/>
              <w:end w:w="65" w:type="dxa"/>
            </w:tcMar>
          </w:tcPr>
          <w:p>
            <w:pPr>
              <w:spacing w:after="0"/>
            </w:pPr>
            <w:r>
              <w:rPr>
                <w:sz w:val="15"/>
              </w:rPr>
              <w:t>2C</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Direct</w:t>
            </w:r>
          </w:p>
        </w:tc>
        <w:tc>
          <w:tcPr>
            <w:tcW w:type="dxa" w:w="1493"/>
            <w:vAlign w:val="center"/>
            <w:tcMar>
              <w:top w:w="55" w:type="dxa"/>
              <w:start w:w="65" w:type="dxa"/>
              <w:bottom w:w="55" w:type="dxa"/>
              <w:end w:w="65" w:type="dxa"/>
            </w:tcMar>
          </w:tcPr>
          <w:p>
            <w:pPr>
              <w:spacing w:after="0"/>
            </w:pPr>
            <w:r>
              <w:rPr>
                <w:sz w:val="15"/>
              </w:rPr>
              <w:t>WB2</w:t>
            </w:r>
          </w:p>
        </w:tc>
      </w:tr>
      <w:tr>
        <w:trPr>
          <w:cantSplit/>
        </w:trPr>
        <w:tc>
          <w:tcPr>
            <w:tcW w:type="dxa" w:w="1493"/>
            <w:vAlign w:val="center"/>
            <w:tcMar>
              <w:top w:w="55" w:type="dxa"/>
              <w:start w:w="65" w:type="dxa"/>
              <w:bottom w:w="55" w:type="dxa"/>
              <w:end w:w="65" w:type="dxa"/>
            </w:tcMar>
            <w:shd w:fill="F2F4F7"/>
          </w:tcPr>
          <w:p>
            <w:pPr>
              <w:spacing w:after="0"/>
            </w:pPr>
            <w:r>
              <w:rPr>
                <w:sz w:val="15"/>
              </w:rPr>
              <w:t>22</w:t>
            </w:r>
          </w:p>
        </w:tc>
        <w:tc>
          <w:tcPr>
            <w:tcW w:type="dxa" w:w="1493"/>
            <w:vAlign w:val="center"/>
            <w:tcMar>
              <w:top w:w="55" w:type="dxa"/>
              <w:start w:w="65" w:type="dxa"/>
              <w:bottom w:w="55" w:type="dxa"/>
              <w:end w:w="65" w:type="dxa"/>
            </w:tcMar>
            <w:shd w:fill="F2F4F7"/>
          </w:tcPr>
          <w:p>
            <w:pPr>
              <w:spacing w:after="0"/>
            </w:pPr>
            <w:r>
              <w:rPr>
                <w:sz w:val="15"/>
              </w:rPr>
              <w:t>A</w:t>
            </w:r>
          </w:p>
        </w:tc>
        <w:tc>
          <w:tcPr>
            <w:tcW w:type="dxa" w:w="1493"/>
            <w:vAlign w:val="center"/>
            <w:tcMar>
              <w:top w:w="55" w:type="dxa"/>
              <w:start w:w="65" w:type="dxa"/>
              <w:bottom w:w="55" w:type="dxa"/>
              <w:end w:w="65" w:type="dxa"/>
            </w:tcMar>
            <w:shd w:fill="F2F4F7"/>
          </w:tcPr>
          <w:p>
            <w:pPr>
              <w:spacing w:after="0"/>
            </w:pPr>
            <w:r>
              <w:rPr>
                <w:sz w:val="15"/>
              </w:rPr>
              <w:t>1A</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WB2</w:t>
            </w:r>
          </w:p>
        </w:tc>
      </w:tr>
      <w:tr>
        <w:trPr>
          <w:cantSplit/>
        </w:trPr>
        <w:tc>
          <w:tcPr>
            <w:tcW w:type="dxa" w:w="1493"/>
            <w:vAlign w:val="center"/>
            <w:tcMar>
              <w:top w:w="55" w:type="dxa"/>
              <w:start w:w="65" w:type="dxa"/>
              <w:bottom w:w="55" w:type="dxa"/>
              <w:end w:w="65" w:type="dxa"/>
            </w:tcMar>
          </w:tcPr>
          <w:p>
            <w:pPr>
              <w:spacing w:after="0"/>
            </w:pPr>
            <w:r>
              <w:rPr>
                <w:sz w:val="15"/>
              </w:rPr>
              <w:t>23</w:t>
            </w:r>
          </w:p>
        </w:tc>
        <w:tc>
          <w:tcPr>
            <w:tcW w:type="dxa" w:w="1493"/>
            <w:vAlign w:val="center"/>
            <w:tcMar>
              <w:top w:w="55" w:type="dxa"/>
              <w:start w:w="65" w:type="dxa"/>
              <w:bottom w:w="55" w:type="dxa"/>
              <w:end w:w="65" w:type="dxa"/>
            </w:tcMar>
          </w:tcPr>
          <w:p>
            <w:pPr>
              <w:spacing w:after="0"/>
            </w:pPr>
            <w:r>
              <w:rPr>
                <w:sz w:val="15"/>
              </w:rPr>
              <w:t>B</w:t>
            </w:r>
          </w:p>
        </w:tc>
        <w:tc>
          <w:tcPr>
            <w:tcW w:type="dxa" w:w="1493"/>
            <w:vAlign w:val="center"/>
            <w:tcMar>
              <w:top w:w="55" w:type="dxa"/>
              <w:start w:w="65" w:type="dxa"/>
              <w:bottom w:w="55" w:type="dxa"/>
              <w:end w:w="65" w:type="dxa"/>
            </w:tcMar>
          </w:tcPr>
          <w:p>
            <w:pPr>
              <w:spacing w:after="0"/>
            </w:pPr>
            <w:r>
              <w:rPr>
                <w:sz w:val="15"/>
              </w:rPr>
              <w:t>1B</w:t>
            </w:r>
          </w:p>
        </w:tc>
        <w:tc>
          <w:tcPr>
            <w:tcW w:type="dxa" w:w="1493"/>
            <w:vAlign w:val="center"/>
            <w:tcMar>
              <w:top w:w="55" w:type="dxa"/>
              <w:start w:w="65" w:type="dxa"/>
              <w:bottom w:w="55" w:type="dxa"/>
              <w:end w:w="65" w:type="dxa"/>
            </w:tcMar>
          </w:tcPr>
          <w:p>
            <w:pPr>
              <w:spacing w:after="0"/>
            </w:pPr>
            <w:r>
              <w:rPr>
                <w:sz w:val="15"/>
              </w:rPr>
              <w:t>Difficult</w:t>
            </w:r>
          </w:p>
        </w:tc>
        <w:tc>
          <w:tcPr>
            <w:tcW w:type="dxa" w:w="1493"/>
            <w:vAlign w:val="center"/>
            <w:tcMar>
              <w:top w:w="55" w:type="dxa"/>
              <w:start w:w="65" w:type="dxa"/>
              <w:bottom w:w="55" w:type="dxa"/>
              <w:end w:w="65" w:type="dxa"/>
            </w:tcMar>
          </w:tcPr>
          <w:p>
            <w:pPr>
              <w:spacing w:after="0"/>
            </w:pPr>
            <w:r>
              <w:rPr>
                <w:sz w:val="15"/>
              </w:rPr>
              <w:t>Foundational</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WB8</w:t>
            </w:r>
          </w:p>
        </w:tc>
      </w:tr>
      <w:tr>
        <w:trPr>
          <w:cantSplit/>
        </w:trPr>
        <w:tc>
          <w:tcPr>
            <w:tcW w:type="dxa" w:w="1493"/>
            <w:vAlign w:val="center"/>
            <w:tcMar>
              <w:top w:w="55" w:type="dxa"/>
              <w:start w:w="65" w:type="dxa"/>
              <w:bottom w:w="55" w:type="dxa"/>
              <w:end w:w="65" w:type="dxa"/>
            </w:tcMar>
            <w:shd w:fill="F2F4F7"/>
          </w:tcPr>
          <w:p>
            <w:pPr>
              <w:spacing w:after="0"/>
            </w:pPr>
            <w:r>
              <w:rPr>
                <w:sz w:val="15"/>
              </w:rPr>
              <w:t>24</w:t>
            </w:r>
          </w:p>
        </w:tc>
        <w:tc>
          <w:tcPr>
            <w:tcW w:type="dxa" w:w="1493"/>
            <w:vAlign w:val="center"/>
            <w:tcMar>
              <w:top w:w="55" w:type="dxa"/>
              <w:start w:w="65" w:type="dxa"/>
              <w:bottom w:w="55" w:type="dxa"/>
              <w:end w:w="65" w:type="dxa"/>
            </w:tcMar>
            <w:shd w:fill="F2F4F7"/>
          </w:tcPr>
          <w:p>
            <w:pPr>
              <w:spacing w:after="0"/>
            </w:pPr>
            <w:r>
              <w:rPr>
                <w:sz w:val="15"/>
              </w:rPr>
              <w:t>C</w:t>
            </w:r>
          </w:p>
        </w:tc>
        <w:tc>
          <w:tcPr>
            <w:tcW w:type="dxa" w:w="1493"/>
            <w:vAlign w:val="center"/>
            <w:tcMar>
              <w:top w:w="55" w:type="dxa"/>
              <w:start w:w="65" w:type="dxa"/>
              <w:bottom w:w="55" w:type="dxa"/>
              <w:end w:w="65" w:type="dxa"/>
            </w:tcMar>
            <w:shd w:fill="F2F4F7"/>
          </w:tcPr>
          <w:p>
            <w:pPr>
              <w:spacing w:after="0"/>
            </w:pPr>
            <w:r>
              <w:rPr>
                <w:sz w:val="15"/>
              </w:rPr>
              <w:t>1A</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Foundational</w:t>
            </w:r>
          </w:p>
        </w:tc>
        <w:tc>
          <w:tcPr>
            <w:tcW w:type="dxa" w:w="1493"/>
            <w:vAlign w:val="center"/>
            <w:tcMar>
              <w:top w:w="55" w:type="dxa"/>
              <w:start w:w="65" w:type="dxa"/>
              <w:bottom w:w="55" w:type="dxa"/>
              <w:end w:w="65" w:type="dxa"/>
            </w:tcMar>
            <w:shd w:fill="F2F4F7"/>
          </w:tcPr>
          <w:p>
            <w:pPr>
              <w:spacing w:after="0"/>
            </w:pPr>
            <w:r>
              <w:rPr>
                <w:sz w:val="15"/>
              </w:rPr>
              <w:t>Sequence</w:t>
            </w:r>
          </w:p>
        </w:tc>
        <w:tc>
          <w:tcPr>
            <w:tcW w:type="dxa" w:w="1493"/>
            <w:vAlign w:val="center"/>
            <w:tcMar>
              <w:top w:w="55" w:type="dxa"/>
              <w:start w:w="65" w:type="dxa"/>
              <w:bottom w:w="55" w:type="dxa"/>
              <w:end w:w="65" w:type="dxa"/>
            </w:tcMar>
            <w:shd w:fill="F2F4F7"/>
          </w:tcPr>
          <w:p>
            <w:pPr>
              <w:spacing w:after="0"/>
            </w:pPr>
            <w:r>
              <w:rPr>
                <w:sz w:val="15"/>
              </w:rPr>
              <w:t>WB1</w:t>
            </w:r>
          </w:p>
        </w:tc>
      </w:tr>
      <w:tr>
        <w:trPr>
          <w:cantSplit/>
        </w:trPr>
        <w:tc>
          <w:tcPr>
            <w:tcW w:type="dxa" w:w="1493"/>
            <w:vAlign w:val="center"/>
            <w:tcMar>
              <w:top w:w="55" w:type="dxa"/>
              <w:start w:w="65" w:type="dxa"/>
              <w:bottom w:w="55" w:type="dxa"/>
              <w:end w:w="65" w:type="dxa"/>
            </w:tcMar>
          </w:tcPr>
          <w:p>
            <w:pPr>
              <w:spacing w:after="0"/>
            </w:pPr>
            <w:r>
              <w:rPr>
                <w:sz w:val="15"/>
              </w:rPr>
              <w:t>25</w:t>
            </w:r>
          </w:p>
        </w:tc>
        <w:tc>
          <w:tcPr>
            <w:tcW w:type="dxa" w:w="1493"/>
            <w:vAlign w:val="center"/>
            <w:tcMar>
              <w:top w:w="55" w:type="dxa"/>
              <w:start w:w="65" w:type="dxa"/>
              <w:bottom w:w="55" w:type="dxa"/>
              <w:end w:w="65" w:type="dxa"/>
            </w:tcMar>
          </w:tcPr>
          <w:p>
            <w:pPr>
              <w:spacing w:after="0"/>
            </w:pPr>
            <w:r>
              <w:rPr>
                <w:sz w:val="15"/>
              </w:rPr>
              <w:t>D</w:t>
            </w:r>
          </w:p>
        </w:tc>
        <w:tc>
          <w:tcPr>
            <w:tcW w:type="dxa" w:w="1493"/>
            <w:vAlign w:val="center"/>
            <w:tcMar>
              <w:top w:w="55" w:type="dxa"/>
              <w:start w:w="65" w:type="dxa"/>
              <w:bottom w:w="55" w:type="dxa"/>
              <w:end w:w="65" w:type="dxa"/>
            </w:tcMar>
          </w:tcPr>
          <w:p>
            <w:pPr>
              <w:spacing w:after="0"/>
            </w:pPr>
            <w:r>
              <w:rPr>
                <w:sz w:val="15"/>
              </w:rPr>
              <w:t>2C</w:t>
            </w:r>
          </w:p>
        </w:tc>
        <w:tc>
          <w:tcPr>
            <w:tcW w:type="dxa" w:w="1493"/>
            <w:vAlign w:val="center"/>
            <w:tcMar>
              <w:top w:w="55" w:type="dxa"/>
              <w:start w:w="65" w:type="dxa"/>
              <w:bottom w:w="55" w:type="dxa"/>
              <w:end w:w="65" w:type="dxa"/>
            </w:tcMar>
          </w:tcPr>
          <w:p>
            <w:pPr>
              <w:spacing w:after="0"/>
            </w:pPr>
            <w:r>
              <w:rPr>
                <w:sz w:val="15"/>
              </w:rPr>
              <w:t>Easy</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Direct</w:t>
            </w:r>
          </w:p>
        </w:tc>
        <w:tc>
          <w:tcPr>
            <w:tcW w:type="dxa" w:w="1493"/>
            <w:vAlign w:val="center"/>
            <w:tcMar>
              <w:top w:w="55" w:type="dxa"/>
              <w:start w:w="65" w:type="dxa"/>
              <w:bottom w:w="55" w:type="dxa"/>
              <w:end w:w="65" w:type="dxa"/>
            </w:tcMar>
          </w:tcPr>
          <w:p>
            <w:pPr>
              <w:spacing w:after="0"/>
            </w:pPr>
            <w:r>
              <w:rPr>
                <w:sz w:val="15"/>
              </w:rPr>
              <w:t>WB6</w:t>
            </w:r>
          </w:p>
        </w:tc>
      </w:tr>
      <w:tr>
        <w:trPr>
          <w:cantSplit/>
        </w:trPr>
        <w:tc>
          <w:tcPr>
            <w:tcW w:type="dxa" w:w="1493"/>
            <w:vAlign w:val="center"/>
            <w:tcMar>
              <w:top w:w="55" w:type="dxa"/>
              <w:start w:w="65" w:type="dxa"/>
              <w:bottom w:w="55" w:type="dxa"/>
              <w:end w:w="65" w:type="dxa"/>
            </w:tcMar>
            <w:shd w:fill="F2F4F7"/>
          </w:tcPr>
          <w:p>
            <w:pPr>
              <w:spacing w:after="0"/>
            </w:pPr>
            <w:r>
              <w:rPr>
                <w:sz w:val="15"/>
              </w:rPr>
              <w:t>26</w:t>
            </w:r>
          </w:p>
        </w:tc>
        <w:tc>
          <w:tcPr>
            <w:tcW w:type="dxa" w:w="1493"/>
            <w:vAlign w:val="center"/>
            <w:tcMar>
              <w:top w:w="55" w:type="dxa"/>
              <w:start w:w="65" w:type="dxa"/>
              <w:bottom w:w="55" w:type="dxa"/>
              <w:end w:w="65" w:type="dxa"/>
            </w:tcMar>
            <w:shd w:fill="F2F4F7"/>
          </w:tcPr>
          <w:p>
            <w:pPr>
              <w:spacing w:after="0"/>
            </w:pPr>
            <w:r>
              <w:rPr>
                <w:sz w:val="15"/>
              </w:rPr>
              <w:t>A</w:t>
            </w:r>
          </w:p>
        </w:tc>
        <w:tc>
          <w:tcPr>
            <w:tcW w:type="dxa" w:w="1493"/>
            <w:vAlign w:val="center"/>
            <w:tcMar>
              <w:top w:w="55" w:type="dxa"/>
              <w:start w:w="65" w:type="dxa"/>
              <w:bottom w:w="55" w:type="dxa"/>
              <w:end w:w="65" w:type="dxa"/>
            </w:tcMar>
            <w:shd w:fill="F2F4F7"/>
          </w:tcPr>
          <w:p>
            <w:pPr>
              <w:spacing w:after="0"/>
            </w:pPr>
            <w:r>
              <w:rPr>
                <w:sz w:val="15"/>
              </w:rPr>
              <w:t>2A</w:t>
            </w:r>
          </w:p>
        </w:tc>
        <w:tc>
          <w:tcPr>
            <w:tcW w:type="dxa" w:w="1493"/>
            <w:vAlign w:val="center"/>
            <w:tcMar>
              <w:top w:w="55" w:type="dxa"/>
              <w:start w:w="65" w:type="dxa"/>
              <w:bottom w:w="55" w:type="dxa"/>
              <w:end w:w="65" w:type="dxa"/>
            </w:tcMar>
            <w:shd w:fill="F2F4F7"/>
          </w:tcPr>
          <w:p>
            <w:pPr>
              <w:spacing w:after="0"/>
            </w:pPr>
            <w:r>
              <w:rPr>
                <w:sz w:val="15"/>
              </w:rPr>
              <w:t>Easy</w:t>
            </w:r>
          </w:p>
        </w:tc>
        <w:tc>
          <w:tcPr>
            <w:tcW w:type="dxa" w:w="1493"/>
            <w:vAlign w:val="center"/>
            <w:tcMar>
              <w:top w:w="55" w:type="dxa"/>
              <w:start w:w="65" w:type="dxa"/>
              <w:bottom w:w="55" w:type="dxa"/>
              <w:end w:w="65" w:type="dxa"/>
            </w:tcMar>
            <w:shd w:fill="F2F4F7"/>
          </w:tcPr>
          <w:p>
            <w:pPr>
              <w:spacing w:after="0"/>
            </w:pPr>
            <w:r>
              <w:rPr>
                <w:sz w:val="15"/>
              </w:rPr>
              <w:t>Integrated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WB2</w:t>
            </w:r>
          </w:p>
        </w:tc>
      </w:tr>
      <w:tr>
        <w:trPr>
          <w:cantSplit/>
        </w:trPr>
        <w:tc>
          <w:tcPr>
            <w:tcW w:type="dxa" w:w="1493"/>
            <w:vAlign w:val="center"/>
            <w:tcMar>
              <w:top w:w="55" w:type="dxa"/>
              <w:start w:w="65" w:type="dxa"/>
              <w:bottom w:w="55" w:type="dxa"/>
              <w:end w:w="65" w:type="dxa"/>
            </w:tcMar>
          </w:tcPr>
          <w:p>
            <w:pPr>
              <w:spacing w:after="0"/>
            </w:pPr>
            <w:r>
              <w:rPr>
                <w:sz w:val="15"/>
              </w:rPr>
              <w:t>27</w:t>
            </w:r>
          </w:p>
        </w:tc>
        <w:tc>
          <w:tcPr>
            <w:tcW w:type="dxa" w:w="1493"/>
            <w:vAlign w:val="center"/>
            <w:tcMar>
              <w:top w:w="55" w:type="dxa"/>
              <w:start w:w="65" w:type="dxa"/>
              <w:bottom w:w="55" w:type="dxa"/>
              <w:end w:w="65" w:type="dxa"/>
            </w:tcMar>
          </w:tcPr>
          <w:p>
            <w:pPr>
              <w:spacing w:after="0"/>
            </w:pPr>
            <w:r>
              <w:rPr>
                <w:sz w:val="15"/>
              </w:rPr>
              <w:t>C</w:t>
            </w:r>
          </w:p>
        </w:tc>
        <w:tc>
          <w:tcPr>
            <w:tcW w:type="dxa" w:w="1493"/>
            <w:vAlign w:val="center"/>
            <w:tcMar>
              <w:top w:w="55" w:type="dxa"/>
              <w:start w:w="65" w:type="dxa"/>
              <w:bottom w:w="55" w:type="dxa"/>
              <w:end w:w="65" w:type="dxa"/>
            </w:tcMar>
          </w:tcPr>
          <w:p>
            <w:pPr>
              <w:spacing w:after="0"/>
            </w:pPr>
            <w:r>
              <w:rPr>
                <w:sz w:val="15"/>
              </w:rPr>
              <w:t>1B</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WB5</w:t>
            </w:r>
          </w:p>
        </w:tc>
      </w:tr>
      <w:tr>
        <w:trPr>
          <w:cantSplit/>
        </w:trPr>
        <w:tc>
          <w:tcPr>
            <w:tcW w:type="dxa" w:w="1493"/>
            <w:vAlign w:val="center"/>
            <w:tcMar>
              <w:top w:w="55" w:type="dxa"/>
              <w:start w:w="65" w:type="dxa"/>
              <w:bottom w:w="55" w:type="dxa"/>
              <w:end w:w="65" w:type="dxa"/>
            </w:tcMar>
            <w:shd w:fill="F2F4F7"/>
          </w:tcPr>
          <w:p>
            <w:pPr>
              <w:spacing w:after="0"/>
            </w:pPr>
            <w:r>
              <w:rPr>
                <w:sz w:val="15"/>
              </w:rPr>
              <w:t>28</w:t>
            </w:r>
          </w:p>
        </w:tc>
        <w:tc>
          <w:tcPr>
            <w:tcW w:type="dxa" w:w="1493"/>
            <w:vAlign w:val="center"/>
            <w:tcMar>
              <w:top w:w="55" w:type="dxa"/>
              <w:start w:w="65" w:type="dxa"/>
              <w:bottom w:w="55" w:type="dxa"/>
              <w:end w:w="65" w:type="dxa"/>
            </w:tcMar>
            <w:shd w:fill="F2F4F7"/>
          </w:tcPr>
          <w:p>
            <w:pPr>
              <w:spacing w:after="0"/>
            </w:pPr>
            <w:r>
              <w:rPr>
                <w:sz w:val="15"/>
              </w:rPr>
              <w:t>B</w:t>
            </w:r>
          </w:p>
        </w:tc>
        <w:tc>
          <w:tcPr>
            <w:tcW w:type="dxa" w:w="1493"/>
            <w:vAlign w:val="center"/>
            <w:tcMar>
              <w:top w:w="55" w:type="dxa"/>
              <w:start w:w="65" w:type="dxa"/>
              <w:bottom w:w="55" w:type="dxa"/>
              <w:end w:w="65" w:type="dxa"/>
            </w:tcMar>
            <w:shd w:fill="F2F4F7"/>
          </w:tcPr>
          <w:p>
            <w:pPr>
              <w:spacing w:after="0"/>
            </w:pPr>
            <w:r>
              <w:rPr>
                <w:sz w:val="15"/>
              </w:rPr>
              <w:t>2B</w:t>
            </w:r>
          </w:p>
        </w:tc>
        <w:tc>
          <w:tcPr>
            <w:tcW w:type="dxa" w:w="1493"/>
            <w:vAlign w:val="center"/>
            <w:tcMar>
              <w:top w:w="55" w:type="dxa"/>
              <w:start w:w="65" w:type="dxa"/>
              <w:bottom w:w="55" w:type="dxa"/>
              <w:end w:w="65" w:type="dxa"/>
            </w:tcMar>
            <w:shd w:fill="F2F4F7"/>
          </w:tcPr>
          <w:p>
            <w:pPr>
              <w:spacing w:after="0"/>
            </w:pPr>
            <w:r>
              <w:rPr>
                <w:sz w:val="15"/>
              </w:rPr>
              <w:t>Difficult</w:t>
            </w:r>
          </w:p>
        </w:tc>
        <w:tc>
          <w:tcPr>
            <w:tcW w:type="dxa" w:w="1493"/>
            <w:vAlign w:val="center"/>
            <w:tcMar>
              <w:top w:w="55" w:type="dxa"/>
              <w:start w:w="65" w:type="dxa"/>
              <w:bottom w:w="55" w:type="dxa"/>
              <w:end w:w="65" w:type="dxa"/>
            </w:tcMar>
            <w:shd w:fill="F2F4F7"/>
          </w:tcPr>
          <w:p>
            <w:pPr>
              <w:spacing w:after="0"/>
            </w:pPr>
            <w:r>
              <w:rPr>
                <w:sz w:val="15"/>
              </w:rPr>
              <w:t>Integrated</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WB5</w:t>
            </w:r>
          </w:p>
        </w:tc>
      </w:tr>
      <w:tr>
        <w:trPr>
          <w:cantSplit/>
        </w:trPr>
        <w:tc>
          <w:tcPr>
            <w:tcW w:type="dxa" w:w="1493"/>
            <w:vAlign w:val="center"/>
            <w:tcMar>
              <w:top w:w="55" w:type="dxa"/>
              <w:start w:w="65" w:type="dxa"/>
              <w:bottom w:w="55" w:type="dxa"/>
              <w:end w:w="65" w:type="dxa"/>
            </w:tcMar>
          </w:tcPr>
          <w:p>
            <w:pPr>
              <w:spacing w:after="0"/>
            </w:pPr>
            <w:r>
              <w:rPr>
                <w:sz w:val="15"/>
              </w:rPr>
              <w:t>29</w:t>
            </w:r>
          </w:p>
        </w:tc>
        <w:tc>
          <w:tcPr>
            <w:tcW w:type="dxa" w:w="1493"/>
            <w:vAlign w:val="center"/>
            <w:tcMar>
              <w:top w:w="55" w:type="dxa"/>
              <w:start w:w="65" w:type="dxa"/>
              <w:bottom w:w="55" w:type="dxa"/>
              <w:end w:w="65" w:type="dxa"/>
            </w:tcMar>
          </w:tcPr>
          <w:p>
            <w:pPr>
              <w:spacing w:after="0"/>
            </w:pPr>
            <w:r>
              <w:rPr>
                <w:sz w:val="15"/>
              </w:rPr>
              <w:t>D</w:t>
            </w:r>
          </w:p>
        </w:tc>
        <w:tc>
          <w:tcPr>
            <w:tcW w:type="dxa" w:w="1493"/>
            <w:vAlign w:val="center"/>
            <w:tcMar>
              <w:top w:w="55" w:type="dxa"/>
              <w:start w:w="65" w:type="dxa"/>
              <w:bottom w:w="55" w:type="dxa"/>
              <w:end w:w="65" w:type="dxa"/>
            </w:tcMar>
          </w:tcPr>
          <w:p>
            <w:pPr>
              <w:spacing w:after="0"/>
            </w:pPr>
            <w:r>
              <w:rPr>
                <w:sz w:val="15"/>
              </w:rPr>
              <w:t>2A</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Direct</w:t>
            </w:r>
          </w:p>
        </w:tc>
        <w:tc>
          <w:tcPr>
            <w:tcW w:type="dxa" w:w="1493"/>
            <w:vAlign w:val="center"/>
            <w:tcMar>
              <w:top w:w="55" w:type="dxa"/>
              <w:start w:w="65" w:type="dxa"/>
              <w:bottom w:w="55" w:type="dxa"/>
              <w:end w:w="65" w:type="dxa"/>
            </w:tcMar>
          </w:tcPr>
          <w:p>
            <w:pPr>
              <w:spacing w:after="0"/>
            </w:pPr>
            <w:r>
              <w:rPr>
                <w:sz w:val="15"/>
              </w:rPr>
              <w:t>LS Module</w:t>
            </w:r>
          </w:p>
        </w:tc>
      </w:tr>
      <w:tr>
        <w:trPr>
          <w:cantSplit/>
        </w:trPr>
        <w:tc>
          <w:tcPr>
            <w:tcW w:type="dxa" w:w="1493"/>
            <w:vAlign w:val="center"/>
            <w:tcMar>
              <w:top w:w="55" w:type="dxa"/>
              <w:start w:w="65" w:type="dxa"/>
              <w:bottom w:w="55" w:type="dxa"/>
              <w:end w:w="65" w:type="dxa"/>
            </w:tcMar>
            <w:shd w:fill="F2F4F7"/>
          </w:tcPr>
          <w:p>
            <w:pPr>
              <w:spacing w:after="0"/>
            </w:pPr>
            <w:r>
              <w:rPr>
                <w:sz w:val="15"/>
              </w:rPr>
              <w:t>30</w:t>
            </w:r>
          </w:p>
        </w:tc>
        <w:tc>
          <w:tcPr>
            <w:tcW w:type="dxa" w:w="1493"/>
            <w:vAlign w:val="center"/>
            <w:tcMar>
              <w:top w:w="55" w:type="dxa"/>
              <w:start w:w="65" w:type="dxa"/>
              <w:bottom w:w="55" w:type="dxa"/>
              <w:end w:w="65" w:type="dxa"/>
            </w:tcMar>
            <w:shd w:fill="F2F4F7"/>
          </w:tcPr>
          <w:p>
            <w:pPr>
              <w:spacing w:after="0"/>
            </w:pPr>
            <w:r>
              <w:rPr>
                <w:sz w:val="15"/>
              </w:rPr>
              <w:t>B</w:t>
            </w:r>
          </w:p>
        </w:tc>
        <w:tc>
          <w:tcPr>
            <w:tcW w:type="dxa" w:w="1493"/>
            <w:vAlign w:val="center"/>
            <w:tcMar>
              <w:top w:w="55" w:type="dxa"/>
              <w:start w:w="65" w:type="dxa"/>
              <w:bottom w:w="55" w:type="dxa"/>
              <w:end w:w="65" w:type="dxa"/>
            </w:tcMar>
            <w:shd w:fill="F2F4F7"/>
          </w:tcPr>
          <w:p>
            <w:pPr>
              <w:spacing w:after="0"/>
            </w:pPr>
            <w:r>
              <w:rPr>
                <w:sz w:val="15"/>
              </w:rPr>
              <w:t>1B</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WB5</w:t>
            </w:r>
          </w:p>
        </w:tc>
      </w:tr>
      <w:tr>
        <w:trPr>
          <w:cantSplit/>
        </w:trPr>
        <w:tc>
          <w:tcPr>
            <w:tcW w:type="dxa" w:w="1493"/>
            <w:vAlign w:val="center"/>
            <w:tcMar>
              <w:top w:w="55" w:type="dxa"/>
              <w:start w:w="65" w:type="dxa"/>
              <w:bottom w:w="55" w:type="dxa"/>
              <w:end w:w="65" w:type="dxa"/>
            </w:tcMar>
          </w:tcPr>
          <w:p>
            <w:pPr>
              <w:spacing w:after="0"/>
            </w:pPr>
            <w:r>
              <w:rPr>
                <w:sz w:val="15"/>
              </w:rPr>
              <w:t>31</w:t>
            </w:r>
          </w:p>
        </w:tc>
        <w:tc>
          <w:tcPr>
            <w:tcW w:type="dxa" w:w="1493"/>
            <w:vAlign w:val="center"/>
            <w:tcMar>
              <w:top w:w="55" w:type="dxa"/>
              <w:start w:w="65" w:type="dxa"/>
              <w:bottom w:w="55" w:type="dxa"/>
              <w:end w:w="65" w:type="dxa"/>
            </w:tcMar>
          </w:tcPr>
          <w:p>
            <w:pPr>
              <w:spacing w:after="0"/>
            </w:pPr>
            <w:r>
              <w:rPr>
                <w:sz w:val="15"/>
              </w:rPr>
              <w:t>D</w:t>
            </w:r>
          </w:p>
        </w:tc>
        <w:tc>
          <w:tcPr>
            <w:tcW w:type="dxa" w:w="1493"/>
            <w:vAlign w:val="center"/>
            <w:tcMar>
              <w:top w:w="55" w:type="dxa"/>
              <w:start w:w="65" w:type="dxa"/>
              <w:bottom w:w="55" w:type="dxa"/>
              <w:end w:w="65" w:type="dxa"/>
            </w:tcMar>
          </w:tcPr>
          <w:p>
            <w:pPr>
              <w:spacing w:after="0"/>
            </w:pPr>
            <w:r>
              <w:rPr>
                <w:sz w:val="15"/>
              </w:rPr>
              <w:t>2C</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Sequence</w:t>
            </w:r>
          </w:p>
        </w:tc>
        <w:tc>
          <w:tcPr>
            <w:tcW w:type="dxa" w:w="1493"/>
            <w:vAlign w:val="center"/>
            <w:tcMar>
              <w:top w:w="55" w:type="dxa"/>
              <w:start w:w="65" w:type="dxa"/>
              <w:bottom w:w="55" w:type="dxa"/>
              <w:end w:w="65" w:type="dxa"/>
            </w:tcMar>
          </w:tcPr>
          <w:p>
            <w:pPr>
              <w:spacing w:after="0"/>
            </w:pPr>
            <w:r>
              <w:rPr>
                <w:sz w:val="15"/>
              </w:rPr>
              <w:t>WB3</w:t>
            </w:r>
          </w:p>
        </w:tc>
      </w:tr>
      <w:tr>
        <w:trPr>
          <w:cantSplit/>
        </w:trPr>
        <w:tc>
          <w:tcPr>
            <w:tcW w:type="dxa" w:w="1493"/>
            <w:vAlign w:val="center"/>
            <w:tcMar>
              <w:top w:w="55" w:type="dxa"/>
              <w:start w:w="65" w:type="dxa"/>
              <w:bottom w:w="55" w:type="dxa"/>
              <w:end w:w="65" w:type="dxa"/>
            </w:tcMar>
            <w:shd w:fill="F2F4F7"/>
          </w:tcPr>
          <w:p>
            <w:pPr>
              <w:spacing w:after="0"/>
            </w:pPr>
            <w:r>
              <w:rPr>
                <w:sz w:val="15"/>
              </w:rPr>
              <w:t>32</w:t>
            </w:r>
          </w:p>
        </w:tc>
        <w:tc>
          <w:tcPr>
            <w:tcW w:type="dxa" w:w="1493"/>
            <w:vAlign w:val="center"/>
            <w:tcMar>
              <w:top w:w="55" w:type="dxa"/>
              <w:start w:w="65" w:type="dxa"/>
              <w:bottom w:w="55" w:type="dxa"/>
              <w:end w:w="65" w:type="dxa"/>
            </w:tcMar>
            <w:shd w:fill="F2F4F7"/>
          </w:tcPr>
          <w:p>
            <w:pPr>
              <w:spacing w:after="0"/>
            </w:pPr>
            <w:r>
              <w:rPr>
                <w:sz w:val="15"/>
              </w:rPr>
              <w:t>C</w:t>
            </w:r>
          </w:p>
        </w:tc>
        <w:tc>
          <w:tcPr>
            <w:tcW w:type="dxa" w:w="1493"/>
            <w:vAlign w:val="center"/>
            <w:tcMar>
              <w:top w:w="55" w:type="dxa"/>
              <w:start w:w="65" w:type="dxa"/>
              <w:bottom w:w="55" w:type="dxa"/>
              <w:end w:w="65" w:type="dxa"/>
            </w:tcMar>
            <w:shd w:fill="F2F4F7"/>
          </w:tcPr>
          <w:p>
            <w:pPr>
              <w:spacing w:after="0"/>
            </w:pPr>
            <w:r>
              <w:rPr>
                <w:sz w:val="15"/>
              </w:rPr>
              <w:t>1A</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WB8</w:t>
            </w:r>
          </w:p>
        </w:tc>
      </w:tr>
      <w:tr>
        <w:trPr>
          <w:cantSplit/>
        </w:trPr>
        <w:tc>
          <w:tcPr>
            <w:tcW w:type="dxa" w:w="1493"/>
            <w:vAlign w:val="center"/>
            <w:tcMar>
              <w:top w:w="55" w:type="dxa"/>
              <w:start w:w="65" w:type="dxa"/>
              <w:bottom w:w="55" w:type="dxa"/>
              <w:end w:w="65" w:type="dxa"/>
            </w:tcMar>
          </w:tcPr>
          <w:p>
            <w:pPr>
              <w:spacing w:after="0"/>
            </w:pPr>
            <w:r>
              <w:rPr>
                <w:sz w:val="15"/>
              </w:rPr>
              <w:t>33</w:t>
            </w:r>
          </w:p>
        </w:tc>
        <w:tc>
          <w:tcPr>
            <w:tcW w:type="dxa" w:w="1493"/>
            <w:vAlign w:val="center"/>
            <w:tcMar>
              <w:top w:w="55" w:type="dxa"/>
              <w:start w:w="65" w:type="dxa"/>
              <w:bottom w:w="55" w:type="dxa"/>
              <w:end w:w="65" w:type="dxa"/>
            </w:tcMar>
          </w:tcPr>
          <w:p>
            <w:pPr>
              <w:spacing w:after="0"/>
            </w:pPr>
            <w:r>
              <w:rPr>
                <w:sz w:val="15"/>
              </w:rPr>
              <w:t>D</w:t>
            </w:r>
          </w:p>
        </w:tc>
        <w:tc>
          <w:tcPr>
            <w:tcW w:type="dxa" w:w="1493"/>
            <w:vAlign w:val="center"/>
            <w:tcMar>
              <w:top w:w="55" w:type="dxa"/>
              <w:start w:w="65" w:type="dxa"/>
              <w:bottom w:w="55" w:type="dxa"/>
              <w:end w:w="65" w:type="dxa"/>
            </w:tcMar>
          </w:tcPr>
          <w:p>
            <w:pPr>
              <w:spacing w:after="0"/>
            </w:pPr>
            <w:r>
              <w:rPr>
                <w:sz w:val="15"/>
              </w:rPr>
              <w:t>1A</w:t>
            </w:r>
          </w:p>
        </w:tc>
        <w:tc>
          <w:tcPr>
            <w:tcW w:type="dxa" w:w="1493"/>
            <w:vAlign w:val="center"/>
            <w:tcMar>
              <w:top w:w="55" w:type="dxa"/>
              <w:start w:w="65" w:type="dxa"/>
              <w:bottom w:w="55" w:type="dxa"/>
              <w:end w:w="65" w:type="dxa"/>
            </w:tcMar>
          </w:tcPr>
          <w:p>
            <w:pPr>
              <w:spacing w:after="0"/>
            </w:pPr>
            <w:r>
              <w:rPr>
                <w:sz w:val="15"/>
              </w:rPr>
              <w:t>Difficult</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WB1</w:t>
            </w:r>
          </w:p>
        </w:tc>
      </w:tr>
      <w:tr>
        <w:trPr>
          <w:cantSplit/>
        </w:trPr>
        <w:tc>
          <w:tcPr>
            <w:tcW w:type="dxa" w:w="1493"/>
            <w:vAlign w:val="center"/>
            <w:tcMar>
              <w:top w:w="55" w:type="dxa"/>
              <w:start w:w="65" w:type="dxa"/>
              <w:bottom w:w="55" w:type="dxa"/>
              <w:end w:w="65" w:type="dxa"/>
            </w:tcMar>
            <w:shd w:fill="F2F4F7"/>
          </w:tcPr>
          <w:p>
            <w:pPr>
              <w:spacing w:after="0"/>
            </w:pPr>
            <w:r>
              <w:rPr>
                <w:sz w:val="15"/>
              </w:rPr>
              <w:t>34</w:t>
            </w:r>
          </w:p>
        </w:tc>
        <w:tc>
          <w:tcPr>
            <w:tcW w:type="dxa" w:w="1493"/>
            <w:vAlign w:val="center"/>
            <w:tcMar>
              <w:top w:w="55" w:type="dxa"/>
              <w:start w:w="65" w:type="dxa"/>
              <w:bottom w:w="55" w:type="dxa"/>
              <w:end w:w="65" w:type="dxa"/>
            </w:tcMar>
            <w:shd w:fill="F2F4F7"/>
          </w:tcPr>
          <w:p>
            <w:pPr>
              <w:spacing w:after="0"/>
            </w:pPr>
            <w:r>
              <w:rPr>
                <w:sz w:val="15"/>
              </w:rPr>
              <w:t>D</w:t>
            </w:r>
          </w:p>
        </w:tc>
        <w:tc>
          <w:tcPr>
            <w:tcW w:type="dxa" w:w="1493"/>
            <w:vAlign w:val="center"/>
            <w:tcMar>
              <w:top w:w="55" w:type="dxa"/>
              <w:start w:w="65" w:type="dxa"/>
              <w:bottom w:w="55" w:type="dxa"/>
              <w:end w:w="65" w:type="dxa"/>
            </w:tcMar>
            <w:shd w:fill="F2F4F7"/>
          </w:tcPr>
          <w:p>
            <w:pPr>
              <w:spacing w:after="0"/>
            </w:pPr>
            <w:r>
              <w:rPr>
                <w:sz w:val="15"/>
              </w:rPr>
              <w:t>2B</w:t>
            </w:r>
          </w:p>
        </w:tc>
        <w:tc>
          <w:tcPr>
            <w:tcW w:type="dxa" w:w="1493"/>
            <w:vAlign w:val="center"/>
            <w:tcMar>
              <w:top w:w="55" w:type="dxa"/>
              <w:start w:w="65" w:type="dxa"/>
              <w:bottom w:w="55" w:type="dxa"/>
              <w:end w:w="65" w:type="dxa"/>
            </w:tcMar>
            <w:shd w:fill="F2F4F7"/>
          </w:tcPr>
          <w:p>
            <w:pPr>
              <w:spacing w:after="0"/>
            </w:pPr>
            <w:r>
              <w:rPr>
                <w:sz w:val="15"/>
              </w:rPr>
              <w:t>Easy</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WB1</w:t>
            </w:r>
          </w:p>
        </w:tc>
      </w:tr>
      <w:tr>
        <w:trPr>
          <w:cantSplit/>
        </w:trPr>
        <w:tc>
          <w:tcPr>
            <w:tcW w:type="dxa" w:w="1493"/>
            <w:vAlign w:val="center"/>
            <w:tcMar>
              <w:top w:w="55" w:type="dxa"/>
              <w:start w:w="65" w:type="dxa"/>
              <w:bottom w:w="55" w:type="dxa"/>
              <w:end w:w="65" w:type="dxa"/>
            </w:tcMar>
          </w:tcPr>
          <w:p>
            <w:pPr>
              <w:spacing w:after="0"/>
            </w:pPr>
            <w:r>
              <w:rPr>
                <w:sz w:val="15"/>
              </w:rPr>
              <w:t>35</w:t>
            </w:r>
          </w:p>
        </w:tc>
        <w:tc>
          <w:tcPr>
            <w:tcW w:type="dxa" w:w="1493"/>
            <w:vAlign w:val="center"/>
            <w:tcMar>
              <w:top w:w="55" w:type="dxa"/>
              <w:start w:w="65" w:type="dxa"/>
              <w:bottom w:w="55" w:type="dxa"/>
              <w:end w:w="65" w:type="dxa"/>
            </w:tcMar>
          </w:tcPr>
          <w:p>
            <w:pPr>
              <w:spacing w:after="0"/>
            </w:pPr>
            <w:r>
              <w:rPr>
                <w:sz w:val="15"/>
              </w:rPr>
              <w:t>C</w:t>
            </w:r>
          </w:p>
        </w:tc>
        <w:tc>
          <w:tcPr>
            <w:tcW w:type="dxa" w:w="1493"/>
            <w:vAlign w:val="center"/>
            <w:tcMar>
              <w:top w:w="55" w:type="dxa"/>
              <w:start w:w="65" w:type="dxa"/>
              <w:bottom w:w="55" w:type="dxa"/>
              <w:end w:w="65" w:type="dxa"/>
            </w:tcMar>
          </w:tcPr>
          <w:p>
            <w:pPr>
              <w:spacing w:after="0"/>
            </w:pPr>
            <w:r>
              <w:rPr>
                <w:sz w:val="15"/>
              </w:rPr>
              <w:t>1C</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Direct</w:t>
            </w:r>
          </w:p>
        </w:tc>
        <w:tc>
          <w:tcPr>
            <w:tcW w:type="dxa" w:w="1493"/>
            <w:vAlign w:val="center"/>
            <w:tcMar>
              <w:top w:w="55" w:type="dxa"/>
              <w:start w:w="65" w:type="dxa"/>
              <w:bottom w:w="55" w:type="dxa"/>
              <w:end w:w="65" w:type="dxa"/>
            </w:tcMar>
          </w:tcPr>
          <w:p>
            <w:pPr>
              <w:spacing w:after="0"/>
            </w:pPr>
            <w:r>
              <w:rPr>
                <w:sz w:val="15"/>
              </w:rPr>
              <w:t>WB9</w:t>
            </w:r>
          </w:p>
        </w:tc>
      </w:tr>
      <w:tr>
        <w:trPr>
          <w:cantSplit/>
        </w:trPr>
        <w:tc>
          <w:tcPr>
            <w:tcW w:type="dxa" w:w="1493"/>
            <w:vAlign w:val="center"/>
            <w:tcMar>
              <w:top w:w="55" w:type="dxa"/>
              <w:start w:w="65" w:type="dxa"/>
              <w:bottom w:w="55" w:type="dxa"/>
              <w:end w:w="65" w:type="dxa"/>
            </w:tcMar>
            <w:shd w:fill="F2F4F7"/>
          </w:tcPr>
          <w:p>
            <w:pPr>
              <w:spacing w:after="0"/>
            </w:pPr>
            <w:r>
              <w:rPr>
                <w:sz w:val="15"/>
              </w:rPr>
              <w:t>36</w:t>
            </w:r>
          </w:p>
        </w:tc>
        <w:tc>
          <w:tcPr>
            <w:tcW w:type="dxa" w:w="1493"/>
            <w:vAlign w:val="center"/>
            <w:tcMar>
              <w:top w:w="55" w:type="dxa"/>
              <w:start w:w="65" w:type="dxa"/>
              <w:bottom w:w="55" w:type="dxa"/>
              <w:end w:w="65" w:type="dxa"/>
            </w:tcMar>
            <w:shd w:fill="F2F4F7"/>
          </w:tcPr>
          <w:p>
            <w:pPr>
              <w:spacing w:after="0"/>
            </w:pPr>
            <w:r>
              <w:rPr>
                <w:sz w:val="15"/>
              </w:rPr>
              <w:t>B</w:t>
            </w:r>
          </w:p>
        </w:tc>
        <w:tc>
          <w:tcPr>
            <w:tcW w:type="dxa" w:w="1493"/>
            <w:vAlign w:val="center"/>
            <w:tcMar>
              <w:top w:w="55" w:type="dxa"/>
              <w:start w:w="65" w:type="dxa"/>
              <w:bottom w:w="55" w:type="dxa"/>
              <w:end w:w="65" w:type="dxa"/>
            </w:tcMar>
            <w:shd w:fill="F2F4F7"/>
          </w:tcPr>
          <w:p>
            <w:pPr>
              <w:spacing w:after="0"/>
            </w:pPr>
            <w:r>
              <w:rPr>
                <w:sz w:val="15"/>
              </w:rPr>
              <w:t>1A</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WB8</w:t>
            </w:r>
          </w:p>
        </w:tc>
      </w:tr>
      <w:tr>
        <w:trPr>
          <w:cantSplit/>
        </w:trPr>
        <w:tc>
          <w:tcPr>
            <w:tcW w:type="dxa" w:w="1493"/>
            <w:vAlign w:val="center"/>
            <w:tcMar>
              <w:top w:w="55" w:type="dxa"/>
              <w:start w:w="65" w:type="dxa"/>
              <w:bottom w:w="55" w:type="dxa"/>
              <w:end w:w="65" w:type="dxa"/>
            </w:tcMar>
          </w:tcPr>
          <w:p>
            <w:pPr>
              <w:spacing w:after="0"/>
            </w:pPr>
            <w:r>
              <w:rPr>
                <w:sz w:val="15"/>
              </w:rPr>
              <w:t>37</w:t>
            </w:r>
          </w:p>
        </w:tc>
        <w:tc>
          <w:tcPr>
            <w:tcW w:type="dxa" w:w="1493"/>
            <w:vAlign w:val="center"/>
            <w:tcMar>
              <w:top w:w="55" w:type="dxa"/>
              <w:start w:w="65" w:type="dxa"/>
              <w:bottom w:w="55" w:type="dxa"/>
              <w:end w:w="65" w:type="dxa"/>
            </w:tcMar>
          </w:tcPr>
          <w:p>
            <w:pPr>
              <w:spacing w:after="0"/>
            </w:pPr>
            <w:r>
              <w:rPr>
                <w:sz w:val="15"/>
              </w:rPr>
              <w:t>A</w:t>
            </w:r>
          </w:p>
        </w:tc>
        <w:tc>
          <w:tcPr>
            <w:tcW w:type="dxa" w:w="1493"/>
            <w:vAlign w:val="center"/>
            <w:tcMar>
              <w:top w:w="55" w:type="dxa"/>
              <w:start w:w="65" w:type="dxa"/>
              <w:bottom w:w="55" w:type="dxa"/>
              <w:end w:w="65" w:type="dxa"/>
            </w:tcMar>
          </w:tcPr>
          <w:p>
            <w:pPr>
              <w:spacing w:after="0"/>
            </w:pPr>
            <w:r>
              <w:rPr>
                <w:sz w:val="15"/>
              </w:rPr>
              <w:t>1A</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WB2</w:t>
            </w:r>
          </w:p>
        </w:tc>
      </w:tr>
      <w:tr>
        <w:trPr>
          <w:cantSplit/>
        </w:trPr>
        <w:tc>
          <w:tcPr>
            <w:tcW w:type="dxa" w:w="1493"/>
            <w:vAlign w:val="center"/>
            <w:tcMar>
              <w:top w:w="55" w:type="dxa"/>
              <w:start w:w="65" w:type="dxa"/>
              <w:bottom w:w="55" w:type="dxa"/>
              <w:end w:w="65" w:type="dxa"/>
            </w:tcMar>
            <w:shd w:fill="F2F4F7"/>
          </w:tcPr>
          <w:p>
            <w:pPr>
              <w:spacing w:after="0"/>
            </w:pPr>
            <w:r>
              <w:rPr>
                <w:sz w:val="15"/>
              </w:rPr>
              <w:t>38</w:t>
            </w:r>
          </w:p>
        </w:tc>
        <w:tc>
          <w:tcPr>
            <w:tcW w:type="dxa" w:w="1493"/>
            <w:vAlign w:val="center"/>
            <w:tcMar>
              <w:top w:w="55" w:type="dxa"/>
              <w:start w:w="65" w:type="dxa"/>
              <w:bottom w:w="55" w:type="dxa"/>
              <w:end w:w="65" w:type="dxa"/>
            </w:tcMar>
            <w:shd w:fill="F2F4F7"/>
          </w:tcPr>
          <w:p>
            <w:pPr>
              <w:spacing w:after="0"/>
            </w:pPr>
            <w:r>
              <w:rPr>
                <w:sz w:val="15"/>
              </w:rPr>
              <w:t>D</w:t>
            </w:r>
          </w:p>
        </w:tc>
        <w:tc>
          <w:tcPr>
            <w:tcW w:type="dxa" w:w="1493"/>
            <w:vAlign w:val="center"/>
            <w:tcMar>
              <w:top w:w="55" w:type="dxa"/>
              <w:start w:w="65" w:type="dxa"/>
              <w:bottom w:w="55" w:type="dxa"/>
              <w:end w:w="65" w:type="dxa"/>
            </w:tcMar>
            <w:shd w:fill="F2F4F7"/>
          </w:tcPr>
          <w:p>
            <w:pPr>
              <w:spacing w:after="0"/>
            </w:pPr>
            <w:r>
              <w:rPr>
                <w:sz w:val="15"/>
              </w:rPr>
              <w:t>2B</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Foundational</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LS Module</w:t>
            </w:r>
          </w:p>
        </w:tc>
      </w:tr>
      <w:tr>
        <w:trPr>
          <w:cantSplit/>
        </w:trPr>
        <w:tc>
          <w:tcPr>
            <w:tcW w:type="dxa" w:w="1493"/>
            <w:vAlign w:val="center"/>
            <w:tcMar>
              <w:top w:w="55" w:type="dxa"/>
              <w:start w:w="65" w:type="dxa"/>
              <w:bottom w:w="55" w:type="dxa"/>
              <w:end w:w="65" w:type="dxa"/>
            </w:tcMar>
          </w:tcPr>
          <w:p>
            <w:pPr>
              <w:spacing w:after="0"/>
            </w:pPr>
            <w:r>
              <w:rPr>
                <w:sz w:val="15"/>
              </w:rPr>
              <w:t>39</w:t>
            </w:r>
          </w:p>
        </w:tc>
        <w:tc>
          <w:tcPr>
            <w:tcW w:type="dxa" w:w="1493"/>
            <w:vAlign w:val="center"/>
            <w:tcMar>
              <w:top w:w="55" w:type="dxa"/>
              <w:start w:w="65" w:type="dxa"/>
              <w:bottom w:w="55" w:type="dxa"/>
              <w:end w:w="65" w:type="dxa"/>
            </w:tcMar>
          </w:tcPr>
          <w:p>
            <w:pPr>
              <w:spacing w:after="0"/>
            </w:pPr>
            <w:r>
              <w:rPr>
                <w:sz w:val="15"/>
              </w:rPr>
              <w:t>A</w:t>
            </w:r>
          </w:p>
        </w:tc>
        <w:tc>
          <w:tcPr>
            <w:tcW w:type="dxa" w:w="1493"/>
            <w:vAlign w:val="center"/>
            <w:tcMar>
              <w:top w:w="55" w:type="dxa"/>
              <w:start w:w="65" w:type="dxa"/>
              <w:bottom w:w="55" w:type="dxa"/>
              <w:end w:w="65" w:type="dxa"/>
            </w:tcMar>
          </w:tcPr>
          <w:p>
            <w:pPr>
              <w:spacing w:after="0"/>
            </w:pPr>
            <w:r>
              <w:rPr>
                <w:sz w:val="15"/>
              </w:rPr>
              <w:t>1C</w:t>
            </w:r>
          </w:p>
        </w:tc>
        <w:tc>
          <w:tcPr>
            <w:tcW w:type="dxa" w:w="1493"/>
            <w:vAlign w:val="center"/>
            <w:tcMar>
              <w:top w:w="55" w:type="dxa"/>
              <w:start w:w="65" w:type="dxa"/>
              <w:bottom w:w="55" w:type="dxa"/>
              <w:end w:w="65" w:type="dxa"/>
            </w:tcMar>
          </w:tcPr>
          <w:p>
            <w:pPr>
              <w:spacing w:after="0"/>
            </w:pPr>
            <w:r>
              <w:rPr>
                <w:sz w:val="15"/>
              </w:rPr>
              <w:t>Easy</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Direct</w:t>
            </w:r>
          </w:p>
        </w:tc>
        <w:tc>
          <w:tcPr>
            <w:tcW w:type="dxa" w:w="1493"/>
            <w:vAlign w:val="center"/>
            <w:tcMar>
              <w:top w:w="55" w:type="dxa"/>
              <w:start w:w="65" w:type="dxa"/>
              <w:bottom w:w="55" w:type="dxa"/>
              <w:end w:w="65" w:type="dxa"/>
            </w:tcMar>
          </w:tcPr>
          <w:p>
            <w:pPr>
              <w:spacing w:after="0"/>
            </w:pPr>
            <w:r>
              <w:rPr>
                <w:sz w:val="15"/>
              </w:rPr>
              <w:t>LS Module</w:t>
            </w:r>
          </w:p>
        </w:tc>
      </w:tr>
      <w:tr>
        <w:trPr>
          <w:cantSplit/>
        </w:trPr>
        <w:tc>
          <w:tcPr>
            <w:tcW w:type="dxa" w:w="1493"/>
            <w:vAlign w:val="center"/>
            <w:tcMar>
              <w:top w:w="55" w:type="dxa"/>
              <w:start w:w="65" w:type="dxa"/>
              <w:bottom w:w="55" w:type="dxa"/>
              <w:end w:w="65" w:type="dxa"/>
            </w:tcMar>
            <w:shd w:fill="F2F4F7"/>
          </w:tcPr>
          <w:p>
            <w:pPr>
              <w:spacing w:after="0"/>
            </w:pPr>
            <w:r>
              <w:rPr>
                <w:sz w:val="15"/>
              </w:rPr>
              <w:t>40</w:t>
            </w:r>
          </w:p>
        </w:tc>
        <w:tc>
          <w:tcPr>
            <w:tcW w:type="dxa" w:w="1493"/>
            <w:vAlign w:val="center"/>
            <w:tcMar>
              <w:top w:w="55" w:type="dxa"/>
              <w:start w:w="65" w:type="dxa"/>
              <w:bottom w:w="55" w:type="dxa"/>
              <w:end w:w="65" w:type="dxa"/>
            </w:tcMar>
            <w:shd w:fill="F2F4F7"/>
          </w:tcPr>
          <w:p>
            <w:pPr>
              <w:spacing w:after="0"/>
            </w:pPr>
            <w:r>
              <w:rPr>
                <w:sz w:val="15"/>
              </w:rPr>
              <w:t>A</w:t>
            </w:r>
          </w:p>
        </w:tc>
        <w:tc>
          <w:tcPr>
            <w:tcW w:type="dxa" w:w="1493"/>
            <w:vAlign w:val="center"/>
            <w:tcMar>
              <w:top w:w="55" w:type="dxa"/>
              <w:start w:w="65" w:type="dxa"/>
              <w:bottom w:w="55" w:type="dxa"/>
              <w:end w:w="65" w:type="dxa"/>
            </w:tcMar>
            <w:shd w:fill="F2F4F7"/>
          </w:tcPr>
          <w:p>
            <w:pPr>
              <w:spacing w:after="0"/>
            </w:pPr>
            <w:r>
              <w:rPr>
                <w:sz w:val="15"/>
              </w:rPr>
              <w:t>1B</w:t>
            </w:r>
          </w:p>
        </w:tc>
        <w:tc>
          <w:tcPr>
            <w:tcW w:type="dxa" w:w="1493"/>
            <w:vAlign w:val="center"/>
            <w:tcMar>
              <w:top w:w="55" w:type="dxa"/>
              <w:start w:w="65" w:type="dxa"/>
              <w:bottom w:w="55" w:type="dxa"/>
              <w:end w:w="65" w:type="dxa"/>
            </w:tcMar>
            <w:shd w:fill="F2F4F7"/>
          </w:tcPr>
          <w:p>
            <w:pPr>
              <w:spacing w:after="0"/>
            </w:pPr>
            <w:r>
              <w:rPr>
                <w:sz w:val="15"/>
              </w:rPr>
              <w:t>Difficult</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WB8</w:t>
            </w:r>
          </w:p>
        </w:tc>
      </w:tr>
      <w:tr>
        <w:trPr>
          <w:cantSplit/>
        </w:trPr>
        <w:tc>
          <w:tcPr>
            <w:tcW w:type="dxa" w:w="1493"/>
            <w:vAlign w:val="center"/>
            <w:tcMar>
              <w:top w:w="55" w:type="dxa"/>
              <w:start w:w="65" w:type="dxa"/>
              <w:bottom w:w="55" w:type="dxa"/>
              <w:end w:w="65" w:type="dxa"/>
            </w:tcMar>
          </w:tcPr>
          <w:p>
            <w:pPr>
              <w:spacing w:after="0"/>
            </w:pPr>
            <w:r>
              <w:rPr>
                <w:sz w:val="15"/>
              </w:rPr>
              <w:t>41</w:t>
            </w:r>
          </w:p>
        </w:tc>
        <w:tc>
          <w:tcPr>
            <w:tcW w:type="dxa" w:w="1493"/>
            <w:vAlign w:val="center"/>
            <w:tcMar>
              <w:top w:w="55" w:type="dxa"/>
              <w:start w:w="65" w:type="dxa"/>
              <w:bottom w:w="55" w:type="dxa"/>
              <w:end w:w="65" w:type="dxa"/>
            </w:tcMar>
          </w:tcPr>
          <w:p>
            <w:pPr>
              <w:spacing w:after="0"/>
            </w:pPr>
            <w:r>
              <w:rPr>
                <w:sz w:val="15"/>
              </w:rPr>
              <w:t>A</w:t>
            </w:r>
          </w:p>
        </w:tc>
        <w:tc>
          <w:tcPr>
            <w:tcW w:type="dxa" w:w="1493"/>
            <w:vAlign w:val="center"/>
            <w:tcMar>
              <w:top w:w="55" w:type="dxa"/>
              <w:start w:w="65" w:type="dxa"/>
              <w:bottom w:w="55" w:type="dxa"/>
              <w:end w:w="65" w:type="dxa"/>
            </w:tcMar>
          </w:tcPr>
          <w:p>
            <w:pPr>
              <w:spacing w:after="0"/>
            </w:pPr>
            <w:r>
              <w:rPr>
                <w:sz w:val="15"/>
              </w:rPr>
              <w:t>2B</w:t>
            </w:r>
          </w:p>
        </w:tc>
        <w:tc>
          <w:tcPr>
            <w:tcW w:type="dxa" w:w="1493"/>
            <w:vAlign w:val="center"/>
            <w:tcMar>
              <w:top w:w="55" w:type="dxa"/>
              <w:start w:w="65" w:type="dxa"/>
              <w:bottom w:w="55" w:type="dxa"/>
              <w:end w:w="65" w:type="dxa"/>
            </w:tcMar>
          </w:tcPr>
          <w:p>
            <w:pPr>
              <w:spacing w:after="0"/>
            </w:pPr>
            <w:r>
              <w:rPr>
                <w:sz w:val="15"/>
              </w:rPr>
              <w:t>Easy</w:t>
            </w:r>
          </w:p>
        </w:tc>
        <w:tc>
          <w:tcPr>
            <w:tcW w:type="dxa" w:w="1493"/>
            <w:vAlign w:val="center"/>
            <w:tcMar>
              <w:top w:w="55" w:type="dxa"/>
              <w:start w:w="65" w:type="dxa"/>
              <w:bottom w:w="55" w:type="dxa"/>
              <w:end w:w="65" w:type="dxa"/>
            </w:tcMar>
          </w:tcPr>
          <w:p>
            <w:pPr>
              <w:spacing w:after="0"/>
            </w:pPr>
            <w:r>
              <w:rPr>
                <w:sz w:val="15"/>
              </w:rPr>
              <w:t>Foundational</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WB7</w:t>
            </w:r>
          </w:p>
        </w:tc>
      </w:tr>
      <w:tr>
        <w:trPr>
          <w:cantSplit/>
        </w:trPr>
        <w:tc>
          <w:tcPr>
            <w:tcW w:type="dxa" w:w="1493"/>
            <w:vAlign w:val="center"/>
            <w:tcMar>
              <w:top w:w="55" w:type="dxa"/>
              <w:start w:w="65" w:type="dxa"/>
              <w:bottom w:w="55" w:type="dxa"/>
              <w:end w:w="65" w:type="dxa"/>
            </w:tcMar>
            <w:shd w:fill="F2F4F7"/>
          </w:tcPr>
          <w:p>
            <w:pPr>
              <w:spacing w:after="0"/>
            </w:pPr>
            <w:r>
              <w:rPr>
                <w:sz w:val="15"/>
              </w:rPr>
              <w:t>42</w:t>
            </w:r>
          </w:p>
        </w:tc>
        <w:tc>
          <w:tcPr>
            <w:tcW w:type="dxa" w:w="1493"/>
            <w:vAlign w:val="center"/>
            <w:tcMar>
              <w:top w:w="55" w:type="dxa"/>
              <w:start w:w="65" w:type="dxa"/>
              <w:bottom w:w="55" w:type="dxa"/>
              <w:end w:w="65" w:type="dxa"/>
            </w:tcMar>
            <w:shd w:fill="F2F4F7"/>
          </w:tcPr>
          <w:p>
            <w:pPr>
              <w:spacing w:after="0"/>
            </w:pPr>
            <w:r>
              <w:rPr>
                <w:sz w:val="15"/>
              </w:rPr>
              <w:t>D</w:t>
            </w:r>
          </w:p>
        </w:tc>
        <w:tc>
          <w:tcPr>
            <w:tcW w:type="dxa" w:w="1493"/>
            <w:vAlign w:val="center"/>
            <w:tcMar>
              <w:top w:w="55" w:type="dxa"/>
              <w:start w:w="65" w:type="dxa"/>
              <w:bottom w:w="55" w:type="dxa"/>
              <w:end w:w="65" w:type="dxa"/>
            </w:tcMar>
            <w:shd w:fill="F2F4F7"/>
          </w:tcPr>
          <w:p>
            <w:pPr>
              <w:spacing w:after="0"/>
            </w:pPr>
            <w:r>
              <w:rPr>
                <w:sz w:val="15"/>
              </w:rPr>
              <w:t>1C</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WB3</w:t>
            </w:r>
          </w:p>
        </w:tc>
      </w:tr>
      <w:tr>
        <w:trPr>
          <w:cantSplit/>
        </w:trPr>
        <w:tc>
          <w:tcPr>
            <w:tcW w:type="dxa" w:w="1493"/>
            <w:vAlign w:val="center"/>
            <w:tcMar>
              <w:top w:w="55" w:type="dxa"/>
              <w:start w:w="65" w:type="dxa"/>
              <w:bottom w:w="55" w:type="dxa"/>
              <w:end w:w="65" w:type="dxa"/>
            </w:tcMar>
          </w:tcPr>
          <w:p>
            <w:pPr>
              <w:spacing w:after="0"/>
            </w:pPr>
            <w:r>
              <w:rPr>
                <w:sz w:val="15"/>
              </w:rPr>
              <w:t>43</w:t>
            </w:r>
          </w:p>
        </w:tc>
        <w:tc>
          <w:tcPr>
            <w:tcW w:type="dxa" w:w="1493"/>
            <w:vAlign w:val="center"/>
            <w:tcMar>
              <w:top w:w="55" w:type="dxa"/>
              <w:start w:w="65" w:type="dxa"/>
              <w:bottom w:w="55" w:type="dxa"/>
              <w:end w:w="65" w:type="dxa"/>
            </w:tcMar>
          </w:tcPr>
          <w:p>
            <w:pPr>
              <w:spacing w:after="0"/>
            </w:pPr>
            <w:r>
              <w:rPr>
                <w:sz w:val="15"/>
              </w:rPr>
              <w:t>C</w:t>
            </w:r>
          </w:p>
        </w:tc>
        <w:tc>
          <w:tcPr>
            <w:tcW w:type="dxa" w:w="1493"/>
            <w:vAlign w:val="center"/>
            <w:tcMar>
              <w:top w:w="55" w:type="dxa"/>
              <w:start w:w="65" w:type="dxa"/>
              <w:bottom w:w="55" w:type="dxa"/>
              <w:end w:w="65" w:type="dxa"/>
            </w:tcMar>
          </w:tcPr>
          <w:p>
            <w:pPr>
              <w:spacing w:after="0"/>
            </w:pPr>
            <w:r>
              <w:rPr>
                <w:sz w:val="15"/>
              </w:rPr>
              <w:t>1C</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WB6</w:t>
            </w:r>
          </w:p>
        </w:tc>
      </w:tr>
      <w:tr>
        <w:trPr>
          <w:cantSplit/>
        </w:trPr>
        <w:tc>
          <w:tcPr>
            <w:tcW w:type="dxa" w:w="1493"/>
            <w:vAlign w:val="center"/>
            <w:tcMar>
              <w:top w:w="55" w:type="dxa"/>
              <w:start w:w="65" w:type="dxa"/>
              <w:bottom w:w="55" w:type="dxa"/>
              <w:end w:w="65" w:type="dxa"/>
            </w:tcMar>
            <w:shd w:fill="F2F4F7"/>
          </w:tcPr>
          <w:p>
            <w:pPr>
              <w:spacing w:after="0"/>
            </w:pPr>
            <w:r>
              <w:rPr>
                <w:sz w:val="15"/>
              </w:rPr>
              <w:t>44</w:t>
            </w:r>
          </w:p>
        </w:tc>
        <w:tc>
          <w:tcPr>
            <w:tcW w:type="dxa" w:w="1493"/>
            <w:vAlign w:val="center"/>
            <w:tcMar>
              <w:top w:w="55" w:type="dxa"/>
              <w:start w:w="65" w:type="dxa"/>
              <w:bottom w:w="55" w:type="dxa"/>
              <w:end w:w="65" w:type="dxa"/>
            </w:tcMar>
            <w:shd w:fill="F2F4F7"/>
          </w:tcPr>
          <w:p>
            <w:pPr>
              <w:spacing w:after="0"/>
            </w:pPr>
            <w:r>
              <w:rPr>
                <w:sz w:val="15"/>
              </w:rPr>
              <w:t>B</w:t>
            </w:r>
          </w:p>
        </w:tc>
        <w:tc>
          <w:tcPr>
            <w:tcW w:type="dxa" w:w="1493"/>
            <w:vAlign w:val="center"/>
            <w:tcMar>
              <w:top w:w="55" w:type="dxa"/>
              <w:start w:w="65" w:type="dxa"/>
              <w:bottom w:w="55" w:type="dxa"/>
              <w:end w:w="65" w:type="dxa"/>
            </w:tcMar>
            <w:shd w:fill="F2F4F7"/>
          </w:tcPr>
          <w:p>
            <w:pPr>
              <w:spacing w:after="0"/>
            </w:pPr>
            <w:r>
              <w:rPr>
                <w:sz w:val="15"/>
              </w:rPr>
              <w:t>1B</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Sequence</w:t>
            </w:r>
          </w:p>
        </w:tc>
        <w:tc>
          <w:tcPr>
            <w:tcW w:type="dxa" w:w="1493"/>
            <w:vAlign w:val="center"/>
            <w:tcMar>
              <w:top w:w="55" w:type="dxa"/>
              <w:start w:w="65" w:type="dxa"/>
              <w:bottom w:w="55" w:type="dxa"/>
              <w:end w:w="65" w:type="dxa"/>
            </w:tcMar>
            <w:shd w:fill="F2F4F7"/>
          </w:tcPr>
          <w:p>
            <w:pPr>
              <w:spacing w:after="0"/>
            </w:pPr>
            <w:r>
              <w:rPr>
                <w:sz w:val="15"/>
              </w:rPr>
              <w:t>WB9</w:t>
            </w:r>
          </w:p>
        </w:tc>
      </w:tr>
      <w:tr>
        <w:trPr>
          <w:cantSplit/>
        </w:trPr>
        <w:tc>
          <w:tcPr>
            <w:tcW w:type="dxa" w:w="1493"/>
            <w:vAlign w:val="center"/>
            <w:tcMar>
              <w:top w:w="55" w:type="dxa"/>
              <w:start w:w="65" w:type="dxa"/>
              <w:bottom w:w="55" w:type="dxa"/>
              <w:end w:w="65" w:type="dxa"/>
            </w:tcMar>
          </w:tcPr>
          <w:p>
            <w:pPr>
              <w:spacing w:after="0"/>
            </w:pPr>
            <w:r>
              <w:rPr>
                <w:sz w:val="15"/>
              </w:rPr>
              <w:t>45</w:t>
            </w:r>
          </w:p>
        </w:tc>
        <w:tc>
          <w:tcPr>
            <w:tcW w:type="dxa" w:w="1493"/>
            <w:vAlign w:val="center"/>
            <w:tcMar>
              <w:top w:w="55" w:type="dxa"/>
              <w:start w:w="65" w:type="dxa"/>
              <w:bottom w:w="55" w:type="dxa"/>
              <w:end w:w="65" w:type="dxa"/>
            </w:tcMar>
          </w:tcPr>
          <w:p>
            <w:pPr>
              <w:spacing w:after="0"/>
            </w:pPr>
            <w:r>
              <w:rPr>
                <w:sz w:val="15"/>
              </w:rPr>
              <w:t>B</w:t>
            </w:r>
          </w:p>
        </w:tc>
        <w:tc>
          <w:tcPr>
            <w:tcW w:type="dxa" w:w="1493"/>
            <w:vAlign w:val="center"/>
            <w:tcMar>
              <w:top w:w="55" w:type="dxa"/>
              <w:start w:w="65" w:type="dxa"/>
              <w:bottom w:w="55" w:type="dxa"/>
              <w:end w:w="65" w:type="dxa"/>
            </w:tcMar>
          </w:tcPr>
          <w:p>
            <w:pPr>
              <w:spacing w:after="0"/>
            </w:pPr>
            <w:r>
              <w:rPr>
                <w:sz w:val="15"/>
              </w:rPr>
              <w:t>2B</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LS Module</w:t>
            </w:r>
          </w:p>
        </w:tc>
      </w:tr>
      <w:tr>
        <w:trPr>
          <w:cantSplit/>
        </w:trPr>
        <w:tc>
          <w:tcPr>
            <w:tcW w:type="dxa" w:w="1493"/>
            <w:vAlign w:val="center"/>
            <w:tcMar>
              <w:top w:w="55" w:type="dxa"/>
              <w:start w:w="65" w:type="dxa"/>
              <w:bottom w:w="55" w:type="dxa"/>
              <w:end w:w="65" w:type="dxa"/>
            </w:tcMar>
            <w:shd w:fill="F2F4F7"/>
          </w:tcPr>
          <w:p>
            <w:pPr>
              <w:spacing w:after="0"/>
            </w:pPr>
            <w:r>
              <w:rPr>
                <w:sz w:val="15"/>
              </w:rPr>
              <w:t>46</w:t>
            </w:r>
          </w:p>
        </w:tc>
        <w:tc>
          <w:tcPr>
            <w:tcW w:type="dxa" w:w="1493"/>
            <w:vAlign w:val="center"/>
            <w:tcMar>
              <w:top w:w="55" w:type="dxa"/>
              <w:start w:w="65" w:type="dxa"/>
              <w:bottom w:w="55" w:type="dxa"/>
              <w:end w:w="65" w:type="dxa"/>
            </w:tcMar>
            <w:shd w:fill="F2F4F7"/>
          </w:tcPr>
          <w:p>
            <w:pPr>
              <w:spacing w:after="0"/>
            </w:pPr>
            <w:r>
              <w:rPr>
                <w:sz w:val="15"/>
              </w:rPr>
              <w:t>D</w:t>
            </w:r>
          </w:p>
        </w:tc>
        <w:tc>
          <w:tcPr>
            <w:tcW w:type="dxa" w:w="1493"/>
            <w:vAlign w:val="center"/>
            <w:tcMar>
              <w:top w:w="55" w:type="dxa"/>
              <w:start w:w="65" w:type="dxa"/>
              <w:bottom w:w="55" w:type="dxa"/>
              <w:end w:w="65" w:type="dxa"/>
            </w:tcMar>
            <w:shd w:fill="F2F4F7"/>
          </w:tcPr>
          <w:p>
            <w:pPr>
              <w:spacing w:after="0"/>
            </w:pPr>
            <w:r>
              <w:rPr>
                <w:sz w:val="15"/>
              </w:rPr>
              <w:t>1A</w:t>
            </w:r>
          </w:p>
        </w:tc>
        <w:tc>
          <w:tcPr>
            <w:tcW w:type="dxa" w:w="1493"/>
            <w:vAlign w:val="center"/>
            <w:tcMar>
              <w:top w:w="55" w:type="dxa"/>
              <w:start w:w="65" w:type="dxa"/>
              <w:bottom w:w="55" w:type="dxa"/>
              <w:end w:w="65" w:type="dxa"/>
            </w:tcMar>
            <w:shd w:fill="F2F4F7"/>
          </w:tcPr>
          <w:p>
            <w:pPr>
              <w:spacing w:after="0"/>
            </w:pPr>
            <w:r>
              <w:rPr>
                <w:sz w:val="15"/>
              </w:rPr>
              <w:t>Difficult</w:t>
            </w:r>
          </w:p>
        </w:tc>
        <w:tc>
          <w:tcPr>
            <w:tcW w:type="dxa" w:w="1493"/>
            <w:vAlign w:val="center"/>
            <w:tcMar>
              <w:top w:w="55" w:type="dxa"/>
              <w:start w:w="65" w:type="dxa"/>
              <w:bottom w:w="55" w:type="dxa"/>
              <w:end w:w="65" w:type="dxa"/>
            </w:tcMar>
            <w:shd w:fill="F2F4F7"/>
          </w:tcPr>
          <w:p>
            <w:pPr>
              <w:spacing w:after="0"/>
            </w:pPr>
            <w:r>
              <w:rPr>
                <w:sz w:val="15"/>
              </w:rPr>
              <w:t>Integrated</w:t>
            </w:r>
          </w:p>
        </w:tc>
        <w:tc>
          <w:tcPr>
            <w:tcW w:type="dxa" w:w="1493"/>
            <w:vAlign w:val="center"/>
            <w:tcMar>
              <w:top w:w="55" w:type="dxa"/>
              <w:start w:w="65" w:type="dxa"/>
              <w:bottom w:w="55" w:type="dxa"/>
              <w:end w:w="65" w:type="dxa"/>
            </w:tcMar>
            <w:shd w:fill="F2F4F7"/>
          </w:tcPr>
          <w:p>
            <w:pPr>
              <w:spacing w:after="0"/>
            </w:pPr>
            <w:r>
              <w:rPr>
                <w:sz w:val="15"/>
              </w:rPr>
              <w:t>Sequence</w:t>
            </w:r>
          </w:p>
        </w:tc>
        <w:tc>
          <w:tcPr>
            <w:tcW w:type="dxa" w:w="1493"/>
            <w:vAlign w:val="center"/>
            <w:tcMar>
              <w:top w:w="55" w:type="dxa"/>
              <w:start w:w="65" w:type="dxa"/>
              <w:bottom w:w="55" w:type="dxa"/>
              <w:end w:w="65" w:type="dxa"/>
            </w:tcMar>
            <w:shd w:fill="F2F4F7"/>
          </w:tcPr>
          <w:p>
            <w:pPr>
              <w:spacing w:after="0"/>
            </w:pPr>
            <w:r>
              <w:rPr>
                <w:sz w:val="15"/>
              </w:rPr>
              <w:t>WB1</w:t>
            </w:r>
          </w:p>
        </w:tc>
      </w:tr>
      <w:tr>
        <w:trPr>
          <w:cantSplit/>
        </w:trPr>
        <w:tc>
          <w:tcPr>
            <w:tcW w:type="dxa" w:w="1493"/>
            <w:vAlign w:val="center"/>
            <w:tcMar>
              <w:top w:w="55" w:type="dxa"/>
              <w:start w:w="65" w:type="dxa"/>
              <w:bottom w:w="55" w:type="dxa"/>
              <w:end w:w="65" w:type="dxa"/>
            </w:tcMar>
          </w:tcPr>
          <w:p>
            <w:pPr>
              <w:spacing w:after="0"/>
            </w:pPr>
            <w:r>
              <w:rPr>
                <w:sz w:val="15"/>
              </w:rPr>
              <w:t>47</w:t>
            </w:r>
          </w:p>
        </w:tc>
        <w:tc>
          <w:tcPr>
            <w:tcW w:type="dxa" w:w="1493"/>
            <w:vAlign w:val="center"/>
            <w:tcMar>
              <w:top w:w="55" w:type="dxa"/>
              <w:start w:w="65" w:type="dxa"/>
              <w:bottom w:w="55" w:type="dxa"/>
              <w:end w:w="65" w:type="dxa"/>
            </w:tcMar>
          </w:tcPr>
          <w:p>
            <w:pPr>
              <w:spacing w:after="0"/>
            </w:pPr>
            <w:r>
              <w:rPr>
                <w:sz w:val="15"/>
              </w:rPr>
              <w:t>A</w:t>
            </w:r>
          </w:p>
        </w:tc>
        <w:tc>
          <w:tcPr>
            <w:tcW w:type="dxa" w:w="1493"/>
            <w:vAlign w:val="center"/>
            <w:tcMar>
              <w:top w:w="55" w:type="dxa"/>
              <w:start w:w="65" w:type="dxa"/>
              <w:bottom w:w="55" w:type="dxa"/>
              <w:end w:w="65" w:type="dxa"/>
            </w:tcMar>
          </w:tcPr>
          <w:p>
            <w:pPr>
              <w:spacing w:after="0"/>
            </w:pPr>
            <w:r>
              <w:rPr>
                <w:sz w:val="15"/>
              </w:rPr>
              <w:t>2A</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Foundational</w:t>
            </w:r>
          </w:p>
        </w:tc>
        <w:tc>
          <w:tcPr>
            <w:tcW w:type="dxa" w:w="1493"/>
            <w:vAlign w:val="center"/>
            <w:tcMar>
              <w:top w:w="55" w:type="dxa"/>
              <w:start w:w="65" w:type="dxa"/>
              <w:bottom w:w="55" w:type="dxa"/>
              <w:end w:w="65" w:type="dxa"/>
            </w:tcMar>
          </w:tcPr>
          <w:p>
            <w:pPr>
              <w:spacing w:after="0"/>
            </w:pPr>
            <w:r>
              <w:rPr>
                <w:sz w:val="15"/>
              </w:rPr>
              <w:t>Direct</w:t>
            </w:r>
          </w:p>
        </w:tc>
        <w:tc>
          <w:tcPr>
            <w:tcW w:type="dxa" w:w="1493"/>
            <w:vAlign w:val="center"/>
            <w:tcMar>
              <w:top w:w="55" w:type="dxa"/>
              <w:start w:w="65" w:type="dxa"/>
              <w:bottom w:w="55" w:type="dxa"/>
              <w:end w:w="65" w:type="dxa"/>
            </w:tcMar>
          </w:tcPr>
          <w:p>
            <w:pPr>
              <w:spacing w:after="0"/>
            </w:pPr>
            <w:r>
              <w:rPr>
                <w:sz w:val="15"/>
              </w:rPr>
              <w:t>WB7</w:t>
            </w:r>
          </w:p>
        </w:tc>
      </w:tr>
      <w:tr>
        <w:trPr>
          <w:cantSplit/>
        </w:trPr>
        <w:tc>
          <w:tcPr>
            <w:tcW w:type="dxa" w:w="1493"/>
            <w:vAlign w:val="center"/>
            <w:tcMar>
              <w:top w:w="55" w:type="dxa"/>
              <w:start w:w="65" w:type="dxa"/>
              <w:bottom w:w="55" w:type="dxa"/>
              <w:end w:w="65" w:type="dxa"/>
            </w:tcMar>
            <w:shd w:fill="F2F4F7"/>
          </w:tcPr>
          <w:p>
            <w:pPr>
              <w:spacing w:after="0"/>
            </w:pPr>
            <w:r>
              <w:rPr>
                <w:sz w:val="15"/>
              </w:rPr>
              <w:t>48</w:t>
            </w:r>
          </w:p>
        </w:tc>
        <w:tc>
          <w:tcPr>
            <w:tcW w:type="dxa" w:w="1493"/>
            <w:vAlign w:val="center"/>
            <w:tcMar>
              <w:top w:w="55" w:type="dxa"/>
              <w:start w:w="65" w:type="dxa"/>
              <w:bottom w:w="55" w:type="dxa"/>
              <w:end w:w="65" w:type="dxa"/>
            </w:tcMar>
            <w:shd w:fill="F2F4F7"/>
          </w:tcPr>
          <w:p>
            <w:pPr>
              <w:spacing w:after="0"/>
            </w:pPr>
            <w:r>
              <w:rPr>
                <w:sz w:val="15"/>
              </w:rPr>
              <w:t>A</w:t>
            </w:r>
          </w:p>
        </w:tc>
        <w:tc>
          <w:tcPr>
            <w:tcW w:type="dxa" w:w="1493"/>
            <w:vAlign w:val="center"/>
            <w:tcMar>
              <w:top w:w="55" w:type="dxa"/>
              <w:start w:w="65" w:type="dxa"/>
              <w:bottom w:w="55" w:type="dxa"/>
              <w:end w:w="65" w:type="dxa"/>
            </w:tcMar>
            <w:shd w:fill="F2F4F7"/>
          </w:tcPr>
          <w:p>
            <w:pPr>
              <w:spacing w:after="0"/>
            </w:pPr>
            <w:r>
              <w:rPr>
                <w:sz w:val="15"/>
              </w:rPr>
              <w:t>1B</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Sequence</w:t>
            </w:r>
          </w:p>
        </w:tc>
        <w:tc>
          <w:tcPr>
            <w:tcW w:type="dxa" w:w="1493"/>
            <w:vAlign w:val="center"/>
            <w:tcMar>
              <w:top w:w="55" w:type="dxa"/>
              <w:start w:w="65" w:type="dxa"/>
              <w:bottom w:w="55" w:type="dxa"/>
              <w:end w:w="65" w:type="dxa"/>
            </w:tcMar>
            <w:shd w:fill="F2F4F7"/>
          </w:tcPr>
          <w:p>
            <w:pPr>
              <w:spacing w:after="0"/>
            </w:pPr>
            <w:r>
              <w:rPr>
                <w:sz w:val="15"/>
              </w:rPr>
              <w:t>WB5</w:t>
            </w:r>
          </w:p>
        </w:tc>
      </w:tr>
      <w:tr>
        <w:trPr>
          <w:cantSplit/>
        </w:trPr>
        <w:tc>
          <w:tcPr>
            <w:tcW w:type="dxa" w:w="1493"/>
            <w:vAlign w:val="center"/>
            <w:tcMar>
              <w:top w:w="55" w:type="dxa"/>
              <w:start w:w="65" w:type="dxa"/>
              <w:bottom w:w="55" w:type="dxa"/>
              <w:end w:w="65" w:type="dxa"/>
            </w:tcMar>
          </w:tcPr>
          <w:p>
            <w:pPr>
              <w:spacing w:after="0"/>
            </w:pPr>
            <w:r>
              <w:rPr>
                <w:sz w:val="15"/>
              </w:rPr>
              <w:t>49</w:t>
            </w:r>
          </w:p>
        </w:tc>
        <w:tc>
          <w:tcPr>
            <w:tcW w:type="dxa" w:w="1493"/>
            <w:vAlign w:val="center"/>
            <w:tcMar>
              <w:top w:w="55" w:type="dxa"/>
              <w:start w:w="65" w:type="dxa"/>
              <w:bottom w:w="55" w:type="dxa"/>
              <w:end w:w="65" w:type="dxa"/>
            </w:tcMar>
          </w:tcPr>
          <w:p>
            <w:pPr>
              <w:spacing w:after="0"/>
            </w:pPr>
            <w:r>
              <w:rPr>
                <w:sz w:val="15"/>
              </w:rPr>
              <w:t>B</w:t>
            </w:r>
          </w:p>
        </w:tc>
        <w:tc>
          <w:tcPr>
            <w:tcW w:type="dxa" w:w="1493"/>
            <w:vAlign w:val="center"/>
            <w:tcMar>
              <w:top w:w="55" w:type="dxa"/>
              <w:start w:w="65" w:type="dxa"/>
              <w:bottom w:w="55" w:type="dxa"/>
              <w:end w:w="65" w:type="dxa"/>
            </w:tcMar>
          </w:tcPr>
          <w:p>
            <w:pPr>
              <w:spacing w:after="0"/>
            </w:pPr>
            <w:r>
              <w:rPr>
                <w:sz w:val="15"/>
              </w:rPr>
              <w:t>2A</w:t>
            </w:r>
          </w:p>
        </w:tc>
        <w:tc>
          <w:tcPr>
            <w:tcW w:type="dxa" w:w="1493"/>
            <w:vAlign w:val="center"/>
            <w:tcMar>
              <w:top w:w="55" w:type="dxa"/>
              <w:start w:w="65" w:type="dxa"/>
              <w:bottom w:w="55" w:type="dxa"/>
              <w:end w:w="65" w:type="dxa"/>
            </w:tcMar>
          </w:tcPr>
          <w:p>
            <w:pPr>
              <w:spacing w:after="0"/>
            </w:pPr>
            <w:r>
              <w:rPr>
                <w:sz w:val="15"/>
              </w:rPr>
              <w:t>Easy</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Sequence</w:t>
            </w:r>
          </w:p>
        </w:tc>
        <w:tc>
          <w:tcPr>
            <w:tcW w:type="dxa" w:w="1493"/>
            <w:vAlign w:val="center"/>
            <w:tcMar>
              <w:top w:w="55" w:type="dxa"/>
              <w:start w:w="65" w:type="dxa"/>
              <w:bottom w:w="55" w:type="dxa"/>
              <w:end w:w="65" w:type="dxa"/>
            </w:tcMar>
          </w:tcPr>
          <w:p>
            <w:pPr>
              <w:spacing w:after="0"/>
            </w:pPr>
            <w:r>
              <w:rPr>
                <w:sz w:val="15"/>
              </w:rPr>
              <w:t>WB3</w:t>
            </w:r>
          </w:p>
        </w:tc>
      </w:tr>
      <w:tr>
        <w:trPr>
          <w:cantSplit/>
        </w:trPr>
        <w:tc>
          <w:tcPr>
            <w:tcW w:type="dxa" w:w="1493"/>
            <w:vAlign w:val="center"/>
            <w:tcMar>
              <w:top w:w="55" w:type="dxa"/>
              <w:start w:w="65" w:type="dxa"/>
              <w:bottom w:w="55" w:type="dxa"/>
              <w:end w:w="65" w:type="dxa"/>
            </w:tcMar>
            <w:shd w:fill="F2F4F7"/>
          </w:tcPr>
          <w:p>
            <w:pPr>
              <w:spacing w:after="0"/>
            </w:pPr>
            <w:r>
              <w:rPr>
                <w:sz w:val="15"/>
              </w:rPr>
              <w:t>50</w:t>
            </w:r>
          </w:p>
        </w:tc>
        <w:tc>
          <w:tcPr>
            <w:tcW w:type="dxa" w:w="1493"/>
            <w:vAlign w:val="center"/>
            <w:tcMar>
              <w:top w:w="55" w:type="dxa"/>
              <w:start w:w="65" w:type="dxa"/>
              <w:bottom w:w="55" w:type="dxa"/>
              <w:end w:w="65" w:type="dxa"/>
            </w:tcMar>
            <w:shd w:fill="F2F4F7"/>
          </w:tcPr>
          <w:p>
            <w:pPr>
              <w:spacing w:after="0"/>
            </w:pPr>
            <w:r>
              <w:rPr>
                <w:sz w:val="15"/>
              </w:rPr>
              <w:t>A</w:t>
            </w:r>
          </w:p>
        </w:tc>
        <w:tc>
          <w:tcPr>
            <w:tcW w:type="dxa" w:w="1493"/>
            <w:vAlign w:val="center"/>
            <w:tcMar>
              <w:top w:w="55" w:type="dxa"/>
              <w:start w:w="65" w:type="dxa"/>
              <w:bottom w:w="55" w:type="dxa"/>
              <w:end w:w="65" w:type="dxa"/>
            </w:tcMar>
            <w:shd w:fill="F2F4F7"/>
          </w:tcPr>
          <w:p>
            <w:pPr>
              <w:spacing w:after="0"/>
            </w:pPr>
            <w:r>
              <w:rPr>
                <w:sz w:val="15"/>
              </w:rPr>
              <w:t>2A</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Sequence</w:t>
            </w:r>
          </w:p>
        </w:tc>
        <w:tc>
          <w:tcPr>
            <w:tcW w:type="dxa" w:w="1493"/>
            <w:vAlign w:val="center"/>
            <w:tcMar>
              <w:top w:w="55" w:type="dxa"/>
              <w:start w:w="65" w:type="dxa"/>
              <w:bottom w:w="55" w:type="dxa"/>
              <w:end w:w="65" w:type="dxa"/>
            </w:tcMar>
            <w:shd w:fill="F2F4F7"/>
          </w:tcPr>
          <w:p>
            <w:pPr>
              <w:spacing w:after="0"/>
            </w:pPr>
            <w:r>
              <w:rPr>
                <w:sz w:val="15"/>
              </w:rPr>
              <w:t>WB4</w:t>
            </w:r>
          </w:p>
        </w:tc>
      </w:tr>
    </w:tbl>
    <w:p>
      <w:r>
        <w:rPr>
          <w:b/>
        </w:rPr>
        <w:t xml:space="preserve">Answer balance: </w:t>
      </w:r>
      <w:r>
        <w:t>A13 / B13 / C12 / D12</w:t>
      </w:r>
      <w:r>
        <w:rPr>
          <w:b/>
        </w:rPr>
        <w:t xml:space="preserve">    Difficulty: </w:t>
      </w:r>
      <w:r>
        <w:t>Easy 13 / Moderate 25 / Difficult 12</w:t>
      </w:r>
    </w:p>
    <w:p>
      <w:pPr>
        <w:pStyle w:val="Heading1"/>
        <w:pageBreakBefore/>
      </w:pPr>
      <w:r>
        <w:t>Item 1 - Controlled Rationale</w:t>
      </w:r>
    </w:p>
    <w:p>
      <w:r>
        <w:rPr>
          <w:b/>
        </w:rPr>
        <w:t xml:space="preserve">Item ID: </w:t>
      </w:r>
      <w:r>
        <w:t>CTA-EP-002-CUM-A-001</w:t>
      </w:r>
    </w:p>
    <w:p>
      <w:r>
        <w:rPr>
          <w:b/>
        </w:rPr>
        <w:t xml:space="preserve">Stem: </w:t>
      </w:r>
      <w:r>
        <w:t>Which statement BEST describes informed consent in ongoing psychotherapy?</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It is a continuing process that should be revisited when the service, risks, roles, technology, fees, or information-sharing arrangements materially change.</w:t>
            </w:r>
          </w:p>
        </w:tc>
        <w:tc>
          <w:tcPr>
            <w:tcW w:type="dxa" w:w="3485"/>
            <w:shd w:fill="EAF7F7"/>
            <w:vAlign w:val="center"/>
            <w:tcMar>
              <w:top w:w="55" w:type="dxa"/>
              <w:start w:w="65" w:type="dxa"/>
              <w:bottom w:w="55" w:type="dxa"/>
              <w:end w:w="65" w:type="dxa"/>
            </w:tcMar>
          </w:tcPr>
          <w:p>
            <w:pPr>
              <w:spacing w:after="0"/>
            </w:pPr>
            <w:r>
              <w:rPr>
                <w:sz w:val="16"/>
              </w:rPr>
              <w:t>Correct. This choice treats consent as a continuing process and identifies the kinds of material changes that require renewed discussion.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It is complete once the client signs the intake packet, unless a court later requests an update.</w:t>
            </w:r>
          </w:p>
        </w:tc>
        <w:tc>
          <w:tcPr>
            <w:tcW w:type="dxa" w:w="3485"/>
            <w:vAlign w:val="center"/>
            <w:tcMar>
              <w:top w:w="55" w:type="dxa"/>
              <w:start w:w="65" w:type="dxa"/>
              <w:bottom w:w="55" w:type="dxa"/>
              <w:end w:w="65" w:type="dxa"/>
            </w:tcMar>
          </w:tcPr>
          <w:p>
            <w:pPr>
              <w:spacing w:after="0"/>
            </w:pPr>
            <w:r>
              <w:rPr>
                <w:sz w:val="16"/>
              </w:rPr>
              <w:t>Incorrect. A signature documents one point in time; it does not eliminate the duty to revisit consent when the service or its risks materially change.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It is primarily a billing document that confirms the client accepted the fee.</w:t>
            </w:r>
          </w:p>
        </w:tc>
        <w:tc>
          <w:tcPr>
            <w:tcW w:type="dxa" w:w="3485"/>
            <w:vAlign w:val="center"/>
            <w:tcMar>
              <w:top w:w="55" w:type="dxa"/>
              <w:start w:w="65" w:type="dxa"/>
              <w:bottom w:w="55" w:type="dxa"/>
              <w:end w:w="65" w:type="dxa"/>
            </w:tcMar>
          </w:tcPr>
          <w:p>
            <w:pPr>
              <w:spacing w:after="0"/>
            </w:pPr>
            <w:r>
              <w:rPr>
                <w:sz w:val="16"/>
              </w:rPr>
              <w:t>Incorrect. Fees are one consent topic, but informed consent also addresses purpose, risks, benefits, alternatives, roles, confidentiality, and client choice.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It is unnecessary when the client voluntarily schedules the first appointment.</w:t>
            </w:r>
          </w:p>
        </w:tc>
        <w:tc>
          <w:tcPr>
            <w:tcW w:type="dxa" w:w="3485"/>
            <w:vAlign w:val="center"/>
            <w:tcMar>
              <w:top w:w="55" w:type="dxa"/>
              <w:start w:w="65" w:type="dxa"/>
              <w:bottom w:w="55" w:type="dxa"/>
              <w:end w:w="65" w:type="dxa"/>
            </w:tcMar>
          </w:tcPr>
          <w:p>
            <w:pPr>
              <w:spacing w:after="0"/>
            </w:pPr>
            <w:r>
              <w:rPr>
                <w:sz w:val="16"/>
              </w:rPr>
              <w:t>Incorrect. Voluntary scheduling does not show that the client received and understood the information needed for informed consent.</w:t>
            </w:r>
          </w:p>
        </w:tc>
      </w:tr>
    </w:tbl>
    <w:p>
      <w:pPr>
        <w:pStyle w:val="Heading2"/>
      </w:pPr>
      <w:r>
        <w:t>Why the Key Controls</w:t>
      </w:r>
    </w:p>
    <w:p>
      <w:r>
        <w:t>Informed consent is an ongoing communication process. Material changes in services, risks, technology, fees, roles, or information sharing can require renewed explanation and documentation so the client can continue making an informed choice.</w:t>
      </w:r>
    </w:p>
    <w:p>
      <w:pPr>
        <w:pStyle w:val="Heading2"/>
      </w:pPr>
      <w:r>
        <w:t>CTA Exam Strategy</w:t>
      </w:r>
    </w:p>
    <w:p>
      <w:r>
        <w:t>For BEST questions, choose the option that preserves informed client choice over time rather than treating a form or appointment as the whole process.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Informed consent as an ongoing process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Foundational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CONSENT-ONGOING</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1.03; applicable California consent law and setting requirements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2 - Controlled Rationale</w:t>
      </w:r>
    </w:p>
    <w:p>
      <w:r>
        <w:rPr>
          <w:b/>
        </w:rPr>
        <w:t xml:space="preserve">Item ID: </w:t>
      </w:r>
      <w:r>
        <w:t>CTA-EP-002-CUM-A-002</w:t>
      </w:r>
    </w:p>
    <w:p>
      <w:r>
        <w:rPr>
          <w:b/>
        </w:rPr>
        <w:t xml:space="preserve">Stem: </w:t>
      </w:r>
      <w:r>
        <w:t>A 14-year-old asks for outpatient counseling without parental consent. The clinician believes the minor may be mature enough to participate intelligently, and no emergency is present. What should the clinician do FIRST?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Require parental consent because all California minors need a parent to begin outpatient counseling.</w:t>
            </w:r>
          </w:p>
        </w:tc>
        <w:tc>
          <w:tcPr>
            <w:tcW w:type="dxa" w:w="3485"/>
            <w:vAlign w:val="center"/>
            <w:tcMar>
              <w:top w:w="55" w:type="dxa"/>
              <w:start w:w="65" w:type="dxa"/>
              <w:bottom w:w="55" w:type="dxa"/>
              <w:end w:w="65" w:type="dxa"/>
            </w:tcMar>
          </w:tcPr>
          <w:p>
            <w:pPr>
              <w:spacing w:after="0"/>
            </w:pPr>
            <w:r>
              <w:rPr>
                <w:sz w:val="16"/>
              </w:rPr>
              <w:t>Incorrect. California law does not require parental consent for every minor in every outpatient mental-health circumstance.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Promise that the parent will never be involved or contacted.</w:t>
            </w:r>
          </w:p>
        </w:tc>
        <w:tc>
          <w:tcPr>
            <w:tcW w:type="dxa" w:w="3485"/>
            <w:vAlign w:val="center"/>
            <w:tcMar>
              <w:top w:w="55" w:type="dxa"/>
              <w:start w:w="65" w:type="dxa"/>
              <w:bottom w:w="55" w:type="dxa"/>
              <w:end w:w="65" w:type="dxa"/>
            </w:tcMar>
          </w:tcPr>
          <w:p>
            <w:pPr>
              <w:spacing w:after="0"/>
            </w:pPr>
            <w:r>
              <w:rPr>
                <w:sz w:val="16"/>
              </w:rPr>
              <w:t>Incorrect. The clinician should not promise absolute secrecy; confidentiality has legal and safety limits, and parent-involvement analysis remains required.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Assess and document the minor’s maturity, explain confidentiality and its limits, and consult the minor about whether parent or guardian involvement would be appropriate.</w:t>
            </w:r>
          </w:p>
        </w:tc>
        <w:tc>
          <w:tcPr>
            <w:tcW w:type="dxa" w:w="3485"/>
            <w:shd w:fill="EAF7F7"/>
            <w:vAlign w:val="center"/>
            <w:tcMar>
              <w:top w:w="55" w:type="dxa"/>
              <w:start w:w="65" w:type="dxa"/>
              <w:bottom w:w="55" w:type="dxa"/>
              <w:end w:w="65" w:type="dxa"/>
            </w:tcMar>
          </w:tcPr>
          <w:p>
            <w:pPr>
              <w:spacing w:after="0"/>
            </w:pPr>
            <w:r>
              <w:rPr>
                <w:sz w:val="16"/>
              </w:rPr>
              <w:t>Correct. This choice begins with the statutory and clinical eligibility analysis and includes the required confidentiality and parent-involvement discussion.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Begin treatment and postpone every consent and parent-involvement decision until the third session.</w:t>
            </w:r>
          </w:p>
        </w:tc>
        <w:tc>
          <w:tcPr>
            <w:tcW w:type="dxa" w:w="3485"/>
            <w:vAlign w:val="center"/>
            <w:tcMar>
              <w:top w:w="55" w:type="dxa"/>
              <w:start w:w="65" w:type="dxa"/>
              <w:bottom w:w="55" w:type="dxa"/>
              <w:end w:w="65" w:type="dxa"/>
            </w:tcMar>
          </w:tcPr>
          <w:p>
            <w:pPr>
              <w:spacing w:after="0"/>
            </w:pPr>
            <w:r>
              <w:rPr>
                <w:sz w:val="16"/>
              </w:rPr>
              <w:t>Incorrect. Consent authority and confidentiality boundaries should be addressed before or at initiation, not deferred for several sessions.</w:t>
            </w:r>
          </w:p>
        </w:tc>
      </w:tr>
    </w:tbl>
    <w:p>
      <w:pPr>
        <w:pStyle w:val="Heading2"/>
      </w:pPr>
      <w:r>
        <w:t>Why the Key Controls</w:t>
      </w:r>
    </w:p>
    <w:p>
      <w:r>
        <w:t>California permits some minors to consent to outpatient mental-health services when statutory criteria are satisfied. The clinician must assess and document the minor’s ability to participate intelligently, explain confidentiality and limits, and analyze parent or guardian involvement rather than using an automatic rule.</w:t>
      </w:r>
    </w:p>
    <w:p>
      <w:pPr>
        <w:pStyle w:val="Heading2"/>
      </w:pPr>
      <w:r>
        <w:t>CTA Exam Strategy</w:t>
      </w:r>
    </w:p>
    <w:p>
      <w:r>
        <w:t>When a minor requests self-consent, first determine legal eligibility and maturity, then explain confidentiality and analyze parent involvement.</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Minor self-consent and parent-involvement analysis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MINOR-CONSENT</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Family Code 6924; NASW 1.02, 1.03, 1.07</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3 - Controlled Rationale</w:t>
      </w:r>
    </w:p>
    <w:p>
      <w:r>
        <w:rPr>
          <w:b/>
        </w:rPr>
        <w:t xml:space="preserve">Item ID: </w:t>
      </w:r>
      <w:r>
        <w:t>CTA-EP-002-CUM-A-003</w:t>
      </w:r>
    </w:p>
    <w:p>
      <w:r>
        <w:rPr>
          <w:b/>
        </w:rPr>
        <w:t xml:space="preserve">Stem: </w:t>
      </w:r>
      <w:r>
        <w:t>An LCSW in a remote community is asked to join the only local emergency-planning committee, where a current client also serves. Declining would remove the only behavioral-health representative. What is the BEST response?</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Accept without discussion because community service is outside the treatment relationship.</w:t>
            </w:r>
          </w:p>
        </w:tc>
        <w:tc>
          <w:tcPr>
            <w:tcW w:type="dxa" w:w="3485"/>
            <w:vAlign w:val="center"/>
            <w:tcMar>
              <w:top w:w="55" w:type="dxa"/>
              <w:start w:w="65" w:type="dxa"/>
              <w:bottom w:w="55" w:type="dxa"/>
              <w:end w:w="65" w:type="dxa"/>
            </w:tcMar>
          </w:tcPr>
          <w:p>
            <w:pPr>
              <w:spacing w:after="0"/>
            </w:pPr>
            <w:r>
              <w:rPr>
                <w:sz w:val="16"/>
              </w:rPr>
              <w:t>Incorrect. Community service is not outside the treatment relationship when a current client is involved; confidentiality, power, and judgment risks remain.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Terminate the client immediately so the committee role creates no concern.</w:t>
            </w:r>
          </w:p>
        </w:tc>
        <w:tc>
          <w:tcPr>
            <w:tcW w:type="dxa" w:w="3485"/>
            <w:vAlign w:val="center"/>
            <w:tcMar>
              <w:top w:w="55" w:type="dxa"/>
              <w:start w:w="65" w:type="dxa"/>
              <w:bottom w:w="55" w:type="dxa"/>
              <w:end w:w="65" w:type="dxa"/>
            </w:tcMar>
          </w:tcPr>
          <w:p>
            <w:pPr>
              <w:spacing w:after="0"/>
            </w:pPr>
            <w:r>
              <w:rPr>
                <w:sz w:val="16"/>
              </w:rPr>
              <w:t>Incorrect. Immediate termination may harm the client and is not required before analyzing alternatives and safeguards.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Discuss the foreseeable overlap, alternatives, confidentiality and boundary risks; use safeguards and monitor the effect on treatment and judgment.</w:t>
            </w:r>
          </w:p>
        </w:tc>
        <w:tc>
          <w:tcPr>
            <w:tcW w:type="dxa" w:w="3485"/>
            <w:shd w:fill="EAF7F7"/>
            <w:vAlign w:val="center"/>
            <w:tcMar>
              <w:top w:w="55" w:type="dxa"/>
              <w:start w:w="65" w:type="dxa"/>
              <w:bottom w:w="55" w:type="dxa"/>
              <w:end w:w="65" w:type="dxa"/>
            </w:tcMar>
          </w:tcPr>
          <w:p>
            <w:pPr>
              <w:spacing w:after="0"/>
            </w:pPr>
            <w:r>
              <w:rPr>
                <w:sz w:val="16"/>
              </w:rPr>
              <w:t>Correct. This option identifies the foreseeable conflict, uses safeguards, and monitors whether the overlap affects treatment or professional judgment.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Ask the client to keep the treatment relationship secret from the committee.</w:t>
            </w:r>
          </w:p>
        </w:tc>
        <w:tc>
          <w:tcPr>
            <w:tcW w:type="dxa" w:w="3485"/>
            <w:vAlign w:val="center"/>
            <w:tcMar>
              <w:top w:w="55" w:type="dxa"/>
              <w:start w:w="65" w:type="dxa"/>
              <w:bottom w:w="55" w:type="dxa"/>
              <w:end w:w="65" w:type="dxa"/>
            </w:tcMar>
          </w:tcPr>
          <w:p>
            <w:pPr>
              <w:spacing w:after="0"/>
            </w:pPr>
            <w:r>
              <w:rPr>
                <w:sz w:val="16"/>
              </w:rPr>
              <w:t>Incorrect. Secrecy can increase shame, role confusion, and confidentiality risk and does not resolve the multiple relationship.</w:t>
            </w:r>
          </w:p>
        </w:tc>
      </w:tr>
    </w:tbl>
    <w:p>
      <w:pPr>
        <w:pStyle w:val="Heading2"/>
      </w:pPr>
      <w:r>
        <w:t>Why the Key Controls</w:t>
      </w:r>
    </w:p>
    <w:p>
      <w:r>
        <w:t>An unavoidable community overlap should be managed through advance discussion, alternatives, confidentiality and boundary safeguards, documentation, and monitoring. The analysis is contextual rather than automatically permissive or automatically disqualifying.</w:t>
      </w:r>
    </w:p>
    <w:p>
      <w:pPr>
        <w:pStyle w:val="Heading2"/>
      </w:pPr>
      <w:r>
        <w:t>CTA Exam Strategy</w:t>
      </w:r>
    </w:p>
    <w:p>
      <w:r>
        <w:t>For unavoidable multiple relationships, look for alternatives, informed discussion, safeguards, documentation, and ongoing monitoring—not a simple waiver.</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Managing unavoidable multiple relationships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MULTIPLE-RELATIONSHIP</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1.06; current California unprofessional-conduct standards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4 - Controlled Rationale</w:t>
      </w:r>
    </w:p>
    <w:p>
      <w:r>
        <w:rPr>
          <w:b/>
        </w:rPr>
        <w:t xml:space="preserve">Item ID: </w:t>
      </w:r>
      <w:r>
        <w:t>CTA-EP-002-CUM-A-004</w:t>
      </w:r>
    </w:p>
    <w:p>
      <w:r>
        <w:rPr>
          <w:b/>
        </w:rPr>
        <w:t xml:space="preserve">Stem: </w:t>
      </w:r>
      <w:r>
        <w:t>A current client offers the LCSW a paid ownership interest in a start-up that would use the client’s treatment story in marketing. The client insists the arrangement would be mutually beneficial. Which response is MOST appropriate?</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Accept if the client obtains independent legal advice.</w:t>
            </w:r>
          </w:p>
        </w:tc>
        <w:tc>
          <w:tcPr>
            <w:tcW w:type="dxa" w:w="3485"/>
            <w:vAlign w:val="center"/>
            <w:tcMar>
              <w:top w:w="55" w:type="dxa"/>
              <w:start w:w="65" w:type="dxa"/>
              <w:bottom w:w="55" w:type="dxa"/>
              <w:end w:w="65" w:type="dxa"/>
            </w:tcMar>
          </w:tcPr>
          <w:p>
            <w:pPr>
              <w:spacing w:after="0"/>
            </w:pPr>
            <w:r>
              <w:rPr>
                <w:sz w:val="16"/>
              </w:rPr>
              <w:t>Incorrect. Independent legal advice may inform the client but does not remove the clinician’s fiduciary, exploitation, and treatment conflicts.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Accept after ending treatment at the next scheduled session.</w:t>
            </w:r>
          </w:p>
        </w:tc>
        <w:tc>
          <w:tcPr>
            <w:tcW w:type="dxa" w:w="3485"/>
            <w:vAlign w:val="center"/>
            <w:tcMar>
              <w:top w:w="55" w:type="dxa"/>
              <w:start w:w="65" w:type="dxa"/>
              <w:bottom w:w="55" w:type="dxa"/>
              <w:end w:w="65" w:type="dxa"/>
            </w:tcMar>
          </w:tcPr>
          <w:p>
            <w:pPr>
              <w:spacing w:after="0"/>
            </w:pPr>
            <w:r>
              <w:rPr>
                <w:sz w:val="16"/>
              </w:rPr>
              <w:t>Incorrect. Ending treatment immediately does not erase the influence and vulnerability created during the professional relationship.</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Decline the business arrangement, clarify the conflict and exploitation risks, and address the effect of the proposal on treatment.</w:t>
            </w:r>
          </w:p>
        </w:tc>
        <w:tc>
          <w:tcPr>
            <w:tcW w:type="dxa" w:w="3485"/>
            <w:shd w:fill="EAF7F7"/>
            <w:vAlign w:val="center"/>
            <w:tcMar>
              <w:top w:w="55" w:type="dxa"/>
              <w:start w:w="65" w:type="dxa"/>
              <w:bottom w:w="55" w:type="dxa"/>
              <w:end w:w="65" w:type="dxa"/>
            </w:tcMar>
          </w:tcPr>
          <w:p>
            <w:pPr>
              <w:spacing w:after="0"/>
            </w:pPr>
            <w:r>
              <w:rPr>
                <w:sz w:val="16"/>
              </w:rPr>
              <w:t>Correct. Declining the deal protects the client and allows the clinician to address the proposal clinically and ethically.</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Accept only a small ownership share so the financial interest is not substantial.</w:t>
            </w:r>
          </w:p>
        </w:tc>
        <w:tc>
          <w:tcPr>
            <w:tcW w:type="dxa" w:w="3485"/>
            <w:vAlign w:val="center"/>
            <w:tcMar>
              <w:top w:w="55" w:type="dxa"/>
              <w:start w:w="65" w:type="dxa"/>
              <w:bottom w:w="55" w:type="dxa"/>
              <w:end w:w="65" w:type="dxa"/>
            </w:tcMar>
          </w:tcPr>
          <w:p>
            <w:pPr>
              <w:spacing w:after="0"/>
            </w:pPr>
            <w:r>
              <w:rPr>
                <w:sz w:val="16"/>
              </w:rPr>
              <w:t>Incorrect. A smaller ownership percentage still creates a financial interest and conflict with the client relationship.</w:t>
            </w:r>
          </w:p>
        </w:tc>
      </w:tr>
    </w:tbl>
    <w:p>
      <w:pPr>
        <w:pStyle w:val="Heading2"/>
      </w:pPr>
      <w:r>
        <w:t>Why the Key Controls</w:t>
      </w:r>
    </w:p>
    <w:p>
      <w:r>
        <w:t>A paid ownership relationship with a current client creates powerful financial, confidentiality, exploitation, and treatment conflicts. The clinician should decline the arrangement and address its effect on the therapeutic relationship.</w:t>
      </w:r>
    </w:p>
    <w:p>
      <w:pPr>
        <w:pStyle w:val="Heading2"/>
      </w:pPr>
      <w:r>
        <w:t>CTA Exam Strategy</w:t>
      </w:r>
    </w:p>
    <w:p>
      <w:r>
        <w:t>When a current client proposes a business opportunity, do not let consent, legal advice, termination, or a small financial stake disguise exploitation risk.</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Financial conflict and exploitation risk</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FINANCIAL-EXPLOITATION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1.06, 1.13; California BPC 4992.3 unprofessional conduct</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5 - Controlled Rationale</w:t>
      </w:r>
    </w:p>
    <w:p>
      <w:r>
        <w:rPr>
          <w:b/>
        </w:rPr>
        <w:t xml:space="preserve">Item ID: </w:t>
      </w:r>
      <w:r>
        <w:t>CTA-EP-002-CUM-A-005</w:t>
      </w:r>
    </w:p>
    <w:p>
      <w:r>
        <w:rPr>
          <w:b/>
        </w:rPr>
        <w:t xml:space="preserve">Stem: </w:t>
      </w:r>
      <w:r>
        <w:t>Which arrangement is BEST characterized as consultation rather than legal supervision?</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A licensed colleague gives occasional case advice but does not accept responsibility for service quality or control the supervisee’s work.</w:t>
            </w:r>
          </w:p>
        </w:tc>
        <w:tc>
          <w:tcPr>
            <w:tcW w:type="dxa" w:w="3485"/>
            <w:shd w:fill="EAF7F7"/>
            <w:vAlign w:val="center"/>
            <w:tcMar>
              <w:top w:w="55" w:type="dxa"/>
              <w:start w:w="65" w:type="dxa"/>
              <w:bottom w:w="55" w:type="dxa"/>
              <w:end w:w="65" w:type="dxa"/>
            </w:tcMar>
          </w:tcPr>
          <w:p>
            <w:pPr>
              <w:spacing w:after="0"/>
            </w:pPr>
            <w:r>
              <w:rPr>
                <w:sz w:val="16"/>
              </w:rPr>
              <w:t>Correct. Occasional advice without responsibility or control is consultation, even when the consultant is licensed.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 qualified supervisor reviews clinical work, signs required records, and accepts responsibility for the quality of services.</w:t>
            </w:r>
          </w:p>
        </w:tc>
        <w:tc>
          <w:tcPr>
            <w:tcW w:type="dxa" w:w="3485"/>
            <w:vAlign w:val="center"/>
            <w:tcMar>
              <w:top w:w="55" w:type="dxa"/>
              <w:start w:w="65" w:type="dxa"/>
              <w:bottom w:w="55" w:type="dxa"/>
              <w:end w:w="65" w:type="dxa"/>
            </w:tcMar>
          </w:tcPr>
          <w:p>
            <w:pPr>
              <w:spacing w:after="0"/>
            </w:pPr>
            <w:r>
              <w:rPr>
                <w:sz w:val="16"/>
              </w:rPr>
              <w:t>Incorrect. Review, required signatures, and responsibility for service quality are hallmarks of legal supervision.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An employer and external supervisor execute required oversight documents before the associate begins services.</w:t>
            </w:r>
          </w:p>
        </w:tc>
        <w:tc>
          <w:tcPr>
            <w:tcW w:type="dxa" w:w="3485"/>
            <w:vAlign w:val="center"/>
            <w:tcMar>
              <w:top w:w="55" w:type="dxa"/>
              <w:start w:w="65" w:type="dxa"/>
              <w:bottom w:w="55" w:type="dxa"/>
              <w:end w:w="65" w:type="dxa"/>
            </w:tcMar>
          </w:tcPr>
          <w:p>
            <w:pPr>
              <w:spacing w:after="0"/>
            </w:pPr>
            <w:r>
              <w:rPr>
                <w:sz w:val="16"/>
              </w:rPr>
              <w:t>Incorrect. Required oversight documents and a structured supervisory relationship are not mere consultation.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 supervisor evaluates an ASW’s performance and provides corrective direction when client welfare is at risk.</w:t>
            </w:r>
          </w:p>
        </w:tc>
        <w:tc>
          <w:tcPr>
            <w:tcW w:type="dxa" w:w="3485"/>
            <w:vAlign w:val="center"/>
            <w:tcMar>
              <w:top w:w="55" w:type="dxa"/>
              <w:start w:w="65" w:type="dxa"/>
              <w:bottom w:w="55" w:type="dxa"/>
              <w:end w:w="65" w:type="dxa"/>
            </w:tcMar>
          </w:tcPr>
          <w:p>
            <w:pPr>
              <w:spacing w:after="0"/>
            </w:pPr>
            <w:r>
              <w:rPr>
                <w:sz w:val="16"/>
              </w:rPr>
              <w:t>Incorrect. Evaluation and corrective direction tied to client welfare are supervisory functions.</w:t>
            </w:r>
          </w:p>
        </w:tc>
      </w:tr>
    </w:tbl>
    <w:p>
      <w:pPr>
        <w:pStyle w:val="Heading2"/>
      </w:pPr>
      <w:r>
        <w:t>Why the Key Controls</w:t>
      </w:r>
    </w:p>
    <w:p>
      <w:r>
        <w:t>Consultation offers advice without the legal responsibility, authority, records, monitoring, and quality-control functions of supervision. Supervision requires a qualified supervisor who accepts responsibility for service quality and directs the work.</w:t>
      </w:r>
    </w:p>
    <w:p>
      <w:pPr>
        <w:pStyle w:val="Heading2"/>
      </w:pPr>
      <w:r>
        <w:t>CTA Exam Strategy</w:t>
      </w:r>
    </w:p>
    <w:p>
      <w:r>
        <w:t>Identify whether the other professional merely advises or actually accepts legal responsibility and controls service quality.</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Consultation versus supervision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Foundational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WB3 - Professional Competence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CONSULTATION-VS-SUPERVISION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BBS supervision statutes and regulations; NASW 3.01</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6 - Controlled Rationale</w:t>
      </w:r>
    </w:p>
    <w:p>
      <w:r>
        <w:rPr>
          <w:b/>
        </w:rPr>
        <w:t xml:space="preserve">Item ID: </w:t>
      </w:r>
      <w:r>
        <w:t>CTA-EP-002-CUM-A-006</w:t>
      </w:r>
    </w:p>
    <w:p>
      <w:r>
        <w:rPr>
          <w:b/>
        </w:rPr>
        <w:t xml:space="preserve">Stem: </w:t>
      </w:r>
      <w:r>
        <w:t>After a significant personal loss, an LCSW notices reduced concentration and increasing impatience but has not made a serious error. Which response is MOST appropriate?</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Continue the full caseload because no client has complained.</w:t>
            </w:r>
          </w:p>
        </w:tc>
        <w:tc>
          <w:tcPr>
            <w:tcW w:type="dxa" w:w="3485"/>
            <w:vAlign w:val="center"/>
            <w:tcMar>
              <w:top w:w="55" w:type="dxa"/>
              <w:start w:w="65" w:type="dxa"/>
              <w:bottom w:w="55" w:type="dxa"/>
              <w:end w:w="65" w:type="dxa"/>
            </w:tcMar>
          </w:tcPr>
          <w:p>
            <w:pPr>
              <w:spacing w:after="0"/>
            </w:pPr>
            <w:r>
              <w:rPr>
                <w:sz w:val="16"/>
              </w:rPr>
              <w:t>Incorrect. The absence of a complaint does not establish safe functioning and should not delay preventive action.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Assess current functioning, seek consultation or support, modify duties or workload as needed, and monitor client impact.</w:t>
            </w:r>
          </w:p>
        </w:tc>
        <w:tc>
          <w:tcPr>
            <w:tcW w:type="dxa" w:w="3485"/>
            <w:shd w:fill="EAF7F7"/>
            <w:vAlign w:val="center"/>
            <w:tcMar>
              <w:top w:w="55" w:type="dxa"/>
              <w:start w:w="65" w:type="dxa"/>
              <w:bottom w:w="55" w:type="dxa"/>
              <w:end w:w="65" w:type="dxa"/>
            </w:tcMar>
          </w:tcPr>
          <w:p>
            <w:pPr>
              <w:spacing w:after="0"/>
            </w:pPr>
            <w:r>
              <w:rPr>
                <w:sz w:val="16"/>
              </w:rPr>
              <w:t>Correct. This response is proportionate, protects clients, and allows support and monitoring without assuming permanent incompetence.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Disclose the details of the loss to every client so they can decide whether to continue.</w:t>
            </w:r>
          </w:p>
        </w:tc>
        <w:tc>
          <w:tcPr>
            <w:tcW w:type="dxa" w:w="3485"/>
            <w:vAlign w:val="center"/>
            <w:tcMar>
              <w:top w:w="55" w:type="dxa"/>
              <w:start w:w="65" w:type="dxa"/>
              <w:bottom w:w="55" w:type="dxa"/>
              <w:end w:w="65" w:type="dxa"/>
            </w:tcMar>
          </w:tcPr>
          <w:p>
            <w:pPr>
              <w:spacing w:after="0"/>
            </w:pPr>
            <w:r>
              <w:rPr>
                <w:sz w:val="16"/>
              </w:rPr>
              <w:t>Incorrect. Clients do not need the clinician’s private loss details, and broad disclosure may burden clients or blur boundaries.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Permanently leave clinical practice because any personal distress establishes incompetence.</w:t>
            </w:r>
          </w:p>
        </w:tc>
        <w:tc>
          <w:tcPr>
            <w:tcW w:type="dxa" w:w="3485"/>
            <w:vAlign w:val="center"/>
            <w:tcMar>
              <w:top w:w="55" w:type="dxa"/>
              <w:start w:w="65" w:type="dxa"/>
              <w:bottom w:w="55" w:type="dxa"/>
              <w:end w:w="65" w:type="dxa"/>
            </w:tcMar>
          </w:tcPr>
          <w:p>
            <w:pPr>
              <w:spacing w:after="0"/>
            </w:pPr>
            <w:r>
              <w:rPr>
                <w:sz w:val="16"/>
              </w:rPr>
              <w:t>Incorrect. Personal distress is not automatically permanent incompetence; the response should be based on current functional impact and recovery.</w:t>
            </w:r>
          </w:p>
        </w:tc>
      </w:tr>
    </w:tbl>
    <w:p>
      <w:pPr>
        <w:pStyle w:val="Heading2"/>
      </w:pPr>
      <w:r>
        <w:t>Why the Key Controls</w:t>
      </w:r>
    </w:p>
    <w:p>
      <w:r>
        <w:t>Early impairment concerns should be addressed before a serious error occurs. The LCSW should assess functioning, obtain support or consultation, adjust workload or duties when needed, and monitor client impact.</w:t>
      </w:r>
    </w:p>
    <w:p>
      <w:pPr>
        <w:pStyle w:val="Heading2"/>
      </w:pPr>
      <w:r>
        <w:t>CTA Exam Strategy</w:t>
      </w:r>
    </w:p>
    <w:p>
      <w:r>
        <w:t>Impairment items favor early self-assessment, consultation, proportionate workload changes, and client protection before harm occurs.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Clinician functioning and client welfare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WB4 - Professional Impairment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FUNCTIONING-SELF-MONITORING</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Purpose/self-care language, 4.05; California BPC 4992.3</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7 - Controlled Rationale</w:t>
      </w:r>
    </w:p>
    <w:p>
      <w:r>
        <w:rPr>
          <w:b/>
        </w:rPr>
        <w:t xml:space="preserve">Item ID: </w:t>
      </w:r>
      <w:r>
        <w:t>CTA-EP-002-CUM-A-007</w:t>
      </w:r>
    </w:p>
    <w:p>
      <w:r>
        <w:rPr>
          <w:b/>
        </w:rPr>
        <w:t xml:space="preserve">Stem: </w:t>
      </w:r>
      <w:r>
        <w:t>An LCSW is unexpectedly hospitalized and cannot contact clients personally. Which organizational response is BEST?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Wait for the LCSW to recover because another clinician may not access the schedule.</w:t>
            </w:r>
          </w:p>
        </w:tc>
        <w:tc>
          <w:tcPr>
            <w:tcW w:type="dxa" w:w="3485"/>
            <w:vAlign w:val="center"/>
            <w:tcMar>
              <w:top w:w="55" w:type="dxa"/>
              <w:start w:w="65" w:type="dxa"/>
              <w:bottom w:w="55" w:type="dxa"/>
              <w:end w:w="65" w:type="dxa"/>
            </w:tcMar>
          </w:tcPr>
          <w:p>
            <w:pPr>
              <w:spacing w:after="0"/>
            </w:pPr>
            <w:r>
              <w:rPr>
                <w:sz w:val="16"/>
              </w:rPr>
              <w:t>Incorrect. Waiting without coverage may leave urgent needs unattended and create abandonment or continuity problems.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Post a general social-media announcement naming the affected clients.</w:t>
            </w:r>
          </w:p>
        </w:tc>
        <w:tc>
          <w:tcPr>
            <w:tcW w:type="dxa" w:w="3485"/>
            <w:vAlign w:val="center"/>
            <w:tcMar>
              <w:top w:w="55" w:type="dxa"/>
              <w:start w:w="65" w:type="dxa"/>
              <w:bottom w:w="55" w:type="dxa"/>
              <w:end w:w="65" w:type="dxa"/>
            </w:tcMar>
          </w:tcPr>
          <w:p>
            <w:pPr>
              <w:spacing w:after="0"/>
            </w:pPr>
            <w:r>
              <w:rPr>
                <w:sz w:val="16"/>
              </w:rPr>
              <w:t>Incorrect. A public announcement naming clients would disclose confidential information.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Use the established coverage plan to protect urgent needs, provide appropriate notice and referral options, and preserve confidentiality and records.</w:t>
            </w:r>
          </w:p>
        </w:tc>
        <w:tc>
          <w:tcPr>
            <w:tcW w:type="dxa" w:w="3485"/>
            <w:shd w:fill="EAF7F7"/>
            <w:vAlign w:val="center"/>
            <w:tcMar>
              <w:top w:w="55" w:type="dxa"/>
              <w:start w:w="65" w:type="dxa"/>
              <w:bottom w:w="55" w:type="dxa"/>
              <w:end w:w="65" w:type="dxa"/>
            </w:tcMar>
          </w:tcPr>
          <w:p>
            <w:pPr>
              <w:spacing w:after="0"/>
            </w:pPr>
            <w:r>
              <w:rPr>
                <w:sz w:val="16"/>
              </w:rPr>
              <w:t>Correct. The established coverage plan protects clients while preserving confidentiality and records.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Close every case immediately and destroy unfinished notes.</w:t>
            </w:r>
          </w:p>
        </w:tc>
        <w:tc>
          <w:tcPr>
            <w:tcW w:type="dxa" w:w="3485"/>
            <w:vAlign w:val="center"/>
            <w:tcMar>
              <w:top w:w="55" w:type="dxa"/>
              <w:start w:w="65" w:type="dxa"/>
              <w:bottom w:w="55" w:type="dxa"/>
              <w:end w:w="65" w:type="dxa"/>
            </w:tcMar>
          </w:tcPr>
          <w:p>
            <w:pPr>
              <w:spacing w:after="0"/>
            </w:pPr>
            <w:r>
              <w:rPr>
                <w:sz w:val="16"/>
              </w:rPr>
              <w:t>Incorrect. Immediate closure and record destruction would endanger continuity and violate record obligations.</w:t>
            </w:r>
          </w:p>
        </w:tc>
      </w:tr>
    </w:tbl>
    <w:p>
      <w:pPr>
        <w:pStyle w:val="Heading2"/>
      </w:pPr>
      <w:r>
        <w:t>Why the Key Controls</w:t>
      </w:r>
    </w:p>
    <w:p>
      <w:r>
        <w:t>A planned coverage system should address urgent needs, notice, referral or transfer, confidentiality, and record continuity when a clinician becomes unavailable. Organizational preparation prevents abandonment and unnecessary disclosure.</w:t>
      </w:r>
    </w:p>
    <w:p>
      <w:pPr>
        <w:pStyle w:val="Heading2"/>
      </w:pPr>
      <w:r>
        <w:t>CTA Exam Strategy</w:t>
      </w:r>
    </w:p>
    <w:p>
      <w:r>
        <w:t>For unexpected interruption, choose the organized continuity response: coverage, notice, urgent-care planning, referrals, records, and privacy.</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Practice interruption and continuity</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WB4 - Professional Impairment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PRACTICE-CONTINUITY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1.15, 3.07, 3.09; California continuity and record responsibilities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8 - Controlled Rationale</w:t>
      </w:r>
    </w:p>
    <w:p>
      <w:r>
        <w:rPr>
          <w:b/>
        </w:rPr>
        <w:t xml:space="preserve">Item ID: </w:t>
      </w:r>
      <w:r>
        <w:t>CTA-EP-002-CUM-A-008</w:t>
      </w:r>
    </w:p>
    <w:p>
      <w:r>
        <w:rPr>
          <w:b/>
        </w:rPr>
        <w:t xml:space="preserve">Stem: </w:t>
      </w:r>
      <w:r>
        <w:t>A clinic policy requires every client with limited English proficiency to bring a relative who will interpret all sessions or the clinic will refuse service. Which analysis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The policy is acceptable because all clients receive the same rule.</w:t>
            </w:r>
          </w:p>
        </w:tc>
        <w:tc>
          <w:tcPr>
            <w:tcW w:type="dxa" w:w="3485"/>
            <w:vAlign w:val="center"/>
            <w:tcMar>
              <w:top w:w="55" w:type="dxa"/>
              <w:start w:w="65" w:type="dxa"/>
              <w:bottom w:w="55" w:type="dxa"/>
              <w:end w:w="65" w:type="dxa"/>
            </w:tcMar>
          </w:tcPr>
          <w:p>
            <w:pPr>
              <w:spacing w:after="0"/>
            </w:pPr>
            <w:r>
              <w:rPr>
                <w:sz w:val="16"/>
              </w:rPr>
              <w:t>Incorrect. Identical treatment is not necessarily equitable when the rule predictably prevents meaningful access.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The policy creates access, accuracy, coercion, and confidentiality risks that require individual repair and organizational review.</w:t>
            </w:r>
          </w:p>
        </w:tc>
        <w:tc>
          <w:tcPr>
            <w:tcW w:type="dxa" w:w="3485"/>
            <w:shd w:fill="EAF7F7"/>
            <w:vAlign w:val="center"/>
            <w:tcMar>
              <w:top w:w="55" w:type="dxa"/>
              <w:start w:w="65" w:type="dxa"/>
              <w:bottom w:w="55" w:type="dxa"/>
              <w:end w:w="65" w:type="dxa"/>
            </w:tcMar>
          </w:tcPr>
          <w:p>
            <w:pPr>
              <w:spacing w:after="0"/>
            </w:pPr>
            <w:r>
              <w:rPr>
                <w:sz w:val="16"/>
              </w:rPr>
              <w:t>Correct. This option recognizes both the individual communication problem and the organizational design failure.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The policy is acceptable when the relative signs the clinic’s confidentiality form.</w:t>
            </w:r>
          </w:p>
        </w:tc>
        <w:tc>
          <w:tcPr>
            <w:tcW w:type="dxa" w:w="3485"/>
            <w:vAlign w:val="center"/>
            <w:tcMar>
              <w:top w:w="55" w:type="dxa"/>
              <w:start w:w="65" w:type="dxa"/>
              <w:bottom w:w="55" w:type="dxa"/>
              <w:end w:w="65" w:type="dxa"/>
            </w:tcMar>
          </w:tcPr>
          <w:p>
            <w:pPr>
              <w:spacing w:after="0"/>
            </w:pPr>
            <w:r>
              <w:rPr>
                <w:sz w:val="16"/>
              </w:rPr>
              <w:t>Incorrect. A confidentiality form does not establish interpreter competence, neutrality, or freedom from coercion.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The policy becomes appropriate if the clinic has difficulty locating bilingual clinicians.</w:t>
            </w:r>
          </w:p>
        </w:tc>
        <w:tc>
          <w:tcPr>
            <w:tcW w:type="dxa" w:w="3485"/>
            <w:vAlign w:val="center"/>
            <w:tcMar>
              <w:top w:w="55" w:type="dxa"/>
              <w:start w:w="65" w:type="dxa"/>
              <w:bottom w:w="55" w:type="dxa"/>
              <w:end w:w="65" w:type="dxa"/>
            </w:tcMar>
          </w:tcPr>
          <w:p>
            <w:pPr>
              <w:spacing w:after="0"/>
            </w:pPr>
            <w:r>
              <w:rPr>
                <w:sz w:val="16"/>
              </w:rPr>
              <w:t>Incorrect. Difficulty finding resources does not justify a blanket policy that risks inaccurate and coercive communication or refusal of service.</w:t>
            </w:r>
          </w:p>
        </w:tc>
      </w:tr>
    </w:tbl>
    <w:p>
      <w:pPr>
        <w:pStyle w:val="Heading2"/>
      </w:pPr>
      <w:r>
        <w:t>Why the Key Controls</w:t>
      </w:r>
    </w:p>
    <w:p>
      <w:r>
        <w:t>A blanket family-interpreter policy can deny meaningful access and create accuracy, coercion, privacy, role, and safety problems. Current client needs should be repaired while the organization reviews and changes the policy.</w:t>
      </w:r>
    </w:p>
    <w:p>
      <w:pPr>
        <w:pStyle w:val="Heading2"/>
      </w:pPr>
      <w:r>
        <w:t>CTA Exam Strategy</w:t>
      </w:r>
    </w:p>
    <w:p>
      <w:r>
        <w:t>When a policy repeatedly blocks care, select an answer that addresses immediate access and the structural policy problem.</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Organizational language-access barrier</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Integrated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WB7 - Cultural Humility, Bias, and Diverse Populations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LANGUAGE-ACCESS-POLICY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1.05, 3.07, 3.09, 6.04; applicable California and federal access law</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9 - Controlled Rationale</w:t>
      </w:r>
    </w:p>
    <w:p>
      <w:r>
        <w:rPr>
          <w:b/>
        </w:rPr>
        <w:t xml:space="preserve">Item ID: </w:t>
      </w:r>
      <w:r>
        <w:t>CTA-EP-002-CUM-A-009</w:t>
      </w:r>
    </w:p>
    <w:p>
      <w:r>
        <w:rPr>
          <w:b/>
        </w:rPr>
        <w:t xml:space="preserve">Stem: </w:t>
      </w:r>
      <w:r>
        <w:t>During treatment, an LCSW develops reasonable suspicion that a child has been abused. The program director asks the LCSW to wait until an internal team meeting the next morning. What should the LCSW do FIRST?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Interview additional family members until the LCSW can prove that abuse occurred.</w:t>
            </w:r>
          </w:p>
        </w:tc>
        <w:tc>
          <w:tcPr>
            <w:tcW w:type="dxa" w:w="3485"/>
            <w:vAlign w:val="center"/>
            <w:tcMar>
              <w:top w:w="55" w:type="dxa"/>
              <w:start w:w="65" w:type="dxa"/>
              <w:bottom w:w="55" w:type="dxa"/>
              <w:end w:w="65" w:type="dxa"/>
            </w:tcMar>
          </w:tcPr>
          <w:p>
            <w:pPr>
              <w:spacing w:after="0"/>
            </w:pPr>
            <w:r>
              <w:rPr>
                <w:sz w:val="16"/>
              </w:rPr>
              <w:t>Incorrect. The reporter does not investigate until abuse is proven; reasonable suspicion is the reporting threshold.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Wait because the director is responsible for agency reporting decisions.</w:t>
            </w:r>
          </w:p>
        </w:tc>
        <w:tc>
          <w:tcPr>
            <w:tcW w:type="dxa" w:w="3485"/>
            <w:vAlign w:val="center"/>
            <w:tcMar>
              <w:top w:w="55" w:type="dxa"/>
              <w:start w:w="65" w:type="dxa"/>
              <w:bottom w:w="55" w:type="dxa"/>
              <w:end w:w="65" w:type="dxa"/>
            </w:tcMar>
          </w:tcPr>
          <w:p>
            <w:pPr>
              <w:spacing w:after="0"/>
            </w:pPr>
            <w:r>
              <w:rPr>
                <w:sz w:val="16"/>
              </w:rPr>
              <w:t>Incorrect. The director’s organizational role does not replace the clinician’s individual mandated-reporting duty.</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Notify the director in writing and allow the director to make the external report.</w:t>
            </w:r>
          </w:p>
        </w:tc>
        <w:tc>
          <w:tcPr>
            <w:tcW w:type="dxa" w:w="3485"/>
            <w:vAlign w:val="center"/>
            <w:tcMar>
              <w:top w:w="55" w:type="dxa"/>
              <w:start w:w="65" w:type="dxa"/>
              <w:bottom w:w="55" w:type="dxa"/>
              <w:end w:w="65" w:type="dxa"/>
            </w:tcMar>
          </w:tcPr>
          <w:p>
            <w:pPr>
              <w:spacing w:after="0"/>
            </w:pPr>
            <w:r>
              <w:rPr>
                <w:sz w:val="16"/>
              </w:rPr>
              <w:t>Incorrect. Internal notice may be appropriate, but it does not substitute for or delay the required external report.</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Make the required report immediately or as soon as practicably possible and complete the required follow-up without allowing internal procedures to delay the individual duty.</w:t>
            </w:r>
          </w:p>
        </w:tc>
        <w:tc>
          <w:tcPr>
            <w:tcW w:type="dxa" w:w="3485"/>
            <w:shd w:fill="EAF7F7"/>
            <w:vAlign w:val="center"/>
            <w:tcMar>
              <w:top w:w="55" w:type="dxa"/>
              <w:start w:w="65" w:type="dxa"/>
              <w:bottom w:w="55" w:type="dxa"/>
              <w:end w:w="65" w:type="dxa"/>
            </w:tcMar>
          </w:tcPr>
          <w:p>
            <w:pPr>
              <w:spacing w:after="0"/>
            </w:pPr>
            <w:r>
              <w:rPr>
                <w:sz w:val="16"/>
              </w:rPr>
              <w:t>Correct. This response follows the individual duty and prevents agency procedures from delaying the report.</w:t>
            </w:r>
          </w:p>
        </w:tc>
      </w:tr>
    </w:tbl>
    <w:p>
      <w:pPr>
        <w:pStyle w:val="Heading2"/>
      </w:pPr>
      <w:r>
        <w:t>Why the Key Controls</w:t>
      </w:r>
    </w:p>
    <w:p>
      <w:r>
        <w:t>A mandated reporter acts on reasonable suspicion and has an individual duty that cannot be delayed by an internal meeting or delegated to a supervisor. The report and required follow-up must be completed within the statutory sequence.</w:t>
      </w:r>
    </w:p>
    <w:p>
      <w:pPr>
        <w:pStyle w:val="Heading2"/>
      </w:pPr>
      <w:r>
        <w:t>CTA Exam Strategy</w:t>
      </w:r>
    </w:p>
    <w:p>
      <w:r>
        <w:t>On mandated-reporting questions, identify the threshold, act within the required timeframe, and do not let internal procedures create delay.</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Child-abuse mandated-reporting sequence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Applied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CHILD-ABUSE-REPORTING</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Penal Code 11166</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10 - Controlled Rationale</w:t>
      </w:r>
    </w:p>
    <w:p>
      <w:r>
        <w:rPr>
          <w:b/>
        </w:rPr>
        <w:t xml:space="preserve">Item ID: </w:t>
      </w:r>
      <w:r>
        <w:t>CTA-EP-002-CUM-A-010</w:t>
      </w:r>
    </w:p>
    <w:p>
      <w:r>
        <w:rPr>
          <w:b/>
        </w:rPr>
        <w:t xml:space="preserve">Stem: </w:t>
      </w:r>
      <w:r>
        <w:t>Which statement accurately distinguishes the scope of clinical social work from an individual clinician’s competence?</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Any service within clinical social work may be performed by every LCSW without additional preparation.</w:t>
            </w:r>
          </w:p>
        </w:tc>
        <w:tc>
          <w:tcPr>
            <w:tcW w:type="dxa" w:w="3485"/>
            <w:vAlign w:val="center"/>
            <w:tcMar>
              <w:top w:w="55" w:type="dxa"/>
              <w:start w:w="65" w:type="dxa"/>
              <w:bottom w:w="55" w:type="dxa"/>
              <w:end w:w="65" w:type="dxa"/>
            </w:tcMar>
          </w:tcPr>
          <w:p>
            <w:pPr>
              <w:spacing w:after="0"/>
            </w:pPr>
            <w:r>
              <w:rPr>
                <w:sz w:val="16"/>
              </w:rPr>
              <w:t>Incorrect. Professional scope is not a guarantee that every licensee is competent in every method or population.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Employer approval establishes competence whenever the service is within the organization’s mission.</w:t>
            </w:r>
          </w:p>
        </w:tc>
        <w:tc>
          <w:tcPr>
            <w:tcW w:type="dxa" w:w="3485"/>
            <w:vAlign w:val="center"/>
            <w:tcMar>
              <w:top w:w="55" w:type="dxa"/>
              <w:start w:w="65" w:type="dxa"/>
              <w:bottom w:w="55" w:type="dxa"/>
              <w:end w:w="65" w:type="dxa"/>
            </w:tcMar>
          </w:tcPr>
          <w:p>
            <w:pPr>
              <w:spacing w:after="0"/>
            </w:pPr>
            <w:r>
              <w:rPr>
                <w:sz w:val="16"/>
              </w:rPr>
              <w:t>Incorrect. Employer authorization cannot create clinical competence.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Competence matters only for associates because licensed clinicians practice independently.</w:t>
            </w:r>
          </w:p>
        </w:tc>
        <w:tc>
          <w:tcPr>
            <w:tcW w:type="dxa" w:w="3485"/>
            <w:vAlign w:val="center"/>
            <w:tcMar>
              <w:top w:w="55" w:type="dxa"/>
              <w:start w:w="65" w:type="dxa"/>
              <w:bottom w:w="55" w:type="dxa"/>
              <w:end w:w="65" w:type="dxa"/>
            </w:tcMar>
          </w:tcPr>
          <w:p>
            <w:pPr>
              <w:spacing w:after="0"/>
            </w:pPr>
            <w:r>
              <w:rPr>
                <w:sz w:val="16"/>
              </w:rPr>
              <w:t>Incorrect. Licensed clinicians remain responsible for competence and consultation throughout practice.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A service may fall within clinical social work while a particular clinician still lacks the training, experience, consultation, or current functioning needed to provide it safely.</w:t>
            </w:r>
          </w:p>
        </w:tc>
        <w:tc>
          <w:tcPr>
            <w:tcW w:type="dxa" w:w="3485"/>
            <w:shd w:fill="EAF7F7"/>
            <w:vAlign w:val="center"/>
            <w:tcMar>
              <w:top w:w="55" w:type="dxa"/>
              <w:start w:w="65" w:type="dxa"/>
              <w:bottom w:w="55" w:type="dxa"/>
              <w:end w:w="65" w:type="dxa"/>
            </w:tcMar>
          </w:tcPr>
          <w:p>
            <w:pPr>
              <w:spacing w:after="0"/>
            </w:pPr>
            <w:r>
              <w:rPr>
                <w:sz w:val="16"/>
              </w:rPr>
              <w:t>Correct. This choice accurately separates the profession-level boundary from the clinician-level ability to perform safely.</w:t>
            </w:r>
          </w:p>
        </w:tc>
      </w:tr>
    </w:tbl>
    <w:p>
      <w:pPr>
        <w:pStyle w:val="Heading2"/>
      </w:pPr>
      <w:r>
        <w:t>Why the Key Controls</w:t>
      </w:r>
    </w:p>
    <w:p>
      <w:r>
        <w:t>The profession’s legal scope defines what clinical social work may include; individual competence asks whether this clinician can perform the service safely now, considering training, experience, consultation, supervision, and functioning.</w:t>
      </w:r>
    </w:p>
    <w:p>
      <w:pPr>
        <w:pStyle w:val="Heading2"/>
      </w:pPr>
      <w:r>
        <w:t>CTA Exam Strategy</w:t>
      </w:r>
    </w:p>
    <w:p>
      <w:r>
        <w:t>Do not confuse “within the profession” with “within this clinician’s present competence.”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Profession scope versus individual competence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Foundational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WB3 - Professional Competence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SCOPE-VS-COMPETENCE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BPC 4996.9; NASW 1.04</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11 - Controlled Rationale</w:t>
      </w:r>
    </w:p>
    <w:p>
      <w:r>
        <w:rPr>
          <w:b/>
        </w:rPr>
        <w:t xml:space="preserve">Item ID: </w:t>
      </w:r>
      <w:r>
        <w:t>CTA-EP-002-CUM-A-011</w:t>
      </w:r>
    </w:p>
    <w:p>
      <w:r>
        <w:rPr>
          <w:b/>
        </w:rPr>
        <w:t xml:space="preserve">Stem: </w:t>
      </w:r>
      <w:r>
        <w:t>Before a high-risk intake, an LCSW notices medication-related confusion and cannot reliably follow the assessment protocol. What should occur FIRST?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Complete the intake quickly before the symptoms worsen.</w:t>
            </w:r>
          </w:p>
        </w:tc>
        <w:tc>
          <w:tcPr>
            <w:tcW w:type="dxa" w:w="3485"/>
            <w:vAlign w:val="center"/>
            <w:tcMar>
              <w:top w:w="55" w:type="dxa"/>
              <w:start w:w="65" w:type="dxa"/>
              <w:bottom w:w="55" w:type="dxa"/>
              <w:end w:w="65" w:type="dxa"/>
            </w:tcMar>
          </w:tcPr>
          <w:p>
            <w:pPr>
              <w:spacing w:after="0"/>
            </w:pPr>
            <w:r>
              <w:rPr>
                <w:sz w:val="16"/>
              </w:rPr>
              <w:t>Incorrect. Speed does not reduce the risk created by confusion during a high-risk assessment.</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Pause the high-risk work and arrange appropriate coverage or consultation while addressing the impairment.</w:t>
            </w:r>
          </w:p>
        </w:tc>
        <w:tc>
          <w:tcPr>
            <w:tcW w:type="dxa" w:w="3485"/>
            <w:shd w:fill="EAF7F7"/>
            <w:vAlign w:val="center"/>
            <w:tcMar>
              <w:top w:w="55" w:type="dxa"/>
              <w:start w:w="65" w:type="dxa"/>
              <w:bottom w:w="55" w:type="dxa"/>
              <w:end w:w="65" w:type="dxa"/>
            </w:tcMar>
          </w:tcPr>
          <w:p>
            <w:pPr>
              <w:spacing w:after="0"/>
            </w:pPr>
            <w:r>
              <w:rPr>
                <w:sz w:val="16"/>
              </w:rPr>
              <w:t>Correct. This choice protects the client first and creates a path for consultation and recovery.</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Tell the client the exact medication and ask whether the client is comfortable proceeding.</w:t>
            </w:r>
          </w:p>
        </w:tc>
        <w:tc>
          <w:tcPr>
            <w:tcW w:type="dxa" w:w="3485"/>
            <w:vAlign w:val="center"/>
            <w:tcMar>
              <w:top w:w="55" w:type="dxa"/>
              <w:start w:w="65" w:type="dxa"/>
              <w:bottom w:w="55" w:type="dxa"/>
              <w:end w:w="65" w:type="dxa"/>
            </w:tcMar>
          </w:tcPr>
          <w:p>
            <w:pPr>
              <w:spacing w:after="0"/>
            </w:pPr>
            <w:r>
              <w:rPr>
                <w:sz w:val="16"/>
              </w:rPr>
              <w:t>Incorrect. Disclosing specific medication information to the client is unnecessary and may shift responsibility to the client.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Document the impairment after the session but otherwise continue as scheduled.</w:t>
            </w:r>
          </w:p>
        </w:tc>
        <w:tc>
          <w:tcPr>
            <w:tcW w:type="dxa" w:w="3485"/>
            <w:vAlign w:val="center"/>
            <w:tcMar>
              <w:top w:w="55" w:type="dxa"/>
              <w:start w:w="65" w:type="dxa"/>
              <w:bottom w:w="55" w:type="dxa"/>
              <w:end w:w="65" w:type="dxa"/>
            </w:tcMar>
          </w:tcPr>
          <w:p>
            <w:pPr>
              <w:spacing w:after="0"/>
            </w:pPr>
            <w:r>
              <w:rPr>
                <w:sz w:val="16"/>
              </w:rPr>
              <w:t>Incorrect. Documentation after the session does not protect the client from impaired decision-making during the session.</w:t>
            </w:r>
          </w:p>
        </w:tc>
      </w:tr>
    </w:tbl>
    <w:p>
      <w:pPr>
        <w:pStyle w:val="Heading2"/>
      </w:pPr>
      <w:r>
        <w:t>Why the Key Controls</w:t>
      </w:r>
    </w:p>
    <w:p>
      <w:r>
        <w:t>The clinician’s confusion creates an immediate high-risk performance concern. The first step is to pause the affected work and arrange safe coverage or consultation before addressing health, documentation, and longer-term recovery.</w:t>
      </w:r>
    </w:p>
    <w:p>
      <w:pPr>
        <w:pStyle w:val="Heading2"/>
      </w:pPr>
      <w:r>
        <w:t>CTA Exam Strategy</w:t>
      </w:r>
    </w:p>
    <w:p>
      <w:r>
        <w:t>For FIRST impairment questions, contain the affected high-risk duty before explaining, documenting, or planning longer-term recovery.</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Immediate response to impairment before high-risk care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WB4 - Professional Impairment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IMPAIRMENT-CONTAINMENT</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4.05; California BPC 4992.3</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12 - Controlled Rationale</w:t>
      </w:r>
    </w:p>
    <w:p>
      <w:r>
        <w:rPr>
          <w:b/>
        </w:rPr>
        <w:t xml:space="preserve">Item ID: </w:t>
      </w:r>
      <w:r>
        <w:t>CTA-EP-002-CUM-A-012</w:t>
      </w:r>
    </w:p>
    <w:p>
      <w:r>
        <w:rPr>
          <w:b/>
        </w:rPr>
        <w:t xml:space="preserve">Stem: </w:t>
      </w:r>
      <w:r>
        <w:t>Which statement most accurately distinguishes culturally unfamiliar behavior from clinical impairment?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Behavior that is unfamiliar to the clinician should be treated as a symptom until the client disproves it.</w:t>
            </w:r>
          </w:p>
        </w:tc>
        <w:tc>
          <w:tcPr>
            <w:tcW w:type="dxa" w:w="3485"/>
            <w:vAlign w:val="center"/>
            <w:tcMar>
              <w:top w:w="55" w:type="dxa"/>
              <w:start w:w="65" w:type="dxa"/>
              <w:bottom w:w="55" w:type="dxa"/>
              <w:end w:w="65" w:type="dxa"/>
            </w:tcMar>
          </w:tcPr>
          <w:p>
            <w:pPr>
              <w:spacing w:after="0"/>
            </w:pPr>
            <w:r>
              <w:rPr>
                <w:sz w:val="16"/>
              </w:rPr>
              <w:t>Incorrect. The clinician’s unfamiliarity is not evidence of pathology and does not shift the burden to the client to disprove a symptom label.</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Only a clinician who shares the client’s identity can decide whether the behavior is clinically significant.</w:t>
            </w:r>
          </w:p>
        </w:tc>
        <w:tc>
          <w:tcPr>
            <w:tcW w:type="dxa" w:w="3485"/>
            <w:vAlign w:val="center"/>
            <w:tcMar>
              <w:top w:w="55" w:type="dxa"/>
              <w:start w:w="65" w:type="dxa"/>
              <w:bottom w:w="55" w:type="dxa"/>
              <w:end w:w="65" w:type="dxa"/>
            </w:tcMar>
          </w:tcPr>
          <w:p>
            <w:pPr>
              <w:spacing w:after="0"/>
            </w:pPr>
            <w:r>
              <w:rPr>
                <w:sz w:val="16"/>
              </w:rPr>
              <w:t>Incorrect. Shared identity may support understanding in some circumstances, but competent individualized assessment does not require identity matching.</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The clinician should assess meaning, context, function, distress, risk, client report, and available evidence before labeling the behavior as pathology.</w:t>
            </w:r>
          </w:p>
        </w:tc>
        <w:tc>
          <w:tcPr>
            <w:tcW w:type="dxa" w:w="3485"/>
            <w:shd w:fill="EAF7F7"/>
            <w:vAlign w:val="center"/>
            <w:tcMar>
              <w:top w:w="55" w:type="dxa"/>
              <w:start w:w="65" w:type="dxa"/>
              <w:bottom w:w="55" w:type="dxa"/>
              <w:end w:w="65" w:type="dxa"/>
            </w:tcMar>
          </w:tcPr>
          <w:p>
            <w:pPr>
              <w:spacing w:after="0"/>
            </w:pPr>
            <w:r>
              <w:rPr>
                <w:sz w:val="16"/>
              </w:rPr>
              <w:t>Correct. This option uses contextual, functional, evidence-based, and client-centered assessment before applying a pathological interpretation.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 diagnostic manual eliminates the need to examine culture, power, or the client’s explanation.</w:t>
            </w:r>
          </w:p>
        </w:tc>
        <w:tc>
          <w:tcPr>
            <w:tcW w:type="dxa" w:w="3485"/>
            <w:vAlign w:val="center"/>
            <w:tcMar>
              <w:top w:w="55" w:type="dxa"/>
              <w:start w:w="65" w:type="dxa"/>
              <w:bottom w:w="55" w:type="dxa"/>
              <w:end w:w="65" w:type="dxa"/>
            </w:tcMar>
          </w:tcPr>
          <w:p>
            <w:pPr>
              <w:spacing w:after="0"/>
            </w:pPr>
            <w:r>
              <w:rPr>
                <w:sz w:val="16"/>
              </w:rPr>
              <w:t>Incorrect. Diagnostic criteria require clinical judgment and do not eliminate the need to assess culture, context, power, and the client’s own explanation.</w:t>
            </w:r>
          </w:p>
        </w:tc>
      </w:tr>
    </w:tbl>
    <w:p>
      <w:pPr>
        <w:pStyle w:val="Heading2"/>
      </w:pPr>
      <w:r>
        <w:t>Why the Key Controls</w:t>
      </w:r>
    </w:p>
    <w:p>
      <w:r>
        <w:t>Culturally unfamiliar behavior is not automatically pathological. The LCSW should examine the client’s meaning, social and cultural context, function, distress, risk, preferences, and available evidence before assigning a clinical interpretation.</w:t>
      </w:r>
    </w:p>
    <w:p>
      <w:pPr>
        <w:pStyle w:val="Heading2"/>
      </w:pPr>
      <w:r>
        <w:t>CTA Exam Strategy</w:t>
      </w:r>
    </w:p>
    <w:p>
      <w:r>
        <w:t>When culture and diagnosis intersect, choose individualized evidence and functional assessment over unfamiliarity, identity matching, or decontextualized labeling.</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Cultural difference versus pathology</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Foundational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WB7 - Cultural Humility, Bias, and Diverse Populations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CULTURE-PATHOLOGY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1.04, 1.05, 4.02; NASW cultural-competence standards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13 - Controlled Rationale</w:t>
      </w:r>
    </w:p>
    <w:p>
      <w:r>
        <w:rPr>
          <w:b/>
        </w:rPr>
        <w:t xml:space="preserve">Item ID: </w:t>
      </w:r>
      <w:r>
        <w:t>CTA-EP-002-CUM-A-013</w:t>
      </w:r>
    </w:p>
    <w:p>
      <w:r>
        <w:rPr>
          <w:b/>
        </w:rPr>
        <w:t xml:space="preserve">Stem: </w:t>
      </w:r>
      <w:r>
        <w:t>An LCSW discovers that yesterday’s progress note contains an inaccurate statement about medication adherence. What is the BEST correction method?</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Preserve the original entry and add a dated, attributable correction or addendum that explains the accurate information.</w:t>
            </w:r>
          </w:p>
        </w:tc>
        <w:tc>
          <w:tcPr>
            <w:tcW w:type="dxa" w:w="3485"/>
            <w:shd w:fill="EAF7F7"/>
            <w:vAlign w:val="center"/>
            <w:tcMar>
              <w:top w:w="55" w:type="dxa"/>
              <w:start w:w="65" w:type="dxa"/>
              <w:bottom w:w="55" w:type="dxa"/>
              <w:end w:w="65" w:type="dxa"/>
            </w:tcMar>
          </w:tcPr>
          <w:p>
            <w:pPr>
              <w:spacing w:after="0"/>
            </w:pPr>
            <w:r>
              <w:rPr>
                <w:sz w:val="16"/>
              </w:rPr>
              <w:t>Correct. This method protects record integrity and makes the correction transparent and attributable.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Delete the original note and replace it without indicating a change.</w:t>
            </w:r>
          </w:p>
        </w:tc>
        <w:tc>
          <w:tcPr>
            <w:tcW w:type="dxa" w:w="3485"/>
            <w:vAlign w:val="center"/>
            <w:tcMar>
              <w:top w:w="55" w:type="dxa"/>
              <w:start w:w="65" w:type="dxa"/>
              <w:bottom w:w="55" w:type="dxa"/>
              <w:end w:w="65" w:type="dxa"/>
            </w:tcMar>
          </w:tcPr>
          <w:p>
            <w:pPr>
              <w:spacing w:after="0"/>
            </w:pPr>
            <w:r>
              <w:rPr>
                <w:sz w:val="16"/>
              </w:rPr>
              <w:t>Incorrect. Silent replacement destroys the audit trail and may appear deceptive.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Ask administrative staff to edit the note under the staff member’s login.</w:t>
            </w:r>
          </w:p>
        </w:tc>
        <w:tc>
          <w:tcPr>
            <w:tcW w:type="dxa" w:w="3485"/>
            <w:vAlign w:val="center"/>
            <w:tcMar>
              <w:top w:w="55" w:type="dxa"/>
              <w:start w:w="65" w:type="dxa"/>
              <w:bottom w:w="55" w:type="dxa"/>
              <w:end w:w="65" w:type="dxa"/>
            </w:tcMar>
          </w:tcPr>
          <w:p>
            <w:pPr>
              <w:spacing w:after="0"/>
            </w:pPr>
            <w:r>
              <w:rPr>
                <w:sz w:val="16"/>
              </w:rPr>
              <w:t>Incorrect. Another person should not edit the clinician’s note under a different login or without proper attribution.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Leave the error unchanged because completed notes may never be corrected.</w:t>
            </w:r>
          </w:p>
        </w:tc>
        <w:tc>
          <w:tcPr>
            <w:tcW w:type="dxa" w:w="3485"/>
            <w:vAlign w:val="center"/>
            <w:tcMar>
              <w:top w:w="55" w:type="dxa"/>
              <w:start w:w="65" w:type="dxa"/>
              <w:bottom w:w="55" w:type="dxa"/>
              <w:end w:w="65" w:type="dxa"/>
            </w:tcMar>
          </w:tcPr>
          <w:p>
            <w:pPr>
              <w:spacing w:after="0"/>
            </w:pPr>
            <w:r>
              <w:rPr>
                <w:sz w:val="16"/>
              </w:rPr>
              <w:t>Incorrect. Records may be corrected through a transparent addendum or correction process.</w:t>
            </w:r>
          </w:p>
        </w:tc>
      </w:tr>
    </w:tbl>
    <w:p>
      <w:pPr>
        <w:pStyle w:val="Heading2"/>
      </w:pPr>
      <w:r>
        <w:t>Why the Key Controls</w:t>
      </w:r>
    </w:p>
    <w:p>
      <w:r>
        <w:t>A record correction should preserve the original entry and create a dated, attributable correction or addendum so the audit trail remains accurate. The correction should explain the accurate information without concealing the earlier entry.</w:t>
      </w:r>
    </w:p>
    <w:p>
      <w:pPr>
        <w:pStyle w:val="Heading2"/>
      </w:pPr>
      <w:r>
        <w:t>CTA Exam Strategy</w:t>
      </w:r>
    </w:p>
    <w:p>
      <w:r>
        <w:t>For documentation corrections, preserve the original, identify who changed what and when, and state the accurate information.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Correcting a clinical record</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RECORD-CORRECTION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3.04; California record-integrity and unprofessional-conduct standards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14 - Controlled Rationale</w:t>
      </w:r>
    </w:p>
    <w:p>
      <w:r>
        <w:rPr>
          <w:b/>
        </w:rPr>
        <w:t xml:space="preserve">Item ID: </w:t>
      </w:r>
      <w:r>
        <w:t>CTA-EP-002-CUM-A-014</w:t>
      </w:r>
    </w:p>
    <w:p>
      <w:r>
        <w:rPr>
          <w:b/>
        </w:rPr>
        <w:t xml:space="preserve">Stem: </w:t>
      </w:r>
      <w:r>
        <w:t>At termination, a client offers the LCSW an expensive watch and explains that refusing it would be insulting in the client’s family. What is the BEST response?</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Explore the meaning, value, cultural context, treatment impact, policy, and boundary risk; decline or manage the gift in the way that best protects the client and professional relationship.</w:t>
            </w:r>
          </w:p>
        </w:tc>
        <w:tc>
          <w:tcPr>
            <w:tcW w:type="dxa" w:w="3485"/>
            <w:shd w:fill="EAF7F7"/>
            <w:vAlign w:val="center"/>
            <w:tcMar>
              <w:top w:w="55" w:type="dxa"/>
              <w:start w:w="65" w:type="dxa"/>
              <w:bottom w:w="55" w:type="dxa"/>
              <w:end w:w="65" w:type="dxa"/>
            </w:tcMar>
          </w:tcPr>
          <w:p>
            <w:pPr>
              <w:spacing w:after="0"/>
            </w:pPr>
            <w:r>
              <w:rPr>
                <w:sz w:val="16"/>
              </w:rPr>
              <w:t>Correct. This option calls for the complete contextual and boundary analysis before deciding how to respond.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Accept because cultural respect always overrides boundary concerns.</w:t>
            </w:r>
          </w:p>
        </w:tc>
        <w:tc>
          <w:tcPr>
            <w:tcW w:type="dxa" w:w="3485"/>
            <w:vAlign w:val="center"/>
            <w:tcMar>
              <w:top w:w="55" w:type="dxa"/>
              <w:start w:w="65" w:type="dxa"/>
              <w:bottom w:w="55" w:type="dxa"/>
              <w:end w:w="65" w:type="dxa"/>
            </w:tcMar>
          </w:tcPr>
          <w:p>
            <w:pPr>
              <w:spacing w:after="0"/>
            </w:pPr>
            <w:r>
              <w:rPr>
                <w:sz w:val="16"/>
              </w:rPr>
              <w:t>Incorrect. Cultural meaning is important but does not automatically override value, power, policy, or exploitation concerns.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Refuse immediately without discussion because every gift is unethical.</w:t>
            </w:r>
          </w:p>
        </w:tc>
        <w:tc>
          <w:tcPr>
            <w:tcW w:type="dxa" w:w="3485"/>
            <w:vAlign w:val="center"/>
            <w:tcMar>
              <w:top w:w="55" w:type="dxa"/>
              <w:start w:w="65" w:type="dxa"/>
              <w:bottom w:w="55" w:type="dxa"/>
              <w:end w:w="65" w:type="dxa"/>
            </w:tcMar>
          </w:tcPr>
          <w:p>
            <w:pPr>
              <w:spacing w:after="0"/>
            </w:pPr>
            <w:r>
              <w:rPr>
                <w:sz w:val="16"/>
              </w:rPr>
              <w:t>Incorrect. Not every low-value or culturally meaningful gift is unethical; a categorical refusal can also harm the relationship.</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Accept the watch and donate its cash value to charity without informing the client.</w:t>
            </w:r>
          </w:p>
        </w:tc>
        <w:tc>
          <w:tcPr>
            <w:tcW w:type="dxa" w:w="3485"/>
            <w:vAlign w:val="center"/>
            <w:tcMar>
              <w:top w:w="55" w:type="dxa"/>
              <w:start w:w="65" w:type="dxa"/>
              <w:bottom w:w="55" w:type="dxa"/>
              <w:end w:w="65" w:type="dxa"/>
            </w:tcMar>
          </w:tcPr>
          <w:p>
            <w:pPr>
              <w:spacing w:after="0"/>
            </w:pPr>
            <w:r>
              <w:rPr>
                <w:sz w:val="16"/>
              </w:rPr>
              <w:t>Incorrect. Unilaterally donating the value does not resolve consent, meaning, ownership, or treatment impact.</w:t>
            </w:r>
          </w:p>
        </w:tc>
      </w:tr>
    </w:tbl>
    <w:p>
      <w:pPr>
        <w:pStyle w:val="Heading2"/>
      </w:pPr>
      <w:r>
        <w:t>Why the Key Controls</w:t>
      </w:r>
    </w:p>
    <w:p>
      <w:r>
        <w:t>Gift decisions require contextual analysis of meaning, value, culture, timing, policy, treatment effect, and exploitation or dependency risk. The response should protect the client without using either a universal acceptance or universal refusal rule.</w:t>
      </w:r>
    </w:p>
    <w:p>
      <w:pPr>
        <w:pStyle w:val="Heading2"/>
      </w:pPr>
      <w:r>
        <w:t>CTA Exam Strategy</w:t>
      </w:r>
    </w:p>
    <w:p>
      <w:r>
        <w:t>Gift questions are contextual: examine value, meaning, timing, culture, policy, power, and treatment impact.</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Gifts and boundary analysis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GIFT-BOUNDARY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1.06; California unprofessional-conduct standards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15 - Controlled Rationale</w:t>
      </w:r>
    </w:p>
    <w:p>
      <w:r>
        <w:rPr>
          <w:b/>
        </w:rPr>
        <w:t xml:space="preserve">Item ID: </w:t>
      </w:r>
      <w:r>
        <w:t>CTA-EP-002-CUM-A-015</w:t>
      </w:r>
    </w:p>
    <w:p>
      <w:r>
        <w:rPr>
          <w:b/>
        </w:rPr>
        <w:t xml:space="preserve">Stem: </w:t>
      </w:r>
      <w:r>
        <w:t>The parent of an adult client pays the therapy bill and demands copies of all notes. The client has not authorized disclosure. What should the LCSW do FIRST?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Release the notes because the payer owns the financial account.</w:t>
            </w:r>
          </w:p>
        </w:tc>
        <w:tc>
          <w:tcPr>
            <w:tcW w:type="dxa" w:w="3485"/>
            <w:vAlign w:val="center"/>
            <w:tcMar>
              <w:top w:w="55" w:type="dxa"/>
              <w:start w:w="65" w:type="dxa"/>
              <w:bottom w:w="55" w:type="dxa"/>
              <w:end w:w="65" w:type="dxa"/>
            </w:tcMar>
          </w:tcPr>
          <w:p>
            <w:pPr>
              <w:spacing w:after="0"/>
            </w:pPr>
            <w:r>
              <w:rPr>
                <w:sz w:val="16"/>
              </w:rPr>
              <w:t>Incorrect. Paying the bill does not make the parent the adult client or owner of the clinical record.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Provide a verbal summary because verbal disclosures do not require authorization.</w:t>
            </w:r>
          </w:p>
        </w:tc>
        <w:tc>
          <w:tcPr>
            <w:tcW w:type="dxa" w:w="3485"/>
            <w:vAlign w:val="center"/>
            <w:tcMar>
              <w:top w:w="55" w:type="dxa"/>
              <w:start w:w="65" w:type="dxa"/>
              <w:bottom w:w="55" w:type="dxa"/>
              <w:end w:w="65" w:type="dxa"/>
            </w:tcMar>
          </w:tcPr>
          <w:p>
            <w:pPr>
              <w:spacing w:after="0"/>
            </w:pPr>
            <w:r>
              <w:rPr>
                <w:sz w:val="16"/>
              </w:rPr>
              <w:t>Incorrect. A verbal summary is still a disclosure and requires authorization or another legal basis.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Ask the parent to promise not to share the information.</w:t>
            </w:r>
          </w:p>
        </w:tc>
        <w:tc>
          <w:tcPr>
            <w:tcW w:type="dxa" w:w="3485"/>
            <w:vAlign w:val="center"/>
            <w:tcMar>
              <w:top w:w="55" w:type="dxa"/>
              <w:start w:w="65" w:type="dxa"/>
              <w:bottom w:w="55" w:type="dxa"/>
              <w:end w:w="65" w:type="dxa"/>
            </w:tcMar>
          </w:tcPr>
          <w:p>
            <w:pPr>
              <w:spacing w:after="0"/>
            </w:pPr>
            <w:r>
              <w:rPr>
                <w:sz w:val="16"/>
              </w:rPr>
              <w:t>Incorrect. A promise of discretion is not legal authorization and does not establish access rights.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Identify the client, applicable privilege and access rights, and any valid authorization or legal basis before disclosing information.</w:t>
            </w:r>
          </w:p>
        </w:tc>
        <w:tc>
          <w:tcPr>
            <w:tcW w:type="dxa" w:w="3485"/>
            <w:shd w:fill="EAF7F7"/>
            <w:vAlign w:val="center"/>
            <w:tcMar>
              <w:top w:w="55" w:type="dxa"/>
              <w:start w:w="65" w:type="dxa"/>
              <w:bottom w:w="55" w:type="dxa"/>
              <w:end w:w="65" w:type="dxa"/>
            </w:tcMar>
          </w:tcPr>
          <w:p>
            <w:pPr>
              <w:spacing w:after="0"/>
            </w:pPr>
            <w:r>
              <w:rPr>
                <w:sz w:val="16"/>
              </w:rPr>
              <w:t>Correct. This choice begins with the proper client, privilege, access, and authorization analysis.</w:t>
            </w:r>
          </w:p>
        </w:tc>
      </w:tr>
    </w:tbl>
    <w:p>
      <w:pPr>
        <w:pStyle w:val="Heading2"/>
      </w:pPr>
      <w:r>
        <w:t>Why the Key Controls</w:t>
      </w:r>
    </w:p>
    <w:p>
      <w:r>
        <w:t>Payment does not determine client status, privilege, confidentiality, or record-access rights. The LCSW must identify the client and authority for disclosure before releasing any information to the payer.</w:t>
      </w:r>
    </w:p>
    <w:p>
      <w:pPr>
        <w:pStyle w:val="Heading2"/>
      </w:pPr>
      <w:r>
        <w:t>CTA Exam Strategy</w:t>
      </w:r>
    </w:p>
    <w:p>
      <w:r>
        <w:t>Separate payer, client, privilege holder, and record recipient; payment alone never answers the disclosure question.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Third-party payment does not establish record authority</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THIRD-PARTY-PAYER</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1.03, 1.07; California confidentiality, privilege, and access law</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16 - Controlled Rationale</w:t>
      </w:r>
    </w:p>
    <w:p>
      <w:r>
        <w:rPr>
          <w:b/>
        </w:rPr>
        <w:t xml:space="preserve">Item ID: </w:t>
      </w:r>
      <w:r>
        <w:t>CTA-EP-002-CUM-A-016</w:t>
      </w:r>
    </w:p>
    <w:p>
      <w:r>
        <w:rPr>
          <w:b/>
        </w:rPr>
        <w:t xml:space="preserve">Stem: </w:t>
      </w:r>
      <w:r>
        <w:t>An agency purchases a specialized forensic assessment instrument that the LCSW has never been trained to administer or interpret. What should the LCSW do FIRST?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Use the instrument because the agency purchased it for clinical staff.</w:t>
            </w:r>
          </w:p>
        </w:tc>
        <w:tc>
          <w:tcPr>
            <w:tcW w:type="dxa" w:w="3485"/>
            <w:vAlign w:val="center"/>
            <w:tcMar>
              <w:top w:w="55" w:type="dxa"/>
              <w:start w:w="65" w:type="dxa"/>
              <w:bottom w:w="55" w:type="dxa"/>
              <w:end w:w="65" w:type="dxa"/>
            </w:tcMar>
          </w:tcPr>
          <w:p>
            <w:pPr>
              <w:spacing w:after="0"/>
            </w:pPr>
            <w:r>
              <w:rPr>
                <w:sz w:val="16"/>
              </w:rPr>
              <w:t>Incorrect. Agency purchase or assignment does not create clinician competence.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Obtain appropriate training, consultation, supervision, or referral before relying on the instrument.</w:t>
            </w:r>
          </w:p>
        </w:tc>
        <w:tc>
          <w:tcPr>
            <w:tcW w:type="dxa" w:w="3485"/>
            <w:shd w:fill="EAF7F7"/>
            <w:vAlign w:val="center"/>
            <w:tcMar>
              <w:top w:w="55" w:type="dxa"/>
              <w:start w:w="65" w:type="dxa"/>
              <w:bottom w:w="55" w:type="dxa"/>
              <w:end w:w="65" w:type="dxa"/>
            </w:tcMar>
          </w:tcPr>
          <w:p>
            <w:pPr>
              <w:spacing w:after="0"/>
            </w:pPr>
            <w:r>
              <w:rPr>
                <w:sz w:val="16"/>
              </w:rPr>
              <w:t>Correct. This response addresses the competence gap before the instrument affects a client or legal decision.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Ask the client to review the manual and consent to the clinician’s limited experience.</w:t>
            </w:r>
          </w:p>
        </w:tc>
        <w:tc>
          <w:tcPr>
            <w:tcW w:type="dxa" w:w="3485"/>
            <w:vAlign w:val="center"/>
            <w:tcMar>
              <w:top w:w="55" w:type="dxa"/>
              <w:start w:w="65" w:type="dxa"/>
              <w:bottom w:w="55" w:type="dxa"/>
              <w:end w:w="65" w:type="dxa"/>
            </w:tcMar>
          </w:tcPr>
          <w:p>
            <w:pPr>
              <w:spacing w:after="0"/>
            </w:pPr>
            <w:r>
              <w:rPr>
                <w:sz w:val="16"/>
              </w:rPr>
              <w:t>Incorrect. A client waiver cannot make an untrained clinician competent or protect the validity of the assessment.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Administer the instrument but avoid documenting the results.</w:t>
            </w:r>
          </w:p>
        </w:tc>
        <w:tc>
          <w:tcPr>
            <w:tcW w:type="dxa" w:w="3485"/>
            <w:vAlign w:val="center"/>
            <w:tcMar>
              <w:top w:w="55" w:type="dxa"/>
              <w:start w:w="65" w:type="dxa"/>
              <w:bottom w:w="55" w:type="dxa"/>
              <w:end w:w="65" w:type="dxa"/>
            </w:tcMar>
          </w:tcPr>
          <w:p>
            <w:pPr>
              <w:spacing w:after="0"/>
            </w:pPr>
            <w:r>
              <w:rPr>
                <w:sz w:val="16"/>
              </w:rPr>
              <w:t>Incorrect. Avoiding documentation does not cure incompetent administration and may create additional integrity problems.</w:t>
            </w:r>
          </w:p>
        </w:tc>
      </w:tr>
    </w:tbl>
    <w:p>
      <w:pPr>
        <w:pStyle w:val="Heading2"/>
      </w:pPr>
      <w:r>
        <w:t>Why the Key Controls</w:t>
      </w:r>
    </w:p>
    <w:p>
      <w:r>
        <w:t>A specialized forensic instrument requires competence in administration, scoring, interpretation, limitations, and use. The clinician should obtain training, consultation or supervision, or refer before relying on it.</w:t>
      </w:r>
    </w:p>
    <w:p>
      <w:pPr>
        <w:pStyle w:val="Heading2"/>
      </w:pPr>
      <w:r>
        <w:t>CTA Exam Strategy</w:t>
      </w:r>
    </w:p>
    <w:p>
      <w:r>
        <w:t>When a new technique is specialized or high stakes, training and consultation come before independent use.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New specialized assessment technique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WB3 - Professional Competence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NEW-TECHNIQUE-COMPETENCE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1.04; California competence standards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17 - Controlled Rationale</w:t>
      </w:r>
    </w:p>
    <w:p>
      <w:r>
        <w:rPr>
          <w:b/>
        </w:rPr>
        <w:t xml:space="preserve">Item ID: </w:t>
      </w:r>
      <w:r>
        <w:t>CTA-EP-002-CUM-A-017</w:t>
      </w:r>
    </w:p>
    <w:p>
      <w:r>
        <w:rPr>
          <w:b/>
        </w:rPr>
        <w:t xml:space="preserve">Stem: </w:t>
      </w:r>
      <w:r>
        <w:t>A records portal mistakenly sends one client’s psychotherapy note to another client. Which response is BEST?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Delete the sent message from the clinician’s account and take no further action.</w:t>
            </w:r>
          </w:p>
        </w:tc>
        <w:tc>
          <w:tcPr>
            <w:tcW w:type="dxa" w:w="3485"/>
            <w:vAlign w:val="center"/>
            <w:tcMar>
              <w:top w:w="55" w:type="dxa"/>
              <w:start w:w="65" w:type="dxa"/>
              <w:bottom w:w="55" w:type="dxa"/>
              <w:end w:w="65" w:type="dxa"/>
            </w:tcMar>
          </w:tcPr>
          <w:p>
            <w:pPr>
              <w:spacing w:after="0"/>
            </w:pPr>
            <w:r>
              <w:rPr>
                <w:sz w:val="16"/>
              </w:rPr>
              <w:t>Incorrect. Deleting the sender’s copy does not recall the disclosure, preserve facts, or satisfy response duties.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Ask the unintended recipient to keep the note confidential and close the matter.</w:t>
            </w:r>
          </w:p>
        </w:tc>
        <w:tc>
          <w:tcPr>
            <w:tcW w:type="dxa" w:w="3485"/>
            <w:vAlign w:val="center"/>
            <w:tcMar>
              <w:top w:w="55" w:type="dxa"/>
              <w:start w:w="65" w:type="dxa"/>
              <w:bottom w:w="55" w:type="dxa"/>
              <w:end w:w="65" w:type="dxa"/>
            </w:tcMar>
          </w:tcPr>
          <w:p>
            <w:pPr>
              <w:spacing w:after="0"/>
            </w:pPr>
            <w:r>
              <w:rPr>
                <w:sz w:val="16"/>
              </w:rPr>
              <w:t>Incorrect. Asking the recipient to keep the note confidential may be one containment step but does not complete organizational, legal, and client-notification analysis.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Contain the disclosure, preserve facts, notify appropriate privacy or organizational personnel, assess legal and client-notification duties, document, and correct the system problem.</w:t>
            </w:r>
          </w:p>
        </w:tc>
        <w:tc>
          <w:tcPr>
            <w:tcW w:type="dxa" w:w="3485"/>
            <w:shd w:fill="EAF7F7"/>
            <w:vAlign w:val="center"/>
            <w:tcMar>
              <w:top w:w="55" w:type="dxa"/>
              <w:start w:w="65" w:type="dxa"/>
              <w:bottom w:w="55" w:type="dxa"/>
              <w:end w:w="65" w:type="dxa"/>
            </w:tcMar>
          </w:tcPr>
          <w:p>
            <w:pPr>
              <w:spacing w:after="0"/>
            </w:pPr>
            <w:r>
              <w:rPr>
                <w:sz w:val="16"/>
              </w:rPr>
              <w:t>Correct. This response contains the event, preserves evidence, triggers appropriate review, and addresses recurrence.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Wait to see whether the unintended recipient reads the note before responding.</w:t>
            </w:r>
          </w:p>
        </w:tc>
        <w:tc>
          <w:tcPr>
            <w:tcW w:type="dxa" w:w="3485"/>
            <w:vAlign w:val="center"/>
            <w:tcMar>
              <w:top w:w="55" w:type="dxa"/>
              <w:start w:w="65" w:type="dxa"/>
              <w:bottom w:w="55" w:type="dxa"/>
              <w:end w:w="65" w:type="dxa"/>
            </w:tcMar>
          </w:tcPr>
          <w:p>
            <w:pPr>
              <w:spacing w:after="0"/>
            </w:pPr>
            <w:r>
              <w:rPr>
                <w:sz w:val="16"/>
              </w:rPr>
              <w:t>Incorrect. Waiting increases risk and may undermine timely containment and notification obligations.</w:t>
            </w:r>
          </w:p>
        </w:tc>
      </w:tr>
    </w:tbl>
    <w:p>
      <w:pPr>
        <w:pStyle w:val="Heading2"/>
      </w:pPr>
      <w:r>
        <w:t>Why the Key Controls</w:t>
      </w:r>
    </w:p>
    <w:p>
      <w:r>
        <w:t>An unauthorized electronic disclosure requires prompt containment, fact preservation, privacy and legal assessment, appropriate notifications, documentation, and system correction. A request for discretion alone is not a complete breach response.</w:t>
      </w:r>
    </w:p>
    <w:p>
      <w:pPr>
        <w:pStyle w:val="Heading2"/>
      </w:pPr>
      <w:r>
        <w:t>CTA Exam Strategy</w:t>
      </w:r>
    </w:p>
    <w:p>
      <w:r>
        <w:t>For privacy incidents, use contain, preserve, notify, assess, document, repair—rather than conceal, wait, or rely on a promise.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Unauthorized electronic disclosure and breach response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PRIVACY-INCIDENT</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CMIA and applicable privacy/security law; NASW 1.07, 3.04</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18 - Controlled Rationale</w:t>
      </w:r>
    </w:p>
    <w:p>
      <w:r>
        <w:rPr>
          <w:b/>
        </w:rPr>
        <w:t xml:space="preserve">Item ID: </w:t>
      </w:r>
      <w:r>
        <w:t>CTA-EP-002-CUM-A-018</w:t>
      </w:r>
    </w:p>
    <w:p>
      <w:r>
        <w:rPr>
          <w:b/>
        </w:rPr>
        <w:t xml:space="preserve">Stem: </w:t>
      </w:r>
      <w:r>
        <w:t>Which statement accurately describes the current California Notice to Clients requirement for an LCSW beginning psychotherapy with a new client?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The notice is required only for telehealth clients.</w:t>
            </w:r>
          </w:p>
        </w:tc>
        <w:tc>
          <w:tcPr>
            <w:tcW w:type="dxa" w:w="3485"/>
            <w:vAlign w:val="center"/>
            <w:tcMar>
              <w:top w:w="55" w:type="dxa"/>
              <w:start w:w="65" w:type="dxa"/>
              <w:bottom w:w="55" w:type="dxa"/>
              <w:end w:w="65" w:type="dxa"/>
            </w:tcMar>
          </w:tcPr>
          <w:p>
            <w:pPr>
              <w:spacing w:after="0"/>
            </w:pPr>
            <w:r>
              <w:rPr>
                <w:sz w:val="16"/>
              </w:rPr>
              <w:t>Incorrect. The notice applies to psychotherapy services generally, not only telehealth.</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The notice may be provided orally if the client agrees.</w:t>
            </w:r>
          </w:p>
        </w:tc>
        <w:tc>
          <w:tcPr>
            <w:tcW w:type="dxa" w:w="3485"/>
            <w:vAlign w:val="center"/>
            <w:tcMar>
              <w:top w:w="55" w:type="dxa"/>
              <w:start w:w="65" w:type="dxa"/>
              <w:bottom w:w="55" w:type="dxa"/>
              <w:end w:w="65" w:type="dxa"/>
            </w:tcMar>
          </w:tcPr>
          <w:p>
            <w:pPr>
              <w:spacing w:after="0"/>
            </w:pPr>
            <w:r>
              <w:rPr>
                <w:sz w:val="16"/>
              </w:rPr>
              <w:t>Incorrect. The statute requires a written notice in at least 12-point type; oral notice alone is insufficient.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The notice is optional when the LCSW’s license is displayed in the office.</w:t>
            </w:r>
          </w:p>
        </w:tc>
        <w:tc>
          <w:tcPr>
            <w:tcW w:type="dxa" w:w="3485"/>
            <w:vAlign w:val="center"/>
            <w:tcMar>
              <w:top w:w="55" w:type="dxa"/>
              <w:start w:w="65" w:type="dxa"/>
              <w:bottom w:w="55" w:type="dxa"/>
              <w:end w:w="65" w:type="dxa"/>
            </w:tcMar>
          </w:tcPr>
          <w:p>
            <w:pPr>
              <w:spacing w:after="0"/>
            </w:pPr>
            <w:r>
              <w:rPr>
                <w:sz w:val="16"/>
              </w:rPr>
              <w:t>Incorrect. Displaying a license does not replace the separate client-notice requirement.</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The LCSW provides the written notice in at least 12-point type before initiating psychotherapy or as soon as practicably possible, includes the required license information, and documents delivery.</w:t>
            </w:r>
          </w:p>
        </w:tc>
        <w:tc>
          <w:tcPr>
            <w:tcW w:type="dxa" w:w="3485"/>
            <w:shd w:fill="EAF7F7"/>
            <w:vAlign w:val="center"/>
            <w:tcMar>
              <w:top w:w="55" w:type="dxa"/>
              <w:start w:w="65" w:type="dxa"/>
              <w:bottom w:w="55" w:type="dxa"/>
              <w:end w:w="65" w:type="dxa"/>
            </w:tcMar>
          </w:tcPr>
          <w:p>
            <w:pPr>
              <w:spacing w:after="0"/>
            </w:pPr>
            <w:r>
              <w:rPr>
                <w:sz w:val="16"/>
              </w:rPr>
              <w:t>Correct. This answer includes timing, form, required professional information, and documentation of delivery.</w:t>
            </w:r>
          </w:p>
        </w:tc>
      </w:tr>
    </w:tbl>
    <w:p>
      <w:pPr>
        <w:pStyle w:val="Heading2"/>
      </w:pPr>
      <w:r>
        <w:t>Why the Key Controls</w:t>
      </w:r>
    </w:p>
    <w:p>
      <w:r>
        <w:t>California requires the written Notice to Clients in at least 12-point type before psychotherapy or as soon as practicably possible, with the required Board text and current license or registration information, and delivery must be documented.</w:t>
      </w:r>
    </w:p>
    <w:p>
      <w:pPr>
        <w:pStyle w:val="Heading2"/>
      </w:pPr>
      <w:r>
        <w:t>CTA Exam Strategy</w:t>
      </w:r>
    </w:p>
    <w:p>
      <w:r>
        <w:t>For statutory notice questions, look for exact timing, written format, required identity information, and documentation.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Required Notice to Clients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Foundational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NOTICE-TO-CLIENTS</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BPC 4996.75; BBS Required Notice to Consumers guidance</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19 - Controlled Rationale</w:t>
      </w:r>
    </w:p>
    <w:p>
      <w:r>
        <w:rPr>
          <w:b/>
        </w:rPr>
        <w:t xml:space="preserve">Item ID: </w:t>
      </w:r>
      <w:r>
        <w:t>CTA-EP-002-CUM-A-019</w:t>
      </w:r>
    </w:p>
    <w:p>
      <w:r>
        <w:rPr>
          <w:b/>
        </w:rPr>
        <w:t xml:space="preserve">Stem: </w:t>
      </w:r>
      <w:r>
        <w:t>A California LCSW’s client plans to relocate to Oregon next month and wants uninterrupted weekly video psychotherapy. The LCSW has not determined whether practice in Oregon is authorized. What is the BEST response before the first post-move session?</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Promise uninterrupted care because the treatment relationship began in California.</w:t>
            </w:r>
          </w:p>
        </w:tc>
        <w:tc>
          <w:tcPr>
            <w:tcW w:type="dxa" w:w="3485"/>
            <w:vAlign w:val="center"/>
            <w:tcMar>
              <w:top w:w="55" w:type="dxa"/>
              <w:start w:w="65" w:type="dxa"/>
              <w:bottom w:w="55" w:type="dxa"/>
              <w:end w:w="65" w:type="dxa"/>
            </w:tcMar>
          </w:tcPr>
          <w:p>
            <w:pPr>
              <w:spacing w:after="0"/>
            </w:pPr>
            <w:r>
              <w:rPr>
                <w:sz w:val="16"/>
              </w:rPr>
              <w:t>Incorrect. A relationship that began in California does not automatically authorize future practice where the client will be located.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Ask the client to keep a California billing address so the sessions remain California practice.</w:t>
            </w:r>
          </w:p>
        </w:tc>
        <w:tc>
          <w:tcPr>
            <w:tcW w:type="dxa" w:w="3485"/>
            <w:vAlign w:val="center"/>
            <w:tcMar>
              <w:top w:w="55" w:type="dxa"/>
              <w:start w:w="65" w:type="dxa"/>
              <w:bottom w:w="55" w:type="dxa"/>
              <w:end w:w="65" w:type="dxa"/>
            </w:tcMar>
          </w:tcPr>
          <w:p>
            <w:pPr>
              <w:spacing w:after="0"/>
            </w:pPr>
            <w:r>
              <w:rPr>
                <w:sz w:val="16"/>
              </w:rPr>
              <w:t>Incorrect. A billing address does not change the client’s physical location or waive another jurisdiction’s practice requirements.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Verify Oregon authority and applicable requirements, discuss safety and continuity planning, and arrange a lawful transition if routine practice is not permitted.</w:t>
            </w:r>
          </w:p>
        </w:tc>
        <w:tc>
          <w:tcPr>
            <w:tcW w:type="dxa" w:w="3485"/>
            <w:shd w:fill="EAF7F7"/>
            <w:vAlign w:val="center"/>
            <w:tcMar>
              <w:top w:w="55" w:type="dxa"/>
              <w:start w:w="65" w:type="dxa"/>
              <w:bottom w:w="55" w:type="dxa"/>
              <w:end w:w="65" w:type="dxa"/>
            </w:tcMar>
          </w:tcPr>
          <w:p>
            <w:pPr>
              <w:spacing w:after="0"/>
            </w:pPr>
            <w:r>
              <w:rPr>
                <w:sz w:val="16"/>
              </w:rPr>
              <w:t>Correct. This option addresses legal authority prospectively and protects safety, continuity, and lawful transition.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Terminate immediately without discussing referral, emergency resources, or continuity.</w:t>
            </w:r>
          </w:p>
        </w:tc>
        <w:tc>
          <w:tcPr>
            <w:tcW w:type="dxa" w:w="3485"/>
            <w:vAlign w:val="center"/>
            <w:tcMar>
              <w:top w:w="55" w:type="dxa"/>
              <w:start w:w="65" w:type="dxa"/>
              <w:bottom w:w="55" w:type="dxa"/>
              <w:end w:w="65" w:type="dxa"/>
            </w:tcMar>
          </w:tcPr>
          <w:p>
            <w:pPr>
              <w:spacing w:after="0"/>
            </w:pPr>
            <w:r>
              <w:rPr>
                <w:sz w:val="16"/>
              </w:rPr>
              <w:t>Incorrect. Abrupt termination without continuity planning can harm the client and is unnecessary before the jurisdictional analysis is completed.</w:t>
            </w:r>
          </w:p>
        </w:tc>
      </w:tr>
    </w:tbl>
    <w:p>
      <w:pPr>
        <w:pStyle w:val="Heading2"/>
      </w:pPr>
      <w:r>
        <w:t>Why the Key Controls</w:t>
      </w:r>
    </w:p>
    <w:p>
      <w:r>
        <w:t>Because the client will be physically located in another jurisdiction, the LCSW should verify authority and applicable requirements before the first post-move session, plan for emergencies and continuity, and arrange a lawful transition when routine practice is not permitted.</w:t>
      </w:r>
    </w:p>
    <w:p>
      <w:pPr>
        <w:pStyle w:val="Heading2"/>
      </w:pPr>
      <w:r>
        <w:t>CTA Exam Strategy</w:t>
      </w:r>
    </w:p>
    <w:p>
      <w:r>
        <w:t>For a planned relocation, verify destination authority before the move, then build a lawful continuity or transition plan rather than relying on history, paperwork, or abrupt termination.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Planned cross-jurisdiction telehealth transition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TELEHEALTH-JURISDICTION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CCR 1815.5(e); current destination-jurisdiction law</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20 - Controlled Rationale</w:t>
      </w:r>
    </w:p>
    <w:p>
      <w:r>
        <w:rPr>
          <w:b/>
        </w:rPr>
        <w:t xml:space="preserve">Item ID: </w:t>
      </w:r>
      <w:r>
        <w:t>CTA-EP-002-CUM-A-020</w:t>
      </w:r>
    </w:p>
    <w:p>
      <w:r>
        <w:rPr>
          <w:b/>
        </w:rPr>
        <w:t xml:space="preserve">Stem: </w:t>
      </w:r>
      <w:r>
        <w:t>An LCSW observes a colleague repeatedly forgetting critical safety information and appearing disoriented during clinical work. Which response is MOST appropriate?</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Ignore the conduct because confronting a colleague violates professional loyalty.</w:t>
            </w:r>
          </w:p>
        </w:tc>
        <w:tc>
          <w:tcPr>
            <w:tcW w:type="dxa" w:w="3485"/>
            <w:vAlign w:val="center"/>
            <w:tcMar>
              <w:top w:w="55" w:type="dxa"/>
              <w:start w:w="65" w:type="dxa"/>
              <w:bottom w:w="55" w:type="dxa"/>
              <w:end w:w="65" w:type="dxa"/>
            </w:tcMar>
          </w:tcPr>
          <w:p>
            <w:pPr>
              <w:spacing w:after="0"/>
            </w:pPr>
            <w:r>
              <w:rPr>
                <w:sz w:val="16"/>
              </w:rPr>
              <w:t>Incorrect. Professional loyalty does not require silence when clients may be at risk.</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Address the concern through appropriate consultation, supervisory, organizational, or impairment procedures while taking steps to protect current clients.</w:t>
            </w:r>
          </w:p>
        </w:tc>
        <w:tc>
          <w:tcPr>
            <w:tcW w:type="dxa" w:w="3485"/>
            <w:shd w:fill="EAF7F7"/>
            <w:vAlign w:val="center"/>
            <w:tcMar>
              <w:top w:w="55" w:type="dxa"/>
              <w:start w:w="65" w:type="dxa"/>
              <w:bottom w:w="55" w:type="dxa"/>
              <w:end w:w="65" w:type="dxa"/>
            </w:tcMar>
          </w:tcPr>
          <w:p>
            <w:pPr>
              <w:spacing w:after="0"/>
            </w:pPr>
            <w:r>
              <w:rPr>
                <w:sz w:val="16"/>
              </w:rPr>
              <w:t>Correct. This response protects clients and uses appropriate internal or professional channels.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Post a warning about the colleague in a professional social-media group.</w:t>
            </w:r>
          </w:p>
        </w:tc>
        <w:tc>
          <w:tcPr>
            <w:tcW w:type="dxa" w:w="3485"/>
            <w:vAlign w:val="center"/>
            <w:tcMar>
              <w:top w:w="55" w:type="dxa"/>
              <w:start w:w="65" w:type="dxa"/>
              <w:bottom w:w="55" w:type="dxa"/>
              <w:end w:w="65" w:type="dxa"/>
            </w:tcMar>
          </w:tcPr>
          <w:p>
            <w:pPr>
              <w:spacing w:after="0"/>
            </w:pPr>
            <w:r>
              <w:rPr>
                <w:sz w:val="16"/>
              </w:rPr>
              <w:t>Incorrect. Public social-media discussion is not a proper impairment process and may violate privacy and professionalism.</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Assume the colleague is using substances and immediately report that conclusion as fact.</w:t>
            </w:r>
          </w:p>
        </w:tc>
        <w:tc>
          <w:tcPr>
            <w:tcW w:type="dxa" w:w="3485"/>
            <w:vAlign w:val="center"/>
            <w:tcMar>
              <w:top w:w="55" w:type="dxa"/>
              <w:start w:w="65" w:type="dxa"/>
              <w:bottom w:w="55" w:type="dxa"/>
              <w:end w:w="65" w:type="dxa"/>
            </w:tcMar>
          </w:tcPr>
          <w:p>
            <w:pPr>
              <w:spacing w:after="0"/>
            </w:pPr>
            <w:r>
              <w:rPr>
                <w:sz w:val="16"/>
              </w:rPr>
              <w:t>Incorrect. The observed facts support concern about functioning, not a definitive substance-use accusation.</w:t>
            </w:r>
          </w:p>
        </w:tc>
      </w:tr>
    </w:tbl>
    <w:p>
      <w:pPr>
        <w:pStyle w:val="Heading2"/>
      </w:pPr>
      <w:r>
        <w:t>Why the Key Controls</w:t>
      </w:r>
    </w:p>
    <w:p>
      <w:r>
        <w:t>Repeated disorientation and forgotten safety information create a client-welfare concern. The LCSW should use appropriate consultation, supervisory, organizational, or impairment procedures and take proportionate protective steps without making unsupported accusations.</w:t>
      </w:r>
    </w:p>
    <w:p>
      <w:pPr>
        <w:pStyle w:val="Heading2"/>
      </w:pPr>
      <w:r>
        <w:t>CTA Exam Strategy</w:t>
      </w:r>
    </w:p>
    <w:p>
      <w:r>
        <w:t>Address observed behavior and client risk through proper channels; do not ignore, publicize, or diagnose the colleague.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Responding to a colleague’s possible impairment</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WB4 - Professional Impairment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COLLEAGUE-IMPAIRMENT</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2.08, 2.09; client-welfare obligations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21 - Controlled Rationale</w:t>
      </w:r>
    </w:p>
    <w:p>
      <w:r>
        <w:rPr>
          <w:b/>
        </w:rPr>
        <w:t xml:space="preserve">Item ID: </w:t>
      </w:r>
      <w:r>
        <w:t>CTA-EP-002-CUM-A-021</w:t>
      </w:r>
    </w:p>
    <w:p>
      <w:r>
        <w:rPr>
          <w:b/>
        </w:rPr>
        <w:t xml:space="preserve">Stem: </w:t>
      </w:r>
      <w:r>
        <w:t>Which obligation applies each time an LCSW provides psychotherapy by telehealth?</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Use any platform the client prefers because client choice transfers security responsibility.</w:t>
            </w:r>
          </w:p>
        </w:tc>
        <w:tc>
          <w:tcPr>
            <w:tcW w:type="dxa" w:w="3485"/>
            <w:vAlign w:val="center"/>
            <w:tcMar>
              <w:top w:w="55" w:type="dxa"/>
              <w:start w:w="65" w:type="dxa"/>
              <w:bottom w:w="55" w:type="dxa"/>
              <w:end w:w="65" w:type="dxa"/>
            </w:tcMar>
          </w:tcPr>
          <w:p>
            <w:pPr>
              <w:spacing w:after="0"/>
            </w:pPr>
            <w:r>
              <w:rPr>
                <w:sz w:val="16"/>
              </w:rPr>
              <w:t>Incorrect. Client platform preference does not transfer the clinician’s privacy and security responsibility.</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Comply with applicable privacy, confidentiality, and security requirements and assess whether telehealth remains appropriate for the client’s circumstances.</w:t>
            </w:r>
          </w:p>
        </w:tc>
        <w:tc>
          <w:tcPr>
            <w:tcW w:type="dxa" w:w="3485"/>
            <w:shd w:fill="EAF7F7"/>
            <w:vAlign w:val="center"/>
            <w:tcMar>
              <w:top w:w="55" w:type="dxa"/>
              <w:start w:w="65" w:type="dxa"/>
              <w:bottom w:w="55" w:type="dxa"/>
              <w:end w:w="65" w:type="dxa"/>
            </w:tcMar>
          </w:tcPr>
          <w:p>
            <w:pPr>
              <w:spacing w:after="0"/>
            </w:pPr>
            <w:r>
              <w:rPr>
                <w:sz w:val="16"/>
              </w:rPr>
              <w:t>Correct. This states the ongoing, session-by-session duties without confusing them with initiation-only requirements.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Repeat the entire original informed-consent document word for word.</w:t>
            </w:r>
          </w:p>
        </w:tc>
        <w:tc>
          <w:tcPr>
            <w:tcW w:type="dxa" w:w="3485"/>
            <w:vAlign w:val="center"/>
            <w:tcMar>
              <w:top w:w="55" w:type="dxa"/>
              <w:start w:w="65" w:type="dxa"/>
              <w:bottom w:w="55" w:type="dxa"/>
              <w:end w:w="65" w:type="dxa"/>
            </w:tcMar>
          </w:tcPr>
          <w:p>
            <w:pPr>
              <w:spacing w:after="0"/>
            </w:pPr>
            <w:r>
              <w:rPr>
                <w:sz w:val="16"/>
              </w:rPr>
              <w:t>Incorrect. The entire original consent does not have to be repeated word for word at every session.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Obtain a new written release allowing the platform company to use treatment information.</w:t>
            </w:r>
          </w:p>
        </w:tc>
        <w:tc>
          <w:tcPr>
            <w:tcW w:type="dxa" w:w="3485"/>
            <w:vAlign w:val="center"/>
            <w:tcMar>
              <w:top w:w="55" w:type="dxa"/>
              <w:start w:w="65" w:type="dxa"/>
              <w:bottom w:w="55" w:type="dxa"/>
              <w:end w:w="65" w:type="dxa"/>
            </w:tcMar>
          </w:tcPr>
          <w:p>
            <w:pPr>
              <w:spacing w:after="0"/>
            </w:pPr>
            <w:r>
              <w:rPr>
                <w:sz w:val="16"/>
              </w:rPr>
              <w:t>Incorrect. A vendor-use release is not a universal telehealth requirement and may authorize unnecessary disclosure.</w:t>
            </w:r>
          </w:p>
        </w:tc>
      </w:tr>
    </w:tbl>
    <w:p>
      <w:pPr>
        <w:pStyle w:val="Heading2"/>
      </w:pPr>
      <w:r>
        <w:t>Why the Key Controls</w:t>
      </w:r>
    </w:p>
    <w:p>
      <w:r>
        <w:t>Each telehealth encounter requires ongoing compliance with applicable privacy, confidentiality, and security requirements and reassessment of whether telehealth remains suitable for the client’s circumstances.</w:t>
      </w:r>
    </w:p>
    <w:p>
      <w:pPr>
        <w:pStyle w:val="Heading2"/>
      </w:pPr>
      <w:r>
        <w:t>CTA Exam Strategy</w:t>
      </w:r>
    </w:p>
    <w:p>
      <w:r>
        <w:t>Separate telehealth initiation requirements from duties that apply each time services are delivered.</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Privacy and security during each telehealth service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TELEHEALTH-EACH-SESSION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CCR 1815.5(d)(3); applicable CMIA/HIPAA law</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22 - Controlled Rationale</w:t>
      </w:r>
    </w:p>
    <w:p>
      <w:r>
        <w:rPr>
          <w:b/>
        </w:rPr>
        <w:t xml:space="preserve">Item ID: </w:t>
      </w:r>
      <w:r>
        <w:t>CTA-EP-002-CUM-A-022</w:t>
      </w:r>
    </w:p>
    <w:p>
      <w:r>
        <w:rPr>
          <w:b/>
        </w:rPr>
        <w:t xml:space="preserve">Stem: </w:t>
      </w:r>
      <w:r>
        <w:t>At the beginning of each California telehealth session, what information must the LCSW verbally obtain from the client and document?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The client’s full name and the address of the client’s present location.</w:t>
            </w:r>
          </w:p>
        </w:tc>
        <w:tc>
          <w:tcPr>
            <w:tcW w:type="dxa" w:w="3485"/>
            <w:shd w:fill="EAF7F7"/>
            <w:vAlign w:val="center"/>
            <w:tcMar>
              <w:top w:w="55" w:type="dxa"/>
              <w:start w:w="65" w:type="dxa"/>
              <w:bottom w:w="55" w:type="dxa"/>
              <w:end w:w="65" w:type="dxa"/>
            </w:tcMar>
          </w:tcPr>
          <w:p>
            <w:pPr>
              <w:spacing w:after="0"/>
            </w:pPr>
            <w:r>
              <w:rPr>
                <w:sz w:val="16"/>
              </w:rPr>
              <w:t>Correct. This is the specific session-start verification required by the current telehealth regulation.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The client’s complete employment history and emergency contact consent.</w:t>
            </w:r>
          </w:p>
        </w:tc>
        <w:tc>
          <w:tcPr>
            <w:tcW w:type="dxa" w:w="3485"/>
            <w:vAlign w:val="center"/>
            <w:tcMar>
              <w:top w:w="55" w:type="dxa"/>
              <w:start w:w="65" w:type="dxa"/>
              <w:bottom w:w="55" w:type="dxa"/>
              <w:end w:w="65" w:type="dxa"/>
            </w:tcMar>
          </w:tcPr>
          <w:p>
            <w:pPr>
              <w:spacing w:after="0"/>
            </w:pPr>
            <w:r>
              <w:rPr>
                <w:sz w:val="16"/>
              </w:rPr>
              <w:t>Incorrect. Employment history and emergency-contact consent are not the required session-start identity and location elements.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The client’s insurance authorization number and preferred pharmacy.</w:t>
            </w:r>
          </w:p>
        </w:tc>
        <w:tc>
          <w:tcPr>
            <w:tcW w:type="dxa" w:w="3485"/>
            <w:vAlign w:val="center"/>
            <w:tcMar>
              <w:top w:w="55" w:type="dxa"/>
              <w:start w:w="65" w:type="dxa"/>
              <w:bottom w:w="55" w:type="dxa"/>
              <w:end w:w="65" w:type="dxa"/>
            </w:tcMar>
          </w:tcPr>
          <w:p>
            <w:pPr>
              <w:spacing w:after="0"/>
            </w:pPr>
            <w:r>
              <w:rPr>
                <w:sz w:val="16"/>
              </w:rPr>
              <w:t>Incorrect. Insurance and pharmacy information are not the specified telehealth location-verification data.</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The client’s permanent home address only, even when the client is elsewhere.</w:t>
            </w:r>
          </w:p>
        </w:tc>
        <w:tc>
          <w:tcPr>
            <w:tcW w:type="dxa" w:w="3485"/>
            <w:vAlign w:val="center"/>
            <w:tcMar>
              <w:top w:w="55" w:type="dxa"/>
              <w:start w:w="65" w:type="dxa"/>
              <w:bottom w:w="55" w:type="dxa"/>
              <w:end w:w="65" w:type="dxa"/>
            </w:tcMar>
          </w:tcPr>
          <w:p>
            <w:pPr>
              <w:spacing w:after="0"/>
            </w:pPr>
            <w:r>
              <w:rPr>
                <w:sz w:val="16"/>
              </w:rPr>
              <w:t>Incorrect. A permanent home address is insufficient when the client is physically elsewhere.</w:t>
            </w:r>
          </w:p>
        </w:tc>
      </w:tr>
    </w:tbl>
    <w:p>
      <w:pPr>
        <w:pStyle w:val="Heading2"/>
      </w:pPr>
      <w:r>
        <w:t>Why the Key Controls</w:t>
      </w:r>
    </w:p>
    <w:p>
      <w:r>
        <w:t>At the beginning of each telehealth session, the clinician must verbally obtain and document the client’s full name and the address of the client’s present location. Current location supports emergency response and jurisdiction analysis.</w:t>
      </w:r>
    </w:p>
    <w:p>
      <w:pPr>
        <w:pStyle w:val="Heading2"/>
      </w:pPr>
      <w:r>
        <w:t>CTA Exam Strategy</w:t>
      </w:r>
    </w:p>
    <w:p>
      <w:r>
        <w:t>Telehealth location questions test present—not merely permanent—location and exact session-start documentation.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Present-location verification in telehealth</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TELEHEALTH-PRESENT-LOCATION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CCR 1815.5(d)(1)</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23 - Controlled Rationale</w:t>
      </w:r>
    </w:p>
    <w:p>
      <w:r>
        <w:rPr>
          <w:b/>
        </w:rPr>
        <w:t xml:space="preserve">Item ID: </w:t>
      </w:r>
      <w:r>
        <w:t>CTA-EP-002-CUM-A-023</w:t>
      </w:r>
    </w:p>
    <w:p>
      <w:r>
        <w:rPr>
          <w:b/>
        </w:rPr>
        <w:t xml:space="preserve">Stem: </w:t>
      </w:r>
      <w:r>
        <w:t>Which statement BEST distinguishes confidentiality from psychotherapist-patient privilege?</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Confidentiality applies only in court, while privilege applies only in treatment.</w:t>
            </w:r>
          </w:p>
        </w:tc>
        <w:tc>
          <w:tcPr>
            <w:tcW w:type="dxa" w:w="3485"/>
            <w:vAlign w:val="center"/>
            <w:tcMar>
              <w:top w:w="55" w:type="dxa"/>
              <w:start w:w="65" w:type="dxa"/>
              <w:bottom w:w="55" w:type="dxa"/>
              <w:end w:w="65" w:type="dxa"/>
            </w:tcMar>
          </w:tcPr>
          <w:p>
            <w:pPr>
              <w:spacing w:after="0"/>
            </w:pPr>
            <w:r>
              <w:rPr>
                <w:sz w:val="16"/>
              </w:rPr>
              <w:t>Incorrect. The concepts are reversed; confidentiality operates broadly in care, while privilege is especially relevant to legal compulsion.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Confidentiality is the broader professional and legal duty to protect information; privilege concerns whether protected communications may be compelled in legal proceedings and generally belongs to the patient or authorized privilege holder.</w:t>
            </w:r>
          </w:p>
        </w:tc>
        <w:tc>
          <w:tcPr>
            <w:tcW w:type="dxa" w:w="3485"/>
            <w:shd w:fill="EAF7F7"/>
            <w:vAlign w:val="center"/>
            <w:tcMar>
              <w:top w:w="55" w:type="dxa"/>
              <w:start w:w="65" w:type="dxa"/>
              <w:bottom w:w="55" w:type="dxa"/>
              <w:end w:w="65" w:type="dxa"/>
            </w:tcMar>
          </w:tcPr>
          <w:p>
            <w:pPr>
              <w:spacing w:after="0"/>
            </w:pPr>
            <w:r>
              <w:rPr>
                <w:sz w:val="16"/>
              </w:rPr>
              <w:t>Correct. This answer accurately separates the professional duty from the evidentiary right and identifies the privilege holder.</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The clinician owns both confidentiality and privilege and may waive either whenever disclosure appears helpful.</w:t>
            </w:r>
          </w:p>
        </w:tc>
        <w:tc>
          <w:tcPr>
            <w:tcW w:type="dxa" w:w="3485"/>
            <w:vAlign w:val="center"/>
            <w:tcMar>
              <w:top w:w="55" w:type="dxa"/>
              <w:start w:w="65" w:type="dxa"/>
              <w:bottom w:w="55" w:type="dxa"/>
              <w:end w:w="65" w:type="dxa"/>
            </w:tcMar>
          </w:tcPr>
          <w:p>
            <w:pPr>
              <w:spacing w:after="0"/>
            </w:pPr>
            <w:r>
              <w:rPr>
                <w:sz w:val="16"/>
              </w:rPr>
              <w:t>Incorrect. The clinician generally does not own the patient’s privilege or have unlimited authority to waive it.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Privilege automatically prevents every disclosure for treatment, safety, reporting, or legal purposes.</w:t>
            </w:r>
          </w:p>
        </w:tc>
        <w:tc>
          <w:tcPr>
            <w:tcW w:type="dxa" w:w="3485"/>
            <w:vAlign w:val="center"/>
            <w:tcMar>
              <w:top w:w="55" w:type="dxa"/>
              <w:start w:w="65" w:type="dxa"/>
              <w:bottom w:w="55" w:type="dxa"/>
              <w:end w:w="65" w:type="dxa"/>
            </w:tcMar>
          </w:tcPr>
          <w:p>
            <w:pPr>
              <w:spacing w:after="0"/>
            </w:pPr>
            <w:r>
              <w:rPr>
                <w:sz w:val="16"/>
              </w:rPr>
              <w:t>Incorrect. Privilege has statutory exceptions and does not prohibit every treatment, safety, reporting, or legally authorized disclosure.</w:t>
            </w:r>
          </w:p>
        </w:tc>
      </w:tr>
    </w:tbl>
    <w:p>
      <w:pPr>
        <w:pStyle w:val="Heading2"/>
      </w:pPr>
      <w:r>
        <w:t>Why the Key Controls</w:t>
      </w:r>
    </w:p>
    <w:p>
      <w:r>
        <w:t>Confidentiality is the broader duty to protect client information in practice. Privilege is an evidentiary right concerning compelled disclosure in legal proceedings and is generally held and waived by the patient or other authorized privilege holder.</w:t>
      </w:r>
    </w:p>
    <w:p>
      <w:pPr>
        <w:pStyle w:val="Heading2"/>
      </w:pPr>
      <w:r>
        <w:t>CTA Exam Strategy</w:t>
      </w:r>
    </w:p>
    <w:p>
      <w:r>
        <w:t>When privilege appears, ask who holds it and whether legal proceedings or an exception are involved; do not equate it with all confidentiality.</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Confidentiality versus psychotherapist-patient privilege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Foundational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CONFIDENTIALITY-VS-PRIVILEGE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Evidence Code psychotherapist-patient privilege; NASW 1.07</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24 - Controlled Rationale</w:t>
      </w:r>
    </w:p>
    <w:p>
      <w:r>
        <w:rPr>
          <w:b/>
        </w:rPr>
        <w:t xml:space="preserve">Item ID: </w:t>
      </w:r>
      <w:r>
        <w:t>CTA-EP-002-CUM-A-024</w:t>
      </w:r>
    </w:p>
    <w:p>
      <w:r>
        <w:rPr>
          <w:b/>
        </w:rPr>
        <w:t xml:space="preserve">Stem: </w:t>
      </w:r>
      <w:r>
        <w:t>An LCSW wants to record a session for consultation with a specialist. What should occur FIRST?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Record the session and obtain consent before showing it to the specialist.</w:t>
            </w:r>
          </w:p>
        </w:tc>
        <w:tc>
          <w:tcPr>
            <w:tcW w:type="dxa" w:w="3485"/>
            <w:vAlign w:val="center"/>
            <w:tcMar>
              <w:top w:w="55" w:type="dxa"/>
              <w:start w:w="65" w:type="dxa"/>
              <w:bottom w:w="55" w:type="dxa"/>
              <w:end w:w="65" w:type="dxa"/>
            </w:tcMar>
          </w:tcPr>
          <w:p>
            <w:pPr>
              <w:spacing w:after="0"/>
            </w:pPr>
            <w:r>
              <w:rPr>
                <w:sz w:val="16"/>
              </w:rPr>
              <w:t>Incorrect. Consent must precede recording; obtaining it later cannot retroactively authorize the capture.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Ask the specialist to sign a confidentiality agreement after viewing the recording.</w:t>
            </w:r>
          </w:p>
        </w:tc>
        <w:tc>
          <w:tcPr>
            <w:tcW w:type="dxa" w:w="3485"/>
            <w:vAlign w:val="center"/>
            <w:tcMar>
              <w:top w:w="55" w:type="dxa"/>
              <w:start w:w="65" w:type="dxa"/>
              <w:bottom w:w="55" w:type="dxa"/>
              <w:end w:w="65" w:type="dxa"/>
            </w:tcMar>
          </w:tcPr>
          <w:p>
            <w:pPr>
              <w:spacing w:after="0"/>
            </w:pPr>
            <w:r>
              <w:rPr>
                <w:sz w:val="16"/>
              </w:rPr>
              <w:t>Incorrect. A specialist’s confidentiality agreement does not replace the client’s advance informed consent.</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Explain the purpose, risks, audience, storage and alternatives, and obtain the client’s informed consent before recording.</w:t>
            </w:r>
          </w:p>
        </w:tc>
        <w:tc>
          <w:tcPr>
            <w:tcW w:type="dxa" w:w="3485"/>
            <w:shd w:fill="EAF7F7"/>
            <w:vAlign w:val="center"/>
            <w:tcMar>
              <w:top w:w="55" w:type="dxa"/>
              <w:start w:w="65" w:type="dxa"/>
              <w:bottom w:w="55" w:type="dxa"/>
              <w:end w:w="65" w:type="dxa"/>
            </w:tcMar>
          </w:tcPr>
          <w:p>
            <w:pPr>
              <w:spacing w:after="0"/>
            </w:pPr>
            <w:r>
              <w:rPr>
                <w:sz w:val="16"/>
              </w:rPr>
              <w:t>Correct. This choice provides the necessary information and obtains consent before the recording is made.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Record only the audio because audio recordings do not require client consent.</w:t>
            </w:r>
          </w:p>
        </w:tc>
        <w:tc>
          <w:tcPr>
            <w:tcW w:type="dxa" w:w="3485"/>
            <w:vAlign w:val="center"/>
            <w:tcMar>
              <w:top w:w="55" w:type="dxa"/>
              <w:start w:w="65" w:type="dxa"/>
              <w:bottom w:w="55" w:type="dxa"/>
              <w:end w:w="65" w:type="dxa"/>
            </w:tcMar>
          </w:tcPr>
          <w:p>
            <w:pPr>
              <w:spacing w:after="0"/>
            </w:pPr>
            <w:r>
              <w:rPr>
                <w:sz w:val="16"/>
              </w:rPr>
              <w:t>Incorrect. Audio recording still captures client information and requires appropriate consent and privacy analysis.</w:t>
            </w:r>
          </w:p>
        </w:tc>
      </w:tr>
    </w:tbl>
    <w:p>
      <w:pPr>
        <w:pStyle w:val="Heading2"/>
      </w:pPr>
      <w:r>
        <w:t>Why the Key Controls</w:t>
      </w:r>
    </w:p>
    <w:p>
      <w:r>
        <w:t>Recording changes the privacy and information-handling risk. The client should receive an understandable explanation of purpose, audience, storage, risks, and alternatives and consent before recording begins.</w:t>
      </w:r>
    </w:p>
    <w:p>
      <w:pPr>
        <w:pStyle w:val="Heading2"/>
      </w:pPr>
      <w:r>
        <w:t>CTA Exam Strategy</w:t>
      </w:r>
    </w:p>
    <w:p>
      <w:r>
        <w:t>For recording or observation, consent comes before capture and should address purpose, audience, storage, risks, and alternatives.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Consent before recording or third-party observation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Foundational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RECORDING-CONSENT</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1.03(f); California consent and privacy law as applicable</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25 - Controlled Rationale</w:t>
      </w:r>
    </w:p>
    <w:p>
      <w:r>
        <w:rPr>
          <w:b/>
        </w:rPr>
        <w:t xml:space="preserve">Item ID: </w:t>
      </w:r>
      <w:r>
        <w:t>CTA-EP-002-CUM-A-025</w:t>
      </w:r>
    </w:p>
    <w:p>
      <w:r>
        <w:rPr>
          <w:b/>
        </w:rPr>
        <w:t xml:space="preserve">Stem: </w:t>
      </w:r>
      <w:r>
        <w:t>An agency requires clinicians to accept client follow requests on the agency’s public social-media account and respond to clinical questions in comments. Which analysis is MOST accurate?</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The practice is acceptable because the account belongs to the agency.</w:t>
            </w:r>
          </w:p>
        </w:tc>
        <w:tc>
          <w:tcPr>
            <w:tcW w:type="dxa" w:w="3485"/>
            <w:vAlign w:val="center"/>
            <w:tcMar>
              <w:top w:w="55" w:type="dxa"/>
              <w:start w:w="65" w:type="dxa"/>
              <w:bottom w:w="55" w:type="dxa"/>
              <w:end w:w="65" w:type="dxa"/>
            </w:tcMar>
          </w:tcPr>
          <w:p>
            <w:pPr>
              <w:spacing w:after="0"/>
            </w:pPr>
            <w:r>
              <w:rPr>
                <w:sz w:val="16"/>
              </w:rPr>
              <w:t>Incorrect. Agency ownership does not eliminate clinician duties or platform risks.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The practice is acceptable if clinicians avoid using clients’ last names.</w:t>
            </w:r>
          </w:p>
        </w:tc>
        <w:tc>
          <w:tcPr>
            <w:tcW w:type="dxa" w:w="3485"/>
            <w:vAlign w:val="center"/>
            <w:tcMar>
              <w:top w:w="55" w:type="dxa"/>
              <w:start w:w="65" w:type="dxa"/>
              <w:bottom w:w="55" w:type="dxa"/>
              <w:end w:w="65" w:type="dxa"/>
            </w:tcMar>
          </w:tcPr>
          <w:p>
            <w:pPr>
              <w:spacing w:after="0"/>
            </w:pPr>
            <w:r>
              <w:rPr>
                <w:sz w:val="16"/>
              </w:rPr>
              <w:t>Incorrect. First names, account connections, comments, and contextual details can still identify clients or reveal the relationship.</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The practice is required whenever clients prefer social-media communication.</w:t>
            </w:r>
          </w:p>
        </w:tc>
        <w:tc>
          <w:tcPr>
            <w:tcW w:type="dxa" w:w="3485"/>
            <w:vAlign w:val="center"/>
            <w:tcMar>
              <w:top w:w="55" w:type="dxa"/>
              <w:start w:w="65" w:type="dxa"/>
              <w:bottom w:w="55" w:type="dxa"/>
              <w:end w:w="65" w:type="dxa"/>
            </w:tcMar>
          </w:tcPr>
          <w:p>
            <w:pPr>
              <w:spacing w:after="0"/>
            </w:pPr>
            <w:r>
              <w:rPr>
                <w:sz w:val="16"/>
              </w:rPr>
              <w:t>Incorrect. Client preference does not override confidentiality, documentation, emergency, and boundary requirements.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The policy creates boundary, confidentiality, documentation, emergency-response, and role risks that require a safer communication policy.</w:t>
            </w:r>
          </w:p>
        </w:tc>
        <w:tc>
          <w:tcPr>
            <w:tcW w:type="dxa" w:w="3485"/>
            <w:shd w:fill="EAF7F7"/>
            <w:vAlign w:val="center"/>
            <w:tcMar>
              <w:top w:w="55" w:type="dxa"/>
              <w:start w:w="65" w:type="dxa"/>
              <w:bottom w:w="55" w:type="dxa"/>
              <w:end w:w="65" w:type="dxa"/>
            </w:tcMar>
          </w:tcPr>
          <w:p>
            <w:pPr>
              <w:spacing w:after="0"/>
            </w:pPr>
            <w:r>
              <w:rPr>
                <w:sz w:val="16"/>
              </w:rPr>
              <w:t>Correct. This answer identifies the multiple risks and the need for an organizational repair.</w:t>
            </w:r>
          </w:p>
        </w:tc>
      </w:tr>
    </w:tbl>
    <w:p>
      <w:pPr>
        <w:pStyle w:val="Heading2"/>
      </w:pPr>
      <w:r>
        <w:t>Why the Key Controls</w:t>
      </w:r>
    </w:p>
    <w:p>
      <w:r>
        <w:t>Public social-media interaction can reveal the treatment relationship, create boundary and documentation problems, invite emergency disclosures, and use a channel unsuitable for clinical care. The organization needs a safer communication policy.</w:t>
      </w:r>
    </w:p>
    <w:p>
      <w:pPr>
        <w:pStyle w:val="Heading2"/>
      </w:pPr>
      <w:r>
        <w:t>CTA Exam Strategy</w:t>
      </w:r>
    </w:p>
    <w:p>
      <w:r>
        <w:t>Social-media questions require analysis of identifiability, boundaries, records, emergency response, platform privacy, and organizational policy.</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Organizational social-media boundary policy</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Integrated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SOCIAL-MEDIA-POLICY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1.06, 1.07, technology standards; California professional-conduct rules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26 - Controlled Rationale</w:t>
      </w:r>
    </w:p>
    <w:p>
      <w:r>
        <w:rPr>
          <w:b/>
        </w:rPr>
        <w:t xml:space="preserve">Item ID: </w:t>
      </w:r>
      <w:r>
        <w:t>CTA-EP-002-CUM-A-026</w:t>
      </w:r>
    </w:p>
    <w:p>
      <w:r>
        <w:rPr>
          <w:b/>
        </w:rPr>
        <w:t xml:space="preserve">Stem: </w:t>
      </w:r>
      <w:r>
        <w:t>A client’s assistive technology cannot access the LCSW’s telehealth platform. The LCSW has another secure accessible option available. Which response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Consult the client about communication needs and use the accessible secure option while documenting the adaptation.</w:t>
            </w:r>
          </w:p>
        </w:tc>
        <w:tc>
          <w:tcPr>
            <w:tcW w:type="dxa" w:w="3485"/>
            <w:shd w:fill="EAF7F7"/>
            <w:vAlign w:val="center"/>
            <w:tcMar>
              <w:top w:w="55" w:type="dxa"/>
              <w:start w:w="65" w:type="dxa"/>
              <w:bottom w:w="55" w:type="dxa"/>
              <w:end w:w="65" w:type="dxa"/>
            </w:tcMar>
          </w:tcPr>
          <w:p>
            <w:pPr>
              <w:spacing w:after="0"/>
            </w:pPr>
            <w:r>
              <w:rPr>
                <w:sz w:val="16"/>
              </w:rPr>
              <w:t>Correct. This response uses an accessible secure alternative and preserves client choice and confidentiality.</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Require the client to involve a family member because the original platform is the standard system.</w:t>
            </w:r>
          </w:p>
        </w:tc>
        <w:tc>
          <w:tcPr>
            <w:tcW w:type="dxa" w:w="3485"/>
            <w:vAlign w:val="center"/>
            <w:tcMar>
              <w:top w:w="55" w:type="dxa"/>
              <w:start w:w="65" w:type="dxa"/>
              <w:bottom w:w="55" w:type="dxa"/>
              <w:end w:w="65" w:type="dxa"/>
            </w:tcMar>
          </w:tcPr>
          <w:p>
            <w:pPr>
              <w:spacing w:after="0"/>
            </w:pPr>
            <w:r>
              <w:rPr>
                <w:sz w:val="16"/>
              </w:rPr>
              <w:t>Incorrect. Requiring family involvement may compromise privacy and autonomy and is unnecessary when an accessible option exists.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Continue audio-only without assessing whether it meets the client’s needs or legal requirements.</w:t>
            </w:r>
          </w:p>
        </w:tc>
        <w:tc>
          <w:tcPr>
            <w:tcW w:type="dxa" w:w="3485"/>
            <w:vAlign w:val="center"/>
            <w:tcMar>
              <w:top w:w="55" w:type="dxa"/>
              <w:start w:w="65" w:type="dxa"/>
              <w:bottom w:w="55" w:type="dxa"/>
              <w:end w:w="65" w:type="dxa"/>
            </w:tcMar>
          </w:tcPr>
          <w:p>
            <w:pPr>
              <w:spacing w:after="0"/>
            </w:pPr>
            <w:r>
              <w:rPr>
                <w:sz w:val="16"/>
              </w:rPr>
              <w:t>Incorrect. Audio-only care should not be selected without assessing client needs and applicable clinical and legal requirements.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Terminate treatment because accessibility is outside professional competence.</w:t>
            </w:r>
          </w:p>
        </w:tc>
        <w:tc>
          <w:tcPr>
            <w:tcW w:type="dxa" w:w="3485"/>
            <w:vAlign w:val="center"/>
            <w:tcMar>
              <w:top w:w="55" w:type="dxa"/>
              <w:start w:w="65" w:type="dxa"/>
              <w:bottom w:w="55" w:type="dxa"/>
              <w:end w:w="65" w:type="dxa"/>
            </w:tcMar>
          </w:tcPr>
          <w:p>
            <w:pPr>
              <w:spacing w:after="0"/>
            </w:pPr>
            <w:r>
              <w:rPr>
                <w:sz w:val="16"/>
              </w:rPr>
              <w:t>Incorrect. Accessibility is not outside professional responsibility and does not automatically justify termination.</w:t>
            </w:r>
          </w:p>
        </w:tc>
      </w:tr>
    </w:tbl>
    <w:p>
      <w:pPr>
        <w:pStyle w:val="Heading2"/>
      </w:pPr>
      <w:r>
        <w:t>Why the Key Controls</w:t>
      </w:r>
    </w:p>
    <w:p>
      <w:r>
        <w:t>The LCSW should collaborate with the client about effective communication and use the available secure accessible option, documenting the adaptation. Accessibility and telehealth competence are part of safe care.</w:t>
      </w:r>
    </w:p>
    <w:p>
      <w:pPr>
        <w:pStyle w:val="Heading2"/>
      </w:pPr>
      <w:r>
        <w:t>CTA Exam Strategy</w:t>
      </w:r>
    </w:p>
    <w:p>
      <w:r>
        <w:t>When an accessible secure alternative exists, use it collaboratively rather than shifting the burden to the client or family.</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Telehealth accessibility and competence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Integrated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TELEHEALTH-ACCESSIBILITY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1.04, 1.05; applicable ADA/California access law; telehealth standards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27 - Controlled Rationale</w:t>
      </w:r>
    </w:p>
    <w:p>
      <w:r>
        <w:rPr>
          <w:b/>
        </w:rPr>
        <w:t xml:space="preserve">Item ID: </w:t>
      </w:r>
      <w:r>
        <w:t>CTA-EP-002-CUM-A-027</w:t>
      </w:r>
    </w:p>
    <w:p>
      <w:r>
        <w:rPr>
          <w:b/>
        </w:rPr>
        <w:t xml:space="preserve">Stem: </w:t>
      </w:r>
      <w:r>
        <w:t>An LCSW reasonably suspects reportable financial abuse of a dependent adult. A supervisor says the agency will decide after its weekly compliance meeting. Which response is BEST?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Wait because the agency may determine that the client misunderstood the transaction.</w:t>
            </w:r>
          </w:p>
        </w:tc>
        <w:tc>
          <w:tcPr>
            <w:tcW w:type="dxa" w:w="3485"/>
            <w:vAlign w:val="center"/>
            <w:tcMar>
              <w:top w:w="55" w:type="dxa"/>
              <w:start w:w="65" w:type="dxa"/>
              <w:bottom w:w="55" w:type="dxa"/>
              <w:end w:w="65" w:type="dxa"/>
            </w:tcMar>
          </w:tcPr>
          <w:p>
            <w:pPr>
              <w:spacing w:after="0"/>
            </w:pPr>
            <w:r>
              <w:rPr>
                <w:sz w:val="16"/>
              </w:rPr>
              <w:t>Incorrect. The clinician need not wait for the agency to decide whether the client misunderstood.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Ask the suspected perpetrator for an explanation before reporting.</w:t>
            </w:r>
          </w:p>
        </w:tc>
        <w:tc>
          <w:tcPr>
            <w:tcW w:type="dxa" w:w="3485"/>
            <w:vAlign w:val="center"/>
            <w:tcMar>
              <w:top w:w="55" w:type="dxa"/>
              <w:start w:w="65" w:type="dxa"/>
              <w:bottom w:w="55" w:type="dxa"/>
              <w:end w:w="65" w:type="dxa"/>
            </w:tcMar>
          </w:tcPr>
          <w:p>
            <w:pPr>
              <w:spacing w:after="0"/>
            </w:pPr>
            <w:r>
              <w:rPr>
                <w:sz w:val="16"/>
              </w:rPr>
              <w:t>Incorrect. The reporter should not confront or investigate the suspected perpetrator before reporting.</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Follow the individual mandated-reporting duty within the required timeframe and do not allow internal review to impede the report.</w:t>
            </w:r>
          </w:p>
        </w:tc>
        <w:tc>
          <w:tcPr>
            <w:tcW w:type="dxa" w:w="3485"/>
            <w:shd w:fill="EAF7F7"/>
            <w:vAlign w:val="center"/>
            <w:tcMar>
              <w:top w:w="55" w:type="dxa"/>
              <w:start w:w="65" w:type="dxa"/>
              <w:bottom w:w="55" w:type="dxa"/>
              <w:end w:w="65" w:type="dxa"/>
            </w:tcMar>
          </w:tcPr>
          <w:p>
            <w:pPr>
              <w:spacing w:after="0"/>
            </w:pPr>
            <w:r>
              <w:rPr>
                <w:sz w:val="16"/>
              </w:rPr>
              <w:t>Correct. This response preserves the individual duty and statutory timing.</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Document the concern but report only if financial loss is later proven.</w:t>
            </w:r>
          </w:p>
        </w:tc>
        <w:tc>
          <w:tcPr>
            <w:tcW w:type="dxa" w:w="3485"/>
            <w:vAlign w:val="center"/>
            <w:tcMar>
              <w:top w:w="55" w:type="dxa"/>
              <w:start w:w="65" w:type="dxa"/>
              <w:bottom w:w="55" w:type="dxa"/>
              <w:end w:w="65" w:type="dxa"/>
            </w:tcMar>
          </w:tcPr>
          <w:p>
            <w:pPr>
              <w:spacing w:after="0"/>
            </w:pPr>
            <w:r>
              <w:rPr>
                <w:sz w:val="16"/>
              </w:rPr>
              <w:t>Incorrect. Proof of financial loss is not required when the legal reasonable-suspicion threshold is met.</w:t>
            </w:r>
          </w:p>
        </w:tc>
      </w:tr>
    </w:tbl>
    <w:p>
      <w:pPr>
        <w:pStyle w:val="Heading2"/>
      </w:pPr>
      <w:r>
        <w:t>Why the Key Controls</w:t>
      </w:r>
    </w:p>
    <w:p>
      <w:r>
        <w:t>A mandated reporter’s individual duty arises from reasonable suspicion and must be completed within the required timeframe. An agency compliance meeting cannot delay or replace the report.</w:t>
      </w:r>
    </w:p>
    <w:p>
      <w:pPr>
        <w:pStyle w:val="Heading2"/>
      </w:pPr>
      <w:r>
        <w:t>CTA Exam Strategy</w:t>
      </w:r>
    </w:p>
    <w:p>
      <w:r>
        <w:t>Elder and dependent-adult reporting questions test the individual duty, reasonable suspicion, and timely external report.</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Individual elder/dependent-adult reporting duty</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ELDER-REPORTING-DUTY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WIC 15630</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28 - Controlled Rationale</w:t>
      </w:r>
    </w:p>
    <w:p>
      <w:r>
        <w:rPr>
          <w:b/>
        </w:rPr>
        <w:t xml:space="preserve">Item ID: </w:t>
      </w:r>
      <w:r>
        <w:t>CTA-EP-002-CUM-A-028</w:t>
      </w:r>
    </w:p>
    <w:p>
      <w:r>
        <w:rPr>
          <w:b/>
        </w:rPr>
        <w:t xml:space="preserve">Stem: </w:t>
      </w:r>
      <w:r>
        <w:t>A patient communicates a serious threat of physical violence against a reasonably identifiable former supervisor. Which action BEST describes the California duty to protect framework?</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Keep the threat confidential unless the intended victim first contacts the clinician.</w:t>
            </w:r>
          </w:p>
        </w:tc>
        <w:tc>
          <w:tcPr>
            <w:tcW w:type="dxa" w:w="3485"/>
            <w:vAlign w:val="center"/>
            <w:tcMar>
              <w:top w:w="55" w:type="dxa"/>
              <w:start w:w="65" w:type="dxa"/>
              <w:bottom w:w="55" w:type="dxa"/>
              <w:end w:w="65" w:type="dxa"/>
            </w:tcMar>
          </w:tcPr>
          <w:p>
            <w:pPr>
              <w:spacing w:after="0"/>
            </w:pPr>
            <w:r>
              <w:rPr>
                <w:sz w:val="16"/>
              </w:rPr>
              <w:t>Incorrect. The duty does not depend on the intended victim contacting the clinician first.</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Make reasonable efforts to communicate the threat to the identifiable victim and to a law-enforcement agency while taking other clinically appropriate protective steps.</w:t>
            </w:r>
          </w:p>
        </w:tc>
        <w:tc>
          <w:tcPr>
            <w:tcW w:type="dxa" w:w="3485"/>
            <w:shd w:fill="EAF7F7"/>
            <w:vAlign w:val="center"/>
            <w:tcMar>
              <w:top w:w="55" w:type="dxa"/>
              <w:start w:w="65" w:type="dxa"/>
              <w:bottom w:w="55" w:type="dxa"/>
              <w:end w:w="65" w:type="dxa"/>
            </w:tcMar>
          </w:tcPr>
          <w:p>
            <w:pPr>
              <w:spacing w:after="0"/>
            </w:pPr>
            <w:r>
              <w:rPr>
                <w:sz w:val="16"/>
              </w:rPr>
              <w:t>Correct. This choice states the statutory victim-and-law-enforcement communication framework and leaves room for additional clinical protection.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Warn only the patient’s family because family notification is always sufficient.</w:t>
            </w:r>
          </w:p>
        </w:tc>
        <w:tc>
          <w:tcPr>
            <w:tcW w:type="dxa" w:w="3485"/>
            <w:vAlign w:val="center"/>
            <w:tcMar>
              <w:top w:w="55" w:type="dxa"/>
              <w:start w:w="65" w:type="dxa"/>
              <w:bottom w:w="55" w:type="dxa"/>
              <w:end w:w="65" w:type="dxa"/>
            </w:tcMar>
          </w:tcPr>
          <w:p>
            <w:pPr>
              <w:spacing w:after="0"/>
            </w:pPr>
            <w:r>
              <w:rPr>
                <w:sz w:val="16"/>
              </w:rPr>
              <w:t>Incorrect. Family notification alone is not the statutory method described for discharging the duty.</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File a child-abuse report because every threat is handled through the same reporting system.</w:t>
            </w:r>
          </w:p>
        </w:tc>
        <w:tc>
          <w:tcPr>
            <w:tcW w:type="dxa" w:w="3485"/>
            <w:vAlign w:val="center"/>
            <w:tcMar>
              <w:top w:w="55" w:type="dxa"/>
              <w:start w:w="65" w:type="dxa"/>
              <w:bottom w:w="55" w:type="dxa"/>
              <w:end w:w="65" w:type="dxa"/>
            </w:tcMar>
          </w:tcPr>
          <w:p>
            <w:pPr>
              <w:spacing w:after="0"/>
            </w:pPr>
            <w:r>
              <w:rPr>
                <w:sz w:val="16"/>
              </w:rPr>
              <w:t>Incorrect. A threat of violence is not handled through the child-abuse reporting system merely because it is serious.</w:t>
            </w:r>
          </w:p>
        </w:tc>
      </w:tr>
    </w:tbl>
    <w:p>
      <w:pPr>
        <w:pStyle w:val="Heading2"/>
      </w:pPr>
      <w:r>
        <w:t>Why the Key Controls</w:t>
      </w:r>
    </w:p>
    <w:p>
      <w:r>
        <w:t>When a patient communicates a serious threat of physical violence against a reasonably identifiable victim, the California framework is satisfied by reasonable efforts to communicate the threat to the victim and law enforcement, together with other clinically appropriate protection.</w:t>
      </w:r>
    </w:p>
    <w:p>
      <w:pPr>
        <w:pStyle w:val="Heading2"/>
      </w:pPr>
      <w:r>
        <w:t>CTA Exam Strategy</w:t>
      </w:r>
    </w:p>
    <w:p>
      <w:r>
        <w:t>Duty-to-protect questions require a serious communicated threat, a reasonably identifiable victim, and reasonable protective communications.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Duty to protect serious threat</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DUTY-TO-PROTECT</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Civil Code 43.92</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29 - Controlled Rationale</w:t>
      </w:r>
    </w:p>
    <w:p>
      <w:r>
        <w:rPr>
          <w:b/>
        </w:rPr>
        <w:t xml:space="preserve">Item ID: </w:t>
      </w:r>
      <w:r>
        <w:t>CTA-EP-002-CUM-A-029</w:t>
      </w:r>
    </w:p>
    <w:p>
      <w:r>
        <w:rPr>
          <w:b/>
        </w:rPr>
        <w:t xml:space="preserve">Stem: </w:t>
      </w:r>
      <w:r>
        <w:t>An NASW ethical standard appears to recommend a practice that conflicts with a mandatory California statute governing the same facts. Which analysis is correct?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The ethical standard automatically overrides state law because it is profession-specific.</w:t>
            </w:r>
          </w:p>
        </w:tc>
        <w:tc>
          <w:tcPr>
            <w:tcW w:type="dxa" w:w="3485"/>
            <w:vAlign w:val="center"/>
            <w:tcMar>
              <w:top w:w="55" w:type="dxa"/>
              <w:start w:w="65" w:type="dxa"/>
              <w:bottom w:w="55" w:type="dxa"/>
              <w:end w:w="65" w:type="dxa"/>
            </w:tcMar>
          </w:tcPr>
          <w:p>
            <w:pPr>
              <w:spacing w:after="0"/>
            </w:pPr>
            <w:r>
              <w:rPr>
                <w:sz w:val="16"/>
              </w:rPr>
              <w:t>Incorrect. A professional code does not automatically override a mandatory state statute or regulation.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The clinician may choose whichever source produces the preferred client outcome.</w:t>
            </w:r>
          </w:p>
        </w:tc>
        <w:tc>
          <w:tcPr>
            <w:tcW w:type="dxa" w:w="3485"/>
            <w:vAlign w:val="center"/>
            <w:tcMar>
              <w:top w:w="55" w:type="dxa"/>
              <w:start w:w="65" w:type="dxa"/>
              <w:bottom w:w="55" w:type="dxa"/>
              <w:end w:w="65" w:type="dxa"/>
            </w:tcMar>
          </w:tcPr>
          <w:p>
            <w:pPr>
              <w:spacing w:after="0"/>
            </w:pPr>
            <w:r>
              <w:rPr>
                <w:sz w:val="16"/>
              </w:rPr>
              <w:t>Incorrect. The clinician cannot choose the preferred authority based solely on outcome.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Agency policy decides whether law or ethics controls.</w:t>
            </w:r>
          </w:p>
        </w:tc>
        <w:tc>
          <w:tcPr>
            <w:tcW w:type="dxa" w:w="3485"/>
            <w:vAlign w:val="center"/>
            <w:tcMar>
              <w:top w:w="55" w:type="dxa"/>
              <w:start w:w="65" w:type="dxa"/>
              <w:bottom w:w="55" w:type="dxa"/>
              <w:end w:w="65" w:type="dxa"/>
            </w:tcMar>
          </w:tcPr>
          <w:p>
            <w:pPr>
              <w:spacing w:after="0"/>
            </w:pPr>
            <w:r>
              <w:rPr>
                <w:sz w:val="16"/>
              </w:rPr>
              <w:t>Incorrect. Agency policy does not decide the hierarchy between law and professional ethics.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The current mandatory law controls the legal duty; the clinician should still use ethical reasoning for choices that remain lawful and address the conflict through appropriate consultation or advocacy.</w:t>
            </w:r>
          </w:p>
        </w:tc>
        <w:tc>
          <w:tcPr>
            <w:tcW w:type="dxa" w:w="3485"/>
            <w:shd w:fill="EAF7F7"/>
            <w:vAlign w:val="center"/>
            <w:tcMar>
              <w:top w:w="55" w:type="dxa"/>
              <w:start w:w="65" w:type="dxa"/>
              <w:bottom w:w="55" w:type="dxa"/>
              <w:end w:w="65" w:type="dxa"/>
            </w:tcMar>
          </w:tcPr>
          <w:p>
            <w:pPr>
              <w:spacing w:after="0"/>
            </w:pPr>
            <w:r>
              <w:rPr>
                <w:sz w:val="16"/>
              </w:rPr>
              <w:t>Correct. This option preserves legal compliance while continuing ethical analysis and appropriate advocacy.</w:t>
            </w:r>
          </w:p>
        </w:tc>
      </w:tr>
    </w:tbl>
    <w:p>
      <w:pPr>
        <w:pStyle w:val="Heading2"/>
      </w:pPr>
      <w:r>
        <w:t>Why the Key Controls</w:t>
      </w:r>
    </w:p>
    <w:p>
      <w:r>
        <w:t>Mandatory California law controls the legal obligation when it directly conflicts with a professional ethical recommendation. Ethical reasoning still guides choices that remain lawful and can support consultation, documentation, advocacy, or system change.</w:t>
      </w:r>
    </w:p>
    <w:p>
      <w:pPr>
        <w:pStyle w:val="Heading2"/>
      </w:pPr>
      <w:r>
        <w:t>CTA Exam Strategy</w:t>
      </w:r>
    </w:p>
    <w:p>
      <w:r>
        <w:t>Separate legal duty from ethical guidance; follow mandatory law and use ethics for lawful discretion and conflict management.</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California law and NASW ethics as separate authorities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Integrated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LCSW/ASW License-Specific Module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LAW-ETHICS-HIERARCHY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statutes/regulations; NASW Code of Ethics; CTA source hierarchy</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30 - Controlled Rationale</w:t>
      </w:r>
    </w:p>
    <w:p>
      <w:r>
        <w:rPr>
          <w:b/>
        </w:rPr>
        <w:t xml:space="preserve">Item ID: </w:t>
      </w:r>
      <w:r>
        <w:t>CTA-EP-002-CUM-A-030</w:t>
      </w:r>
    </w:p>
    <w:p>
      <w:r>
        <w:rPr>
          <w:b/>
        </w:rPr>
        <w:t xml:space="preserve">Stem: </w:t>
      </w:r>
      <w:r>
        <w:t>An adult client reports passive wishes not to wake up but denies intent, plan, means, and threats toward another person. Which response is MOST appropriate?</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Automatically warn law enforcement and every family member because any suicidal thought triggers the duty to protect statute.</w:t>
            </w:r>
          </w:p>
        </w:tc>
        <w:tc>
          <w:tcPr>
            <w:tcW w:type="dxa" w:w="3485"/>
            <w:vAlign w:val="center"/>
            <w:tcMar>
              <w:top w:w="55" w:type="dxa"/>
              <w:start w:w="65" w:type="dxa"/>
              <w:bottom w:w="55" w:type="dxa"/>
              <w:end w:w="65" w:type="dxa"/>
            </w:tcMar>
          </w:tcPr>
          <w:p>
            <w:pPr>
              <w:spacing w:after="0"/>
            </w:pPr>
            <w:r>
              <w:rPr>
                <w:sz w:val="16"/>
              </w:rPr>
              <w:t>Incorrect. Any suicidal thought does not automatically require warning law enforcement and every family member.</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Complete a proportionate suicide-risk assessment, safety and treatment response, consultation and documentation without assuming the facts automatically trigger the identifiable-victim duty.</w:t>
            </w:r>
          </w:p>
        </w:tc>
        <w:tc>
          <w:tcPr>
            <w:tcW w:type="dxa" w:w="3485"/>
            <w:shd w:fill="EAF7F7"/>
            <w:vAlign w:val="center"/>
            <w:tcMar>
              <w:top w:w="55" w:type="dxa"/>
              <w:start w:w="65" w:type="dxa"/>
              <w:bottom w:w="55" w:type="dxa"/>
              <w:end w:w="65" w:type="dxa"/>
            </w:tcMar>
          </w:tcPr>
          <w:p>
            <w:pPr>
              <w:spacing w:after="0"/>
            </w:pPr>
            <w:r>
              <w:rPr>
                <w:sz w:val="16"/>
              </w:rPr>
              <w:t>Correct. This choice responds clinically to suicide risk while avoiding an unsupported identifiable-victim conclusion.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End the session because discussing suicide increases liability.</w:t>
            </w:r>
          </w:p>
        </w:tc>
        <w:tc>
          <w:tcPr>
            <w:tcW w:type="dxa" w:w="3485"/>
            <w:vAlign w:val="center"/>
            <w:tcMar>
              <w:top w:w="55" w:type="dxa"/>
              <w:start w:w="65" w:type="dxa"/>
              <w:bottom w:w="55" w:type="dxa"/>
              <w:end w:w="65" w:type="dxa"/>
            </w:tcMar>
          </w:tcPr>
          <w:p>
            <w:pPr>
              <w:spacing w:after="0"/>
            </w:pPr>
            <w:r>
              <w:rPr>
                <w:sz w:val="16"/>
              </w:rPr>
              <w:t>Incorrect. Ending the session because suicide was discussed abandons assessment and care.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Promise absolute confidentiality so the client continues disclosing.</w:t>
            </w:r>
          </w:p>
        </w:tc>
        <w:tc>
          <w:tcPr>
            <w:tcW w:type="dxa" w:w="3485"/>
            <w:vAlign w:val="center"/>
            <w:tcMar>
              <w:top w:w="55" w:type="dxa"/>
              <w:start w:w="65" w:type="dxa"/>
              <w:bottom w:w="55" w:type="dxa"/>
              <w:end w:w="65" w:type="dxa"/>
            </w:tcMar>
          </w:tcPr>
          <w:p>
            <w:pPr>
              <w:spacing w:after="0"/>
            </w:pPr>
            <w:r>
              <w:rPr>
                <w:sz w:val="16"/>
              </w:rPr>
              <w:t>Incorrect. Absolute confidentiality cannot be promised because safety and legal exceptions may arise.</w:t>
            </w:r>
          </w:p>
        </w:tc>
      </w:tr>
    </w:tbl>
    <w:p>
      <w:pPr>
        <w:pStyle w:val="Heading2"/>
      </w:pPr>
      <w:r>
        <w:t>Why the Key Controls</w:t>
      </w:r>
    </w:p>
    <w:p>
      <w:r>
        <w:t>Passive suicidal thoughts require proportionate suicide-risk assessment, safety planning, treatment response, consultation, and documentation. They do not automatically establish a communicated serious threat against a reasonably identifiable victim under the duty-to-protect statute.</w:t>
      </w:r>
    </w:p>
    <w:p>
      <w:pPr>
        <w:pStyle w:val="Heading2"/>
      </w:pPr>
      <w:r>
        <w:t>CTA Exam Strategy</w:t>
      </w:r>
    </w:p>
    <w:p>
      <w:r>
        <w:t>Distinguish suicide-risk management from the statutory identifiable-victim threat framework; assess the facts actually present.</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Suicide risk versus duty-to-protect trigger</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SUICIDE-VS-DUTY-PROTECT</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Civil Code 43.92; general clinical safety duties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31 - Controlled Rationale</w:t>
      </w:r>
    </w:p>
    <w:p>
      <w:r>
        <w:rPr>
          <w:b/>
        </w:rPr>
        <w:t xml:space="preserve">Item ID: </w:t>
      </w:r>
      <w:r>
        <w:t>CTA-EP-002-CUM-A-031</w:t>
      </w:r>
    </w:p>
    <w:p>
      <w:r>
        <w:rPr>
          <w:b/>
        </w:rPr>
        <w:t xml:space="preserve">Stem: </w:t>
      </w:r>
      <w:r>
        <w:t>A supervisor directs an ASW to omit a known safety concern from the record to protect the agency’s statistics. What should the ASW do FIRST?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Follow the direction because the supervisor controls documentation.</w:t>
            </w:r>
          </w:p>
        </w:tc>
        <w:tc>
          <w:tcPr>
            <w:tcW w:type="dxa" w:w="3485"/>
            <w:vAlign w:val="center"/>
            <w:tcMar>
              <w:top w:w="55" w:type="dxa"/>
              <w:start w:w="65" w:type="dxa"/>
              <w:bottom w:w="55" w:type="dxa"/>
              <w:end w:w="65" w:type="dxa"/>
            </w:tcMar>
          </w:tcPr>
          <w:p>
            <w:pPr>
              <w:spacing w:after="0"/>
            </w:pPr>
            <w:r>
              <w:rPr>
                <w:sz w:val="16"/>
              </w:rPr>
              <w:t>Incorrect. Supervisory authority does not permit false or misleading clinical documentation.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Omit the concern but keep a private personal copy of the true facts.</w:t>
            </w:r>
          </w:p>
        </w:tc>
        <w:tc>
          <w:tcPr>
            <w:tcW w:type="dxa" w:w="3485"/>
            <w:vAlign w:val="center"/>
            <w:tcMar>
              <w:top w:w="55" w:type="dxa"/>
              <w:start w:w="65" w:type="dxa"/>
              <w:bottom w:w="55" w:type="dxa"/>
              <w:end w:w="65" w:type="dxa"/>
            </w:tcMar>
          </w:tcPr>
          <w:p>
            <w:pPr>
              <w:spacing w:after="0"/>
            </w:pPr>
            <w:r>
              <w:rPr>
                <w:sz w:val="16"/>
              </w:rPr>
              <w:t>Incorrect. A private personal copy creates privacy and record-integrity problems while leaving the official record inaccurate.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Wait until the annual evaluation to discuss the disagreement.</w:t>
            </w:r>
          </w:p>
        </w:tc>
        <w:tc>
          <w:tcPr>
            <w:tcW w:type="dxa" w:w="3485"/>
            <w:vAlign w:val="center"/>
            <w:tcMar>
              <w:top w:w="55" w:type="dxa"/>
              <w:start w:w="65" w:type="dxa"/>
              <w:bottom w:w="55" w:type="dxa"/>
              <w:end w:w="65" w:type="dxa"/>
            </w:tcMar>
          </w:tcPr>
          <w:p>
            <w:pPr>
              <w:spacing w:after="0"/>
            </w:pPr>
            <w:r>
              <w:rPr>
                <w:sz w:val="16"/>
              </w:rPr>
              <w:t>Incorrect. Waiting for an annual review leaves the current safety and documentation problem unresolved.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Do not falsify or omit material clinical information; protect the client, seek valid supervisory or organizational guidance, and document and escalate the conflict appropriately.</w:t>
            </w:r>
          </w:p>
        </w:tc>
        <w:tc>
          <w:tcPr>
            <w:tcW w:type="dxa" w:w="3485"/>
            <w:shd w:fill="EAF7F7"/>
            <w:vAlign w:val="center"/>
            <w:tcMar>
              <w:top w:w="55" w:type="dxa"/>
              <w:start w:w="65" w:type="dxa"/>
              <w:bottom w:w="55" w:type="dxa"/>
              <w:end w:w="65" w:type="dxa"/>
            </w:tcMar>
          </w:tcPr>
          <w:p>
            <w:pPr>
              <w:spacing w:after="0"/>
            </w:pPr>
            <w:r>
              <w:rPr>
                <w:sz w:val="16"/>
              </w:rPr>
              <w:t>Correct. This response protects the client, preserves record integrity, seeks valid guidance, and escalates appropriately.</w:t>
            </w:r>
          </w:p>
        </w:tc>
      </w:tr>
    </w:tbl>
    <w:p>
      <w:pPr>
        <w:pStyle w:val="Heading2"/>
      </w:pPr>
      <w:r>
        <w:t>Why the Key Controls</w:t>
      </w:r>
    </w:p>
    <w:p>
      <w:r>
        <w:t>An ASW must not falsify or materially omit safety information because a supervisor or agency requests it. Client protection, accurate documentation, valid supervision or organizational consultation, and proportionate escalation come first.</w:t>
      </w:r>
    </w:p>
    <w:p>
      <w:pPr>
        <w:pStyle w:val="Heading2"/>
      </w:pPr>
      <w:r>
        <w:t>CTA Exam Strategy</w:t>
      </w:r>
    </w:p>
    <w:p>
      <w:r>
        <w:t>Unsafe supervisory direction does not erase the associate’s duties; protect, document accurately, consult, and escalate.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Unsafe supervisory direction and organizational escalation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WB3 - Professional Competence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UNSAFE-SUPERVISORY-DIRECTION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BBS ASW supervision law; NASW 3.01, 3.07, 3.09</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32 - Controlled Rationale</w:t>
      </w:r>
    </w:p>
    <w:p>
      <w:r>
        <w:rPr>
          <w:b/>
        </w:rPr>
        <w:t xml:space="preserve">Item ID: </w:t>
      </w:r>
      <w:r>
        <w:t>CTA-EP-002-CUM-A-032</w:t>
      </w:r>
    </w:p>
    <w:p>
      <w:r>
        <w:rPr>
          <w:b/>
        </w:rPr>
        <w:t xml:space="preserve">Stem: </w:t>
      </w:r>
      <w:r>
        <w:t>A client signs a valid authorization allowing the LCSW to tell an employer whether the client can return to a specific shift. What information should the LCSW disclose?</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The entire psychotherapy record because the client signed an authorization.</w:t>
            </w:r>
          </w:p>
        </w:tc>
        <w:tc>
          <w:tcPr>
            <w:tcW w:type="dxa" w:w="3485"/>
            <w:vAlign w:val="center"/>
            <w:tcMar>
              <w:top w:w="55" w:type="dxa"/>
              <w:start w:w="65" w:type="dxa"/>
              <w:bottom w:w="55" w:type="dxa"/>
              <w:end w:w="65" w:type="dxa"/>
            </w:tcMar>
          </w:tcPr>
          <w:p>
            <w:pPr>
              <w:spacing w:after="0"/>
            </w:pPr>
            <w:r>
              <w:rPr>
                <w:sz w:val="16"/>
              </w:rPr>
              <w:t>Incorrect. A valid authorization does not automatically require or permit release of an entire psychotherapy record.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Every diagnosis the client has ever received so the employer has context.</w:t>
            </w:r>
          </w:p>
        </w:tc>
        <w:tc>
          <w:tcPr>
            <w:tcW w:type="dxa" w:w="3485"/>
            <w:vAlign w:val="center"/>
            <w:tcMar>
              <w:top w:w="55" w:type="dxa"/>
              <w:start w:w="65" w:type="dxa"/>
              <w:bottom w:w="55" w:type="dxa"/>
              <w:end w:w="65" w:type="dxa"/>
            </w:tcMar>
          </w:tcPr>
          <w:p>
            <w:pPr>
              <w:spacing w:after="0"/>
            </w:pPr>
            <w:r>
              <w:rPr>
                <w:sz w:val="16"/>
              </w:rPr>
              <w:t>Incorrect. Unrelated diagnoses exceed the stated purpose and may cause unnecessary harm.</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Only the relevant authorized information needed for the stated purpose, while following the authorization’s limits.</w:t>
            </w:r>
          </w:p>
        </w:tc>
        <w:tc>
          <w:tcPr>
            <w:tcW w:type="dxa" w:w="3485"/>
            <w:shd w:fill="EAF7F7"/>
            <w:vAlign w:val="center"/>
            <w:tcMar>
              <w:top w:w="55" w:type="dxa"/>
              <w:start w:w="65" w:type="dxa"/>
              <w:bottom w:w="55" w:type="dxa"/>
              <w:end w:w="65" w:type="dxa"/>
            </w:tcMar>
          </w:tcPr>
          <w:p>
            <w:pPr>
              <w:spacing w:after="0"/>
            </w:pPr>
            <w:r>
              <w:rPr>
                <w:sz w:val="16"/>
              </w:rPr>
              <w:t>Correct. This option follows both the authorization and minimum-relevant-information principle.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No information because employment-related disclosures are always prohibited.</w:t>
            </w:r>
          </w:p>
        </w:tc>
        <w:tc>
          <w:tcPr>
            <w:tcW w:type="dxa" w:w="3485"/>
            <w:vAlign w:val="center"/>
            <w:tcMar>
              <w:top w:w="55" w:type="dxa"/>
              <w:start w:w="65" w:type="dxa"/>
              <w:bottom w:w="55" w:type="dxa"/>
              <w:end w:w="65" w:type="dxa"/>
            </w:tcMar>
          </w:tcPr>
          <w:p>
            <w:pPr>
              <w:spacing w:after="0"/>
            </w:pPr>
            <w:r>
              <w:rPr>
                <w:sz w:val="16"/>
              </w:rPr>
              <w:t>Incorrect. Employment-related disclosure may occur when validly authorized or otherwise legally permitted.</w:t>
            </w:r>
          </w:p>
        </w:tc>
      </w:tr>
    </w:tbl>
    <w:p>
      <w:pPr>
        <w:pStyle w:val="Heading2"/>
      </w:pPr>
      <w:r>
        <w:t>Why the Key Controls</w:t>
      </w:r>
    </w:p>
    <w:p>
      <w:r>
        <w:t>A valid authorization is purpose- and scope-limited. The LCSW should disclose only the information relevant to the stated return-to-shift question and remain within the authorization’s terms.</w:t>
      </w:r>
    </w:p>
    <w:p>
      <w:pPr>
        <w:pStyle w:val="Heading2"/>
      </w:pPr>
      <w:r>
        <w:t>CTA Exam Strategy</w:t>
      </w:r>
    </w:p>
    <w:p>
      <w:r>
        <w:t>Read the authorization’s recipient, purpose, information, expiration, and limits; do not convert it into blanket access.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Minimum relevant authorized disclosure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AUTHORIZED-MINIMUM-DISCLOSURE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CMIA/authorization law; NASW 1.07</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33 - Controlled Rationale</w:t>
      </w:r>
    </w:p>
    <w:p>
      <w:r>
        <w:rPr>
          <w:b/>
        </w:rPr>
        <w:t xml:space="preserve">Item ID: </w:t>
      </w:r>
      <w:r>
        <w:t>CTA-EP-002-CUM-A-033</w:t>
      </w:r>
    </w:p>
    <w:p>
      <w:r>
        <w:rPr>
          <w:b/>
        </w:rPr>
        <w:t xml:space="preserve">Stem: </w:t>
      </w:r>
      <w:r>
        <w:t>After conjoint couple treatment ends, one partner demands the complete file and instructs the LCSW not to notify the other partner. The original service agreement is unclear. What is the BEST response?</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Release the complete file because the requester attended every session.</w:t>
            </w:r>
          </w:p>
        </w:tc>
        <w:tc>
          <w:tcPr>
            <w:tcW w:type="dxa" w:w="3485"/>
            <w:vAlign w:val="center"/>
            <w:tcMar>
              <w:top w:w="55" w:type="dxa"/>
              <w:start w:w="65" w:type="dxa"/>
              <w:bottom w:w="55" w:type="dxa"/>
              <w:end w:w="65" w:type="dxa"/>
            </w:tcMar>
          </w:tcPr>
          <w:p>
            <w:pPr>
              <w:spacing w:after="0"/>
            </w:pPr>
            <w:r>
              <w:rPr>
                <w:sz w:val="16"/>
              </w:rPr>
              <w:t>Incorrect. Attendance in sessions does not automatically create unilateral access to the entire conjoint record.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Deny every request because couple records can never be released.</w:t>
            </w:r>
          </w:p>
        </w:tc>
        <w:tc>
          <w:tcPr>
            <w:tcW w:type="dxa" w:w="3485"/>
            <w:vAlign w:val="center"/>
            <w:tcMar>
              <w:top w:w="55" w:type="dxa"/>
              <w:start w:w="65" w:type="dxa"/>
              <w:bottom w:w="55" w:type="dxa"/>
              <w:end w:w="65" w:type="dxa"/>
            </w:tcMar>
          </w:tcPr>
          <w:p>
            <w:pPr>
              <w:spacing w:after="0"/>
            </w:pPr>
            <w:r>
              <w:rPr>
                <w:sz w:val="16"/>
              </w:rPr>
              <w:t>Incorrect. Conjoint records are not categorically unreleasable; the answer depends on client identity, agreement, law, and authorization.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Send only the requester’s statements without considering the rest of the record.</w:t>
            </w:r>
          </w:p>
        </w:tc>
        <w:tc>
          <w:tcPr>
            <w:tcW w:type="dxa" w:w="3485"/>
            <w:vAlign w:val="center"/>
            <w:tcMar>
              <w:top w:w="55" w:type="dxa"/>
              <w:start w:w="65" w:type="dxa"/>
              <w:bottom w:w="55" w:type="dxa"/>
              <w:end w:w="65" w:type="dxa"/>
            </w:tcMar>
          </w:tcPr>
          <w:p>
            <w:pPr>
              <w:spacing w:after="0"/>
            </w:pPr>
            <w:r>
              <w:rPr>
                <w:sz w:val="16"/>
              </w:rPr>
              <w:t>Incorrect. One partner’s statements may be inseparable from the other person’s confidential information and cannot be isolated mechanically.</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Clarify who the client or clients were, review the treatment agreement, privilege and access law, obtain legal consultation as needed, and protect all parties’ confidential information before responding.</w:t>
            </w:r>
          </w:p>
        </w:tc>
        <w:tc>
          <w:tcPr>
            <w:tcW w:type="dxa" w:w="3485"/>
            <w:shd w:fill="EAF7F7"/>
            <w:vAlign w:val="center"/>
            <w:tcMar>
              <w:top w:w="55" w:type="dxa"/>
              <w:start w:w="65" w:type="dxa"/>
              <w:bottom w:w="55" w:type="dxa"/>
              <w:end w:w="65" w:type="dxa"/>
            </w:tcMar>
          </w:tcPr>
          <w:p>
            <w:pPr>
              <w:spacing w:after="0"/>
            </w:pPr>
            <w:r>
              <w:rPr>
                <w:sz w:val="16"/>
              </w:rPr>
              <w:t>Correct. This answer performs the necessary client, agreement, privilege, access, and confidentiality analysis.</w:t>
            </w:r>
          </w:p>
        </w:tc>
      </w:tr>
    </w:tbl>
    <w:p>
      <w:pPr>
        <w:pStyle w:val="Heading2"/>
      </w:pPr>
      <w:r>
        <w:t>Why the Key Controls</w:t>
      </w:r>
    </w:p>
    <w:p>
      <w:r>
        <w:t>Conjoint treatment can create complex client, privilege, access, and confidentiality questions. The clinician must identify who the client or clients were, review the agreement and law, seek legal consultation when needed, and protect each person’s information before responding.</w:t>
      </w:r>
    </w:p>
    <w:p>
      <w:pPr>
        <w:pStyle w:val="Heading2"/>
      </w:pPr>
      <w:r>
        <w:t>CTA Exam Strategy</w:t>
      </w:r>
    </w:p>
    <w:p>
      <w:r>
        <w:t>In family, couple, or group records, first identify the client structure and information ownership before deciding access.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Record request after conjoint treatment</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CONJOINT-RECORD-ACCESS</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privilege, confidentiality, and record-access law; NASW 1.07</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34 - Controlled Rationale</w:t>
      </w:r>
    </w:p>
    <w:p>
      <w:r>
        <w:rPr>
          <w:b/>
        </w:rPr>
        <w:t xml:space="preserve">Item ID: </w:t>
      </w:r>
      <w:r>
        <w:t>CTA-EP-002-CUM-A-034</w:t>
      </w:r>
    </w:p>
    <w:p>
      <w:r>
        <w:rPr>
          <w:b/>
        </w:rPr>
        <w:t xml:space="preserve">Stem: </w:t>
      </w:r>
      <w:r>
        <w:t>A mature 15-year-old lawfully self-consents to outpatient counseling and asks that a parent not be involved. Which statement is accurate?</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The parent must always participate in every session.</w:t>
            </w:r>
          </w:p>
        </w:tc>
        <w:tc>
          <w:tcPr>
            <w:tcW w:type="dxa" w:w="3485"/>
            <w:vAlign w:val="center"/>
            <w:tcMar>
              <w:top w:w="55" w:type="dxa"/>
              <w:start w:w="65" w:type="dxa"/>
              <w:bottom w:w="55" w:type="dxa"/>
              <w:end w:w="65" w:type="dxa"/>
            </w:tcMar>
          </w:tcPr>
          <w:p>
            <w:pPr>
              <w:spacing w:after="0"/>
            </w:pPr>
            <w:r>
              <w:rPr>
                <w:sz w:val="16"/>
              </w:rPr>
              <w:t>Incorrect. The law does not require a parent in every session or in every self-consent case.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The minor’s request automatically bars all parent involvement without clinical analysis.</w:t>
            </w:r>
          </w:p>
        </w:tc>
        <w:tc>
          <w:tcPr>
            <w:tcW w:type="dxa" w:w="3485"/>
            <w:vAlign w:val="center"/>
            <w:tcMar>
              <w:top w:w="55" w:type="dxa"/>
              <w:start w:w="65" w:type="dxa"/>
              <w:bottom w:w="55" w:type="dxa"/>
              <w:end w:w="65" w:type="dxa"/>
            </w:tcMar>
          </w:tcPr>
          <w:p>
            <w:pPr>
              <w:spacing w:after="0"/>
            </w:pPr>
            <w:r>
              <w:rPr>
                <w:sz w:val="16"/>
              </w:rPr>
              <w:t>Incorrect. The minor’s preference is important but does not automatically end the clinician’s statutory involvement analysis.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The LCSW may involve the parent whenever doing so would be convenient for billing.</w:t>
            </w:r>
          </w:p>
        </w:tc>
        <w:tc>
          <w:tcPr>
            <w:tcW w:type="dxa" w:w="3485"/>
            <w:vAlign w:val="center"/>
            <w:tcMar>
              <w:top w:w="55" w:type="dxa"/>
              <w:start w:w="65" w:type="dxa"/>
              <w:bottom w:w="55" w:type="dxa"/>
              <w:end w:w="65" w:type="dxa"/>
            </w:tcMar>
          </w:tcPr>
          <w:p>
            <w:pPr>
              <w:spacing w:after="0"/>
            </w:pPr>
            <w:r>
              <w:rPr>
                <w:sz w:val="16"/>
              </w:rPr>
              <w:t>Incorrect. Billing convenience is not the legal or clinical standard for parent involvement.</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Parent or guardian involvement is generally included unless, after consulting with the minor, the treating professional determines involvement would be inappropriate and documents the required contact analysis.</w:t>
            </w:r>
          </w:p>
        </w:tc>
        <w:tc>
          <w:tcPr>
            <w:tcW w:type="dxa" w:w="3485"/>
            <w:shd w:fill="EAF7F7"/>
            <w:vAlign w:val="center"/>
            <w:tcMar>
              <w:top w:w="55" w:type="dxa"/>
              <w:start w:w="65" w:type="dxa"/>
              <w:bottom w:w="55" w:type="dxa"/>
              <w:end w:w="65" w:type="dxa"/>
            </w:tcMar>
          </w:tcPr>
          <w:p>
            <w:pPr>
              <w:spacing w:after="0"/>
            </w:pPr>
            <w:r>
              <w:rPr>
                <w:sz w:val="16"/>
              </w:rPr>
              <w:t>Correct. This choice states the general inclusion rule, consultation with the minor, exception, and documentation requirement.</w:t>
            </w:r>
          </w:p>
        </w:tc>
      </w:tr>
    </w:tbl>
    <w:p>
      <w:pPr>
        <w:pStyle w:val="Heading2"/>
      </w:pPr>
      <w:r>
        <w:t>Why the Key Controls</w:t>
      </w:r>
    </w:p>
    <w:p>
      <w:r>
        <w:t>When a minor lawfully self-consents, parent or guardian involvement is generally expected unless, after consulting with the minor, the treating professional determines that involvement would be inappropriate and documents the required analysis or contact efforts.</w:t>
      </w:r>
    </w:p>
    <w:p>
      <w:pPr>
        <w:pStyle w:val="Heading2"/>
      </w:pPr>
      <w:r>
        <w:t>CTA Exam Strategy</w:t>
      </w:r>
    </w:p>
    <w:p>
      <w:r>
        <w:t>Minor self-consent does not mean automatic exclusion of parents; apply the involvement rule and document the analysis.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Parent involvement when minor self-consents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MINOR-PARENT-INVOLVEMENT</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Family Code 6924(d)</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35 - Controlled Rationale</w:t>
      </w:r>
    </w:p>
    <w:p>
      <w:r>
        <w:rPr>
          <w:b/>
        </w:rPr>
        <w:t xml:space="preserve">Item ID: </w:t>
      </w:r>
      <w:r>
        <w:t>CTA-EP-002-CUM-A-035</w:t>
      </w:r>
    </w:p>
    <w:p>
      <w:r>
        <w:rPr>
          <w:b/>
        </w:rPr>
        <w:t xml:space="preserve">Stem: </w:t>
      </w:r>
      <w:r>
        <w:t>A clinic plans to destroy the record of a former client whose therapy ended at age 16 exactly seven years ago. The former client is now 23. Which conclusion is correct?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The record may be destroyed because seven years have passed since termination.</w:t>
            </w:r>
          </w:p>
        </w:tc>
        <w:tc>
          <w:tcPr>
            <w:tcW w:type="dxa" w:w="3485"/>
            <w:vAlign w:val="center"/>
            <w:tcMar>
              <w:top w:w="55" w:type="dxa"/>
              <w:start w:w="65" w:type="dxa"/>
              <w:bottom w:w="55" w:type="dxa"/>
              <w:end w:w="65" w:type="dxa"/>
            </w:tcMar>
          </w:tcPr>
          <w:p>
            <w:pPr>
              <w:spacing w:after="0"/>
            </w:pPr>
            <w:r>
              <w:rPr>
                <w:sz w:val="16"/>
              </w:rPr>
              <w:t>Incorrect. Seven years after termination is not the controlling minimum when the client was a minor at termination.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The record must be retained permanently because treatment began while the client was a minor.</w:t>
            </w:r>
          </w:p>
        </w:tc>
        <w:tc>
          <w:tcPr>
            <w:tcW w:type="dxa" w:w="3485"/>
            <w:vAlign w:val="center"/>
            <w:tcMar>
              <w:top w:w="55" w:type="dxa"/>
              <w:start w:w="65" w:type="dxa"/>
              <w:bottom w:w="55" w:type="dxa"/>
              <w:end w:w="65" w:type="dxa"/>
            </w:tcMar>
          </w:tcPr>
          <w:p>
            <w:pPr>
              <w:spacing w:after="0"/>
            </w:pPr>
            <w:r>
              <w:rPr>
                <w:sz w:val="16"/>
              </w:rPr>
              <w:t>Incorrect. The California minimum is lengthy but not automatically permanent.</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Continue retaining the record until at least seven years after the client reached age 18, absent another longer requirement.</w:t>
            </w:r>
          </w:p>
        </w:tc>
        <w:tc>
          <w:tcPr>
            <w:tcW w:type="dxa" w:w="3485"/>
            <w:shd w:fill="EAF7F7"/>
            <w:vAlign w:val="center"/>
            <w:tcMar>
              <w:top w:w="55" w:type="dxa"/>
              <w:start w:w="65" w:type="dxa"/>
              <w:bottom w:w="55" w:type="dxa"/>
              <w:end w:w="65" w:type="dxa"/>
            </w:tcMar>
          </w:tcPr>
          <w:p>
            <w:pPr>
              <w:spacing w:after="0"/>
            </w:pPr>
            <w:r>
              <w:rPr>
                <w:sz w:val="16"/>
              </w:rPr>
              <w:t>Correct. The record must continue to be retained until at least seven years after the former client reached age 18, unless another requirement is longer.</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Transfer the only copy to the former client and delete the clinic’s record.</w:t>
            </w:r>
          </w:p>
        </w:tc>
        <w:tc>
          <w:tcPr>
            <w:tcW w:type="dxa" w:w="3485"/>
            <w:vAlign w:val="center"/>
            <w:tcMar>
              <w:top w:w="55" w:type="dxa"/>
              <w:start w:w="65" w:type="dxa"/>
              <w:bottom w:w="55" w:type="dxa"/>
              <w:end w:w="65" w:type="dxa"/>
            </w:tcMar>
          </w:tcPr>
          <w:p>
            <w:pPr>
              <w:spacing w:after="0"/>
            </w:pPr>
            <w:r>
              <w:rPr>
                <w:sz w:val="16"/>
              </w:rPr>
              <w:t>Incorrect. Giving a copy to the former client does not eliminate the provider’s retention obligation or justify deleting the only provider record.</w:t>
            </w:r>
          </w:p>
        </w:tc>
      </w:tr>
    </w:tbl>
    <w:p>
      <w:pPr>
        <w:pStyle w:val="Heading2"/>
      </w:pPr>
      <w:r>
        <w:t>Why the Key Controls</w:t>
      </w:r>
    </w:p>
    <w:p>
      <w:r>
        <w:t>California’s minimum for a minor’s health-service record extends at least seven years after the client reaches age 18. A client who is now 23 has not yet reached that minimum endpoint, absent another rule requiring longer retention.</w:t>
      </w:r>
    </w:p>
    <w:p>
      <w:pPr>
        <w:pStyle w:val="Heading2"/>
      </w:pPr>
      <w:r>
        <w:t>CTA Exam Strategy</w:t>
      </w:r>
    </w:p>
    <w:p>
      <w:r>
        <w:t>For minor-record calculations, identify the client’s age at termination and calculate the statutory period from the eighteenth birthday rather than only from the last session.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Minor record-retention calculation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RECORD-RETENTION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BPC 4993</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36 - Controlled Rationale</w:t>
      </w:r>
    </w:p>
    <w:p>
      <w:r>
        <w:rPr>
          <w:b/>
        </w:rPr>
        <w:t xml:space="preserve">Item ID: </w:t>
      </w:r>
      <w:r>
        <w:t>CTA-EP-002-CUM-A-036</w:t>
      </w:r>
    </w:p>
    <w:p>
      <w:r>
        <w:rPr>
          <w:b/>
        </w:rPr>
        <w:t xml:space="preserve">Stem: </w:t>
      </w:r>
      <w:r>
        <w:t>An LCSW receives a subpoena signed by an attorney requesting the client’s entire record. The client has not authorized release. What is the BEST response?</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Immediately send the complete record because every subpoena is a court order.</w:t>
            </w:r>
          </w:p>
        </w:tc>
        <w:tc>
          <w:tcPr>
            <w:tcW w:type="dxa" w:w="3485"/>
            <w:vAlign w:val="center"/>
            <w:tcMar>
              <w:top w:w="55" w:type="dxa"/>
              <w:start w:w="65" w:type="dxa"/>
              <w:bottom w:w="55" w:type="dxa"/>
              <w:end w:w="65" w:type="dxa"/>
            </w:tcMar>
          </w:tcPr>
          <w:p>
            <w:pPr>
              <w:spacing w:after="0"/>
            </w:pPr>
            <w:r>
              <w:rPr>
                <w:sz w:val="16"/>
              </w:rPr>
              <w:t>Incorrect. Not every subpoena compels immediate complete disclosure.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Preserve the record, analyze privilege, authorization, legal authority and scope, obtain appropriate legal guidance, and respond through the proper process without unnecessary disclosure.</w:t>
            </w:r>
          </w:p>
        </w:tc>
        <w:tc>
          <w:tcPr>
            <w:tcW w:type="dxa" w:w="3485"/>
            <w:shd w:fill="EAF7F7"/>
            <w:vAlign w:val="center"/>
            <w:tcMar>
              <w:top w:w="55" w:type="dxa"/>
              <w:start w:w="65" w:type="dxa"/>
              <w:bottom w:w="55" w:type="dxa"/>
              <w:end w:w="65" w:type="dxa"/>
            </w:tcMar>
          </w:tcPr>
          <w:p>
            <w:pPr>
              <w:spacing w:after="0"/>
            </w:pPr>
            <w:r>
              <w:rPr>
                <w:sz w:val="16"/>
              </w:rPr>
              <w:t>Correct. This is the balanced legal-process response: preserve, analyze, obtain guidance, respond, and limit disclosure.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Ignore the subpoena because psychotherapy records can never be requested.</w:t>
            </w:r>
          </w:p>
        </w:tc>
        <w:tc>
          <w:tcPr>
            <w:tcW w:type="dxa" w:w="3485"/>
            <w:vAlign w:val="center"/>
            <w:tcMar>
              <w:top w:w="55" w:type="dxa"/>
              <w:start w:w="65" w:type="dxa"/>
              <w:bottom w:w="55" w:type="dxa"/>
              <w:end w:w="65" w:type="dxa"/>
            </w:tcMar>
          </w:tcPr>
          <w:p>
            <w:pPr>
              <w:spacing w:after="0"/>
            </w:pPr>
            <w:r>
              <w:rPr>
                <w:sz w:val="16"/>
              </w:rPr>
              <w:t>Incorrect. Ignoring legal process can create separate consequences and does not protect the client appropriately.</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Destroy psychotherapy notes so they cannot be disclosed.</w:t>
            </w:r>
          </w:p>
        </w:tc>
        <w:tc>
          <w:tcPr>
            <w:tcW w:type="dxa" w:w="3485"/>
            <w:vAlign w:val="center"/>
            <w:tcMar>
              <w:top w:w="55" w:type="dxa"/>
              <w:start w:w="65" w:type="dxa"/>
              <w:bottom w:w="55" w:type="dxa"/>
              <w:end w:w="65" w:type="dxa"/>
            </w:tcMar>
          </w:tcPr>
          <w:p>
            <w:pPr>
              <w:spacing w:after="0"/>
            </w:pPr>
            <w:r>
              <w:rPr>
                <w:sz w:val="16"/>
              </w:rPr>
              <w:t>Incorrect. Record destruction would violate ethical and legal duties and could constitute obstruction or spoliation.</w:t>
            </w:r>
          </w:p>
        </w:tc>
      </w:tr>
    </w:tbl>
    <w:p>
      <w:pPr>
        <w:pStyle w:val="Heading2"/>
      </w:pPr>
      <w:r>
        <w:t>Why the Key Controls</w:t>
      </w:r>
    </w:p>
    <w:p>
      <w:r>
        <w:t>An attorney-issued subpoena is not automatically equivalent to a court order or client authorization. The clinician should preserve the record, analyze privilege and authority, obtain legal guidance, respond properly, and disclose no more than required.</w:t>
      </w:r>
    </w:p>
    <w:p>
      <w:pPr>
        <w:pStyle w:val="Heading2"/>
      </w:pPr>
      <w:r>
        <w:t>CTA Exam Strategy</w:t>
      </w:r>
    </w:p>
    <w:p>
      <w:r>
        <w:t>Avoid subpoena extremes: neither release everything nor ignore it. Preserve, analyze, obtain guidance, and limit disclosure.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Responding to a subpoena</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SUBPOENA-RESPONSE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confidentiality and privilege law; NASW 1.07(j)</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37 - Controlled Rationale</w:t>
      </w:r>
    </w:p>
    <w:p>
      <w:r>
        <w:rPr>
          <w:b/>
        </w:rPr>
        <w:t xml:space="preserve">Item ID: </w:t>
      </w:r>
      <w:r>
        <w:t>CTA-EP-002-CUM-A-037</w:t>
      </w:r>
    </w:p>
    <w:p>
      <w:r>
        <w:rPr>
          <w:b/>
        </w:rPr>
        <w:t xml:space="preserve">Stem: </w:t>
      </w:r>
      <w:r>
        <w:t>When initiating telehealth psychotherapy with a California client, which set of actions is required?</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Obtain informed consent, explain telehealth risks and limitations, provide the license or registration type and number, and document reasonable efforts to identify relevant emergency resources in the client’s area.</w:t>
            </w:r>
          </w:p>
        </w:tc>
        <w:tc>
          <w:tcPr>
            <w:tcW w:type="dxa" w:w="3485"/>
            <w:shd w:fill="EAF7F7"/>
            <w:vAlign w:val="center"/>
            <w:tcMar>
              <w:top w:w="55" w:type="dxa"/>
              <w:start w:w="65" w:type="dxa"/>
              <w:bottom w:w="55" w:type="dxa"/>
              <w:end w:w="65" w:type="dxa"/>
            </w:tcMar>
          </w:tcPr>
          <w:p>
            <w:pPr>
              <w:spacing w:after="0"/>
            </w:pPr>
            <w:r>
              <w:rPr>
                <w:sz w:val="16"/>
              </w:rPr>
              <w:t>Correct. This option accurately combines the current initiation requirements.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Provide only the platform privacy policy because the vendor manages the remaining requirements.</w:t>
            </w:r>
          </w:p>
        </w:tc>
        <w:tc>
          <w:tcPr>
            <w:tcW w:type="dxa" w:w="3485"/>
            <w:vAlign w:val="center"/>
            <w:tcMar>
              <w:top w:w="55" w:type="dxa"/>
              <w:start w:w="65" w:type="dxa"/>
              <w:bottom w:w="55" w:type="dxa"/>
              <w:end w:w="65" w:type="dxa"/>
            </w:tcMar>
          </w:tcPr>
          <w:p>
            <w:pPr>
              <w:spacing w:after="0"/>
            </w:pPr>
            <w:r>
              <w:rPr>
                <w:sz w:val="16"/>
              </w:rPr>
              <w:t>Incorrect. A vendor privacy policy does not replace the clinician’s consent, professional disclosure, risk, and emergency-resource duties.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Obtain a general release allowing disclosure to any emergency resource.</w:t>
            </w:r>
          </w:p>
        </w:tc>
        <w:tc>
          <w:tcPr>
            <w:tcW w:type="dxa" w:w="3485"/>
            <w:vAlign w:val="center"/>
            <w:tcMar>
              <w:top w:w="55" w:type="dxa"/>
              <w:start w:w="65" w:type="dxa"/>
              <w:bottom w:w="55" w:type="dxa"/>
              <w:end w:w="65" w:type="dxa"/>
            </w:tcMar>
          </w:tcPr>
          <w:p>
            <w:pPr>
              <w:spacing w:after="0"/>
            </w:pPr>
            <w:r>
              <w:rPr>
                <w:sz w:val="16"/>
              </w:rPr>
              <w:t>Incorrect. A broad emergency release is not a substitute for informed consent and location-specific emergency planning.</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Wait until the first crisis to identify local emergency resources.</w:t>
            </w:r>
          </w:p>
        </w:tc>
        <w:tc>
          <w:tcPr>
            <w:tcW w:type="dxa" w:w="3485"/>
            <w:vAlign w:val="center"/>
            <w:tcMar>
              <w:top w:w="55" w:type="dxa"/>
              <w:start w:w="65" w:type="dxa"/>
              <w:bottom w:w="55" w:type="dxa"/>
              <w:end w:w="65" w:type="dxa"/>
            </w:tcMar>
          </w:tcPr>
          <w:p>
            <w:pPr>
              <w:spacing w:after="0"/>
            </w:pPr>
            <w:r>
              <w:rPr>
                <w:sz w:val="16"/>
              </w:rPr>
              <w:t>Incorrect. Emergency resources should be identified at initiation, not postponed until a crisis.</w:t>
            </w:r>
          </w:p>
        </w:tc>
      </w:tr>
    </w:tbl>
    <w:p>
      <w:pPr>
        <w:pStyle w:val="Heading2"/>
      </w:pPr>
      <w:r>
        <w:t>Why the Key Controls</w:t>
      </w:r>
    </w:p>
    <w:p>
      <w:r>
        <w:t>At initiation of telehealth, the clinician must obtain informed consent, explain telehealth risks and limitations, provide the license or registration type and number, and document reasonable efforts to identify relevant emergency resources in the client’s area.</w:t>
      </w:r>
    </w:p>
    <w:p>
      <w:pPr>
        <w:pStyle w:val="Heading2"/>
      </w:pPr>
      <w:r>
        <w:t>CTA Exam Strategy</w:t>
      </w:r>
    </w:p>
    <w:p>
      <w:r>
        <w:t>Telehealth initiation questions test consent, risks/limits, professional identity, and local emergency-resource planning.</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Telehealth initiation requirements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TELEHEALTH-INITIATION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CCR 1815.5(c); BPC 2290.5</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38 - Controlled Rationale</w:t>
      </w:r>
    </w:p>
    <w:p>
      <w:r>
        <w:rPr>
          <w:b/>
        </w:rPr>
        <w:t xml:space="preserve">Item ID: </w:t>
      </w:r>
      <w:r>
        <w:t>CTA-EP-002-CUM-A-038</w:t>
      </w:r>
    </w:p>
    <w:p>
      <w:r>
        <w:rPr>
          <w:b/>
        </w:rPr>
        <w:t xml:space="preserve">Stem: </w:t>
      </w:r>
      <w:r>
        <w:t>Which statement BEST reflects an ASW’s responsibility for public professional status?</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An ASW may use “Licensed Clinical Social Worker” after passing the Law and Ethics Examination.</w:t>
            </w:r>
          </w:p>
        </w:tc>
        <w:tc>
          <w:tcPr>
            <w:tcW w:type="dxa" w:w="3485"/>
            <w:vAlign w:val="center"/>
            <w:tcMar>
              <w:top w:w="55" w:type="dxa"/>
              <w:start w:w="65" w:type="dxa"/>
              <w:bottom w:w="55" w:type="dxa"/>
              <w:end w:w="65" w:type="dxa"/>
            </w:tcMar>
          </w:tcPr>
          <w:p>
            <w:pPr>
              <w:spacing w:after="0"/>
            </w:pPr>
            <w:r>
              <w:rPr>
                <w:sz w:val="16"/>
              </w:rPr>
              <w:t>Incorrect. Passing the Law and Ethics Examination does not make an ASW a Licensed Clinical Social Worker.</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An employer’s marketing department is solely responsible for correcting an inaccurate ASW profile.</w:t>
            </w:r>
          </w:p>
        </w:tc>
        <w:tc>
          <w:tcPr>
            <w:tcW w:type="dxa" w:w="3485"/>
            <w:vAlign w:val="center"/>
            <w:tcMar>
              <w:top w:w="55" w:type="dxa"/>
              <w:start w:w="65" w:type="dxa"/>
              <w:bottom w:w="55" w:type="dxa"/>
              <w:end w:w="65" w:type="dxa"/>
            </w:tcMar>
          </w:tcPr>
          <w:p>
            <w:pPr>
              <w:spacing w:after="0"/>
            </w:pPr>
            <w:r>
              <w:rPr>
                <w:sz w:val="16"/>
              </w:rPr>
              <w:t>Incorrect. The employer may have responsibility, but the ASW also must act to correct a public misrepresentation.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An ASW may describe independent practice when a supervisor is available by telephone.</w:t>
            </w:r>
          </w:p>
        </w:tc>
        <w:tc>
          <w:tcPr>
            <w:tcW w:type="dxa" w:w="3485"/>
            <w:vAlign w:val="center"/>
            <w:tcMar>
              <w:top w:w="55" w:type="dxa"/>
              <w:start w:w="65" w:type="dxa"/>
              <w:bottom w:w="55" w:type="dxa"/>
              <w:end w:w="65" w:type="dxa"/>
            </w:tcMar>
          </w:tcPr>
          <w:p>
            <w:pPr>
              <w:spacing w:after="0"/>
            </w:pPr>
            <w:r>
              <w:rPr>
                <w:sz w:val="16"/>
              </w:rPr>
              <w:t>Incorrect. Supervisor availability does not authorize the ASW to advertise independent licensed practice.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An ASW must accurately represent the registered, unlicensed, supervised status and take reasonable steps to correct public misrepresentation even when an employer created the advertisement.</w:t>
            </w:r>
          </w:p>
        </w:tc>
        <w:tc>
          <w:tcPr>
            <w:tcW w:type="dxa" w:w="3485"/>
            <w:shd w:fill="EAF7F7"/>
            <w:vAlign w:val="center"/>
            <w:tcMar>
              <w:top w:w="55" w:type="dxa"/>
              <w:start w:w="65" w:type="dxa"/>
              <w:bottom w:w="55" w:type="dxa"/>
              <w:end w:w="65" w:type="dxa"/>
            </w:tcMar>
          </w:tcPr>
          <w:p>
            <w:pPr>
              <w:spacing w:after="0"/>
            </w:pPr>
            <w:r>
              <w:rPr>
                <w:sz w:val="16"/>
              </w:rPr>
              <w:t>Correct. This option states the associate’s status and corrective responsibility.</w:t>
            </w:r>
          </w:p>
        </w:tc>
      </w:tr>
    </w:tbl>
    <w:p>
      <w:pPr>
        <w:pStyle w:val="Heading2"/>
      </w:pPr>
      <w:r>
        <w:t>Why the Key Controls</w:t>
      </w:r>
    </w:p>
    <w:p>
      <w:r>
        <w:t>An ASW must represent registered, unlicensed, supervised status accurately and take reasonable steps to correct misleading public information. Passing one examination or having telephone access to a supervisor does not create licensure or independent practice authority.</w:t>
      </w:r>
    </w:p>
    <w:p>
      <w:pPr>
        <w:pStyle w:val="Heading2"/>
      </w:pPr>
      <w:r>
        <w:t>CTA Exam Strategy</w:t>
      </w:r>
    </w:p>
    <w:p>
      <w:r>
        <w:t>Status questions turn on the actual registration or license—not exams passed, employer wording, or supervisor availability.</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Accurate ASW status representation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Foundational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LCSW/ASW License-Specific Module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ASW-STATUS-ADVERTISING</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BPC 4996, 4996.18; CCR 1811 operative April 1, 2026</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39 - Controlled Rationale</w:t>
      </w:r>
    </w:p>
    <w:p>
      <w:r>
        <w:rPr>
          <w:b/>
        </w:rPr>
        <w:t xml:space="preserve">Item ID: </w:t>
      </w:r>
      <w:r>
        <w:t>CTA-EP-002-CUM-A-039</w:t>
      </w:r>
    </w:p>
    <w:p>
      <w:r>
        <w:rPr>
          <w:b/>
        </w:rPr>
        <w:t xml:space="preserve">Stem: </w:t>
      </w:r>
      <w:r>
        <w:t>A new MSW graduate begins postdegree clinical work before an ASW number is issued. Which statement is accurate?</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California experience generally requires an active ASW registration unless the graduate satisfies the specific statutory 90-day exception.</w:t>
            </w:r>
          </w:p>
        </w:tc>
        <w:tc>
          <w:tcPr>
            <w:tcW w:type="dxa" w:w="3485"/>
            <w:shd w:fill="EAF7F7"/>
            <w:vAlign w:val="center"/>
            <w:tcMar>
              <w:top w:w="55" w:type="dxa"/>
              <w:start w:w="65" w:type="dxa"/>
              <w:bottom w:w="55" w:type="dxa"/>
              <w:end w:w="65" w:type="dxa"/>
            </w:tcMar>
          </w:tcPr>
          <w:p>
            <w:pPr>
              <w:spacing w:after="0"/>
            </w:pPr>
            <w:r>
              <w:rPr>
                <w:sz w:val="16"/>
              </w:rPr>
              <w:t>Correct. This option states the registration rule and recognizes the limited statutory exception.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All postdegree work counts as long as an LCSW later signs the verification form.</w:t>
            </w:r>
          </w:p>
        </w:tc>
        <w:tc>
          <w:tcPr>
            <w:tcW w:type="dxa" w:w="3485"/>
            <w:vAlign w:val="center"/>
            <w:tcMar>
              <w:top w:w="55" w:type="dxa"/>
              <w:start w:w="65" w:type="dxa"/>
              <w:bottom w:w="55" w:type="dxa"/>
              <w:end w:w="65" w:type="dxa"/>
            </w:tcMar>
          </w:tcPr>
          <w:p>
            <w:pPr>
              <w:spacing w:after="0"/>
            </w:pPr>
            <w:r>
              <w:rPr>
                <w:sz w:val="16"/>
              </w:rPr>
              <w:t>Incorrect. A supervisor’s later verification cannot cure experience gained without the required registration or exception.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Employer approval replaces registration during the first six months after graduation.</w:t>
            </w:r>
          </w:p>
        </w:tc>
        <w:tc>
          <w:tcPr>
            <w:tcW w:type="dxa" w:w="3485"/>
            <w:vAlign w:val="center"/>
            <w:tcMar>
              <w:top w:w="55" w:type="dxa"/>
              <w:start w:w="65" w:type="dxa"/>
              <w:bottom w:w="55" w:type="dxa"/>
              <w:end w:w="65" w:type="dxa"/>
            </w:tcMar>
          </w:tcPr>
          <w:p>
            <w:pPr>
              <w:spacing w:after="0"/>
            </w:pPr>
            <w:r>
              <w:rPr>
                <w:sz w:val="16"/>
              </w:rPr>
              <w:t>Incorrect. Employer approval is not a substitute for Board registration.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Experience before registration always counts when the graduate works in a nonprofit agency.</w:t>
            </w:r>
          </w:p>
        </w:tc>
        <w:tc>
          <w:tcPr>
            <w:tcW w:type="dxa" w:w="3485"/>
            <w:vAlign w:val="center"/>
            <w:tcMar>
              <w:top w:w="55" w:type="dxa"/>
              <w:start w:w="65" w:type="dxa"/>
              <w:bottom w:w="55" w:type="dxa"/>
              <w:end w:w="65" w:type="dxa"/>
            </w:tcMar>
          </w:tcPr>
          <w:p>
            <w:pPr>
              <w:spacing w:after="0"/>
            </w:pPr>
            <w:r>
              <w:rPr>
                <w:sz w:val="16"/>
              </w:rPr>
              <w:t>Incorrect. Nonprofit employment does not automatically make pre-registration experience count.</w:t>
            </w:r>
          </w:p>
        </w:tc>
      </w:tr>
    </w:tbl>
    <w:p>
      <w:pPr>
        <w:pStyle w:val="Heading2"/>
      </w:pPr>
      <w:r>
        <w:t>Why the Key Controls</w:t>
      </w:r>
    </w:p>
    <w:p>
      <w:r>
        <w:t>California postdegree experience generally requires an active ASW registration unless the graduate satisfies the specific statutory 90-day exception. Employer approval and later supervisor signatures cannot create eligibility retroactively.</w:t>
      </w:r>
    </w:p>
    <w:p>
      <w:pPr>
        <w:pStyle w:val="Heading2"/>
      </w:pPr>
      <w:r>
        <w:t>CTA Exam Strategy</w:t>
      </w:r>
    </w:p>
    <w:p>
      <w:r>
        <w:t>For experience questions, verify active registration, exact exception, dates, setting, and documentation before counting hours.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Registration required to accrue experience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LCSW/ASW License-Specific Module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ASW-REGISTRATION-EXPERIENCE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BPC 4996.18 and 4996.23; BBS LCSW applicant guidance</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40 - Controlled Rationale</w:t>
      </w:r>
    </w:p>
    <w:p>
      <w:r>
        <w:rPr>
          <w:b/>
        </w:rPr>
        <w:t xml:space="preserve">Item ID: </w:t>
      </w:r>
      <w:r>
        <w:t>CTA-EP-002-CUM-A-040</w:t>
      </w:r>
    </w:p>
    <w:p>
      <w:r>
        <w:rPr>
          <w:b/>
        </w:rPr>
        <w:t xml:space="preserve">Stem: </w:t>
      </w:r>
      <w:r>
        <w:t>After legal review, an LCSW determines that a valid court order requires disclosure of specified treatment dates and attendance information. What should the LCSW do?</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Disclose the information required by the order, limit the disclosure to its lawful scope, document the response, and protect unrelated confidential information.</w:t>
            </w:r>
          </w:p>
        </w:tc>
        <w:tc>
          <w:tcPr>
            <w:tcW w:type="dxa" w:w="3485"/>
            <w:shd w:fill="EAF7F7"/>
            <w:vAlign w:val="center"/>
            <w:tcMar>
              <w:top w:w="55" w:type="dxa"/>
              <w:start w:w="65" w:type="dxa"/>
              <w:bottom w:w="55" w:type="dxa"/>
              <w:end w:w="65" w:type="dxa"/>
            </w:tcMar>
          </w:tcPr>
          <w:p>
            <w:pPr>
              <w:spacing w:after="0"/>
            </w:pPr>
            <w:r>
              <w:rPr>
                <w:sz w:val="16"/>
              </w:rPr>
              <w:t>Correct. This answer follows the valid order while limiting disclosure and protecting unrelated information.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Release the complete record because the court has shown interest in the case.</w:t>
            </w:r>
          </w:p>
        </w:tc>
        <w:tc>
          <w:tcPr>
            <w:tcW w:type="dxa" w:w="3485"/>
            <w:vAlign w:val="center"/>
            <w:tcMar>
              <w:top w:w="55" w:type="dxa"/>
              <w:start w:w="65" w:type="dxa"/>
              <w:bottom w:w="55" w:type="dxa"/>
              <w:end w:w="65" w:type="dxa"/>
            </w:tcMar>
          </w:tcPr>
          <w:p>
            <w:pPr>
              <w:spacing w:after="0"/>
            </w:pPr>
            <w:r>
              <w:rPr>
                <w:sz w:val="16"/>
              </w:rPr>
              <w:t>Incorrect. The court’s interest does not expand a narrow order into the entire record.</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Refuse all disclosure because confidentiality is absolute.</w:t>
            </w:r>
          </w:p>
        </w:tc>
        <w:tc>
          <w:tcPr>
            <w:tcW w:type="dxa" w:w="3485"/>
            <w:vAlign w:val="center"/>
            <w:tcMar>
              <w:top w:w="55" w:type="dxa"/>
              <w:start w:w="65" w:type="dxa"/>
              <w:bottom w:w="55" w:type="dxa"/>
              <w:end w:w="65" w:type="dxa"/>
            </w:tcMar>
          </w:tcPr>
          <w:p>
            <w:pPr>
              <w:spacing w:after="0"/>
            </w:pPr>
            <w:r>
              <w:rPr>
                <w:sz w:val="16"/>
              </w:rPr>
              <w:t>Incorrect. Confidentiality is not absolute when a valid legal order requires specified disclosure.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Provide additional clinical opinions not requested so the court understands the client.</w:t>
            </w:r>
          </w:p>
        </w:tc>
        <w:tc>
          <w:tcPr>
            <w:tcW w:type="dxa" w:w="3485"/>
            <w:vAlign w:val="center"/>
            <w:tcMar>
              <w:top w:w="55" w:type="dxa"/>
              <w:start w:w="65" w:type="dxa"/>
              <w:bottom w:w="55" w:type="dxa"/>
              <w:end w:w="65" w:type="dxa"/>
            </w:tcMar>
          </w:tcPr>
          <w:p>
            <w:pPr>
              <w:spacing w:after="0"/>
            </w:pPr>
            <w:r>
              <w:rPr>
                <w:sz w:val="16"/>
              </w:rPr>
              <w:t>Incorrect. Extra opinions exceed the order and may be unsupported, harmful, or outside the clinician’s role.</w:t>
            </w:r>
          </w:p>
        </w:tc>
      </w:tr>
    </w:tbl>
    <w:p>
      <w:pPr>
        <w:pStyle w:val="Heading2"/>
      </w:pPr>
      <w:r>
        <w:t>Why the Key Controls</w:t>
      </w:r>
    </w:p>
    <w:p>
      <w:r>
        <w:t>When legal review confirms a valid order, the LCSW should comply with the order’s lawful scope, document the response, and continue protecting unrelated confidential material. A court’s involvement does not authorize unlimited disclosure.</w:t>
      </w:r>
    </w:p>
    <w:p>
      <w:pPr>
        <w:pStyle w:val="Heading2"/>
      </w:pPr>
      <w:r>
        <w:t>CTA Exam Strategy</w:t>
      </w:r>
    </w:p>
    <w:p>
      <w:r>
        <w:t>Court-order questions require compliance with the actual scope—no less and no more—plus documentation.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Court order and limited disclosure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COURT-ORDER-SCOPE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confidentiality/privilege law; NASW 1.07</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41 - Controlled Rationale</w:t>
      </w:r>
    </w:p>
    <w:p>
      <w:r>
        <w:rPr>
          <w:b/>
        </w:rPr>
        <w:t xml:space="preserve">Item ID: </w:t>
      </w:r>
      <w:r>
        <w:t>CTA-EP-002-CUM-A-041</w:t>
      </w:r>
    </w:p>
    <w:p>
      <w:r>
        <w:rPr>
          <w:b/>
        </w:rPr>
        <w:t xml:space="preserve">Stem: </w:t>
      </w:r>
      <w:r>
        <w:t>Which response BEST supports client self-determination?</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Provide understandable information and meaningful options, explore the client’s goals, and explain actual legal, safety, resource, and third-party limits.</w:t>
            </w:r>
          </w:p>
        </w:tc>
        <w:tc>
          <w:tcPr>
            <w:tcW w:type="dxa" w:w="3485"/>
            <w:shd w:fill="EAF7F7"/>
            <w:vAlign w:val="center"/>
            <w:tcMar>
              <w:top w:w="55" w:type="dxa"/>
              <w:start w:w="65" w:type="dxa"/>
              <w:bottom w:w="55" w:type="dxa"/>
              <w:end w:w="65" w:type="dxa"/>
            </w:tcMar>
          </w:tcPr>
          <w:p>
            <w:pPr>
              <w:spacing w:after="0"/>
            </w:pPr>
            <w:r>
              <w:rPr>
                <w:sz w:val="16"/>
              </w:rPr>
              <w:t>Correct. This option preserves informed participation while making real limits visible.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Withhold difficult information so the client is not overwhelmed.</w:t>
            </w:r>
          </w:p>
        </w:tc>
        <w:tc>
          <w:tcPr>
            <w:tcW w:type="dxa" w:w="3485"/>
            <w:vAlign w:val="center"/>
            <w:tcMar>
              <w:top w:w="55" w:type="dxa"/>
              <w:start w:w="65" w:type="dxa"/>
              <w:bottom w:w="55" w:type="dxa"/>
              <w:end w:w="65" w:type="dxa"/>
            </w:tcMar>
          </w:tcPr>
          <w:p>
            <w:pPr>
              <w:spacing w:after="0"/>
            </w:pPr>
            <w:r>
              <w:rPr>
                <w:sz w:val="16"/>
              </w:rPr>
              <w:t>Incorrect. Withholding important information prevents informed choice and substitutes clinician judgment.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Choose the plan the clinician believes is healthiest regardless of the client’s informed preference.</w:t>
            </w:r>
          </w:p>
        </w:tc>
        <w:tc>
          <w:tcPr>
            <w:tcW w:type="dxa" w:w="3485"/>
            <w:vAlign w:val="center"/>
            <w:tcMar>
              <w:top w:w="55" w:type="dxa"/>
              <w:start w:w="65" w:type="dxa"/>
              <w:bottom w:w="55" w:type="dxa"/>
              <w:end w:w="65" w:type="dxa"/>
            </w:tcMar>
          </w:tcPr>
          <w:p>
            <w:pPr>
              <w:spacing w:after="0"/>
            </w:pPr>
            <w:r>
              <w:rPr>
                <w:sz w:val="16"/>
              </w:rPr>
              <w:t>Incorrect. Selecting the clinician’s preferred plan over an informed client choice undermines self-determination.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Agree to every client request even when it is unlawful or unsafe.</w:t>
            </w:r>
          </w:p>
        </w:tc>
        <w:tc>
          <w:tcPr>
            <w:tcW w:type="dxa" w:w="3485"/>
            <w:vAlign w:val="center"/>
            <w:tcMar>
              <w:top w:w="55" w:type="dxa"/>
              <w:start w:w="65" w:type="dxa"/>
              <w:bottom w:w="55" w:type="dxa"/>
              <w:end w:w="65" w:type="dxa"/>
            </w:tcMar>
          </w:tcPr>
          <w:p>
            <w:pPr>
              <w:spacing w:after="0"/>
            </w:pPr>
            <w:r>
              <w:rPr>
                <w:sz w:val="16"/>
              </w:rPr>
              <w:t>Incorrect. Self-determination has lawful, safety, competence, resource, and third-party limits.</w:t>
            </w:r>
          </w:p>
        </w:tc>
      </w:tr>
    </w:tbl>
    <w:p>
      <w:pPr>
        <w:pStyle w:val="Heading2"/>
      </w:pPr>
      <w:r>
        <w:t>Why the Key Controls</w:t>
      </w:r>
    </w:p>
    <w:p>
      <w:r>
        <w:t>Self-determination is supported by understandable information, meaningful alternatives, exploration of the client’s goals, and honest explanation of real constraints. It is neither paternalistic withholding nor automatic agreement with every request.</w:t>
      </w:r>
    </w:p>
    <w:p>
      <w:pPr>
        <w:pStyle w:val="Heading2"/>
      </w:pPr>
      <w:r>
        <w:t>CTA Exam Strategy</w:t>
      </w:r>
    </w:p>
    <w:p>
      <w:r>
        <w:t>Choose the response that maximizes informed participation and options while stating actual limits clearly.</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Client self-determination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Foundational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WB7 - Cultural Humility, Bias, and Diverse Populations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SELF-DETERMINATION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1.02</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42 - Controlled Rationale</w:t>
      </w:r>
    </w:p>
    <w:p>
      <w:r>
        <w:rPr>
          <w:b/>
        </w:rPr>
        <w:t xml:space="preserve">Item ID: </w:t>
      </w:r>
      <w:r>
        <w:t>CTA-EP-002-CUM-A-042</w:t>
      </w:r>
    </w:p>
    <w:p>
      <w:r>
        <w:rPr>
          <w:b/>
        </w:rPr>
        <w:t xml:space="preserve">Stem: </w:t>
      </w:r>
      <w:r>
        <w:t>A private practice hires an ASW as a W-2 employee but requires the ASW to pay monthly office rent and a share of the practice’s billing and administrative overhead as a condition of gaining experience. Which analysis is correct?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The arrangement is lawful because W-2 status cures every financial restriction.</w:t>
            </w:r>
          </w:p>
        </w:tc>
        <w:tc>
          <w:tcPr>
            <w:tcW w:type="dxa" w:w="3485"/>
            <w:vAlign w:val="center"/>
            <w:tcMar>
              <w:top w:w="55" w:type="dxa"/>
              <w:start w:w="65" w:type="dxa"/>
              <w:bottom w:w="55" w:type="dxa"/>
              <w:end w:w="65" w:type="dxa"/>
            </w:tcMar>
          </w:tcPr>
          <w:p>
            <w:pPr>
              <w:spacing w:after="0"/>
            </w:pPr>
            <w:r>
              <w:rPr>
                <w:sz w:val="16"/>
              </w:rPr>
              <w:t>Incorrect. W-2 status addresses employment classification but does not erase separate financial and proprietary restrictions.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The arrangement is lawful if the charges are deducted after payroll taxes.</w:t>
            </w:r>
          </w:p>
        </w:tc>
        <w:tc>
          <w:tcPr>
            <w:tcW w:type="dxa" w:w="3485"/>
            <w:vAlign w:val="center"/>
            <w:tcMar>
              <w:top w:w="55" w:type="dxa"/>
              <w:start w:w="65" w:type="dxa"/>
              <w:bottom w:w="55" w:type="dxa"/>
              <w:end w:w="65" w:type="dxa"/>
            </w:tcMar>
          </w:tcPr>
          <w:p>
            <w:pPr>
              <w:spacing w:after="0"/>
            </w:pPr>
            <w:r>
              <w:rPr>
                <w:sz w:val="16"/>
              </w:rPr>
              <w:t>Incorrect. A payroll deduction does not make a prohibited rent or employer-overhead arrangement lawful.</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The arrangement is lawful if the ASW signs a separate business agreement.</w:t>
            </w:r>
          </w:p>
        </w:tc>
        <w:tc>
          <w:tcPr>
            <w:tcW w:type="dxa" w:w="3485"/>
            <w:vAlign w:val="center"/>
            <w:tcMar>
              <w:top w:w="55" w:type="dxa"/>
              <w:start w:w="65" w:type="dxa"/>
              <w:bottom w:w="55" w:type="dxa"/>
              <w:end w:w="65" w:type="dxa"/>
            </w:tcMar>
          </w:tcPr>
          <w:p>
            <w:pPr>
              <w:spacing w:after="0"/>
            </w:pPr>
            <w:r>
              <w:rPr>
                <w:sz w:val="16"/>
              </w:rPr>
              <w:t>Incorrect. A private agreement cannot waive statutory supervised-experience protections.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The W-2 label does not cure prohibited financial or proprietary arrangements; the practice must remove requirements that the ASW rent space or pay the employer’s business obligations to gain experience.</w:t>
            </w:r>
          </w:p>
        </w:tc>
        <w:tc>
          <w:tcPr>
            <w:tcW w:type="dxa" w:w="3485"/>
            <w:shd w:fill="EAF7F7"/>
            <w:vAlign w:val="center"/>
            <w:tcMar>
              <w:top w:w="55" w:type="dxa"/>
              <w:start w:w="65" w:type="dxa"/>
              <w:bottom w:w="55" w:type="dxa"/>
              <w:end w:w="65" w:type="dxa"/>
            </w:tcMar>
          </w:tcPr>
          <w:p>
            <w:pPr>
              <w:spacing w:after="0"/>
            </w:pPr>
            <w:r>
              <w:rPr>
                <w:sz w:val="16"/>
              </w:rPr>
              <w:t>Correct. The practice must remove requirements that the ASW rent space or pay the employer’s business obligations as a condition of gaining experience.</w:t>
            </w:r>
          </w:p>
        </w:tc>
      </w:tr>
    </w:tbl>
    <w:p>
      <w:pPr>
        <w:pStyle w:val="Heading2"/>
      </w:pPr>
      <w:r>
        <w:t>Why the Key Controls</w:t>
      </w:r>
    </w:p>
    <w:p>
      <w:r>
        <w:t>W-2 employment is necessary in many ASW settings but does not cure prohibited rent, overhead, proprietary, or employer-obligation arrangements. The financial structure must be corrected before it is treated as compliant supervised experience.</w:t>
      </w:r>
    </w:p>
    <w:p>
      <w:pPr>
        <w:pStyle w:val="Heading2"/>
      </w:pPr>
      <w:r>
        <w:t>CTA Exam Strategy</w:t>
      </w:r>
    </w:p>
    <w:p>
      <w:r>
        <w:t>Do not stop the analysis after seeing W-2 status. Check rent, overhead, proprietary interest, remuneration, setting, and supervision as separate structural controls.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ASW financial and proprietary restrictions despite W-2 status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WB3 - Professional Competence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ASW-FINANCIAL-STRUCTURE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BPC 4996.23.2; BBS ASW supervision guidance</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43 - Controlled Rationale</w:t>
      </w:r>
    </w:p>
    <w:p>
      <w:r>
        <w:rPr>
          <w:b/>
        </w:rPr>
        <w:t xml:space="preserve">Item ID: </w:t>
      </w:r>
      <w:r>
        <w:t>CTA-EP-002-CUM-A-043</w:t>
      </w:r>
    </w:p>
    <w:p>
      <w:r>
        <w:rPr>
          <w:b/>
        </w:rPr>
        <w:t xml:space="preserve">Stem: </w:t>
      </w:r>
      <w:r>
        <w:t>One week after conjoint treatment ends, the former couple asks the LCSW to serve as their paid mediator in a property dispute and to use information learned in therapy. Which response is BEST?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Accept because termination ended all confidentiality and role concerns.</w:t>
            </w:r>
          </w:p>
        </w:tc>
        <w:tc>
          <w:tcPr>
            <w:tcW w:type="dxa" w:w="3485"/>
            <w:vAlign w:val="center"/>
            <w:tcMar>
              <w:top w:w="55" w:type="dxa"/>
              <w:start w:w="65" w:type="dxa"/>
              <w:bottom w:w="55" w:type="dxa"/>
              <w:end w:w="65" w:type="dxa"/>
            </w:tcMar>
          </w:tcPr>
          <w:p>
            <w:pPr>
              <w:spacing w:after="0"/>
            </w:pPr>
            <w:r>
              <w:rPr>
                <w:sz w:val="16"/>
              </w:rPr>
              <w:t>Incorrect. Termination does not erase confidentiality, influence, knowledge gained in treatment, or role-conflict concerns.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Accept if both former clients sign a general consent form.</w:t>
            </w:r>
          </w:p>
        </w:tc>
        <w:tc>
          <w:tcPr>
            <w:tcW w:type="dxa" w:w="3485"/>
            <w:vAlign w:val="center"/>
            <w:tcMar>
              <w:top w:w="55" w:type="dxa"/>
              <w:start w:w="65" w:type="dxa"/>
              <w:bottom w:w="55" w:type="dxa"/>
              <w:end w:w="65" w:type="dxa"/>
            </w:tcMar>
          </w:tcPr>
          <w:p>
            <w:pPr>
              <w:spacing w:after="0"/>
            </w:pPr>
            <w:r>
              <w:rPr>
                <w:sz w:val="16"/>
              </w:rPr>
              <w:t>Incorrect. General consent does not create mediator neutrality or remove competing loyalties and misuse-of-information risks.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Decline the mediator role and offer an independent referral because recent treatment, confidential information, competing loyalties, and neutrality concerns make the role unsafe.</w:t>
            </w:r>
          </w:p>
        </w:tc>
        <w:tc>
          <w:tcPr>
            <w:tcW w:type="dxa" w:w="3485"/>
            <w:shd w:fill="EAF7F7"/>
            <w:vAlign w:val="center"/>
            <w:tcMar>
              <w:top w:w="55" w:type="dxa"/>
              <w:start w:w="65" w:type="dxa"/>
              <w:bottom w:w="55" w:type="dxa"/>
              <w:end w:w="65" w:type="dxa"/>
            </w:tcMar>
          </w:tcPr>
          <w:p>
            <w:pPr>
              <w:spacing w:after="0"/>
            </w:pPr>
            <w:r>
              <w:rPr>
                <w:sz w:val="16"/>
              </w:rPr>
              <w:t>Correct. An independent referral protects confidentiality, neutrality, and the integrity of both the former treatment and proposed dispute process.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Accept after destroying the treatment notes so the mediation remains separate.</w:t>
            </w:r>
          </w:p>
        </w:tc>
        <w:tc>
          <w:tcPr>
            <w:tcW w:type="dxa" w:w="3485"/>
            <w:vAlign w:val="center"/>
            <w:tcMar>
              <w:top w:w="55" w:type="dxa"/>
              <w:start w:w="65" w:type="dxa"/>
              <w:bottom w:w="55" w:type="dxa"/>
              <w:end w:w="65" w:type="dxa"/>
            </w:tcMar>
          </w:tcPr>
          <w:p>
            <w:pPr>
              <w:spacing w:after="0"/>
            </w:pPr>
            <w:r>
              <w:rPr>
                <w:sz w:val="16"/>
              </w:rPr>
              <w:t>Incorrect. Destroying treatment records would not cure the conflict and could violate record obligations.</w:t>
            </w:r>
          </w:p>
        </w:tc>
      </w:tr>
    </w:tbl>
    <w:p>
      <w:pPr>
        <w:pStyle w:val="Heading2"/>
      </w:pPr>
      <w:r>
        <w:t>Why the Key Controls</w:t>
      </w:r>
    </w:p>
    <w:p>
      <w:r>
        <w:t>A rapid shift from conjoint therapist to paid mediator would use confidential treatment information in a role requiring neutrality between former clients with competing interests. The LCSW should decline and offer an independent referral.</w:t>
      </w:r>
    </w:p>
    <w:p>
      <w:pPr>
        <w:pStyle w:val="Heading2"/>
      </w:pPr>
      <w:r>
        <w:t>CTA Exam Strategy</w:t>
      </w:r>
    </w:p>
    <w:p>
      <w:r>
        <w:t>When a new professional role follows closely after treatment, examine confidentiality, residual influence, competing loyalties, neutrality, and whether an independent professional is required.</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Post-treatment role conversion and mediator neutrality</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POST-TREATMENT-ROLE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1.06, 1.07; California professional-boundary standards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44 - Controlled Rationale</w:t>
      </w:r>
    </w:p>
    <w:p>
      <w:r>
        <w:rPr>
          <w:b/>
        </w:rPr>
        <w:t xml:space="preserve">Item ID: </w:t>
      </w:r>
      <w:r>
        <w:t>CTA-EP-002-CUM-A-044</w:t>
      </w:r>
    </w:p>
    <w:p>
      <w:r>
        <w:rPr>
          <w:b/>
        </w:rPr>
        <w:t xml:space="preserve">Stem: </w:t>
      </w:r>
      <w:r>
        <w:t>An encrypted agency laptop containing client records is lost during travel. The LCSW can remotely disable it. What should occur FIRST?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Wait 24 hours in case the laptop is returned.</w:t>
            </w:r>
          </w:p>
        </w:tc>
        <w:tc>
          <w:tcPr>
            <w:tcW w:type="dxa" w:w="3485"/>
            <w:vAlign w:val="center"/>
            <w:tcMar>
              <w:top w:w="55" w:type="dxa"/>
              <w:start w:w="65" w:type="dxa"/>
              <w:bottom w:w="55" w:type="dxa"/>
              <w:end w:w="65" w:type="dxa"/>
            </w:tcMar>
          </w:tcPr>
          <w:p>
            <w:pPr>
              <w:spacing w:after="0"/>
            </w:pPr>
            <w:r>
              <w:rPr>
                <w:sz w:val="16"/>
              </w:rPr>
              <w:t>Incorrect. Waiting may allow access or reduce the ability to contain and investigate the incident.</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Use available remote security controls and notify the appropriate privacy or organizational response personnel so the incident can be assessed and managed.</w:t>
            </w:r>
          </w:p>
        </w:tc>
        <w:tc>
          <w:tcPr>
            <w:tcW w:type="dxa" w:w="3485"/>
            <w:shd w:fill="EAF7F7"/>
            <w:vAlign w:val="center"/>
            <w:tcMar>
              <w:top w:w="55" w:type="dxa"/>
              <w:start w:w="65" w:type="dxa"/>
              <w:bottom w:w="55" w:type="dxa"/>
              <w:end w:w="65" w:type="dxa"/>
            </w:tcMar>
          </w:tcPr>
          <w:p>
            <w:pPr>
              <w:spacing w:after="0"/>
            </w:pPr>
            <w:r>
              <w:rPr>
                <w:sz w:val="16"/>
              </w:rPr>
              <w:t>Correct. This choice immediately limits access and triggers proper assessment and management.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Post the client list online so clients can contact the agency.</w:t>
            </w:r>
          </w:p>
        </w:tc>
        <w:tc>
          <w:tcPr>
            <w:tcW w:type="dxa" w:w="3485"/>
            <w:vAlign w:val="center"/>
            <w:tcMar>
              <w:top w:w="55" w:type="dxa"/>
              <w:start w:w="65" w:type="dxa"/>
              <w:bottom w:w="55" w:type="dxa"/>
              <w:end w:w="65" w:type="dxa"/>
            </w:tcMar>
          </w:tcPr>
          <w:p>
            <w:pPr>
              <w:spacing w:after="0"/>
            </w:pPr>
            <w:r>
              <w:rPr>
                <w:sz w:val="16"/>
              </w:rPr>
              <w:t>Incorrect. Posting a client list would create a new and severe disclosure.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Delete the incident from the travel log because the device was encrypted.</w:t>
            </w:r>
          </w:p>
        </w:tc>
        <w:tc>
          <w:tcPr>
            <w:tcW w:type="dxa" w:w="3485"/>
            <w:vAlign w:val="center"/>
            <w:tcMar>
              <w:top w:w="55" w:type="dxa"/>
              <w:start w:w="65" w:type="dxa"/>
              <w:bottom w:w="55" w:type="dxa"/>
              <w:end w:w="65" w:type="dxa"/>
            </w:tcMar>
          </w:tcPr>
          <w:p>
            <w:pPr>
              <w:spacing w:after="0"/>
            </w:pPr>
            <w:r>
              <w:rPr>
                <w:sz w:val="16"/>
              </w:rPr>
              <w:t>Incorrect. Encryption does not eliminate the duty to report, assess, document, and manage the incident.</w:t>
            </w:r>
          </w:p>
        </w:tc>
      </w:tr>
    </w:tbl>
    <w:p>
      <w:pPr>
        <w:pStyle w:val="Heading2"/>
      </w:pPr>
      <w:r>
        <w:t>Why the Key Controls</w:t>
      </w:r>
    </w:p>
    <w:p>
      <w:r>
        <w:t>The first response to a lost device is containment through available remote controls and prompt activation of the organization’s privacy and incident-response process. Encryption is relevant to risk analysis but does not justify silence or delay.</w:t>
      </w:r>
    </w:p>
    <w:p>
      <w:pPr>
        <w:pStyle w:val="Heading2"/>
      </w:pPr>
      <w:r>
        <w:t>CTA Exam Strategy</w:t>
      </w:r>
    </w:p>
    <w:p>
      <w:r>
        <w:t>For lost devices, contain first, then notify, assess, document, and follow the breach-response plan.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Lost device and immediate containment</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LOST-DEVICE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privacy/security law; NASW 1.07, 3.04</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45 - Controlled Rationale</w:t>
      </w:r>
    </w:p>
    <w:p>
      <w:r>
        <w:rPr>
          <w:b/>
        </w:rPr>
        <w:t xml:space="preserve">Item ID: </w:t>
      </w:r>
      <w:r>
        <w:t>CTA-EP-002-CUM-A-045</w:t>
      </w:r>
    </w:p>
    <w:p>
      <w:r>
        <w:rPr>
          <w:b/>
        </w:rPr>
        <w:t xml:space="preserve">Stem: </w:t>
      </w:r>
      <w:r>
        <w:t>An agency director tells an LCSW to document a diagnosis the client does not meet so the client will qualify for housing. The client urgently needs shelter. What is the BEST response?</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Enter the diagnosis because the purpose is beneficent.</w:t>
            </w:r>
          </w:p>
        </w:tc>
        <w:tc>
          <w:tcPr>
            <w:tcW w:type="dxa" w:w="3485"/>
            <w:vAlign w:val="center"/>
            <w:tcMar>
              <w:top w:w="55" w:type="dxa"/>
              <w:start w:w="65" w:type="dxa"/>
              <w:bottom w:w="55" w:type="dxa"/>
              <w:end w:w="65" w:type="dxa"/>
            </w:tcMar>
          </w:tcPr>
          <w:p>
            <w:pPr>
              <w:spacing w:after="0"/>
            </w:pPr>
            <w:r>
              <w:rPr>
                <w:sz w:val="16"/>
              </w:rPr>
              <w:t>Incorrect. Falsification remains dishonest and may harm the client, system, and professional integrity even when intended to help.</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Do not falsify the record; explain the concern, document accurately, and pursue lawful advocacy, consultation, and alternative eligibility routes.</w:t>
            </w:r>
          </w:p>
        </w:tc>
        <w:tc>
          <w:tcPr>
            <w:tcW w:type="dxa" w:w="3485"/>
            <w:shd w:fill="EAF7F7"/>
            <w:vAlign w:val="center"/>
            <w:tcMar>
              <w:top w:w="55" w:type="dxa"/>
              <w:start w:w="65" w:type="dxa"/>
              <w:bottom w:w="55" w:type="dxa"/>
              <w:end w:w="65" w:type="dxa"/>
            </w:tcMar>
          </w:tcPr>
          <w:p>
            <w:pPr>
              <w:spacing w:after="0"/>
            </w:pPr>
            <w:r>
              <w:rPr>
                <w:sz w:val="16"/>
              </w:rPr>
              <w:t>Correct. This answer preserves record integrity while actively pursuing lawful assistance.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Ask the client to choose which diagnosis would be most useful.</w:t>
            </w:r>
          </w:p>
        </w:tc>
        <w:tc>
          <w:tcPr>
            <w:tcW w:type="dxa" w:w="3485"/>
            <w:vAlign w:val="center"/>
            <w:tcMar>
              <w:top w:w="55" w:type="dxa"/>
              <w:start w:w="65" w:type="dxa"/>
              <w:bottom w:w="55" w:type="dxa"/>
              <w:end w:w="65" w:type="dxa"/>
            </w:tcMar>
          </w:tcPr>
          <w:p>
            <w:pPr>
              <w:spacing w:after="0"/>
            </w:pPr>
            <w:r>
              <w:rPr>
                <w:sz w:val="16"/>
              </w:rPr>
              <w:t>Incorrect. The client does not select a diagnosis for administrative advantage; diagnosis must be clinically supported.</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Omit all diagnostic information so the agency cannot question the application.</w:t>
            </w:r>
          </w:p>
        </w:tc>
        <w:tc>
          <w:tcPr>
            <w:tcW w:type="dxa" w:w="3485"/>
            <w:vAlign w:val="center"/>
            <w:tcMar>
              <w:top w:w="55" w:type="dxa"/>
              <w:start w:w="65" w:type="dxa"/>
              <w:bottom w:w="55" w:type="dxa"/>
              <w:end w:w="65" w:type="dxa"/>
            </w:tcMar>
          </w:tcPr>
          <w:p>
            <w:pPr>
              <w:spacing w:after="0"/>
            </w:pPr>
            <w:r>
              <w:rPr>
                <w:sz w:val="16"/>
              </w:rPr>
              <w:t>Incorrect. Omitting all diagnosis may also create an inaccurate or incomplete record and does not solve eligibility lawfully.</w:t>
            </w:r>
          </w:p>
        </w:tc>
      </w:tr>
    </w:tbl>
    <w:p>
      <w:pPr>
        <w:pStyle w:val="Heading2"/>
      </w:pPr>
      <w:r>
        <w:t>Why the Key Controls</w:t>
      </w:r>
    </w:p>
    <w:p>
      <w:r>
        <w:t>Beneficent intent does not justify a false diagnosis. The LCSW should document accurately and pursue lawful advocacy, consultation, and alternative eligibility pathways for the client’s urgent housing need.</w:t>
      </w:r>
    </w:p>
    <w:p>
      <w:pPr>
        <w:pStyle w:val="Heading2"/>
      </w:pPr>
      <w:r>
        <w:t>CTA Exam Strategy</w:t>
      </w:r>
    </w:p>
    <w:p>
      <w:r>
        <w:t>When a system pressures falsification, preserve accuracy and pursue lawful advocacy rather than choosing fraud or abandonment.</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Integrity in diagnosis and benefits advocacy</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LCSW/ASW License-Specific Module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DIAGNOSIS-INTEGRITY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1.01, 3.04, 3.07, 4.04; California professional-conduct standards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46 - Controlled Rationale</w:t>
      </w:r>
    </w:p>
    <w:p>
      <w:r>
        <w:rPr>
          <w:b/>
        </w:rPr>
        <w:t xml:space="preserve">Item ID: </w:t>
      </w:r>
      <w:r>
        <w:t>CTA-EP-002-CUM-A-046</w:t>
      </w:r>
    </w:p>
    <w:p>
      <w:r>
        <w:rPr>
          <w:b/>
        </w:rPr>
        <w:t xml:space="preserve">Stem: </w:t>
      </w:r>
      <w:r>
        <w:t>A managed-care reviewer requests the client’s complete psychotherapy record for a routine utilization review, but the LCSW has no valid authorization or confirmed legal basis for that scope. What should the LCSW do FIRST?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Send the record because the payer may deny treatment otherwise.</w:t>
            </w:r>
          </w:p>
        </w:tc>
        <w:tc>
          <w:tcPr>
            <w:tcW w:type="dxa" w:w="3485"/>
            <w:vAlign w:val="center"/>
            <w:tcMar>
              <w:top w:w="55" w:type="dxa"/>
              <w:start w:w="65" w:type="dxa"/>
              <w:bottom w:w="55" w:type="dxa"/>
              <w:end w:w="65" w:type="dxa"/>
            </w:tcMar>
          </w:tcPr>
          <w:p>
            <w:pPr>
              <w:spacing w:after="0"/>
            </w:pPr>
            <w:r>
              <w:rPr>
                <w:sz w:val="16"/>
              </w:rPr>
              <w:t>Incorrect. Possible denial does not itself authorize release of a complete psychotherapy record.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Refuse all future communication with the payer.</w:t>
            </w:r>
          </w:p>
        </w:tc>
        <w:tc>
          <w:tcPr>
            <w:tcW w:type="dxa" w:w="3485"/>
            <w:vAlign w:val="center"/>
            <w:tcMar>
              <w:top w:w="55" w:type="dxa"/>
              <w:start w:w="65" w:type="dxa"/>
              <w:bottom w:w="55" w:type="dxa"/>
              <w:end w:w="65" w:type="dxa"/>
            </w:tcMar>
          </w:tcPr>
          <w:p>
            <w:pPr>
              <w:spacing w:after="0"/>
            </w:pPr>
            <w:r>
              <w:rPr>
                <w:sz w:val="16"/>
              </w:rPr>
              <w:t>Incorrect. Some limited communication may be lawful and clinically necessary; a categorical refusal is not the first step.</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Ask the client to sign a blank authorization covering any future request.</w:t>
            </w:r>
          </w:p>
        </w:tc>
        <w:tc>
          <w:tcPr>
            <w:tcW w:type="dxa" w:w="3485"/>
            <w:vAlign w:val="center"/>
            <w:tcMar>
              <w:top w:w="55" w:type="dxa"/>
              <w:start w:w="65" w:type="dxa"/>
              <w:bottom w:w="55" w:type="dxa"/>
              <w:end w:w="65" w:type="dxa"/>
            </w:tcMar>
          </w:tcPr>
          <w:p>
            <w:pPr>
              <w:spacing w:after="0"/>
            </w:pPr>
            <w:r>
              <w:rPr>
                <w:sz w:val="16"/>
              </w:rPr>
              <w:t>Incorrect. A blank or future-open authorization is not appropriately specific or informed.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Clarify the request, authority, minimum necessary information, and client authorization or other legal basis before disclosing.</w:t>
            </w:r>
          </w:p>
        </w:tc>
        <w:tc>
          <w:tcPr>
            <w:tcW w:type="dxa" w:w="3485"/>
            <w:shd w:fill="EAF7F7"/>
            <w:vAlign w:val="center"/>
            <w:tcMar>
              <w:top w:w="55" w:type="dxa"/>
              <w:start w:w="65" w:type="dxa"/>
              <w:bottom w:w="55" w:type="dxa"/>
              <w:end w:w="65" w:type="dxa"/>
            </w:tcMar>
          </w:tcPr>
          <w:p>
            <w:pPr>
              <w:spacing w:after="0"/>
            </w:pPr>
            <w:r>
              <w:rPr>
                <w:sz w:val="16"/>
              </w:rPr>
              <w:t>Correct. This response performs the required authority and minimum-necessary analysis before disclosure.</w:t>
            </w:r>
          </w:p>
        </w:tc>
      </w:tr>
    </w:tbl>
    <w:p>
      <w:pPr>
        <w:pStyle w:val="Heading2"/>
      </w:pPr>
      <w:r>
        <w:t>Why the Key Controls</w:t>
      </w:r>
    </w:p>
    <w:p>
      <w:r>
        <w:t>A third-party request should be clarified before disclosure: purpose, recipient, legal authority, scope, minimum relevant information, and valid client authorization or another legal basis. Financial pressure does not create disclosure authority.</w:t>
      </w:r>
    </w:p>
    <w:p>
      <w:pPr>
        <w:pStyle w:val="Heading2"/>
      </w:pPr>
      <w:r>
        <w:t>CTA Exam Strategy</w:t>
      </w:r>
    </w:p>
    <w:p>
      <w:r>
        <w:t>Before third-party disclosure, identify who is asking, why, what information, what authority, and what minimum scope.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Third-party request and informed authorization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THIRD-PARTY-AUTHORIZATION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CMIA/authorization law; NASW 1.03, 1.07</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47 - Controlled Rationale</w:t>
      </w:r>
    </w:p>
    <w:p>
      <w:r>
        <w:rPr>
          <w:b/>
        </w:rPr>
        <w:t xml:space="preserve">Item ID: </w:t>
      </w:r>
      <w:r>
        <w:t>CTA-EP-002-CUM-A-047</w:t>
      </w:r>
    </w:p>
    <w:p>
      <w:r>
        <w:rPr>
          <w:b/>
        </w:rPr>
        <w:t xml:space="preserve">Stem: </w:t>
      </w:r>
      <w:r>
        <w:t>Which statement correctly describes cultural humility as an ethical competence practice?</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It requires ongoing self-reflection, learning, awareness of power and bias, attention to institutional inequity, and responsiveness to the client’s own experience.</w:t>
            </w:r>
          </w:p>
        </w:tc>
        <w:tc>
          <w:tcPr>
            <w:tcW w:type="dxa" w:w="3485"/>
            <w:shd w:fill="EAF7F7"/>
            <w:vAlign w:val="center"/>
            <w:tcMar>
              <w:top w:w="55" w:type="dxa"/>
              <w:start w:w="65" w:type="dxa"/>
              <w:bottom w:w="55" w:type="dxa"/>
              <w:end w:w="65" w:type="dxa"/>
            </w:tcMar>
          </w:tcPr>
          <w:p>
            <w:pPr>
              <w:spacing w:after="0"/>
            </w:pPr>
            <w:r>
              <w:rPr>
                <w:sz w:val="16"/>
              </w:rPr>
              <w:t>Correct. This answer captures both clinician self-work and responsiveness to client and system context.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It is completed once the clinician attends one cultural-competence course.</w:t>
            </w:r>
          </w:p>
        </w:tc>
        <w:tc>
          <w:tcPr>
            <w:tcW w:type="dxa" w:w="3485"/>
            <w:vAlign w:val="center"/>
            <w:tcMar>
              <w:top w:w="55" w:type="dxa"/>
              <w:start w:w="65" w:type="dxa"/>
              <w:bottom w:w="55" w:type="dxa"/>
              <w:end w:w="65" w:type="dxa"/>
            </w:tcMar>
          </w:tcPr>
          <w:p>
            <w:pPr>
              <w:spacing w:after="0"/>
            </w:pPr>
            <w:r>
              <w:rPr>
                <w:sz w:val="16"/>
              </w:rPr>
              <w:t>Incorrect. A single course cannot complete an ongoing competence and humility process.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It requires clinicians to avoid acknowledging differences among clients.</w:t>
            </w:r>
          </w:p>
        </w:tc>
        <w:tc>
          <w:tcPr>
            <w:tcW w:type="dxa" w:w="3485"/>
            <w:vAlign w:val="center"/>
            <w:tcMar>
              <w:top w:w="55" w:type="dxa"/>
              <w:start w:w="65" w:type="dxa"/>
              <w:bottom w:w="55" w:type="dxa"/>
              <w:end w:w="65" w:type="dxa"/>
            </w:tcMar>
          </w:tcPr>
          <w:p>
            <w:pPr>
              <w:spacing w:after="0"/>
            </w:pPr>
            <w:r>
              <w:rPr>
                <w:sz w:val="16"/>
              </w:rPr>
              <w:t>Incorrect. Avoiding difference can obscure relevant identity, power, access, and discrimination factors.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It permits clinicians to treat group norms as more reliable than individual assessment.</w:t>
            </w:r>
          </w:p>
        </w:tc>
        <w:tc>
          <w:tcPr>
            <w:tcW w:type="dxa" w:w="3485"/>
            <w:vAlign w:val="center"/>
            <w:tcMar>
              <w:top w:w="55" w:type="dxa"/>
              <w:start w:w="65" w:type="dxa"/>
              <w:bottom w:w="55" w:type="dxa"/>
              <w:end w:w="65" w:type="dxa"/>
            </w:tcMar>
          </w:tcPr>
          <w:p>
            <w:pPr>
              <w:spacing w:after="0"/>
            </w:pPr>
            <w:r>
              <w:rPr>
                <w:sz w:val="16"/>
              </w:rPr>
              <w:t>Incorrect. Group norms do not replace individualized assessment and can promote stereotyping.</w:t>
            </w:r>
          </w:p>
        </w:tc>
      </w:tr>
    </w:tbl>
    <w:p>
      <w:pPr>
        <w:pStyle w:val="Heading2"/>
      </w:pPr>
      <w:r>
        <w:t>Why the Key Controls</w:t>
      </w:r>
    </w:p>
    <w:p>
      <w:r>
        <w:t>Cultural humility is ongoing ethical competence: self-reflection, learning, awareness of power and bias, attention to institutional inequity, and responsiveness to the client’s individual experience.</w:t>
      </w:r>
    </w:p>
    <w:p>
      <w:pPr>
        <w:pStyle w:val="Heading2"/>
      </w:pPr>
      <w:r>
        <w:t>CTA Exam Strategy</w:t>
      </w:r>
    </w:p>
    <w:p>
      <w:r>
        <w:t>Cultural humility is continuous and relational, not a one-time credential or a list of group traits.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Cultural humility as ongoing competence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Foundational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WB7 - Cultural Humility, Bias, and Diverse Populations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CULTURAL-HUMILITY-COMPETENCE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1.05 and 2021 revisions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48 - Controlled Rationale</w:t>
      </w:r>
    </w:p>
    <w:p>
      <w:r>
        <w:rPr>
          <w:b/>
        </w:rPr>
        <w:t xml:space="preserve">Item ID: </w:t>
      </w:r>
      <w:r>
        <w:t>CTA-EP-002-CUM-A-048</w:t>
      </w:r>
    </w:p>
    <w:p>
      <w:r>
        <w:rPr>
          <w:b/>
        </w:rPr>
        <w:t xml:space="preserve">Stem: </w:t>
      </w:r>
      <w:r>
        <w:t>An LCSW in an outpatient setting reasonably suspects reportable neglect of an elder that occurred outside a long-term care facility. What should the LCSW do FIRST?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Make the required telephone or authorized internet report immediately or as soon as practicably possible and complete the required written or internet follow-up within the applicable timeframe.</w:t>
            </w:r>
          </w:p>
        </w:tc>
        <w:tc>
          <w:tcPr>
            <w:tcW w:type="dxa" w:w="3485"/>
            <w:shd w:fill="EAF7F7"/>
            <w:vAlign w:val="center"/>
            <w:tcMar>
              <w:top w:w="55" w:type="dxa"/>
              <w:start w:w="65" w:type="dxa"/>
              <w:bottom w:w="55" w:type="dxa"/>
              <w:end w:w="65" w:type="dxa"/>
            </w:tcMar>
          </w:tcPr>
          <w:p>
            <w:pPr>
              <w:spacing w:after="0"/>
            </w:pPr>
            <w:r>
              <w:rPr>
                <w:sz w:val="16"/>
              </w:rPr>
              <w:t>Correct. This option states the prompt initial report and required follow-up sequence.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Wait until the client signs a release authorizing the report.</w:t>
            </w:r>
          </w:p>
        </w:tc>
        <w:tc>
          <w:tcPr>
            <w:tcW w:type="dxa" w:w="3485"/>
            <w:vAlign w:val="center"/>
            <w:tcMar>
              <w:top w:w="55" w:type="dxa"/>
              <w:start w:w="65" w:type="dxa"/>
              <w:bottom w:w="55" w:type="dxa"/>
              <w:end w:w="65" w:type="dxa"/>
            </w:tcMar>
          </w:tcPr>
          <w:p>
            <w:pPr>
              <w:spacing w:after="0"/>
            </w:pPr>
            <w:r>
              <w:rPr>
                <w:sz w:val="16"/>
              </w:rPr>
              <w:t>Incorrect. A mandated report does not depend on client authorization.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Investigate the caregiver and prove neglect before reporting.</w:t>
            </w:r>
          </w:p>
        </w:tc>
        <w:tc>
          <w:tcPr>
            <w:tcW w:type="dxa" w:w="3485"/>
            <w:vAlign w:val="center"/>
            <w:tcMar>
              <w:top w:w="55" w:type="dxa"/>
              <w:start w:w="65" w:type="dxa"/>
              <w:bottom w:w="55" w:type="dxa"/>
              <w:end w:w="65" w:type="dxa"/>
            </w:tcMar>
          </w:tcPr>
          <w:p>
            <w:pPr>
              <w:spacing w:after="0"/>
            </w:pPr>
            <w:r>
              <w:rPr>
                <w:sz w:val="16"/>
              </w:rPr>
              <w:t>Incorrect. The reporter does not need to prove neglect or conduct an investigation first.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Report only to the employer because the employer is the mandated reporter.</w:t>
            </w:r>
          </w:p>
        </w:tc>
        <w:tc>
          <w:tcPr>
            <w:tcW w:type="dxa" w:w="3485"/>
            <w:vAlign w:val="center"/>
            <w:tcMar>
              <w:top w:w="55" w:type="dxa"/>
              <w:start w:w="65" w:type="dxa"/>
              <w:bottom w:w="55" w:type="dxa"/>
              <w:end w:w="65" w:type="dxa"/>
            </w:tcMar>
          </w:tcPr>
          <w:p>
            <w:pPr>
              <w:spacing w:after="0"/>
            </w:pPr>
            <w:r>
              <w:rPr>
                <w:sz w:val="16"/>
              </w:rPr>
              <w:t>Incorrect. Reporting only to the employer does not satisfy the clinician’s individual external duty.</w:t>
            </w:r>
          </w:p>
        </w:tc>
      </w:tr>
    </w:tbl>
    <w:p>
      <w:pPr>
        <w:pStyle w:val="Heading2"/>
      </w:pPr>
      <w:r>
        <w:t>Why the Key Controls</w:t>
      </w:r>
    </w:p>
    <w:p>
      <w:r>
        <w:t>Reasonable suspicion of reportable elder or dependent-adult neglect triggers the individual mandated reporter’s timely telephone or authorized internet report and the applicable written or internet follow-up. Consent and proof are not prerequisites.</w:t>
      </w:r>
    </w:p>
    <w:p>
      <w:pPr>
        <w:pStyle w:val="Heading2"/>
      </w:pPr>
      <w:r>
        <w:t>CTA Exam Strategy</w:t>
      </w:r>
    </w:p>
    <w:p>
      <w:r>
        <w:t>For elder reporting, act on reasonable suspicion within the statutory timing and complete the required follow-up.</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Elder/dependent-adult abuse reporting timing</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ELDER-REPORTING-TIMING</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WIC 15630</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49 - Controlled Rationale</w:t>
      </w:r>
    </w:p>
    <w:p>
      <w:r>
        <w:rPr>
          <w:b/>
        </w:rPr>
        <w:t xml:space="preserve">Item ID: </w:t>
      </w:r>
      <w:r>
        <w:t>CTA-EP-002-CUM-A-049</w:t>
      </w:r>
    </w:p>
    <w:p>
      <w:r>
        <w:rPr>
          <w:b/>
        </w:rPr>
        <w:t xml:space="preserve">Stem: </w:t>
      </w:r>
      <w:r>
        <w:t>After five years away from child-trauma practice, an LCSW is assigned to provide a specialized trauma protocol the clinician previously used but has not kept current. What should the LCSW do FIRST?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Resume the protocol independently because prior experience never becomes outdated.</w:t>
            </w:r>
          </w:p>
        </w:tc>
        <w:tc>
          <w:tcPr>
            <w:tcW w:type="dxa" w:w="3485"/>
            <w:vAlign w:val="center"/>
            <w:tcMar>
              <w:top w:w="55" w:type="dxa"/>
              <w:start w:w="65" w:type="dxa"/>
              <w:bottom w:w="55" w:type="dxa"/>
              <w:end w:w="65" w:type="dxa"/>
            </w:tcMar>
          </w:tcPr>
          <w:p>
            <w:pPr>
              <w:spacing w:after="0"/>
            </w:pPr>
            <w:r>
              <w:rPr>
                <w:sz w:val="16"/>
              </w:rPr>
              <w:t>Incorrect. Earlier experience does not guarantee current competence after a lengthy practice gap.</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Assess current competence and obtain updated study, training, consultation, or supervised practice before providing the protocol independently.</w:t>
            </w:r>
          </w:p>
        </w:tc>
        <w:tc>
          <w:tcPr>
            <w:tcW w:type="dxa" w:w="3485"/>
            <w:shd w:fill="EAF7F7"/>
            <w:vAlign w:val="center"/>
            <w:tcMar>
              <w:top w:w="55" w:type="dxa"/>
              <w:start w:w="65" w:type="dxa"/>
              <w:bottom w:w="55" w:type="dxa"/>
              <w:end w:w="65" w:type="dxa"/>
            </w:tcMar>
          </w:tcPr>
          <w:p>
            <w:pPr>
              <w:spacing w:after="0"/>
            </w:pPr>
            <w:r>
              <w:rPr>
                <w:sz w:val="16"/>
              </w:rPr>
              <w:t>Correct. This option treats competence as current and evidence-based and requires appropriate updating before independent practice.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Proceed if the client signs a waiver acknowledging that the clinician is out of practice.</w:t>
            </w:r>
          </w:p>
        </w:tc>
        <w:tc>
          <w:tcPr>
            <w:tcW w:type="dxa" w:w="3485"/>
            <w:vAlign w:val="center"/>
            <w:tcMar>
              <w:top w:w="55" w:type="dxa"/>
              <w:start w:w="65" w:type="dxa"/>
              <w:bottom w:w="55" w:type="dxa"/>
              <w:end w:w="65" w:type="dxa"/>
            </w:tcMar>
          </w:tcPr>
          <w:p>
            <w:pPr>
              <w:spacing w:after="0"/>
            </w:pPr>
            <w:r>
              <w:rPr>
                <w:sz w:val="16"/>
              </w:rPr>
              <w:t>Incorrect. Client consent cannot substitute for clinician competence or protect the client from outdated practice.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Delegate the treatment plan to unlicensed administrative staff.</w:t>
            </w:r>
          </w:p>
        </w:tc>
        <w:tc>
          <w:tcPr>
            <w:tcW w:type="dxa" w:w="3485"/>
            <w:vAlign w:val="center"/>
            <w:tcMar>
              <w:top w:w="55" w:type="dxa"/>
              <w:start w:w="65" w:type="dxa"/>
              <w:bottom w:w="55" w:type="dxa"/>
              <w:end w:w="65" w:type="dxa"/>
            </w:tcMar>
          </w:tcPr>
          <w:p>
            <w:pPr>
              <w:spacing w:after="0"/>
            </w:pPr>
            <w:r>
              <w:rPr>
                <w:sz w:val="16"/>
              </w:rPr>
              <w:t>Incorrect. Unlicensed administrative staff cannot assume a specialized clinical treatment-planning function.</w:t>
            </w:r>
          </w:p>
        </w:tc>
      </w:tr>
    </w:tbl>
    <w:p>
      <w:pPr>
        <w:pStyle w:val="Heading2"/>
      </w:pPr>
      <w:r>
        <w:t>Why the Key Controls</w:t>
      </w:r>
    </w:p>
    <w:p>
      <w:r>
        <w:t>Prior competence can become outdated when the clinician has not maintained knowledge or skill. Before independent use of the specialized trauma protocol, the LCSW should assess current competence and obtain updated learning, consultation, or supervised practice.</w:t>
      </w:r>
    </w:p>
    <w:p>
      <w:pPr>
        <w:pStyle w:val="Heading2"/>
      </w:pPr>
      <w:r>
        <w:t>CTA Exam Strategy</w:t>
      </w:r>
    </w:p>
    <w:p>
      <w:r>
        <w:t>Competence is current, not permanent. After a substantial gap, assess readiness and update knowledge and skills before resuming specialized independent practice.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Reentry after a competence lapse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Applied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WB3 - Professional Competence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COMPETENCE-REENTRY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1.04</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50 - Controlled Rationale</w:t>
      </w:r>
    </w:p>
    <w:p>
      <w:r>
        <w:rPr>
          <w:b/>
        </w:rPr>
        <w:t xml:space="preserve">Item ID: </w:t>
      </w:r>
      <w:r>
        <w:t>CTA-EP-002-CUM-A-050</w:t>
      </w:r>
    </w:p>
    <w:p>
      <w:r>
        <w:rPr>
          <w:b/>
        </w:rPr>
        <w:t xml:space="preserve">Stem: </w:t>
      </w:r>
      <w:r>
        <w:t>After a leave related to impairment, an LCSW plans to return immediately to a full crisis caseload. What should occur FIRST?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Evaluate readiness with appropriate health and professional consultation, establish graduated duties, monitoring, or coverage as needed, and confirm the ability to practice safely.</w:t>
            </w:r>
          </w:p>
        </w:tc>
        <w:tc>
          <w:tcPr>
            <w:tcW w:type="dxa" w:w="3485"/>
            <w:shd w:fill="EAF7F7"/>
            <w:vAlign w:val="center"/>
            <w:tcMar>
              <w:top w:w="55" w:type="dxa"/>
              <w:start w:w="65" w:type="dxa"/>
              <w:bottom w:w="55" w:type="dxa"/>
              <w:end w:w="65" w:type="dxa"/>
            </w:tcMar>
          </w:tcPr>
          <w:p>
            <w:pPr>
              <w:spacing w:after="0"/>
            </w:pPr>
            <w:r>
              <w:rPr>
                <w:sz w:val="16"/>
              </w:rPr>
              <w:t>Correct. This response protects clients while supporting a structured, evidence-based return rather than assuming either full readiness or permanent incapacity.</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Resume full duties because the approved leave period has ended.</w:t>
            </w:r>
          </w:p>
        </w:tc>
        <w:tc>
          <w:tcPr>
            <w:tcW w:type="dxa" w:w="3485"/>
            <w:vAlign w:val="center"/>
            <w:tcMar>
              <w:top w:w="55" w:type="dxa"/>
              <w:start w:w="65" w:type="dxa"/>
              <w:bottom w:w="55" w:type="dxa"/>
              <w:end w:w="65" w:type="dxa"/>
            </w:tcMar>
          </w:tcPr>
          <w:p>
            <w:pPr>
              <w:spacing w:after="0"/>
            </w:pPr>
            <w:r>
              <w:rPr>
                <w:sz w:val="16"/>
              </w:rPr>
              <w:t>Incorrect. The end of a leave period does not by itself establish current ability to perform high-risk duties safely.</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Disclose the complete health history to every client before scheduling.</w:t>
            </w:r>
          </w:p>
        </w:tc>
        <w:tc>
          <w:tcPr>
            <w:tcW w:type="dxa" w:w="3485"/>
            <w:vAlign w:val="center"/>
            <w:tcMar>
              <w:top w:w="55" w:type="dxa"/>
              <w:start w:w="65" w:type="dxa"/>
              <w:bottom w:w="55" w:type="dxa"/>
              <w:end w:w="65" w:type="dxa"/>
            </w:tcMar>
          </w:tcPr>
          <w:p>
            <w:pPr>
              <w:spacing w:after="0"/>
            </w:pPr>
            <w:r>
              <w:rPr>
                <w:sz w:val="16"/>
              </w:rPr>
              <w:t>Incorrect. Clients do not require the clinician’s complete health history, and broad disclosure may burden clients and violate privacy boundaries.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Avoid documenting the return plan so private health information remains protected.</w:t>
            </w:r>
          </w:p>
        </w:tc>
        <w:tc>
          <w:tcPr>
            <w:tcW w:type="dxa" w:w="3485"/>
            <w:vAlign w:val="center"/>
            <w:tcMar>
              <w:top w:w="55" w:type="dxa"/>
              <w:start w:w="65" w:type="dxa"/>
              <w:bottom w:w="55" w:type="dxa"/>
              <w:end w:w="65" w:type="dxa"/>
            </w:tcMar>
          </w:tcPr>
          <w:p>
            <w:pPr>
              <w:spacing w:after="0"/>
            </w:pPr>
            <w:r>
              <w:rPr>
                <w:sz w:val="16"/>
              </w:rPr>
              <w:t>Incorrect. Necessary return-to-practice and continuity records should be documented appropriately; avoiding documentation weakens safety and accountability.</w:t>
            </w:r>
          </w:p>
        </w:tc>
      </w:tr>
    </w:tbl>
    <w:p>
      <w:pPr>
        <w:pStyle w:val="Heading2"/>
      </w:pPr>
      <w:r>
        <w:t>Why the Key Controls</w:t>
      </w:r>
    </w:p>
    <w:p>
      <w:r>
        <w:t>A safe return after impairment leave requires current readiness assessment, appropriate health and professional input, proportionate monitoring or graduated duties, reliable coverage, and confirmation that the LCSW can practice safely.</w:t>
      </w:r>
    </w:p>
    <w:p>
      <w:pPr>
        <w:pStyle w:val="Heading2"/>
      </w:pPr>
      <w:r>
        <w:t>CTA Exam Strategy</w:t>
      </w:r>
    </w:p>
    <w:p>
      <w:r>
        <w:t>Return-to-practice questions favor current readiness evidence, graduated or monitored duties when needed, coverage, and client protection—not automatic full return, overdisclosure, or secrecy.</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Safe return-to-practice plan after impairment leave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WB4 - Professional Impairment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RETURN-TO-PRACTICE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self-care language, 4.05; California BPC 4992.3</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Consolidated Remediation Index</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rPr>
          <w:tblHeader w:val="true"/>
          <w:cantSplit/>
        </w:trPr>
        <w:tc>
          <w:tcPr>
            <w:tcW w:type="dxa" w:w="1742"/>
            <w:shd w:fill="17365D"/>
            <w:tcMar>
              <w:top w:w="55" w:type="dxa"/>
              <w:start w:w="65" w:type="dxa"/>
              <w:bottom w:w="55" w:type="dxa"/>
              <w:end w:w="65" w:type="dxa"/>
            </w:tcMar>
            <w:vAlign w:val="center"/>
          </w:tcPr>
          <w:p>
            <w:pPr>
              <w:spacing w:after="0"/>
            </w:pPr>
            <w:r>
              <w:rPr>
                <w:sz w:val="14"/>
              </w:rPr>
            </w:r>
            <w:r>
              <w:rPr>
                <w:b/>
                <w:color w:val="FFFFFF"/>
                <w:sz w:val="14"/>
              </w:rPr>
              <w:t>Item</w:t>
            </w:r>
          </w:p>
        </w:tc>
        <w:tc>
          <w:tcPr>
            <w:tcW w:type="dxa" w:w="1742"/>
            <w:shd w:fill="17365D"/>
            <w:tcMar>
              <w:top w:w="55" w:type="dxa"/>
              <w:start w:w="65" w:type="dxa"/>
              <w:bottom w:w="55" w:type="dxa"/>
              <w:end w:w="65" w:type="dxa"/>
            </w:tcMar>
            <w:vAlign w:val="center"/>
          </w:tcPr>
          <w:p>
            <w:pPr>
              <w:spacing w:after="0"/>
            </w:pPr>
            <w:r>
              <w:rPr>
                <w:sz w:val="14"/>
              </w:rPr>
            </w:r>
            <w:r>
              <w:rPr>
                <w:b/>
                <w:color w:val="FFFFFF"/>
                <w:sz w:val="14"/>
              </w:rPr>
              <w:t>Concept</w:t>
            </w:r>
          </w:p>
        </w:tc>
        <w:tc>
          <w:tcPr>
            <w:tcW w:type="dxa" w:w="1742"/>
            <w:shd w:fill="17365D"/>
            <w:tcMar>
              <w:top w:w="55" w:type="dxa"/>
              <w:start w:w="65" w:type="dxa"/>
              <w:bottom w:w="55" w:type="dxa"/>
              <w:end w:w="65" w:type="dxa"/>
            </w:tcMar>
            <w:vAlign w:val="center"/>
          </w:tcPr>
          <w:p>
            <w:pPr>
              <w:spacing w:after="0"/>
            </w:pPr>
            <w:r>
              <w:rPr>
                <w:sz w:val="14"/>
              </w:rPr>
            </w:r>
            <w:r>
              <w:rPr>
                <w:b/>
                <w:color w:val="FFFFFF"/>
                <w:sz w:val="14"/>
              </w:rPr>
              <w:t>Domain</w:t>
            </w:r>
          </w:p>
        </w:tc>
        <w:tc>
          <w:tcPr>
            <w:tcW w:type="dxa" w:w="1742"/>
            <w:shd w:fill="17365D"/>
            <w:tcMar>
              <w:top w:w="55" w:type="dxa"/>
              <w:start w:w="65" w:type="dxa"/>
              <w:bottom w:w="55" w:type="dxa"/>
              <w:end w:w="65" w:type="dxa"/>
            </w:tcMar>
            <w:vAlign w:val="center"/>
          </w:tcPr>
          <w:p>
            <w:pPr>
              <w:spacing w:after="0"/>
            </w:pPr>
            <w:r>
              <w:rPr>
                <w:sz w:val="14"/>
              </w:rPr>
            </w:r>
            <w:r>
              <w:rPr>
                <w:b/>
                <w:color w:val="FFFFFF"/>
                <w:sz w:val="14"/>
              </w:rPr>
              <w:t>Route</w:t>
            </w:r>
          </w:p>
        </w:tc>
        <w:tc>
          <w:tcPr>
            <w:tcW w:type="dxa" w:w="1742"/>
            <w:shd w:fill="17365D"/>
            <w:tcMar>
              <w:top w:w="55" w:type="dxa"/>
              <w:start w:w="65" w:type="dxa"/>
              <w:bottom w:w="55" w:type="dxa"/>
              <w:end w:w="65" w:type="dxa"/>
            </w:tcMar>
            <w:vAlign w:val="center"/>
          </w:tcPr>
          <w:p>
            <w:pPr>
              <w:spacing w:after="0"/>
            </w:pPr>
            <w:r>
              <w:rPr>
                <w:sz w:val="14"/>
              </w:rPr>
            </w:r>
            <w:r>
              <w:rPr>
                <w:b/>
                <w:color w:val="FFFFFF"/>
                <w:sz w:val="14"/>
              </w:rPr>
              <w:t>Error category</w:t>
            </w:r>
          </w:p>
        </w:tc>
        <w:tc>
          <w:tcPr>
            <w:tcW w:type="dxa" w:w="1742"/>
            <w:shd w:fill="17365D"/>
            <w:tcMar>
              <w:top w:w="55" w:type="dxa"/>
              <w:start w:w="65" w:type="dxa"/>
              <w:bottom w:w="55" w:type="dxa"/>
              <w:end w:w="65" w:type="dxa"/>
            </w:tcMar>
            <w:vAlign w:val="center"/>
          </w:tcPr>
          <w:p>
            <w:pPr>
              <w:spacing w:after="0"/>
            </w:pPr>
            <w:r>
              <w:rPr>
                <w:sz w:val="14"/>
              </w:rPr>
            </w:r>
            <w:r>
              <w:rPr>
                <w:b/>
                <w:color w:val="FFFFFF"/>
                <w:sz w:val="14"/>
              </w:rPr>
              <w:t>Source control</w:t>
            </w:r>
          </w:p>
        </w:tc>
      </w:tr>
      <w:tr>
        <w:trPr>
          <w:cantSplit/>
        </w:trPr>
        <w:tc>
          <w:tcPr>
            <w:tcW w:type="dxa" w:w="1742"/>
            <w:vAlign w:val="center"/>
            <w:tcMar>
              <w:top w:w="55" w:type="dxa"/>
              <w:start w:w="65" w:type="dxa"/>
              <w:bottom w:w="55" w:type="dxa"/>
              <w:end w:w="65" w:type="dxa"/>
            </w:tcMar>
          </w:tcPr>
          <w:p>
            <w:pPr>
              <w:spacing w:after="0"/>
            </w:pPr>
            <w:r>
              <w:rPr>
                <w:sz w:val="14"/>
              </w:rPr>
              <w:t>1</w:t>
            </w:r>
          </w:p>
        </w:tc>
        <w:tc>
          <w:tcPr>
            <w:tcW w:type="dxa" w:w="1742"/>
            <w:vAlign w:val="center"/>
            <w:tcMar>
              <w:top w:w="55" w:type="dxa"/>
              <w:start w:w="65" w:type="dxa"/>
              <w:bottom w:w="55" w:type="dxa"/>
              <w:end w:w="65" w:type="dxa"/>
            </w:tcMar>
          </w:tcPr>
          <w:p>
            <w:pPr>
              <w:spacing w:after="0"/>
            </w:pPr>
            <w:r>
              <w:rPr>
                <w:sz w:val="14"/>
              </w:rPr>
              <w:t>Informed consent as an ongoing process</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WB1</w:t>
            </w:r>
          </w:p>
        </w:tc>
        <w:tc>
          <w:tcPr>
            <w:tcW w:type="dxa" w:w="1742"/>
            <w:vAlign w:val="center"/>
            <w:tcMar>
              <w:top w:w="55" w:type="dxa"/>
              <w:start w:w="65" w:type="dxa"/>
              <w:bottom w:w="55" w:type="dxa"/>
              <w:end w:w="65" w:type="dxa"/>
            </w:tcMar>
          </w:tcPr>
          <w:p>
            <w:pPr>
              <w:spacing w:after="0"/>
            </w:pPr>
            <w:r>
              <w:rPr>
                <w:sz w:val="14"/>
              </w:rPr>
              <w:t>CONSENT-ONGOING</w:t>
            </w:r>
          </w:p>
        </w:tc>
        <w:tc>
          <w:tcPr>
            <w:tcW w:type="dxa" w:w="1742"/>
            <w:vAlign w:val="center"/>
            <w:tcMar>
              <w:top w:w="55" w:type="dxa"/>
              <w:start w:w="65" w:type="dxa"/>
              <w:bottom w:w="55" w:type="dxa"/>
              <w:end w:w="65" w:type="dxa"/>
            </w:tcMar>
          </w:tcPr>
          <w:p>
            <w:pPr>
              <w:spacing w:after="0"/>
            </w:pPr>
            <w:r>
              <w:rPr>
                <w:sz w:val="14"/>
              </w:rPr>
              <w:t>NASW 1.03; applicable California consent law and setting requirements</w:t>
            </w:r>
          </w:p>
        </w:tc>
      </w:tr>
      <w:tr>
        <w:trPr>
          <w:cantSplit/>
        </w:trPr>
        <w:tc>
          <w:tcPr>
            <w:tcW w:type="dxa" w:w="1742"/>
            <w:vAlign w:val="center"/>
            <w:tcMar>
              <w:top w:w="55" w:type="dxa"/>
              <w:start w:w="65" w:type="dxa"/>
              <w:bottom w:w="55" w:type="dxa"/>
              <w:end w:w="65" w:type="dxa"/>
            </w:tcMar>
            <w:shd w:fill="F2F4F7"/>
          </w:tcPr>
          <w:p>
            <w:pPr>
              <w:spacing w:after="0"/>
            </w:pPr>
            <w:r>
              <w:rPr>
                <w:sz w:val="14"/>
              </w:rPr>
              <w:t>2</w:t>
            </w:r>
          </w:p>
        </w:tc>
        <w:tc>
          <w:tcPr>
            <w:tcW w:type="dxa" w:w="1742"/>
            <w:vAlign w:val="center"/>
            <w:tcMar>
              <w:top w:w="55" w:type="dxa"/>
              <w:start w:w="65" w:type="dxa"/>
              <w:bottom w:w="55" w:type="dxa"/>
              <w:end w:w="65" w:type="dxa"/>
            </w:tcMar>
            <w:shd w:fill="F2F4F7"/>
          </w:tcPr>
          <w:p>
            <w:pPr>
              <w:spacing w:after="0"/>
            </w:pPr>
            <w:r>
              <w:rPr>
                <w:sz w:val="14"/>
              </w:rPr>
              <w:t>Minor self-consent and parent-involvement analysis</w:t>
            </w:r>
          </w:p>
        </w:tc>
        <w:tc>
          <w:tcPr>
            <w:tcW w:type="dxa" w:w="1742"/>
            <w:vAlign w:val="center"/>
            <w:tcMar>
              <w:top w:w="55" w:type="dxa"/>
              <w:start w:w="65" w:type="dxa"/>
              <w:bottom w:w="55" w:type="dxa"/>
              <w:end w:w="65" w:type="dxa"/>
            </w:tcMar>
            <w:shd w:fill="F2F4F7"/>
          </w:tcPr>
          <w:p>
            <w:pPr>
              <w:spacing w:after="0"/>
            </w:pPr>
            <w:r>
              <w:rPr>
                <w:sz w:val="14"/>
              </w:rPr>
              <w:t>1A</w:t>
            </w:r>
          </w:p>
        </w:tc>
        <w:tc>
          <w:tcPr>
            <w:tcW w:type="dxa" w:w="1742"/>
            <w:vAlign w:val="center"/>
            <w:tcMar>
              <w:top w:w="55" w:type="dxa"/>
              <w:start w:w="65" w:type="dxa"/>
              <w:bottom w:w="55" w:type="dxa"/>
              <w:end w:w="65" w:type="dxa"/>
            </w:tcMar>
            <w:shd w:fill="F2F4F7"/>
          </w:tcPr>
          <w:p>
            <w:pPr>
              <w:spacing w:after="0"/>
            </w:pPr>
            <w:r>
              <w:rPr>
                <w:sz w:val="14"/>
              </w:rPr>
              <w:t>WB1</w:t>
            </w:r>
          </w:p>
        </w:tc>
        <w:tc>
          <w:tcPr>
            <w:tcW w:type="dxa" w:w="1742"/>
            <w:vAlign w:val="center"/>
            <w:tcMar>
              <w:top w:w="55" w:type="dxa"/>
              <w:start w:w="65" w:type="dxa"/>
              <w:bottom w:w="55" w:type="dxa"/>
              <w:end w:w="65" w:type="dxa"/>
            </w:tcMar>
            <w:shd w:fill="F2F4F7"/>
          </w:tcPr>
          <w:p>
            <w:pPr>
              <w:spacing w:after="0"/>
            </w:pPr>
            <w:r>
              <w:rPr>
                <w:sz w:val="14"/>
              </w:rPr>
              <w:t>MINOR-CONSENT</w:t>
            </w:r>
          </w:p>
        </w:tc>
        <w:tc>
          <w:tcPr>
            <w:tcW w:type="dxa" w:w="1742"/>
            <w:vAlign w:val="center"/>
            <w:tcMar>
              <w:top w:w="55" w:type="dxa"/>
              <w:start w:w="65" w:type="dxa"/>
              <w:bottom w:w="55" w:type="dxa"/>
              <w:end w:w="65" w:type="dxa"/>
            </w:tcMar>
            <w:shd w:fill="F2F4F7"/>
          </w:tcPr>
          <w:p>
            <w:pPr>
              <w:spacing w:after="0"/>
            </w:pPr>
            <w:r>
              <w:rPr>
                <w:sz w:val="14"/>
              </w:rPr>
              <w:t>California Family Code 6924; NASW 1.02, 1.03, 1.07</w:t>
            </w:r>
          </w:p>
        </w:tc>
      </w:tr>
      <w:tr>
        <w:trPr>
          <w:cantSplit/>
        </w:trPr>
        <w:tc>
          <w:tcPr>
            <w:tcW w:type="dxa" w:w="1742"/>
            <w:vAlign w:val="center"/>
            <w:tcMar>
              <w:top w:w="55" w:type="dxa"/>
              <w:start w:w="65" w:type="dxa"/>
              <w:bottom w:w="55" w:type="dxa"/>
              <w:end w:w="65" w:type="dxa"/>
            </w:tcMar>
          </w:tcPr>
          <w:p>
            <w:pPr>
              <w:spacing w:after="0"/>
            </w:pPr>
            <w:r>
              <w:rPr>
                <w:sz w:val="14"/>
              </w:rPr>
              <w:t>3</w:t>
            </w:r>
          </w:p>
        </w:tc>
        <w:tc>
          <w:tcPr>
            <w:tcW w:type="dxa" w:w="1742"/>
            <w:vAlign w:val="center"/>
            <w:tcMar>
              <w:top w:w="55" w:type="dxa"/>
              <w:start w:w="65" w:type="dxa"/>
              <w:bottom w:w="55" w:type="dxa"/>
              <w:end w:w="65" w:type="dxa"/>
            </w:tcMar>
          </w:tcPr>
          <w:p>
            <w:pPr>
              <w:spacing w:after="0"/>
            </w:pPr>
            <w:r>
              <w:rPr>
                <w:sz w:val="14"/>
              </w:rPr>
              <w:t>Managing unavoidable multiple relationships</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WB6</w:t>
            </w:r>
          </w:p>
        </w:tc>
        <w:tc>
          <w:tcPr>
            <w:tcW w:type="dxa" w:w="1742"/>
            <w:vAlign w:val="center"/>
            <w:tcMar>
              <w:top w:w="55" w:type="dxa"/>
              <w:start w:w="65" w:type="dxa"/>
              <w:bottom w:w="55" w:type="dxa"/>
              <w:end w:w="65" w:type="dxa"/>
            </w:tcMar>
          </w:tcPr>
          <w:p>
            <w:pPr>
              <w:spacing w:after="0"/>
            </w:pPr>
            <w:r>
              <w:rPr>
                <w:sz w:val="14"/>
              </w:rPr>
              <w:t>MULTIPLE-RELATIONSHIP</w:t>
            </w:r>
          </w:p>
        </w:tc>
        <w:tc>
          <w:tcPr>
            <w:tcW w:type="dxa" w:w="1742"/>
            <w:vAlign w:val="center"/>
            <w:tcMar>
              <w:top w:w="55" w:type="dxa"/>
              <w:start w:w="65" w:type="dxa"/>
              <w:bottom w:w="55" w:type="dxa"/>
              <w:end w:w="65" w:type="dxa"/>
            </w:tcMar>
          </w:tcPr>
          <w:p>
            <w:pPr>
              <w:spacing w:after="0"/>
            </w:pPr>
            <w:r>
              <w:rPr>
                <w:sz w:val="14"/>
              </w:rPr>
              <w:t>NASW 1.06; current California unprofessional-conduct standards</w:t>
            </w:r>
          </w:p>
        </w:tc>
      </w:tr>
      <w:tr>
        <w:trPr>
          <w:cantSplit/>
        </w:trPr>
        <w:tc>
          <w:tcPr>
            <w:tcW w:type="dxa" w:w="1742"/>
            <w:vAlign w:val="center"/>
            <w:tcMar>
              <w:top w:w="55" w:type="dxa"/>
              <w:start w:w="65" w:type="dxa"/>
              <w:bottom w:w="55" w:type="dxa"/>
              <w:end w:w="65" w:type="dxa"/>
            </w:tcMar>
            <w:shd w:fill="F2F4F7"/>
          </w:tcPr>
          <w:p>
            <w:pPr>
              <w:spacing w:after="0"/>
            </w:pPr>
            <w:r>
              <w:rPr>
                <w:sz w:val="14"/>
              </w:rPr>
              <w:t>4</w:t>
            </w:r>
          </w:p>
        </w:tc>
        <w:tc>
          <w:tcPr>
            <w:tcW w:type="dxa" w:w="1742"/>
            <w:vAlign w:val="center"/>
            <w:tcMar>
              <w:top w:w="55" w:type="dxa"/>
              <w:start w:w="65" w:type="dxa"/>
              <w:bottom w:w="55" w:type="dxa"/>
              <w:end w:w="65" w:type="dxa"/>
            </w:tcMar>
            <w:shd w:fill="F2F4F7"/>
          </w:tcPr>
          <w:p>
            <w:pPr>
              <w:spacing w:after="0"/>
            </w:pPr>
            <w:r>
              <w:rPr>
                <w:sz w:val="14"/>
              </w:rPr>
              <w:t>Financial conflict and exploitation risk</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WB6</w:t>
            </w:r>
          </w:p>
        </w:tc>
        <w:tc>
          <w:tcPr>
            <w:tcW w:type="dxa" w:w="1742"/>
            <w:vAlign w:val="center"/>
            <w:tcMar>
              <w:top w:w="55" w:type="dxa"/>
              <w:start w:w="65" w:type="dxa"/>
              <w:bottom w:w="55" w:type="dxa"/>
              <w:end w:w="65" w:type="dxa"/>
            </w:tcMar>
            <w:shd w:fill="F2F4F7"/>
          </w:tcPr>
          <w:p>
            <w:pPr>
              <w:spacing w:after="0"/>
            </w:pPr>
            <w:r>
              <w:rPr>
                <w:sz w:val="14"/>
              </w:rPr>
              <w:t>FINANCIAL-EXPLOITATION</w:t>
            </w:r>
          </w:p>
        </w:tc>
        <w:tc>
          <w:tcPr>
            <w:tcW w:type="dxa" w:w="1742"/>
            <w:vAlign w:val="center"/>
            <w:tcMar>
              <w:top w:w="55" w:type="dxa"/>
              <w:start w:w="65" w:type="dxa"/>
              <w:bottom w:w="55" w:type="dxa"/>
              <w:end w:w="65" w:type="dxa"/>
            </w:tcMar>
            <w:shd w:fill="F2F4F7"/>
          </w:tcPr>
          <w:p>
            <w:pPr>
              <w:spacing w:after="0"/>
            </w:pPr>
            <w:r>
              <w:rPr>
                <w:sz w:val="14"/>
              </w:rPr>
              <w:t>NASW 1.06, 1.13; California BPC 4992.3 unprofessional conduct</w:t>
            </w:r>
          </w:p>
        </w:tc>
      </w:tr>
      <w:tr>
        <w:trPr>
          <w:cantSplit/>
        </w:trPr>
        <w:tc>
          <w:tcPr>
            <w:tcW w:type="dxa" w:w="1742"/>
            <w:vAlign w:val="center"/>
            <w:tcMar>
              <w:top w:w="55" w:type="dxa"/>
              <w:start w:w="65" w:type="dxa"/>
              <w:bottom w:w="55" w:type="dxa"/>
              <w:end w:w="65" w:type="dxa"/>
            </w:tcMar>
          </w:tcPr>
          <w:p>
            <w:pPr>
              <w:spacing w:after="0"/>
            </w:pPr>
            <w:r>
              <w:rPr>
                <w:sz w:val="14"/>
              </w:rPr>
              <w:t>5</w:t>
            </w:r>
          </w:p>
        </w:tc>
        <w:tc>
          <w:tcPr>
            <w:tcW w:type="dxa" w:w="1742"/>
            <w:vAlign w:val="center"/>
            <w:tcMar>
              <w:top w:w="55" w:type="dxa"/>
              <w:start w:w="65" w:type="dxa"/>
              <w:bottom w:w="55" w:type="dxa"/>
              <w:end w:w="65" w:type="dxa"/>
            </w:tcMar>
          </w:tcPr>
          <w:p>
            <w:pPr>
              <w:spacing w:after="0"/>
            </w:pPr>
            <w:r>
              <w:rPr>
                <w:sz w:val="14"/>
              </w:rPr>
              <w:t>Consultation versus supervision</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WB3</w:t>
            </w:r>
          </w:p>
        </w:tc>
        <w:tc>
          <w:tcPr>
            <w:tcW w:type="dxa" w:w="1742"/>
            <w:vAlign w:val="center"/>
            <w:tcMar>
              <w:top w:w="55" w:type="dxa"/>
              <w:start w:w="65" w:type="dxa"/>
              <w:bottom w:w="55" w:type="dxa"/>
              <w:end w:w="65" w:type="dxa"/>
            </w:tcMar>
          </w:tcPr>
          <w:p>
            <w:pPr>
              <w:spacing w:after="0"/>
            </w:pPr>
            <w:r>
              <w:rPr>
                <w:sz w:val="14"/>
              </w:rPr>
              <w:t>CONSULTATION-VS-SUPERVISION</w:t>
            </w:r>
          </w:p>
        </w:tc>
        <w:tc>
          <w:tcPr>
            <w:tcW w:type="dxa" w:w="1742"/>
            <w:vAlign w:val="center"/>
            <w:tcMar>
              <w:top w:w="55" w:type="dxa"/>
              <w:start w:w="65" w:type="dxa"/>
              <w:bottom w:w="55" w:type="dxa"/>
              <w:end w:w="65" w:type="dxa"/>
            </w:tcMar>
          </w:tcPr>
          <w:p>
            <w:pPr>
              <w:spacing w:after="0"/>
            </w:pPr>
            <w:r>
              <w:rPr>
                <w:sz w:val="14"/>
              </w:rPr>
              <w:t>BBS supervision statutes and regulations; NASW 3.01</w:t>
            </w:r>
          </w:p>
        </w:tc>
      </w:tr>
      <w:tr>
        <w:trPr>
          <w:cantSplit/>
        </w:trPr>
        <w:tc>
          <w:tcPr>
            <w:tcW w:type="dxa" w:w="1742"/>
            <w:vAlign w:val="center"/>
            <w:tcMar>
              <w:top w:w="55" w:type="dxa"/>
              <w:start w:w="65" w:type="dxa"/>
              <w:bottom w:w="55" w:type="dxa"/>
              <w:end w:w="65" w:type="dxa"/>
            </w:tcMar>
            <w:shd w:fill="F2F4F7"/>
          </w:tcPr>
          <w:p>
            <w:pPr>
              <w:spacing w:after="0"/>
            </w:pPr>
            <w:r>
              <w:rPr>
                <w:sz w:val="14"/>
              </w:rPr>
              <w:t>6</w:t>
            </w:r>
          </w:p>
        </w:tc>
        <w:tc>
          <w:tcPr>
            <w:tcW w:type="dxa" w:w="1742"/>
            <w:vAlign w:val="center"/>
            <w:tcMar>
              <w:top w:w="55" w:type="dxa"/>
              <w:start w:w="65" w:type="dxa"/>
              <w:bottom w:w="55" w:type="dxa"/>
              <w:end w:w="65" w:type="dxa"/>
            </w:tcMar>
            <w:shd w:fill="F2F4F7"/>
          </w:tcPr>
          <w:p>
            <w:pPr>
              <w:spacing w:after="0"/>
            </w:pPr>
            <w:r>
              <w:rPr>
                <w:sz w:val="14"/>
              </w:rPr>
              <w:t>Clinician functioning and client welfare</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WB4</w:t>
            </w:r>
          </w:p>
        </w:tc>
        <w:tc>
          <w:tcPr>
            <w:tcW w:type="dxa" w:w="1742"/>
            <w:vAlign w:val="center"/>
            <w:tcMar>
              <w:top w:w="55" w:type="dxa"/>
              <w:start w:w="65" w:type="dxa"/>
              <w:bottom w:w="55" w:type="dxa"/>
              <w:end w:w="65" w:type="dxa"/>
            </w:tcMar>
            <w:shd w:fill="F2F4F7"/>
          </w:tcPr>
          <w:p>
            <w:pPr>
              <w:spacing w:after="0"/>
            </w:pPr>
            <w:r>
              <w:rPr>
                <w:sz w:val="14"/>
              </w:rPr>
              <w:t>FUNCTIONING-SELF-MONITORING</w:t>
            </w:r>
          </w:p>
        </w:tc>
        <w:tc>
          <w:tcPr>
            <w:tcW w:type="dxa" w:w="1742"/>
            <w:vAlign w:val="center"/>
            <w:tcMar>
              <w:top w:w="55" w:type="dxa"/>
              <w:start w:w="65" w:type="dxa"/>
              <w:bottom w:w="55" w:type="dxa"/>
              <w:end w:w="65" w:type="dxa"/>
            </w:tcMar>
            <w:shd w:fill="F2F4F7"/>
          </w:tcPr>
          <w:p>
            <w:pPr>
              <w:spacing w:after="0"/>
            </w:pPr>
            <w:r>
              <w:rPr>
                <w:sz w:val="14"/>
              </w:rPr>
              <w:t>NASW Purpose/self-care language, 4.05; California BPC 4992.3</w:t>
            </w:r>
          </w:p>
        </w:tc>
      </w:tr>
      <w:tr>
        <w:trPr>
          <w:cantSplit/>
        </w:trPr>
        <w:tc>
          <w:tcPr>
            <w:tcW w:type="dxa" w:w="1742"/>
            <w:vAlign w:val="center"/>
            <w:tcMar>
              <w:top w:w="55" w:type="dxa"/>
              <w:start w:w="65" w:type="dxa"/>
              <w:bottom w:w="55" w:type="dxa"/>
              <w:end w:w="65" w:type="dxa"/>
            </w:tcMar>
          </w:tcPr>
          <w:p>
            <w:pPr>
              <w:spacing w:after="0"/>
            </w:pPr>
            <w:r>
              <w:rPr>
                <w:sz w:val="14"/>
              </w:rPr>
              <w:t>7</w:t>
            </w:r>
          </w:p>
        </w:tc>
        <w:tc>
          <w:tcPr>
            <w:tcW w:type="dxa" w:w="1742"/>
            <w:vAlign w:val="center"/>
            <w:tcMar>
              <w:top w:w="55" w:type="dxa"/>
              <w:start w:w="65" w:type="dxa"/>
              <w:bottom w:w="55" w:type="dxa"/>
              <w:end w:w="65" w:type="dxa"/>
            </w:tcMar>
          </w:tcPr>
          <w:p>
            <w:pPr>
              <w:spacing w:after="0"/>
            </w:pPr>
            <w:r>
              <w:rPr>
                <w:sz w:val="14"/>
              </w:rPr>
              <w:t>Practice interruption and continuity</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WB4</w:t>
            </w:r>
          </w:p>
        </w:tc>
        <w:tc>
          <w:tcPr>
            <w:tcW w:type="dxa" w:w="1742"/>
            <w:vAlign w:val="center"/>
            <w:tcMar>
              <w:top w:w="55" w:type="dxa"/>
              <w:start w:w="65" w:type="dxa"/>
              <w:bottom w:w="55" w:type="dxa"/>
              <w:end w:w="65" w:type="dxa"/>
            </w:tcMar>
          </w:tcPr>
          <w:p>
            <w:pPr>
              <w:spacing w:after="0"/>
            </w:pPr>
            <w:r>
              <w:rPr>
                <w:sz w:val="14"/>
              </w:rPr>
              <w:t>PRACTICE-CONTINUITY</w:t>
            </w:r>
          </w:p>
        </w:tc>
        <w:tc>
          <w:tcPr>
            <w:tcW w:type="dxa" w:w="1742"/>
            <w:vAlign w:val="center"/>
            <w:tcMar>
              <w:top w:w="55" w:type="dxa"/>
              <w:start w:w="65" w:type="dxa"/>
              <w:bottom w:w="55" w:type="dxa"/>
              <w:end w:w="65" w:type="dxa"/>
            </w:tcMar>
          </w:tcPr>
          <w:p>
            <w:pPr>
              <w:spacing w:after="0"/>
            </w:pPr>
            <w:r>
              <w:rPr>
                <w:sz w:val="14"/>
              </w:rPr>
              <w:t>NASW 1.15, 3.07, 3.09; California continuity and record responsibilities</w:t>
            </w:r>
          </w:p>
        </w:tc>
      </w:tr>
      <w:tr>
        <w:trPr>
          <w:cantSplit/>
        </w:trPr>
        <w:tc>
          <w:tcPr>
            <w:tcW w:type="dxa" w:w="1742"/>
            <w:vAlign w:val="center"/>
            <w:tcMar>
              <w:top w:w="55" w:type="dxa"/>
              <w:start w:w="65" w:type="dxa"/>
              <w:bottom w:w="55" w:type="dxa"/>
              <w:end w:w="65" w:type="dxa"/>
            </w:tcMar>
            <w:shd w:fill="F2F4F7"/>
          </w:tcPr>
          <w:p>
            <w:pPr>
              <w:spacing w:after="0"/>
            </w:pPr>
            <w:r>
              <w:rPr>
                <w:sz w:val="14"/>
              </w:rPr>
              <w:t>8</w:t>
            </w:r>
          </w:p>
        </w:tc>
        <w:tc>
          <w:tcPr>
            <w:tcW w:type="dxa" w:w="1742"/>
            <w:vAlign w:val="center"/>
            <w:tcMar>
              <w:top w:w="55" w:type="dxa"/>
              <w:start w:w="65" w:type="dxa"/>
              <w:bottom w:w="55" w:type="dxa"/>
              <w:end w:w="65" w:type="dxa"/>
            </w:tcMar>
            <w:shd w:fill="F2F4F7"/>
          </w:tcPr>
          <w:p>
            <w:pPr>
              <w:spacing w:after="0"/>
            </w:pPr>
            <w:r>
              <w:rPr>
                <w:sz w:val="14"/>
              </w:rPr>
              <w:t>Organizational language-access barrier</w:t>
            </w:r>
          </w:p>
        </w:tc>
        <w:tc>
          <w:tcPr>
            <w:tcW w:type="dxa" w:w="1742"/>
            <w:vAlign w:val="center"/>
            <w:tcMar>
              <w:top w:w="55" w:type="dxa"/>
              <w:start w:w="65" w:type="dxa"/>
              <w:bottom w:w="55" w:type="dxa"/>
              <w:end w:w="65" w:type="dxa"/>
            </w:tcMar>
            <w:shd w:fill="F2F4F7"/>
          </w:tcPr>
          <w:p>
            <w:pPr>
              <w:spacing w:after="0"/>
            </w:pPr>
            <w:r>
              <w:rPr>
                <w:sz w:val="14"/>
              </w:rPr>
              <w:t>2C</w:t>
            </w:r>
          </w:p>
        </w:tc>
        <w:tc>
          <w:tcPr>
            <w:tcW w:type="dxa" w:w="1742"/>
            <w:vAlign w:val="center"/>
            <w:tcMar>
              <w:top w:w="55" w:type="dxa"/>
              <w:start w:w="65" w:type="dxa"/>
              <w:bottom w:w="55" w:type="dxa"/>
              <w:end w:w="65" w:type="dxa"/>
            </w:tcMar>
            <w:shd w:fill="F2F4F7"/>
          </w:tcPr>
          <w:p>
            <w:pPr>
              <w:spacing w:after="0"/>
            </w:pPr>
            <w:r>
              <w:rPr>
                <w:sz w:val="14"/>
              </w:rPr>
              <w:t>WB7</w:t>
            </w:r>
          </w:p>
        </w:tc>
        <w:tc>
          <w:tcPr>
            <w:tcW w:type="dxa" w:w="1742"/>
            <w:vAlign w:val="center"/>
            <w:tcMar>
              <w:top w:w="55" w:type="dxa"/>
              <w:start w:w="65" w:type="dxa"/>
              <w:bottom w:w="55" w:type="dxa"/>
              <w:end w:w="65" w:type="dxa"/>
            </w:tcMar>
            <w:shd w:fill="F2F4F7"/>
          </w:tcPr>
          <w:p>
            <w:pPr>
              <w:spacing w:after="0"/>
            </w:pPr>
            <w:r>
              <w:rPr>
                <w:sz w:val="14"/>
              </w:rPr>
              <w:t>LANGUAGE-ACCESS-POLICY</w:t>
            </w:r>
          </w:p>
        </w:tc>
        <w:tc>
          <w:tcPr>
            <w:tcW w:type="dxa" w:w="1742"/>
            <w:vAlign w:val="center"/>
            <w:tcMar>
              <w:top w:w="55" w:type="dxa"/>
              <w:start w:w="65" w:type="dxa"/>
              <w:bottom w:w="55" w:type="dxa"/>
              <w:end w:w="65" w:type="dxa"/>
            </w:tcMar>
            <w:shd w:fill="F2F4F7"/>
          </w:tcPr>
          <w:p>
            <w:pPr>
              <w:spacing w:after="0"/>
            </w:pPr>
            <w:r>
              <w:rPr>
                <w:sz w:val="14"/>
              </w:rPr>
              <w:t>NASW 1.05, 3.07, 3.09, 6.04; applicable California and federal access law</w:t>
            </w:r>
          </w:p>
        </w:tc>
      </w:tr>
      <w:tr>
        <w:trPr>
          <w:cantSplit/>
        </w:trPr>
        <w:tc>
          <w:tcPr>
            <w:tcW w:type="dxa" w:w="1742"/>
            <w:vAlign w:val="center"/>
            <w:tcMar>
              <w:top w:w="55" w:type="dxa"/>
              <w:start w:w="65" w:type="dxa"/>
              <w:bottom w:w="55" w:type="dxa"/>
              <w:end w:w="65" w:type="dxa"/>
            </w:tcMar>
          </w:tcPr>
          <w:p>
            <w:pPr>
              <w:spacing w:after="0"/>
            </w:pPr>
            <w:r>
              <w:rPr>
                <w:sz w:val="14"/>
              </w:rPr>
              <w:t>9</w:t>
            </w:r>
          </w:p>
        </w:tc>
        <w:tc>
          <w:tcPr>
            <w:tcW w:type="dxa" w:w="1742"/>
            <w:vAlign w:val="center"/>
            <w:tcMar>
              <w:top w:w="55" w:type="dxa"/>
              <w:start w:w="65" w:type="dxa"/>
              <w:bottom w:w="55" w:type="dxa"/>
              <w:end w:w="65" w:type="dxa"/>
            </w:tcMar>
          </w:tcPr>
          <w:p>
            <w:pPr>
              <w:spacing w:after="0"/>
            </w:pPr>
            <w:r>
              <w:rPr>
                <w:sz w:val="14"/>
              </w:rPr>
              <w:t>Child-abuse mandated-reporting sequence</w:t>
            </w:r>
          </w:p>
        </w:tc>
        <w:tc>
          <w:tcPr>
            <w:tcW w:type="dxa" w:w="1742"/>
            <w:vAlign w:val="center"/>
            <w:tcMar>
              <w:top w:w="55" w:type="dxa"/>
              <w:start w:w="65" w:type="dxa"/>
              <w:bottom w:w="55" w:type="dxa"/>
              <w:end w:w="65" w:type="dxa"/>
            </w:tcMar>
          </w:tcPr>
          <w:p>
            <w:pPr>
              <w:spacing w:after="0"/>
            </w:pPr>
            <w:r>
              <w:rPr>
                <w:sz w:val="14"/>
              </w:rPr>
              <w:t>1B</w:t>
            </w:r>
          </w:p>
        </w:tc>
        <w:tc>
          <w:tcPr>
            <w:tcW w:type="dxa" w:w="1742"/>
            <w:vAlign w:val="center"/>
            <w:tcMar>
              <w:top w:w="55" w:type="dxa"/>
              <w:start w:w="65" w:type="dxa"/>
              <w:bottom w:w="55" w:type="dxa"/>
              <w:end w:w="65" w:type="dxa"/>
            </w:tcMar>
          </w:tcPr>
          <w:p>
            <w:pPr>
              <w:spacing w:after="0"/>
            </w:pPr>
            <w:r>
              <w:rPr>
                <w:sz w:val="14"/>
              </w:rPr>
              <w:t>WB5</w:t>
            </w:r>
          </w:p>
        </w:tc>
        <w:tc>
          <w:tcPr>
            <w:tcW w:type="dxa" w:w="1742"/>
            <w:vAlign w:val="center"/>
            <w:tcMar>
              <w:top w:w="55" w:type="dxa"/>
              <w:start w:w="65" w:type="dxa"/>
              <w:bottom w:w="55" w:type="dxa"/>
              <w:end w:w="65" w:type="dxa"/>
            </w:tcMar>
          </w:tcPr>
          <w:p>
            <w:pPr>
              <w:spacing w:after="0"/>
            </w:pPr>
            <w:r>
              <w:rPr>
                <w:sz w:val="14"/>
              </w:rPr>
              <w:t>CHILD-ABUSE-REPORTING</w:t>
            </w:r>
          </w:p>
        </w:tc>
        <w:tc>
          <w:tcPr>
            <w:tcW w:type="dxa" w:w="1742"/>
            <w:vAlign w:val="center"/>
            <w:tcMar>
              <w:top w:w="55" w:type="dxa"/>
              <w:start w:w="65" w:type="dxa"/>
              <w:bottom w:w="55" w:type="dxa"/>
              <w:end w:w="65" w:type="dxa"/>
            </w:tcMar>
          </w:tcPr>
          <w:p>
            <w:pPr>
              <w:spacing w:after="0"/>
            </w:pPr>
            <w:r>
              <w:rPr>
                <w:sz w:val="14"/>
              </w:rPr>
              <w:t>California Penal Code 11166</w:t>
            </w:r>
          </w:p>
        </w:tc>
      </w:tr>
      <w:tr>
        <w:trPr>
          <w:cantSplit/>
        </w:trPr>
        <w:tc>
          <w:tcPr>
            <w:tcW w:type="dxa" w:w="1742"/>
            <w:vAlign w:val="center"/>
            <w:tcMar>
              <w:top w:w="55" w:type="dxa"/>
              <w:start w:w="65" w:type="dxa"/>
              <w:bottom w:w="55" w:type="dxa"/>
              <w:end w:w="65" w:type="dxa"/>
            </w:tcMar>
            <w:shd w:fill="F2F4F7"/>
          </w:tcPr>
          <w:p>
            <w:pPr>
              <w:spacing w:after="0"/>
            </w:pPr>
            <w:r>
              <w:rPr>
                <w:sz w:val="14"/>
              </w:rPr>
              <w:t>10</w:t>
            </w:r>
          </w:p>
        </w:tc>
        <w:tc>
          <w:tcPr>
            <w:tcW w:type="dxa" w:w="1742"/>
            <w:vAlign w:val="center"/>
            <w:tcMar>
              <w:top w:w="55" w:type="dxa"/>
              <w:start w:w="65" w:type="dxa"/>
              <w:bottom w:w="55" w:type="dxa"/>
              <w:end w:w="65" w:type="dxa"/>
            </w:tcMar>
            <w:shd w:fill="F2F4F7"/>
          </w:tcPr>
          <w:p>
            <w:pPr>
              <w:spacing w:after="0"/>
            </w:pPr>
            <w:r>
              <w:rPr>
                <w:sz w:val="14"/>
              </w:rPr>
              <w:t>Profession scope versus individual competence</w:t>
            </w:r>
          </w:p>
        </w:tc>
        <w:tc>
          <w:tcPr>
            <w:tcW w:type="dxa" w:w="1742"/>
            <w:vAlign w:val="center"/>
            <w:tcMar>
              <w:top w:w="55" w:type="dxa"/>
              <w:start w:w="65" w:type="dxa"/>
              <w:bottom w:w="55" w:type="dxa"/>
              <w:end w:w="65" w:type="dxa"/>
            </w:tcMar>
            <w:shd w:fill="F2F4F7"/>
          </w:tcPr>
          <w:p>
            <w:pPr>
              <w:spacing w:after="0"/>
            </w:pPr>
            <w:r>
              <w:rPr>
                <w:sz w:val="14"/>
              </w:rPr>
              <w:t>1C</w:t>
            </w:r>
          </w:p>
        </w:tc>
        <w:tc>
          <w:tcPr>
            <w:tcW w:type="dxa" w:w="1742"/>
            <w:vAlign w:val="center"/>
            <w:tcMar>
              <w:top w:w="55" w:type="dxa"/>
              <w:start w:w="65" w:type="dxa"/>
              <w:bottom w:w="55" w:type="dxa"/>
              <w:end w:w="65" w:type="dxa"/>
            </w:tcMar>
            <w:shd w:fill="F2F4F7"/>
          </w:tcPr>
          <w:p>
            <w:pPr>
              <w:spacing w:after="0"/>
            </w:pPr>
            <w:r>
              <w:rPr>
                <w:sz w:val="14"/>
              </w:rPr>
              <w:t>WB3</w:t>
            </w:r>
          </w:p>
        </w:tc>
        <w:tc>
          <w:tcPr>
            <w:tcW w:type="dxa" w:w="1742"/>
            <w:vAlign w:val="center"/>
            <w:tcMar>
              <w:top w:w="55" w:type="dxa"/>
              <w:start w:w="65" w:type="dxa"/>
              <w:bottom w:w="55" w:type="dxa"/>
              <w:end w:w="65" w:type="dxa"/>
            </w:tcMar>
            <w:shd w:fill="F2F4F7"/>
          </w:tcPr>
          <w:p>
            <w:pPr>
              <w:spacing w:after="0"/>
            </w:pPr>
            <w:r>
              <w:rPr>
                <w:sz w:val="14"/>
              </w:rPr>
              <w:t>SCOPE-VS-COMPETENCE</w:t>
            </w:r>
          </w:p>
        </w:tc>
        <w:tc>
          <w:tcPr>
            <w:tcW w:type="dxa" w:w="1742"/>
            <w:vAlign w:val="center"/>
            <w:tcMar>
              <w:top w:w="55" w:type="dxa"/>
              <w:start w:w="65" w:type="dxa"/>
              <w:bottom w:w="55" w:type="dxa"/>
              <w:end w:w="65" w:type="dxa"/>
            </w:tcMar>
            <w:shd w:fill="F2F4F7"/>
          </w:tcPr>
          <w:p>
            <w:pPr>
              <w:spacing w:after="0"/>
            </w:pPr>
            <w:r>
              <w:rPr>
                <w:sz w:val="14"/>
              </w:rPr>
              <w:t>California BPC 4996.9; NASW 1.04</w:t>
            </w:r>
          </w:p>
        </w:tc>
      </w:tr>
      <w:tr>
        <w:trPr>
          <w:cantSplit/>
        </w:trPr>
        <w:tc>
          <w:tcPr>
            <w:tcW w:type="dxa" w:w="1742"/>
            <w:vAlign w:val="center"/>
            <w:tcMar>
              <w:top w:w="55" w:type="dxa"/>
              <w:start w:w="65" w:type="dxa"/>
              <w:bottom w:w="55" w:type="dxa"/>
              <w:end w:w="65" w:type="dxa"/>
            </w:tcMar>
          </w:tcPr>
          <w:p>
            <w:pPr>
              <w:spacing w:after="0"/>
            </w:pPr>
            <w:r>
              <w:rPr>
                <w:sz w:val="14"/>
              </w:rPr>
              <w:t>11</w:t>
            </w:r>
          </w:p>
        </w:tc>
        <w:tc>
          <w:tcPr>
            <w:tcW w:type="dxa" w:w="1742"/>
            <w:vAlign w:val="center"/>
            <w:tcMar>
              <w:top w:w="55" w:type="dxa"/>
              <w:start w:w="65" w:type="dxa"/>
              <w:bottom w:w="55" w:type="dxa"/>
              <w:end w:w="65" w:type="dxa"/>
            </w:tcMar>
          </w:tcPr>
          <w:p>
            <w:pPr>
              <w:spacing w:after="0"/>
            </w:pPr>
            <w:r>
              <w:rPr>
                <w:sz w:val="14"/>
              </w:rPr>
              <w:t>Immediate response to impairment before high-risk care</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WB4</w:t>
            </w:r>
          </w:p>
        </w:tc>
        <w:tc>
          <w:tcPr>
            <w:tcW w:type="dxa" w:w="1742"/>
            <w:vAlign w:val="center"/>
            <w:tcMar>
              <w:top w:w="55" w:type="dxa"/>
              <w:start w:w="65" w:type="dxa"/>
              <w:bottom w:w="55" w:type="dxa"/>
              <w:end w:w="65" w:type="dxa"/>
            </w:tcMar>
          </w:tcPr>
          <w:p>
            <w:pPr>
              <w:spacing w:after="0"/>
            </w:pPr>
            <w:r>
              <w:rPr>
                <w:sz w:val="14"/>
              </w:rPr>
              <w:t>IMPAIRMENT-CONTAINMENT</w:t>
            </w:r>
          </w:p>
        </w:tc>
        <w:tc>
          <w:tcPr>
            <w:tcW w:type="dxa" w:w="1742"/>
            <w:vAlign w:val="center"/>
            <w:tcMar>
              <w:top w:w="55" w:type="dxa"/>
              <w:start w:w="65" w:type="dxa"/>
              <w:bottom w:w="55" w:type="dxa"/>
              <w:end w:w="65" w:type="dxa"/>
            </w:tcMar>
          </w:tcPr>
          <w:p>
            <w:pPr>
              <w:spacing w:after="0"/>
            </w:pPr>
            <w:r>
              <w:rPr>
                <w:sz w:val="14"/>
              </w:rPr>
              <w:t>NASW 4.05; California BPC 4992.3</w:t>
            </w:r>
          </w:p>
        </w:tc>
      </w:tr>
      <w:tr>
        <w:trPr>
          <w:cantSplit/>
        </w:trPr>
        <w:tc>
          <w:tcPr>
            <w:tcW w:type="dxa" w:w="1742"/>
            <w:vAlign w:val="center"/>
            <w:tcMar>
              <w:top w:w="55" w:type="dxa"/>
              <w:start w:w="65" w:type="dxa"/>
              <w:bottom w:w="55" w:type="dxa"/>
              <w:end w:w="65" w:type="dxa"/>
            </w:tcMar>
            <w:shd w:fill="F2F4F7"/>
          </w:tcPr>
          <w:p>
            <w:pPr>
              <w:spacing w:after="0"/>
            </w:pPr>
            <w:r>
              <w:rPr>
                <w:sz w:val="14"/>
              </w:rPr>
              <w:t>12</w:t>
            </w:r>
          </w:p>
        </w:tc>
        <w:tc>
          <w:tcPr>
            <w:tcW w:type="dxa" w:w="1742"/>
            <w:vAlign w:val="center"/>
            <w:tcMar>
              <w:top w:w="55" w:type="dxa"/>
              <w:start w:w="65" w:type="dxa"/>
              <w:bottom w:w="55" w:type="dxa"/>
              <w:end w:w="65" w:type="dxa"/>
            </w:tcMar>
            <w:shd w:fill="F2F4F7"/>
          </w:tcPr>
          <w:p>
            <w:pPr>
              <w:spacing w:after="0"/>
            </w:pPr>
            <w:r>
              <w:rPr>
                <w:sz w:val="14"/>
              </w:rPr>
              <w:t>Cultural difference versus pathology</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WB7</w:t>
            </w:r>
          </w:p>
        </w:tc>
        <w:tc>
          <w:tcPr>
            <w:tcW w:type="dxa" w:w="1742"/>
            <w:vAlign w:val="center"/>
            <w:tcMar>
              <w:top w:w="55" w:type="dxa"/>
              <w:start w:w="65" w:type="dxa"/>
              <w:bottom w:w="55" w:type="dxa"/>
              <w:end w:w="65" w:type="dxa"/>
            </w:tcMar>
            <w:shd w:fill="F2F4F7"/>
          </w:tcPr>
          <w:p>
            <w:pPr>
              <w:spacing w:after="0"/>
            </w:pPr>
            <w:r>
              <w:rPr>
                <w:sz w:val="14"/>
              </w:rPr>
              <w:t>CULTURE-PATHOLOGY</w:t>
            </w:r>
          </w:p>
        </w:tc>
        <w:tc>
          <w:tcPr>
            <w:tcW w:type="dxa" w:w="1742"/>
            <w:vAlign w:val="center"/>
            <w:tcMar>
              <w:top w:w="55" w:type="dxa"/>
              <w:start w:w="65" w:type="dxa"/>
              <w:bottom w:w="55" w:type="dxa"/>
              <w:end w:w="65" w:type="dxa"/>
            </w:tcMar>
            <w:shd w:fill="F2F4F7"/>
          </w:tcPr>
          <w:p>
            <w:pPr>
              <w:spacing w:after="0"/>
            </w:pPr>
            <w:r>
              <w:rPr>
                <w:sz w:val="14"/>
              </w:rPr>
              <w:t>NASW 1.04, 1.05, 4.02; NASW cultural-competence standards</w:t>
            </w:r>
          </w:p>
        </w:tc>
      </w:tr>
      <w:tr>
        <w:trPr>
          <w:cantSplit/>
        </w:trPr>
        <w:tc>
          <w:tcPr>
            <w:tcW w:type="dxa" w:w="1742"/>
            <w:vAlign w:val="center"/>
            <w:tcMar>
              <w:top w:w="55" w:type="dxa"/>
              <w:start w:w="65" w:type="dxa"/>
              <w:bottom w:w="55" w:type="dxa"/>
              <w:end w:w="65" w:type="dxa"/>
            </w:tcMar>
          </w:tcPr>
          <w:p>
            <w:pPr>
              <w:spacing w:after="0"/>
            </w:pPr>
            <w:r>
              <w:rPr>
                <w:sz w:val="14"/>
              </w:rPr>
              <w:t>13</w:t>
            </w:r>
          </w:p>
        </w:tc>
        <w:tc>
          <w:tcPr>
            <w:tcW w:type="dxa" w:w="1742"/>
            <w:vAlign w:val="center"/>
            <w:tcMar>
              <w:top w:w="55" w:type="dxa"/>
              <w:start w:w="65" w:type="dxa"/>
              <w:bottom w:w="55" w:type="dxa"/>
              <w:end w:w="65" w:type="dxa"/>
            </w:tcMar>
          </w:tcPr>
          <w:p>
            <w:pPr>
              <w:spacing w:after="0"/>
            </w:pPr>
            <w:r>
              <w:rPr>
                <w:sz w:val="14"/>
              </w:rPr>
              <w:t>Correcting a clinical record</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WB9</w:t>
            </w:r>
          </w:p>
        </w:tc>
        <w:tc>
          <w:tcPr>
            <w:tcW w:type="dxa" w:w="1742"/>
            <w:vAlign w:val="center"/>
            <w:tcMar>
              <w:top w:w="55" w:type="dxa"/>
              <w:start w:w="65" w:type="dxa"/>
              <w:bottom w:w="55" w:type="dxa"/>
              <w:end w:w="65" w:type="dxa"/>
            </w:tcMar>
          </w:tcPr>
          <w:p>
            <w:pPr>
              <w:spacing w:after="0"/>
            </w:pPr>
            <w:r>
              <w:rPr>
                <w:sz w:val="14"/>
              </w:rPr>
              <w:t>RECORD-CORRECTION</w:t>
            </w:r>
          </w:p>
        </w:tc>
        <w:tc>
          <w:tcPr>
            <w:tcW w:type="dxa" w:w="1742"/>
            <w:vAlign w:val="center"/>
            <w:tcMar>
              <w:top w:w="55" w:type="dxa"/>
              <w:start w:w="65" w:type="dxa"/>
              <w:bottom w:w="55" w:type="dxa"/>
              <w:end w:w="65" w:type="dxa"/>
            </w:tcMar>
          </w:tcPr>
          <w:p>
            <w:pPr>
              <w:spacing w:after="0"/>
            </w:pPr>
            <w:r>
              <w:rPr>
                <w:sz w:val="14"/>
              </w:rPr>
              <w:t>NASW 3.04; California record-integrity and unprofessional-conduct standards</w:t>
            </w:r>
          </w:p>
        </w:tc>
      </w:tr>
      <w:tr>
        <w:trPr>
          <w:cantSplit/>
        </w:trPr>
        <w:tc>
          <w:tcPr>
            <w:tcW w:type="dxa" w:w="1742"/>
            <w:vAlign w:val="center"/>
            <w:tcMar>
              <w:top w:w="55" w:type="dxa"/>
              <w:start w:w="65" w:type="dxa"/>
              <w:bottom w:w="55" w:type="dxa"/>
              <w:end w:w="65" w:type="dxa"/>
            </w:tcMar>
            <w:shd w:fill="F2F4F7"/>
          </w:tcPr>
          <w:p>
            <w:pPr>
              <w:spacing w:after="0"/>
            </w:pPr>
            <w:r>
              <w:rPr>
                <w:sz w:val="14"/>
              </w:rPr>
              <w:t>14</w:t>
            </w:r>
          </w:p>
        </w:tc>
        <w:tc>
          <w:tcPr>
            <w:tcW w:type="dxa" w:w="1742"/>
            <w:vAlign w:val="center"/>
            <w:tcMar>
              <w:top w:w="55" w:type="dxa"/>
              <w:start w:w="65" w:type="dxa"/>
              <w:bottom w:w="55" w:type="dxa"/>
              <w:end w:w="65" w:type="dxa"/>
            </w:tcMar>
            <w:shd w:fill="F2F4F7"/>
          </w:tcPr>
          <w:p>
            <w:pPr>
              <w:spacing w:after="0"/>
            </w:pPr>
            <w:r>
              <w:rPr>
                <w:sz w:val="14"/>
              </w:rPr>
              <w:t>Gifts and boundary analysis</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WB6</w:t>
            </w:r>
          </w:p>
        </w:tc>
        <w:tc>
          <w:tcPr>
            <w:tcW w:type="dxa" w:w="1742"/>
            <w:vAlign w:val="center"/>
            <w:tcMar>
              <w:top w:w="55" w:type="dxa"/>
              <w:start w:w="65" w:type="dxa"/>
              <w:bottom w:w="55" w:type="dxa"/>
              <w:end w:w="65" w:type="dxa"/>
            </w:tcMar>
            <w:shd w:fill="F2F4F7"/>
          </w:tcPr>
          <w:p>
            <w:pPr>
              <w:spacing w:after="0"/>
            </w:pPr>
            <w:r>
              <w:rPr>
                <w:sz w:val="14"/>
              </w:rPr>
              <w:t>GIFT-BOUNDARY</w:t>
            </w:r>
          </w:p>
        </w:tc>
        <w:tc>
          <w:tcPr>
            <w:tcW w:type="dxa" w:w="1742"/>
            <w:vAlign w:val="center"/>
            <w:tcMar>
              <w:top w:w="55" w:type="dxa"/>
              <w:start w:w="65" w:type="dxa"/>
              <w:bottom w:w="55" w:type="dxa"/>
              <w:end w:w="65" w:type="dxa"/>
            </w:tcMar>
            <w:shd w:fill="F2F4F7"/>
          </w:tcPr>
          <w:p>
            <w:pPr>
              <w:spacing w:after="0"/>
            </w:pPr>
            <w:r>
              <w:rPr>
                <w:sz w:val="14"/>
              </w:rPr>
              <w:t>NASW 1.06; California unprofessional-conduct standards</w:t>
            </w:r>
          </w:p>
        </w:tc>
      </w:tr>
      <w:tr>
        <w:trPr>
          <w:cantSplit/>
        </w:trPr>
        <w:tc>
          <w:tcPr>
            <w:tcW w:type="dxa" w:w="1742"/>
            <w:vAlign w:val="center"/>
            <w:tcMar>
              <w:top w:w="55" w:type="dxa"/>
              <w:start w:w="65" w:type="dxa"/>
              <w:bottom w:w="55" w:type="dxa"/>
              <w:end w:w="65" w:type="dxa"/>
            </w:tcMar>
          </w:tcPr>
          <w:p>
            <w:pPr>
              <w:spacing w:after="0"/>
            </w:pPr>
            <w:r>
              <w:rPr>
                <w:sz w:val="14"/>
              </w:rPr>
              <w:t>15</w:t>
            </w:r>
          </w:p>
        </w:tc>
        <w:tc>
          <w:tcPr>
            <w:tcW w:type="dxa" w:w="1742"/>
            <w:vAlign w:val="center"/>
            <w:tcMar>
              <w:top w:w="55" w:type="dxa"/>
              <w:start w:w="65" w:type="dxa"/>
              <w:bottom w:w="55" w:type="dxa"/>
              <w:end w:w="65" w:type="dxa"/>
            </w:tcMar>
          </w:tcPr>
          <w:p>
            <w:pPr>
              <w:spacing w:after="0"/>
            </w:pPr>
            <w:r>
              <w:rPr>
                <w:sz w:val="14"/>
              </w:rPr>
              <w:t>Third-party payment does not establish record authority</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WB8</w:t>
            </w:r>
          </w:p>
        </w:tc>
        <w:tc>
          <w:tcPr>
            <w:tcW w:type="dxa" w:w="1742"/>
            <w:vAlign w:val="center"/>
            <w:tcMar>
              <w:top w:w="55" w:type="dxa"/>
              <w:start w:w="65" w:type="dxa"/>
              <w:bottom w:w="55" w:type="dxa"/>
              <w:end w:w="65" w:type="dxa"/>
            </w:tcMar>
          </w:tcPr>
          <w:p>
            <w:pPr>
              <w:spacing w:after="0"/>
            </w:pPr>
            <w:r>
              <w:rPr>
                <w:sz w:val="14"/>
              </w:rPr>
              <w:t>THIRD-PARTY-PAYER</w:t>
            </w:r>
          </w:p>
        </w:tc>
        <w:tc>
          <w:tcPr>
            <w:tcW w:type="dxa" w:w="1742"/>
            <w:vAlign w:val="center"/>
            <w:tcMar>
              <w:top w:w="55" w:type="dxa"/>
              <w:start w:w="65" w:type="dxa"/>
              <w:bottom w:w="55" w:type="dxa"/>
              <w:end w:w="65" w:type="dxa"/>
            </w:tcMar>
          </w:tcPr>
          <w:p>
            <w:pPr>
              <w:spacing w:after="0"/>
            </w:pPr>
            <w:r>
              <w:rPr>
                <w:sz w:val="14"/>
              </w:rPr>
              <w:t>NASW 1.03, 1.07; California confidentiality, privilege, and access law</w:t>
            </w:r>
          </w:p>
        </w:tc>
      </w:tr>
      <w:tr>
        <w:trPr>
          <w:cantSplit/>
        </w:trPr>
        <w:tc>
          <w:tcPr>
            <w:tcW w:type="dxa" w:w="1742"/>
            <w:vAlign w:val="center"/>
            <w:tcMar>
              <w:top w:w="55" w:type="dxa"/>
              <w:start w:w="65" w:type="dxa"/>
              <w:bottom w:w="55" w:type="dxa"/>
              <w:end w:w="65" w:type="dxa"/>
            </w:tcMar>
            <w:shd w:fill="F2F4F7"/>
          </w:tcPr>
          <w:p>
            <w:pPr>
              <w:spacing w:after="0"/>
            </w:pPr>
            <w:r>
              <w:rPr>
                <w:sz w:val="14"/>
              </w:rPr>
              <w:t>16</w:t>
            </w:r>
          </w:p>
        </w:tc>
        <w:tc>
          <w:tcPr>
            <w:tcW w:type="dxa" w:w="1742"/>
            <w:vAlign w:val="center"/>
            <w:tcMar>
              <w:top w:w="55" w:type="dxa"/>
              <w:start w:w="65" w:type="dxa"/>
              <w:bottom w:w="55" w:type="dxa"/>
              <w:end w:w="65" w:type="dxa"/>
            </w:tcMar>
            <w:shd w:fill="F2F4F7"/>
          </w:tcPr>
          <w:p>
            <w:pPr>
              <w:spacing w:after="0"/>
            </w:pPr>
            <w:r>
              <w:rPr>
                <w:sz w:val="14"/>
              </w:rPr>
              <w:t>New specialized assessment technique</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WB3</w:t>
            </w:r>
          </w:p>
        </w:tc>
        <w:tc>
          <w:tcPr>
            <w:tcW w:type="dxa" w:w="1742"/>
            <w:vAlign w:val="center"/>
            <w:tcMar>
              <w:top w:w="55" w:type="dxa"/>
              <w:start w:w="65" w:type="dxa"/>
              <w:bottom w:w="55" w:type="dxa"/>
              <w:end w:w="65" w:type="dxa"/>
            </w:tcMar>
            <w:shd w:fill="F2F4F7"/>
          </w:tcPr>
          <w:p>
            <w:pPr>
              <w:spacing w:after="0"/>
            </w:pPr>
            <w:r>
              <w:rPr>
                <w:sz w:val="14"/>
              </w:rPr>
              <w:t>NEW-TECHNIQUE-COMPETENCE</w:t>
            </w:r>
          </w:p>
        </w:tc>
        <w:tc>
          <w:tcPr>
            <w:tcW w:type="dxa" w:w="1742"/>
            <w:vAlign w:val="center"/>
            <w:tcMar>
              <w:top w:w="55" w:type="dxa"/>
              <w:start w:w="65" w:type="dxa"/>
              <w:bottom w:w="55" w:type="dxa"/>
              <w:end w:w="65" w:type="dxa"/>
            </w:tcMar>
            <w:shd w:fill="F2F4F7"/>
          </w:tcPr>
          <w:p>
            <w:pPr>
              <w:spacing w:after="0"/>
            </w:pPr>
            <w:r>
              <w:rPr>
                <w:sz w:val="14"/>
              </w:rPr>
              <w:t>NASW 1.04; California competence standards</w:t>
            </w:r>
          </w:p>
        </w:tc>
      </w:tr>
      <w:tr>
        <w:trPr>
          <w:cantSplit/>
        </w:trPr>
        <w:tc>
          <w:tcPr>
            <w:tcW w:type="dxa" w:w="1742"/>
            <w:vAlign w:val="center"/>
            <w:tcMar>
              <w:top w:w="55" w:type="dxa"/>
              <w:start w:w="65" w:type="dxa"/>
              <w:bottom w:w="55" w:type="dxa"/>
              <w:end w:w="65" w:type="dxa"/>
            </w:tcMar>
          </w:tcPr>
          <w:p>
            <w:pPr>
              <w:spacing w:after="0"/>
            </w:pPr>
            <w:r>
              <w:rPr>
                <w:sz w:val="14"/>
              </w:rPr>
              <w:t>17</w:t>
            </w:r>
          </w:p>
        </w:tc>
        <w:tc>
          <w:tcPr>
            <w:tcW w:type="dxa" w:w="1742"/>
            <w:vAlign w:val="center"/>
            <w:tcMar>
              <w:top w:w="55" w:type="dxa"/>
              <w:start w:w="65" w:type="dxa"/>
              <w:bottom w:w="55" w:type="dxa"/>
              <w:end w:w="65" w:type="dxa"/>
            </w:tcMar>
          </w:tcPr>
          <w:p>
            <w:pPr>
              <w:spacing w:after="0"/>
            </w:pPr>
            <w:r>
              <w:rPr>
                <w:sz w:val="14"/>
              </w:rPr>
              <w:t>Unauthorized electronic disclosure and breach response</w:t>
            </w:r>
          </w:p>
        </w:tc>
        <w:tc>
          <w:tcPr>
            <w:tcW w:type="dxa" w:w="1742"/>
            <w:vAlign w:val="center"/>
            <w:tcMar>
              <w:top w:w="55" w:type="dxa"/>
              <w:start w:w="65" w:type="dxa"/>
              <w:bottom w:w="55" w:type="dxa"/>
              <w:end w:w="65" w:type="dxa"/>
            </w:tcMar>
          </w:tcPr>
          <w:p>
            <w:pPr>
              <w:spacing w:after="0"/>
            </w:pPr>
            <w:r>
              <w:rPr>
                <w:sz w:val="14"/>
              </w:rPr>
              <w:t>1B</w:t>
            </w:r>
          </w:p>
        </w:tc>
        <w:tc>
          <w:tcPr>
            <w:tcW w:type="dxa" w:w="1742"/>
            <w:vAlign w:val="center"/>
            <w:tcMar>
              <w:top w:w="55" w:type="dxa"/>
              <w:start w:w="65" w:type="dxa"/>
              <w:bottom w:w="55" w:type="dxa"/>
              <w:end w:w="65" w:type="dxa"/>
            </w:tcMar>
          </w:tcPr>
          <w:p>
            <w:pPr>
              <w:spacing w:after="0"/>
            </w:pPr>
            <w:r>
              <w:rPr>
                <w:sz w:val="14"/>
              </w:rPr>
              <w:t>WB9</w:t>
            </w:r>
          </w:p>
        </w:tc>
        <w:tc>
          <w:tcPr>
            <w:tcW w:type="dxa" w:w="1742"/>
            <w:vAlign w:val="center"/>
            <w:tcMar>
              <w:top w:w="55" w:type="dxa"/>
              <w:start w:w="65" w:type="dxa"/>
              <w:bottom w:w="55" w:type="dxa"/>
              <w:end w:w="65" w:type="dxa"/>
            </w:tcMar>
          </w:tcPr>
          <w:p>
            <w:pPr>
              <w:spacing w:after="0"/>
            </w:pPr>
            <w:r>
              <w:rPr>
                <w:sz w:val="14"/>
              </w:rPr>
              <w:t>PRIVACY-INCIDENT</w:t>
            </w:r>
          </w:p>
        </w:tc>
        <w:tc>
          <w:tcPr>
            <w:tcW w:type="dxa" w:w="1742"/>
            <w:vAlign w:val="center"/>
            <w:tcMar>
              <w:top w:w="55" w:type="dxa"/>
              <w:start w:w="65" w:type="dxa"/>
              <w:bottom w:w="55" w:type="dxa"/>
              <w:end w:w="65" w:type="dxa"/>
            </w:tcMar>
          </w:tcPr>
          <w:p>
            <w:pPr>
              <w:spacing w:after="0"/>
            </w:pPr>
            <w:r>
              <w:rPr>
                <w:sz w:val="14"/>
              </w:rPr>
              <w:t>California CMIA and applicable privacy/security law; NASW 1.07, 3.04</w:t>
            </w:r>
          </w:p>
        </w:tc>
      </w:tr>
      <w:tr>
        <w:trPr>
          <w:cantSplit/>
        </w:trPr>
        <w:tc>
          <w:tcPr>
            <w:tcW w:type="dxa" w:w="1742"/>
            <w:vAlign w:val="center"/>
            <w:tcMar>
              <w:top w:w="55" w:type="dxa"/>
              <w:start w:w="65" w:type="dxa"/>
              <w:bottom w:w="55" w:type="dxa"/>
              <w:end w:w="65" w:type="dxa"/>
            </w:tcMar>
            <w:shd w:fill="F2F4F7"/>
          </w:tcPr>
          <w:p>
            <w:pPr>
              <w:spacing w:after="0"/>
            </w:pPr>
            <w:r>
              <w:rPr>
                <w:sz w:val="14"/>
              </w:rPr>
              <w:t>18</w:t>
            </w:r>
          </w:p>
        </w:tc>
        <w:tc>
          <w:tcPr>
            <w:tcW w:type="dxa" w:w="1742"/>
            <w:vAlign w:val="center"/>
            <w:tcMar>
              <w:top w:w="55" w:type="dxa"/>
              <w:start w:w="65" w:type="dxa"/>
              <w:bottom w:w="55" w:type="dxa"/>
              <w:end w:w="65" w:type="dxa"/>
            </w:tcMar>
            <w:shd w:fill="F2F4F7"/>
          </w:tcPr>
          <w:p>
            <w:pPr>
              <w:spacing w:after="0"/>
            </w:pPr>
            <w:r>
              <w:rPr>
                <w:sz w:val="14"/>
              </w:rPr>
              <w:t>Required Notice to Clients</w:t>
            </w:r>
          </w:p>
        </w:tc>
        <w:tc>
          <w:tcPr>
            <w:tcW w:type="dxa" w:w="1742"/>
            <w:vAlign w:val="center"/>
            <w:tcMar>
              <w:top w:w="55" w:type="dxa"/>
              <w:start w:w="65" w:type="dxa"/>
              <w:bottom w:w="55" w:type="dxa"/>
              <w:end w:w="65" w:type="dxa"/>
            </w:tcMar>
            <w:shd w:fill="F2F4F7"/>
          </w:tcPr>
          <w:p>
            <w:pPr>
              <w:spacing w:after="0"/>
            </w:pPr>
            <w:r>
              <w:rPr>
                <w:sz w:val="14"/>
              </w:rPr>
              <w:t>1C</w:t>
            </w:r>
          </w:p>
        </w:tc>
        <w:tc>
          <w:tcPr>
            <w:tcW w:type="dxa" w:w="1742"/>
            <w:vAlign w:val="center"/>
            <w:tcMar>
              <w:top w:w="55" w:type="dxa"/>
              <w:start w:w="65" w:type="dxa"/>
              <w:bottom w:w="55" w:type="dxa"/>
              <w:end w:w="65" w:type="dxa"/>
            </w:tcMar>
            <w:shd w:fill="F2F4F7"/>
          </w:tcPr>
          <w:p>
            <w:pPr>
              <w:spacing w:after="0"/>
            </w:pPr>
            <w:r>
              <w:rPr>
                <w:sz w:val="14"/>
              </w:rPr>
              <w:t>WB1</w:t>
            </w:r>
          </w:p>
        </w:tc>
        <w:tc>
          <w:tcPr>
            <w:tcW w:type="dxa" w:w="1742"/>
            <w:vAlign w:val="center"/>
            <w:tcMar>
              <w:top w:w="55" w:type="dxa"/>
              <w:start w:w="65" w:type="dxa"/>
              <w:bottom w:w="55" w:type="dxa"/>
              <w:end w:w="65" w:type="dxa"/>
            </w:tcMar>
            <w:shd w:fill="F2F4F7"/>
          </w:tcPr>
          <w:p>
            <w:pPr>
              <w:spacing w:after="0"/>
            </w:pPr>
            <w:r>
              <w:rPr>
                <w:sz w:val="14"/>
              </w:rPr>
              <w:t>NOTICE-TO-CLIENTS</w:t>
            </w:r>
          </w:p>
        </w:tc>
        <w:tc>
          <w:tcPr>
            <w:tcW w:type="dxa" w:w="1742"/>
            <w:vAlign w:val="center"/>
            <w:tcMar>
              <w:top w:w="55" w:type="dxa"/>
              <w:start w:w="65" w:type="dxa"/>
              <w:bottom w:w="55" w:type="dxa"/>
              <w:end w:w="65" w:type="dxa"/>
            </w:tcMar>
            <w:shd w:fill="F2F4F7"/>
          </w:tcPr>
          <w:p>
            <w:pPr>
              <w:spacing w:after="0"/>
            </w:pPr>
            <w:r>
              <w:rPr>
                <w:sz w:val="14"/>
              </w:rPr>
              <w:t>California BPC 4996.75; BBS Required Notice to Consumers guidance</w:t>
            </w:r>
          </w:p>
        </w:tc>
      </w:tr>
      <w:tr>
        <w:trPr>
          <w:cantSplit/>
        </w:trPr>
        <w:tc>
          <w:tcPr>
            <w:tcW w:type="dxa" w:w="1742"/>
            <w:vAlign w:val="center"/>
            <w:tcMar>
              <w:top w:w="55" w:type="dxa"/>
              <w:start w:w="65" w:type="dxa"/>
              <w:bottom w:w="55" w:type="dxa"/>
              <w:end w:w="65" w:type="dxa"/>
            </w:tcMar>
          </w:tcPr>
          <w:p>
            <w:pPr>
              <w:spacing w:after="0"/>
            </w:pPr>
            <w:r>
              <w:rPr>
                <w:sz w:val="14"/>
              </w:rPr>
              <w:t>19</w:t>
            </w:r>
          </w:p>
        </w:tc>
        <w:tc>
          <w:tcPr>
            <w:tcW w:type="dxa" w:w="1742"/>
            <w:vAlign w:val="center"/>
            <w:tcMar>
              <w:top w:w="55" w:type="dxa"/>
              <w:start w:w="65" w:type="dxa"/>
              <w:bottom w:w="55" w:type="dxa"/>
              <w:end w:w="65" w:type="dxa"/>
            </w:tcMar>
          </w:tcPr>
          <w:p>
            <w:pPr>
              <w:spacing w:after="0"/>
            </w:pPr>
            <w:r>
              <w:rPr>
                <w:sz w:val="14"/>
              </w:rPr>
              <w:t>Planned cross-jurisdiction telehealth transition</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WB2</w:t>
            </w:r>
          </w:p>
        </w:tc>
        <w:tc>
          <w:tcPr>
            <w:tcW w:type="dxa" w:w="1742"/>
            <w:vAlign w:val="center"/>
            <w:tcMar>
              <w:top w:w="55" w:type="dxa"/>
              <w:start w:w="65" w:type="dxa"/>
              <w:bottom w:w="55" w:type="dxa"/>
              <w:end w:w="65" w:type="dxa"/>
            </w:tcMar>
          </w:tcPr>
          <w:p>
            <w:pPr>
              <w:spacing w:after="0"/>
            </w:pPr>
            <w:r>
              <w:rPr>
                <w:sz w:val="14"/>
              </w:rPr>
              <w:t>TELEHEALTH-JURISDICTION</w:t>
            </w:r>
          </w:p>
        </w:tc>
        <w:tc>
          <w:tcPr>
            <w:tcW w:type="dxa" w:w="1742"/>
            <w:vAlign w:val="center"/>
            <w:tcMar>
              <w:top w:w="55" w:type="dxa"/>
              <w:start w:w="65" w:type="dxa"/>
              <w:bottom w:w="55" w:type="dxa"/>
              <w:end w:w="65" w:type="dxa"/>
            </w:tcMar>
          </w:tcPr>
          <w:p>
            <w:pPr>
              <w:spacing w:after="0"/>
            </w:pPr>
            <w:r>
              <w:rPr>
                <w:sz w:val="14"/>
              </w:rPr>
              <w:t>California CCR 1815.5(e); current destination-jurisdiction law</w:t>
            </w:r>
          </w:p>
        </w:tc>
      </w:tr>
      <w:tr>
        <w:trPr>
          <w:cantSplit/>
        </w:trPr>
        <w:tc>
          <w:tcPr>
            <w:tcW w:type="dxa" w:w="1742"/>
            <w:vAlign w:val="center"/>
            <w:tcMar>
              <w:top w:w="55" w:type="dxa"/>
              <w:start w:w="65" w:type="dxa"/>
              <w:bottom w:w="55" w:type="dxa"/>
              <w:end w:w="65" w:type="dxa"/>
            </w:tcMar>
            <w:shd w:fill="F2F4F7"/>
          </w:tcPr>
          <w:p>
            <w:pPr>
              <w:spacing w:after="0"/>
            </w:pPr>
            <w:r>
              <w:rPr>
                <w:sz w:val="14"/>
              </w:rPr>
              <w:t>20</w:t>
            </w:r>
          </w:p>
        </w:tc>
        <w:tc>
          <w:tcPr>
            <w:tcW w:type="dxa" w:w="1742"/>
            <w:vAlign w:val="center"/>
            <w:tcMar>
              <w:top w:w="55" w:type="dxa"/>
              <w:start w:w="65" w:type="dxa"/>
              <w:bottom w:w="55" w:type="dxa"/>
              <w:end w:w="65" w:type="dxa"/>
            </w:tcMar>
            <w:shd w:fill="F2F4F7"/>
          </w:tcPr>
          <w:p>
            <w:pPr>
              <w:spacing w:after="0"/>
            </w:pPr>
            <w:r>
              <w:rPr>
                <w:sz w:val="14"/>
              </w:rPr>
              <w:t>Responding to a colleague’s possible impairment</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WB4</w:t>
            </w:r>
          </w:p>
        </w:tc>
        <w:tc>
          <w:tcPr>
            <w:tcW w:type="dxa" w:w="1742"/>
            <w:vAlign w:val="center"/>
            <w:tcMar>
              <w:top w:w="55" w:type="dxa"/>
              <w:start w:w="65" w:type="dxa"/>
              <w:bottom w:w="55" w:type="dxa"/>
              <w:end w:w="65" w:type="dxa"/>
            </w:tcMar>
            <w:shd w:fill="F2F4F7"/>
          </w:tcPr>
          <w:p>
            <w:pPr>
              <w:spacing w:after="0"/>
            </w:pPr>
            <w:r>
              <w:rPr>
                <w:sz w:val="14"/>
              </w:rPr>
              <w:t>COLLEAGUE-IMPAIRMENT</w:t>
            </w:r>
          </w:p>
        </w:tc>
        <w:tc>
          <w:tcPr>
            <w:tcW w:type="dxa" w:w="1742"/>
            <w:vAlign w:val="center"/>
            <w:tcMar>
              <w:top w:w="55" w:type="dxa"/>
              <w:start w:w="65" w:type="dxa"/>
              <w:bottom w:w="55" w:type="dxa"/>
              <w:end w:w="65" w:type="dxa"/>
            </w:tcMar>
            <w:shd w:fill="F2F4F7"/>
          </w:tcPr>
          <w:p>
            <w:pPr>
              <w:spacing w:after="0"/>
            </w:pPr>
            <w:r>
              <w:rPr>
                <w:sz w:val="14"/>
              </w:rPr>
              <w:t>NASW 2.08, 2.09; client-welfare obligations</w:t>
            </w:r>
          </w:p>
        </w:tc>
      </w:tr>
      <w:tr>
        <w:trPr>
          <w:cantSplit/>
        </w:trPr>
        <w:tc>
          <w:tcPr>
            <w:tcW w:type="dxa" w:w="1742"/>
            <w:vAlign w:val="center"/>
            <w:tcMar>
              <w:top w:w="55" w:type="dxa"/>
              <w:start w:w="65" w:type="dxa"/>
              <w:bottom w:w="55" w:type="dxa"/>
              <w:end w:w="65" w:type="dxa"/>
            </w:tcMar>
          </w:tcPr>
          <w:p>
            <w:pPr>
              <w:spacing w:after="0"/>
            </w:pPr>
            <w:r>
              <w:rPr>
                <w:sz w:val="14"/>
              </w:rPr>
              <w:t>21</w:t>
            </w:r>
          </w:p>
        </w:tc>
        <w:tc>
          <w:tcPr>
            <w:tcW w:type="dxa" w:w="1742"/>
            <w:vAlign w:val="center"/>
            <w:tcMar>
              <w:top w:w="55" w:type="dxa"/>
              <w:start w:w="65" w:type="dxa"/>
              <w:bottom w:w="55" w:type="dxa"/>
              <w:end w:w="65" w:type="dxa"/>
            </w:tcMar>
          </w:tcPr>
          <w:p>
            <w:pPr>
              <w:spacing w:after="0"/>
            </w:pPr>
            <w:r>
              <w:rPr>
                <w:sz w:val="14"/>
              </w:rPr>
              <w:t>Privacy and security during each telehealth service</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WB2</w:t>
            </w:r>
          </w:p>
        </w:tc>
        <w:tc>
          <w:tcPr>
            <w:tcW w:type="dxa" w:w="1742"/>
            <w:vAlign w:val="center"/>
            <w:tcMar>
              <w:top w:w="55" w:type="dxa"/>
              <w:start w:w="65" w:type="dxa"/>
              <w:bottom w:w="55" w:type="dxa"/>
              <w:end w:w="65" w:type="dxa"/>
            </w:tcMar>
          </w:tcPr>
          <w:p>
            <w:pPr>
              <w:spacing w:after="0"/>
            </w:pPr>
            <w:r>
              <w:rPr>
                <w:sz w:val="14"/>
              </w:rPr>
              <w:t>TELEHEALTH-EACH-SESSION</w:t>
            </w:r>
          </w:p>
        </w:tc>
        <w:tc>
          <w:tcPr>
            <w:tcW w:type="dxa" w:w="1742"/>
            <w:vAlign w:val="center"/>
            <w:tcMar>
              <w:top w:w="55" w:type="dxa"/>
              <w:start w:w="65" w:type="dxa"/>
              <w:bottom w:w="55" w:type="dxa"/>
              <w:end w:w="65" w:type="dxa"/>
            </w:tcMar>
          </w:tcPr>
          <w:p>
            <w:pPr>
              <w:spacing w:after="0"/>
            </w:pPr>
            <w:r>
              <w:rPr>
                <w:sz w:val="14"/>
              </w:rPr>
              <w:t>California CCR 1815.5(d)(3); applicable CMIA/HIPAA law</w:t>
            </w:r>
          </w:p>
        </w:tc>
      </w:tr>
      <w:tr>
        <w:trPr>
          <w:cantSplit/>
        </w:trPr>
        <w:tc>
          <w:tcPr>
            <w:tcW w:type="dxa" w:w="1742"/>
            <w:vAlign w:val="center"/>
            <w:tcMar>
              <w:top w:w="55" w:type="dxa"/>
              <w:start w:w="65" w:type="dxa"/>
              <w:bottom w:w="55" w:type="dxa"/>
              <w:end w:w="65" w:type="dxa"/>
            </w:tcMar>
            <w:shd w:fill="F2F4F7"/>
          </w:tcPr>
          <w:p>
            <w:pPr>
              <w:spacing w:after="0"/>
            </w:pPr>
            <w:r>
              <w:rPr>
                <w:sz w:val="14"/>
              </w:rPr>
              <w:t>22</w:t>
            </w:r>
          </w:p>
        </w:tc>
        <w:tc>
          <w:tcPr>
            <w:tcW w:type="dxa" w:w="1742"/>
            <w:vAlign w:val="center"/>
            <w:tcMar>
              <w:top w:w="55" w:type="dxa"/>
              <w:start w:w="65" w:type="dxa"/>
              <w:bottom w:w="55" w:type="dxa"/>
              <w:end w:w="65" w:type="dxa"/>
            </w:tcMar>
            <w:shd w:fill="F2F4F7"/>
          </w:tcPr>
          <w:p>
            <w:pPr>
              <w:spacing w:after="0"/>
            </w:pPr>
            <w:r>
              <w:rPr>
                <w:sz w:val="14"/>
              </w:rPr>
              <w:t>Present-location verification in telehealth</w:t>
            </w:r>
          </w:p>
        </w:tc>
        <w:tc>
          <w:tcPr>
            <w:tcW w:type="dxa" w:w="1742"/>
            <w:vAlign w:val="center"/>
            <w:tcMar>
              <w:top w:w="55" w:type="dxa"/>
              <w:start w:w="65" w:type="dxa"/>
              <w:bottom w:w="55" w:type="dxa"/>
              <w:end w:w="65" w:type="dxa"/>
            </w:tcMar>
            <w:shd w:fill="F2F4F7"/>
          </w:tcPr>
          <w:p>
            <w:pPr>
              <w:spacing w:after="0"/>
            </w:pPr>
            <w:r>
              <w:rPr>
                <w:sz w:val="14"/>
              </w:rPr>
              <w:t>1A</w:t>
            </w:r>
          </w:p>
        </w:tc>
        <w:tc>
          <w:tcPr>
            <w:tcW w:type="dxa" w:w="1742"/>
            <w:vAlign w:val="center"/>
            <w:tcMar>
              <w:top w:w="55" w:type="dxa"/>
              <w:start w:w="65" w:type="dxa"/>
              <w:bottom w:w="55" w:type="dxa"/>
              <w:end w:w="65" w:type="dxa"/>
            </w:tcMar>
            <w:shd w:fill="F2F4F7"/>
          </w:tcPr>
          <w:p>
            <w:pPr>
              <w:spacing w:after="0"/>
            </w:pPr>
            <w:r>
              <w:rPr>
                <w:sz w:val="14"/>
              </w:rPr>
              <w:t>WB2</w:t>
            </w:r>
          </w:p>
        </w:tc>
        <w:tc>
          <w:tcPr>
            <w:tcW w:type="dxa" w:w="1742"/>
            <w:vAlign w:val="center"/>
            <w:tcMar>
              <w:top w:w="55" w:type="dxa"/>
              <w:start w:w="65" w:type="dxa"/>
              <w:bottom w:w="55" w:type="dxa"/>
              <w:end w:w="65" w:type="dxa"/>
            </w:tcMar>
            <w:shd w:fill="F2F4F7"/>
          </w:tcPr>
          <w:p>
            <w:pPr>
              <w:spacing w:after="0"/>
            </w:pPr>
            <w:r>
              <w:rPr>
                <w:sz w:val="14"/>
              </w:rPr>
              <w:t>TELEHEALTH-PRESENT-LOCATION</w:t>
            </w:r>
          </w:p>
        </w:tc>
        <w:tc>
          <w:tcPr>
            <w:tcW w:type="dxa" w:w="1742"/>
            <w:vAlign w:val="center"/>
            <w:tcMar>
              <w:top w:w="55" w:type="dxa"/>
              <w:start w:w="65" w:type="dxa"/>
              <w:bottom w:w="55" w:type="dxa"/>
              <w:end w:w="65" w:type="dxa"/>
            </w:tcMar>
            <w:shd w:fill="F2F4F7"/>
          </w:tcPr>
          <w:p>
            <w:pPr>
              <w:spacing w:after="0"/>
            </w:pPr>
            <w:r>
              <w:rPr>
                <w:sz w:val="14"/>
              </w:rPr>
              <w:t>California CCR 1815.5(d)(1)</w:t>
            </w:r>
          </w:p>
        </w:tc>
      </w:tr>
      <w:tr>
        <w:trPr>
          <w:cantSplit/>
        </w:trPr>
        <w:tc>
          <w:tcPr>
            <w:tcW w:type="dxa" w:w="1742"/>
            <w:vAlign w:val="center"/>
            <w:tcMar>
              <w:top w:w="55" w:type="dxa"/>
              <w:start w:w="65" w:type="dxa"/>
              <w:bottom w:w="55" w:type="dxa"/>
              <w:end w:w="65" w:type="dxa"/>
            </w:tcMar>
          </w:tcPr>
          <w:p>
            <w:pPr>
              <w:spacing w:after="0"/>
            </w:pPr>
            <w:r>
              <w:rPr>
                <w:sz w:val="14"/>
              </w:rPr>
              <w:t>23</w:t>
            </w:r>
          </w:p>
        </w:tc>
        <w:tc>
          <w:tcPr>
            <w:tcW w:type="dxa" w:w="1742"/>
            <w:vAlign w:val="center"/>
            <w:tcMar>
              <w:top w:w="55" w:type="dxa"/>
              <w:start w:w="65" w:type="dxa"/>
              <w:bottom w:w="55" w:type="dxa"/>
              <w:end w:w="65" w:type="dxa"/>
            </w:tcMar>
          </w:tcPr>
          <w:p>
            <w:pPr>
              <w:spacing w:after="0"/>
            </w:pPr>
            <w:r>
              <w:rPr>
                <w:sz w:val="14"/>
              </w:rPr>
              <w:t>Confidentiality versus psychotherapist-patient privilege</w:t>
            </w:r>
          </w:p>
        </w:tc>
        <w:tc>
          <w:tcPr>
            <w:tcW w:type="dxa" w:w="1742"/>
            <w:vAlign w:val="center"/>
            <w:tcMar>
              <w:top w:w="55" w:type="dxa"/>
              <w:start w:w="65" w:type="dxa"/>
              <w:bottom w:w="55" w:type="dxa"/>
              <w:end w:w="65" w:type="dxa"/>
            </w:tcMar>
          </w:tcPr>
          <w:p>
            <w:pPr>
              <w:spacing w:after="0"/>
            </w:pPr>
            <w:r>
              <w:rPr>
                <w:sz w:val="14"/>
              </w:rPr>
              <w:t>1B</w:t>
            </w:r>
          </w:p>
        </w:tc>
        <w:tc>
          <w:tcPr>
            <w:tcW w:type="dxa" w:w="1742"/>
            <w:vAlign w:val="center"/>
            <w:tcMar>
              <w:top w:w="55" w:type="dxa"/>
              <w:start w:w="65" w:type="dxa"/>
              <w:bottom w:w="55" w:type="dxa"/>
              <w:end w:w="65" w:type="dxa"/>
            </w:tcMar>
          </w:tcPr>
          <w:p>
            <w:pPr>
              <w:spacing w:after="0"/>
            </w:pPr>
            <w:r>
              <w:rPr>
                <w:sz w:val="14"/>
              </w:rPr>
              <w:t>WB8</w:t>
            </w:r>
          </w:p>
        </w:tc>
        <w:tc>
          <w:tcPr>
            <w:tcW w:type="dxa" w:w="1742"/>
            <w:vAlign w:val="center"/>
            <w:tcMar>
              <w:top w:w="55" w:type="dxa"/>
              <w:start w:w="65" w:type="dxa"/>
              <w:bottom w:w="55" w:type="dxa"/>
              <w:end w:w="65" w:type="dxa"/>
            </w:tcMar>
          </w:tcPr>
          <w:p>
            <w:pPr>
              <w:spacing w:after="0"/>
            </w:pPr>
            <w:r>
              <w:rPr>
                <w:sz w:val="14"/>
              </w:rPr>
              <w:t>CONFIDENTIALITY-VS-PRIVILEGE</w:t>
            </w:r>
          </w:p>
        </w:tc>
        <w:tc>
          <w:tcPr>
            <w:tcW w:type="dxa" w:w="1742"/>
            <w:vAlign w:val="center"/>
            <w:tcMar>
              <w:top w:w="55" w:type="dxa"/>
              <w:start w:w="65" w:type="dxa"/>
              <w:bottom w:w="55" w:type="dxa"/>
              <w:end w:w="65" w:type="dxa"/>
            </w:tcMar>
          </w:tcPr>
          <w:p>
            <w:pPr>
              <w:spacing w:after="0"/>
            </w:pPr>
            <w:r>
              <w:rPr>
                <w:sz w:val="14"/>
              </w:rPr>
              <w:t>California Evidence Code psychotherapist-patient privilege; NASW 1.07</w:t>
            </w:r>
          </w:p>
        </w:tc>
      </w:tr>
      <w:tr>
        <w:trPr>
          <w:cantSplit/>
        </w:trPr>
        <w:tc>
          <w:tcPr>
            <w:tcW w:type="dxa" w:w="1742"/>
            <w:vAlign w:val="center"/>
            <w:tcMar>
              <w:top w:w="55" w:type="dxa"/>
              <w:start w:w="65" w:type="dxa"/>
              <w:bottom w:w="55" w:type="dxa"/>
              <w:end w:w="65" w:type="dxa"/>
            </w:tcMar>
            <w:shd w:fill="F2F4F7"/>
          </w:tcPr>
          <w:p>
            <w:pPr>
              <w:spacing w:after="0"/>
            </w:pPr>
            <w:r>
              <w:rPr>
                <w:sz w:val="14"/>
              </w:rPr>
              <w:t>24</w:t>
            </w:r>
          </w:p>
        </w:tc>
        <w:tc>
          <w:tcPr>
            <w:tcW w:type="dxa" w:w="1742"/>
            <w:vAlign w:val="center"/>
            <w:tcMar>
              <w:top w:w="55" w:type="dxa"/>
              <w:start w:w="65" w:type="dxa"/>
              <w:bottom w:w="55" w:type="dxa"/>
              <w:end w:w="65" w:type="dxa"/>
            </w:tcMar>
            <w:shd w:fill="F2F4F7"/>
          </w:tcPr>
          <w:p>
            <w:pPr>
              <w:spacing w:after="0"/>
            </w:pPr>
            <w:r>
              <w:rPr>
                <w:sz w:val="14"/>
              </w:rPr>
              <w:t>Consent before recording or third-party observation</w:t>
            </w:r>
          </w:p>
        </w:tc>
        <w:tc>
          <w:tcPr>
            <w:tcW w:type="dxa" w:w="1742"/>
            <w:vAlign w:val="center"/>
            <w:tcMar>
              <w:top w:w="55" w:type="dxa"/>
              <w:start w:w="65" w:type="dxa"/>
              <w:bottom w:w="55" w:type="dxa"/>
              <w:end w:w="65" w:type="dxa"/>
            </w:tcMar>
            <w:shd w:fill="F2F4F7"/>
          </w:tcPr>
          <w:p>
            <w:pPr>
              <w:spacing w:after="0"/>
            </w:pPr>
            <w:r>
              <w:rPr>
                <w:sz w:val="14"/>
              </w:rPr>
              <w:t>1A</w:t>
            </w:r>
          </w:p>
        </w:tc>
        <w:tc>
          <w:tcPr>
            <w:tcW w:type="dxa" w:w="1742"/>
            <w:vAlign w:val="center"/>
            <w:tcMar>
              <w:top w:w="55" w:type="dxa"/>
              <w:start w:w="65" w:type="dxa"/>
              <w:bottom w:w="55" w:type="dxa"/>
              <w:end w:w="65" w:type="dxa"/>
            </w:tcMar>
            <w:shd w:fill="F2F4F7"/>
          </w:tcPr>
          <w:p>
            <w:pPr>
              <w:spacing w:after="0"/>
            </w:pPr>
            <w:r>
              <w:rPr>
                <w:sz w:val="14"/>
              </w:rPr>
              <w:t>WB1</w:t>
            </w:r>
          </w:p>
        </w:tc>
        <w:tc>
          <w:tcPr>
            <w:tcW w:type="dxa" w:w="1742"/>
            <w:vAlign w:val="center"/>
            <w:tcMar>
              <w:top w:w="55" w:type="dxa"/>
              <w:start w:w="65" w:type="dxa"/>
              <w:bottom w:w="55" w:type="dxa"/>
              <w:end w:w="65" w:type="dxa"/>
            </w:tcMar>
            <w:shd w:fill="F2F4F7"/>
          </w:tcPr>
          <w:p>
            <w:pPr>
              <w:spacing w:after="0"/>
            </w:pPr>
            <w:r>
              <w:rPr>
                <w:sz w:val="14"/>
              </w:rPr>
              <w:t>RECORDING-CONSENT</w:t>
            </w:r>
          </w:p>
        </w:tc>
        <w:tc>
          <w:tcPr>
            <w:tcW w:type="dxa" w:w="1742"/>
            <w:vAlign w:val="center"/>
            <w:tcMar>
              <w:top w:w="55" w:type="dxa"/>
              <w:start w:w="65" w:type="dxa"/>
              <w:bottom w:w="55" w:type="dxa"/>
              <w:end w:w="65" w:type="dxa"/>
            </w:tcMar>
            <w:shd w:fill="F2F4F7"/>
          </w:tcPr>
          <w:p>
            <w:pPr>
              <w:spacing w:after="0"/>
            </w:pPr>
            <w:r>
              <w:rPr>
                <w:sz w:val="14"/>
              </w:rPr>
              <w:t>NASW 1.03(f); California consent and privacy law as applicable</w:t>
            </w:r>
          </w:p>
        </w:tc>
      </w:tr>
      <w:tr>
        <w:trPr>
          <w:cantSplit/>
        </w:trPr>
        <w:tc>
          <w:tcPr>
            <w:tcW w:type="dxa" w:w="1742"/>
            <w:vAlign w:val="center"/>
            <w:tcMar>
              <w:top w:w="55" w:type="dxa"/>
              <w:start w:w="65" w:type="dxa"/>
              <w:bottom w:w="55" w:type="dxa"/>
              <w:end w:w="65" w:type="dxa"/>
            </w:tcMar>
          </w:tcPr>
          <w:p>
            <w:pPr>
              <w:spacing w:after="0"/>
            </w:pPr>
            <w:r>
              <w:rPr>
                <w:sz w:val="14"/>
              </w:rPr>
              <w:t>25</w:t>
            </w:r>
          </w:p>
        </w:tc>
        <w:tc>
          <w:tcPr>
            <w:tcW w:type="dxa" w:w="1742"/>
            <w:vAlign w:val="center"/>
            <w:tcMar>
              <w:top w:w="55" w:type="dxa"/>
              <w:start w:w="65" w:type="dxa"/>
              <w:bottom w:w="55" w:type="dxa"/>
              <w:end w:w="65" w:type="dxa"/>
            </w:tcMar>
          </w:tcPr>
          <w:p>
            <w:pPr>
              <w:spacing w:after="0"/>
            </w:pPr>
            <w:r>
              <w:rPr>
                <w:sz w:val="14"/>
              </w:rPr>
              <w:t>Organizational social-media boundary policy</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WB6</w:t>
            </w:r>
          </w:p>
        </w:tc>
        <w:tc>
          <w:tcPr>
            <w:tcW w:type="dxa" w:w="1742"/>
            <w:vAlign w:val="center"/>
            <w:tcMar>
              <w:top w:w="55" w:type="dxa"/>
              <w:start w:w="65" w:type="dxa"/>
              <w:bottom w:w="55" w:type="dxa"/>
              <w:end w:w="65" w:type="dxa"/>
            </w:tcMar>
          </w:tcPr>
          <w:p>
            <w:pPr>
              <w:spacing w:after="0"/>
            </w:pPr>
            <w:r>
              <w:rPr>
                <w:sz w:val="14"/>
              </w:rPr>
              <w:t>SOCIAL-MEDIA-POLICY</w:t>
            </w:r>
          </w:p>
        </w:tc>
        <w:tc>
          <w:tcPr>
            <w:tcW w:type="dxa" w:w="1742"/>
            <w:vAlign w:val="center"/>
            <w:tcMar>
              <w:top w:w="55" w:type="dxa"/>
              <w:start w:w="65" w:type="dxa"/>
              <w:bottom w:w="55" w:type="dxa"/>
              <w:end w:w="65" w:type="dxa"/>
            </w:tcMar>
          </w:tcPr>
          <w:p>
            <w:pPr>
              <w:spacing w:after="0"/>
            </w:pPr>
            <w:r>
              <w:rPr>
                <w:sz w:val="14"/>
              </w:rPr>
              <w:t>NASW 1.06, 1.07, technology standards; California professional-conduct rules</w:t>
            </w:r>
          </w:p>
        </w:tc>
      </w:tr>
      <w:tr>
        <w:trPr>
          <w:cantSplit/>
        </w:trPr>
        <w:tc>
          <w:tcPr>
            <w:tcW w:type="dxa" w:w="1742"/>
            <w:vAlign w:val="center"/>
            <w:tcMar>
              <w:top w:w="55" w:type="dxa"/>
              <w:start w:w="65" w:type="dxa"/>
              <w:bottom w:w="55" w:type="dxa"/>
              <w:end w:w="65" w:type="dxa"/>
            </w:tcMar>
            <w:shd w:fill="F2F4F7"/>
          </w:tcPr>
          <w:p>
            <w:pPr>
              <w:spacing w:after="0"/>
            </w:pPr>
            <w:r>
              <w:rPr>
                <w:sz w:val="14"/>
              </w:rPr>
              <w:t>26</w:t>
            </w:r>
          </w:p>
        </w:tc>
        <w:tc>
          <w:tcPr>
            <w:tcW w:type="dxa" w:w="1742"/>
            <w:vAlign w:val="center"/>
            <w:tcMar>
              <w:top w:w="55" w:type="dxa"/>
              <w:start w:w="65" w:type="dxa"/>
              <w:bottom w:w="55" w:type="dxa"/>
              <w:end w:w="65" w:type="dxa"/>
            </w:tcMar>
            <w:shd w:fill="F2F4F7"/>
          </w:tcPr>
          <w:p>
            <w:pPr>
              <w:spacing w:after="0"/>
            </w:pPr>
            <w:r>
              <w:rPr>
                <w:sz w:val="14"/>
              </w:rPr>
              <w:t>Telehealth accessibility and competence</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WB2</w:t>
            </w:r>
          </w:p>
        </w:tc>
        <w:tc>
          <w:tcPr>
            <w:tcW w:type="dxa" w:w="1742"/>
            <w:vAlign w:val="center"/>
            <w:tcMar>
              <w:top w:w="55" w:type="dxa"/>
              <w:start w:w="65" w:type="dxa"/>
              <w:bottom w:w="55" w:type="dxa"/>
              <w:end w:w="65" w:type="dxa"/>
            </w:tcMar>
            <w:shd w:fill="F2F4F7"/>
          </w:tcPr>
          <w:p>
            <w:pPr>
              <w:spacing w:after="0"/>
            </w:pPr>
            <w:r>
              <w:rPr>
                <w:sz w:val="14"/>
              </w:rPr>
              <w:t>TELEHEALTH-ACCESSIBILITY</w:t>
            </w:r>
          </w:p>
        </w:tc>
        <w:tc>
          <w:tcPr>
            <w:tcW w:type="dxa" w:w="1742"/>
            <w:vAlign w:val="center"/>
            <w:tcMar>
              <w:top w:w="55" w:type="dxa"/>
              <w:start w:w="65" w:type="dxa"/>
              <w:bottom w:w="55" w:type="dxa"/>
              <w:end w:w="65" w:type="dxa"/>
            </w:tcMar>
            <w:shd w:fill="F2F4F7"/>
          </w:tcPr>
          <w:p>
            <w:pPr>
              <w:spacing w:after="0"/>
            </w:pPr>
            <w:r>
              <w:rPr>
                <w:sz w:val="14"/>
              </w:rPr>
              <w:t>NASW 1.04, 1.05; applicable ADA/California access law; telehealth standards</w:t>
            </w:r>
          </w:p>
        </w:tc>
      </w:tr>
      <w:tr>
        <w:trPr>
          <w:cantSplit/>
        </w:trPr>
        <w:tc>
          <w:tcPr>
            <w:tcW w:type="dxa" w:w="1742"/>
            <w:vAlign w:val="center"/>
            <w:tcMar>
              <w:top w:w="55" w:type="dxa"/>
              <w:start w:w="65" w:type="dxa"/>
              <w:bottom w:w="55" w:type="dxa"/>
              <w:end w:w="65" w:type="dxa"/>
            </w:tcMar>
          </w:tcPr>
          <w:p>
            <w:pPr>
              <w:spacing w:after="0"/>
            </w:pPr>
            <w:r>
              <w:rPr>
                <w:sz w:val="14"/>
              </w:rPr>
              <w:t>27</w:t>
            </w:r>
          </w:p>
        </w:tc>
        <w:tc>
          <w:tcPr>
            <w:tcW w:type="dxa" w:w="1742"/>
            <w:vAlign w:val="center"/>
            <w:tcMar>
              <w:top w:w="55" w:type="dxa"/>
              <w:start w:w="65" w:type="dxa"/>
              <w:bottom w:w="55" w:type="dxa"/>
              <w:end w:w="65" w:type="dxa"/>
            </w:tcMar>
          </w:tcPr>
          <w:p>
            <w:pPr>
              <w:spacing w:after="0"/>
            </w:pPr>
            <w:r>
              <w:rPr>
                <w:sz w:val="14"/>
              </w:rPr>
              <w:t>Individual elder/dependent-adult reporting duty</w:t>
            </w:r>
          </w:p>
        </w:tc>
        <w:tc>
          <w:tcPr>
            <w:tcW w:type="dxa" w:w="1742"/>
            <w:vAlign w:val="center"/>
            <w:tcMar>
              <w:top w:w="55" w:type="dxa"/>
              <w:start w:w="65" w:type="dxa"/>
              <w:bottom w:w="55" w:type="dxa"/>
              <w:end w:w="65" w:type="dxa"/>
            </w:tcMar>
          </w:tcPr>
          <w:p>
            <w:pPr>
              <w:spacing w:after="0"/>
            </w:pPr>
            <w:r>
              <w:rPr>
                <w:sz w:val="14"/>
              </w:rPr>
              <w:t>1B</w:t>
            </w:r>
          </w:p>
        </w:tc>
        <w:tc>
          <w:tcPr>
            <w:tcW w:type="dxa" w:w="1742"/>
            <w:vAlign w:val="center"/>
            <w:tcMar>
              <w:top w:w="55" w:type="dxa"/>
              <w:start w:w="65" w:type="dxa"/>
              <w:bottom w:w="55" w:type="dxa"/>
              <w:end w:w="65" w:type="dxa"/>
            </w:tcMar>
          </w:tcPr>
          <w:p>
            <w:pPr>
              <w:spacing w:after="0"/>
            </w:pPr>
            <w:r>
              <w:rPr>
                <w:sz w:val="14"/>
              </w:rPr>
              <w:t>WB5</w:t>
            </w:r>
          </w:p>
        </w:tc>
        <w:tc>
          <w:tcPr>
            <w:tcW w:type="dxa" w:w="1742"/>
            <w:vAlign w:val="center"/>
            <w:tcMar>
              <w:top w:w="55" w:type="dxa"/>
              <w:start w:w="65" w:type="dxa"/>
              <w:bottom w:w="55" w:type="dxa"/>
              <w:end w:w="65" w:type="dxa"/>
            </w:tcMar>
          </w:tcPr>
          <w:p>
            <w:pPr>
              <w:spacing w:after="0"/>
            </w:pPr>
            <w:r>
              <w:rPr>
                <w:sz w:val="14"/>
              </w:rPr>
              <w:t>ELDER-REPORTING-DUTY</w:t>
            </w:r>
          </w:p>
        </w:tc>
        <w:tc>
          <w:tcPr>
            <w:tcW w:type="dxa" w:w="1742"/>
            <w:vAlign w:val="center"/>
            <w:tcMar>
              <w:top w:w="55" w:type="dxa"/>
              <w:start w:w="65" w:type="dxa"/>
              <w:bottom w:w="55" w:type="dxa"/>
              <w:end w:w="65" w:type="dxa"/>
            </w:tcMar>
          </w:tcPr>
          <w:p>
            <w:pPr>
              <w:spacing w:after="0"/>
            </w:pPr>
            <w:r>
              <w:rPr>
                <w:sz w:val="14"/>
              </w:rPr>
              <w:t>California WIC 15630</w:t>
            </w:r>
          </w:p>
        </w:tc>
      </w:tr>
      <w:tr>
        <w:trPr>
          <w:cantSplit/>
        </w:trPr>
        <w:tc>
          <w:tcPr>
            <w:tcW w:type="dxa" w:w="1742"/>
            <w:vAlign w:val="center"/>
            <w:tcMar>
              <w:top w:w="55" w:type="dxa"/>
              <w:start w:w="65" w:type="dxa"/>
              <w:bottom w:w="55" w:type="dxa"/>
              <w:end w:w="65" w:type="dxa"/>
            </w:tcMar>
            <w:shd w:fill="F2F4F7"/>
          </w:tcPr>
          <w:p>
            <w:pPr>
              <w:spacing w:after="0"/>
            </w:pPr>
            <w:r>
              <w:rPr>
                <w:sz w:val="14"/>
              </w:rPr>
              <w:t>28</w:t>
            </w:r>
          </w:p>
        </w:tc>
        <w:tc>
          <w:tcPr>
            <w:tcW w:type="dxa" w:w="1742"/>
            <w:vAlign w:val="center"/>
            <w:tcMar>
              <w:top w:w="55" w:type="dxa"/>
              <w:start w:w="65" w:type="dxa"/>
              <w:bottom w:w="55" w:type="dxa"/>
              <w:end w:w="65" w:type="dxa"/>
            </w:tcMar>
            <w:shd w:fill="F2F4F7"/>
          </w:tcPr>
          <w:p>
            <w:pPr>
              <w:spacing w:after="0"/>
            </w:pPr>
            <w:r>
              <w:rPr>
                <w:sz w:val="14"/>
              </w:rPr>
              <w:t>Duty to protect serious threat</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WB5</w:t>
            </w:r>
          </w:p>
        </w:tc>
        <w:tc>
          <w:tcPr>
            <w:tcW w:type="dxa" w:w="1742"/>
            <w:vAlign w:val="center"/>
            <w:tcMar>
              <w:top w:w="55" w:type="dxa"/>
              <w:start w:w="65" w:type="dxa"/>
              <w:bottom w:w="55" w:type="dxa"/>
              <w:end w:w="65" w:type="dxa"/>
            </w:tcMar>
            <w:shd w:fill="F2F4F7"/>
          </w:tcPr>
          <w:p>
            <w:pPr>
              <w:spacing w:after="0"/>
            </w:pPr>
            <w:r>
              <w:rPr>
                <w:sz w:val="14"/>
              </w:rPr>
              <w:t>DUTY-TO-PROTECT</w:t>
            </w:r>
          </w:p>
        </w:tc>
        <w:tc>
          <w:tcPr>
            <w:tcW w:type="dxa" w:w="1742"/>
            <w:vAlign w:val="center"/>
            <w:tcMar>
              <w:top w:w="55" w:type="dxa"/>
              <w:start w:w="65" w:type="dxa"/>
              <w:bottom w:w="55" w:type="dxa"/>
              <w:end w:w="65" w:type="dxa"/>
            </w:tcMar>
            <w:shd w:fill="F2F4F7"/>
          </w:tcPr>
          <w:p>
            <w:pPr>
              <w:spacing w:after="0"/>
            </w:pPr>
            <w:r>
              <w:rPr>
                <w:sz w:val="14"/>
              </w:rPr>
              <w:t>California Civil Code 43.92</w:t>
            </w:r>
          </w:p>
        </w:tc>
      </w:tr>
      <w:tr>
        <w:trPr>
          <w:cantSplit/>
        </w:trPr>
        <w:tc>
          <w:tcPr>
            <w:tcW w:type="dxa" w:w="1742"/>
            <w:vAlign w:val="center"/>
            <w:tcMar>
              <w:top w:w="55" w:type="dxa"/>
              <w:start w:w="65" w:type="dxa"/>
              <w:bottom w:w="55" w:type="dxa"/>
              <w:end w:w="65" w:type="dxa"/>
            </w:tcMar>
          </w:tcPr>
          <w:p>
            <w:pPr>
              <w:spacing w:after="0"/>
            </w:pPr>
            <w:r>
              <w:rPr>
                <w:sz w:val="14"/>
              </w:rPr>
              <w:t>29</w:t>
            </w:r>
          </w:p>
        </w:tc>
        <w:tc>
          <w:tcPr>
            <w:tcW w:type="dxa" w:w="1742"/>
            <w:vAlign w:val="center"/>
            <w:tcMar>
              <w:top w:w="55" w:type="dxa"/>
              <w:start w:w="65" w:type="dxa"/>
              <w:bottom w:w="55" w:type="dxa"/>
              <w:end w:w="65" w:type="dxa"/>
            </w:tcMar>
          </w:tcPr>
          <w:p>
            <w:pPr>
              <w:spacing w:after="0"/>
            </w:pPr>
            <w:r>
              <w:rPr>
                <w:sz w:val="14"/>
              </w:rPr>
              <w:t>California law and NASW ethics as separate authorities</w:t>
            </w:r>
          </w:p>
        </w:tc>
        <w:tc>
          <w:tcPr>
            <w:tcW w:type="dxa" w:w="1742"/>
            <w:vAlign w:val="center"/>
            <w:tcMar>
              <w:top w:w="55" w:type="dxa"/>
              <w:start w:w="65" w:type="dxa"/>
              <w:bottom w:w="55" w:type="dxa"/>
              <w:end w:w="65" w:type="dxa"/>
            </w:tcMar>
          </w:tcPr>
          <w:p>
            <w:pPr>
              <w:spacing w:after="0"/>
            </w:pPr>
            <w:r>
              <w:rPr>
                <w:sz w:val="14"/>
              </w:rPr>
              <w:t>2A</w:t>
            </w:r>
          </w:p>
        </w:tc>
        <w:tc>
          <w:tcPr>
            <w:tcW w:type="dxa" w:w="1742"/>
            <w:vAlign w:val="center"/>
            <w:tcMar>
              <w:top w:w="55" w:type="dxa"/>
              <w:start w:w="65" w:type="dxa"/>
              <w:bottom w:w="55" w:type="dxa"/>
              <w:end w:w="65" w:type="dxa"/>
            </w:tcMar>
          </w:tcPr>
          <w:p>
            <w:pPr>
              <w:spacing w:after="0"/>
            </w:pPr>
            <w:r>
              <w:rPr>
                <w:sz w:val="14"/>
              </w:rPr>
              <w:t>LS Module</w:t>
            </w:r>
          </w:p>
        </w:tc>
        <w:tc>
          <w:tcPr>
            <w:tcW w:type="dxa" w:w="1742"/>
            <w:vAlign w:val="center"/>
            <w:tcMar>
              <w:top w:w="55" w:type="dxa"/>
              <w:start w:w="65" w:type="dxa"/>
              <w:bottom w:w="55" w:type="dxa"/>
              <w:end w:w="65" w:type="dxa"/>
            </w:tcMar>
          </w:tcPr>
          <w:p>
            <w:pPr>
              <w:spacing w:after="0"/>
            </w:pPr>
            <w:r>
              <w:rPr>
                <w:sz w:val="14"/>
              </w:rPr>
              <w:t>LAW-ETHICS-HIERARCHY</w:t>
            </w:r>
          </w:p>
        </w:tc>
        <w:tc>
          <w:tcPr>
            <w:tcW w:type="dxa" w:w="1742"/>
            <w:vAlign w:val="center"/>
            <w:tcMar>
              <w:top w:w="55" w:type="dxa"/>
              <w:start w:w="65" w:type="dxa"/>
              <w:bottom w:w="55" w:type="dxa"/>
              <w:end w:w="65" w:type="dxa"/>
            </w:tcMar>
          </w:tcPr>
          <w:p>
            <w:pPr>
              <w:spacing w:after="0"/>
            </w:pPr>
            <w:r>
              <w:rPr>
                <w:sz w:val="14"/>
              </w:rPr>
              <w:t>California statutes/regulations; NASW Code of Ethics; CTA source hierarchy</w:t>
            </w:r>
          </w:p>
        </w:tc>
      </w:tr>
      <w:tr>
        <w:trPr>
          <w:cantSplit/>
        </w:trPr>
        <w:tc>
          <w:tcPr>
            <w:tcW w:type="dxa" w:w="1742"/>
            <w:vAlign w:val="center"/>
            <w:tcMar>
              <w:top w:w="55" w:type="dxa"/>
              <w:start w:w="65" w:type="dxa"/>
              <w:bottom w:w="55" w:type="dxa"/>
              <w:end w:w="65" w:type="dxa"/>
            </w:tcMar>
            <w:shd w:fill="F2F4F7"/>
          </w:tcPr>
          <w:p>
            <w:pPr>
              <w:spacing w:after="0"/>
            </w:pPr>
            <w:r>
              <w:rPr>
                <w:sz w:val="14"/>
              </w:rPr>
              <w:t>30</w:t>
            </w:r>
          </w:p>
        </w:tc>
        <w:tc>
          <w:tcPr>
            <w:tcW w:type="dxa" w:w="1742"/>
            <w:vAlign w:val="center"/>
            <w:tcMar>
              <w:top w:w="55" w:type="dxa"/>
              <w:start w:w="65" w:type="dxa"/>
              <w:bottom w:w="55" w:type="dxa"/>
              <w:end w:w="65" w:type="dxa"/>
            </w:tcMar>
            <w:shd w:fill="F2F4F7"/>
          </w:tcPr>
          <w:p>
            <w:pPr>
              <w:spacing w:after="0"/>
            </w:pPr>
            <w:r>
              <w:rPr>
                <w:sz w:val="14"/>
              </w:rPr>
              <w:t>Suicide risk versus duty-to-protect trigger</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WB5</w:t>
            </w:r>
          </w:p>
        </w:tc>
        <w:tc>
          <w:tcPr>
            <w:tcW w:type="dxa" w:w="1742"/>
            <w:vAlign w:val="center"/>
            <w:tcMar>
              <w:top w:w="55" w:type="dxa"/>
              <w:start w:w="65" w:type="dxa"/>
              <w:bottom w:w="55" w:type="dxa"/>
              <w:end w:w="65" w:type="dxa"/>
            </w:tcMar>
            <w:shd w:fill="F2F4F7"/>
          </w:tcPr>
          <w:p>
            <w:pPr>
              <w:spacing w:after="0"/>
            </w:pPr>
            <w:r>
              <w:rPr>
                <w:sz w:val="14"/>
              </w:rPr>
              <w:t>SUICIDE-VS-DUTY-PROTECT</w:t>
            </w:r>
          </w:p>
        </w:tc>
        <w:tc>
          <w:tcPr>
            <w:tcW w:type="dxa" w:w="1742"/>
            <w:vAlign w:val="center"/>
            <w:tcMar>
              <w:top w:w="55" w:type="dxa"/>
              <w:start w:w="65" w:type="dxa"/>
              <w:bottom w:w="55" w:type="dxa"/>
              <w:end w:w="65" w:type="dxa"/>
            </w:tcMar>
            <w:shd w:fill="F2F4F7"/>
          </w:tcPr>
          <w:p>
            <w:pPr>
              <w:spacing w:after="0"/>
            </w:pPr>
            <w:r>
              <w:rPr>
                <w:sz w:val="14"/>
              </w:rPr>
              <w:t>California Civil Code 43.92; general clinical safety duties</w:t>
            </w:r>
          </w:p>
        </w:tc>
      </w:tr>
      <w:tr>
        <w:trPr>
          <w:cantSplit/>
        </w:trPr>
        <w:tc>
          <w:tcPr>
            <w:tcW w:type="dxa" w:w="1742"/>
            <w:vAlign w:val="center"/>
            <w:tcMar>
              <w:top w:w="55" w:type="dxa"/>
              <w:start w:w="65" w:type="dxa"/>
              <w:bottom w:w="55" w:type="dxa"/>
              <w:end w:w="65" w:type="dxa"/>
            </w:tcMar>
          </w:tcPr>
          <w:p>
            <w:pPr>
              <w:spacing w:after="0"/>
            </w:pPr>
            <w:r>
              <w:rPr>
                <w:sz w:val="14"/>
              </w:rPr>
              <w:t>31</w:t>
            </w:r>
          </w:p>
        </w:tc>
        <w:tc>
          <w:tcPr>
            <w:tcW w:type="dxa" w:w="1742"/>
            <w:vAlign w:val="center"/>
            <w:tcMar>
              <w:top w:w="55" w:type="dxa"/>
              <w:start w:w="65" w:type="dxa"/>
              <w:bottom w:w="55" w:type="dxa"/>
              <w:end w:w="65" w:type="dxa"/>
            </w:tcMar>
          </w:tcPr>
          <w:p>
            <w:pPr>
              <w:spacing w:after="0"/>
            </w:pPr>
            <w:r>
              <w:rPr>
                <w:sz w:val="14"/>
              </w:rPr>
              <w:t>Unsafe supervisory direction and organizational escalation</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WB3</w:t>
            </w:r>
          </w:p>
        </w:tc>
        <w:tc>
          <w:tcPr>
            <w:tcW w:type="dxa" w:w="1742"/>
            <w:vAlign w:val="center"/>
            <w:tcMar>
              <w:top w:w="55" w:type="dxa"/>
              <w:start w:w="65" w:type="dxa"/>
              <w:bottom w:w="55" w:type="dxa"/>
              <w:end w:w="65" w:type="dxa"/>
            </w:tcMar>
          </w:tcPr>
          <w:p>
            <w:pPr>
              <w:spacing w:after="0"/>
            </w:pPr>
            <w:r>
              <w:rPr>
                <w:sz w:val="14"/>
              </w:rPr>
              <w:t>UNSAFE-SUPERVISORY-DIRECTION</w:t>
            </w:r>
          </w:p>
        </w:tc>
        <w:tc>
          <w:tcPr>
            <w:tcW w:type="dxa" w:w="1742"/>
            <w:vAlign w:val="center"/>
            <w:tcMar>
              <w:top w:w="55" w:type="dxa"/>
              <w:start w:w="65" w:type="dxa"/>
              <w:bottom w:w="55" w:type="dxa"/>
              <w:end w:w="65" w:type="dxa"/>
            </w:tcMar>
          </w:tcPr>
          <w:p>
            <w:pPr>
              <w:spacing w:after="0"/>
            </w:pPr>
            <w:r>
              <w:rPr>
                <w:sz w:val="14"/>
              </w:rPr>
              <w:t>BBS ASW supervision law; NASW 3.01, 3.07, 3.09</w:t>
            </w:r>
          </w:p>
        </w:tc>
      </w:tr>
      <w:tr>
        <w:trPr>
          <w:cantSplit/>
        </w:trPr>
        <w:tc>
          <w:tcPr>
            <w:tcW w:type="dxa" w:w="1742"/>
            <w:vAlign w:val="center"/>
            <w:tcMar>
              <w:top w:w="55" w:type="dxa"/>
              <w:start w:w="65" w:type="dxa"/>
              <w:bottom w:w="55" w:type="dxa"/>
              <w:end w:w="65" w:type="dxa"/>
            </w:tcMar>
            <w:shd w:fill="F2F4F7"/>
          </w:tcPr>
          <w:p>
            <w:pPr>
              <w:spacing w:after="0"/>
            </w:pPr>
            <w:r>
              <w:rPr>
                <w:sz w:val="14"/>
              </w:rPr>
              <w:t>32</w:t>
            </w:r>
          </w:p>
        </w:tc>
        <w:tc>
          <w:tcPr>
            <w:tcW w:type="dxa" w:w="1742"/>
            <w:vAlign w:val="center"/>
            <w:tcMar>
              <w:top w:w="55" w:type="dxa"/>
              <w:start w:w="65" w:type="dxa"/>
              <w:bottom w:w="55" w:type="dxa"/>
              <w:end w:w="65" w:type="dxa"/>
            </w:tcMar>
            <w:shd w:fill="F2F4F7"/>
          </w:tcPr>
          <w:p>
            <w:pPr>
              <w:spacing w:after="0"/>
            </w:pPr>
            <w:r>
              <w:rPr>
                <w:sz w:val="14"/>
              </w:rPr>
              <w:t>Minimum relevant authorized disclosure</w:t>
            </w:r>
          </w:p>
        </w:tc>
        <w:tc>
          <w:tcPr>
            <w:tcW w:type="dxa" w:w="1742"/>
            <w:vAlign w:val="center"/>
            <w:tcMar>
              <w:top w:w="55" w:type="dxa"/>
              <w:start w:w="65" w:type="dxa"/>
              <w:bottom w:w="55" w:type="dxa"/>
              <w:end w:w="65" w:type="dxa"/>
            </w:tcMar>
            <w:shd w:fill="F2F4F7"/>
          </w:tcPr>
          <w:p>
            <w:pPr>
              <w:spacing w:after="0"/>
            </w:pPr>
            <w:r>
              <w:rPr>
                <w:sz w:val="14"/>
              </w:rPr>
              <w:t>1A</w:t>
            </w:r>
          </w:p>
        </w:tc>
        <w:tc>
          <w:tcPr>
            <w:tcW w:type="dxa" w:w="1742"/>
            <w:vAlign w:val="center"/>
            <w:tcMar>
              <w:top w:w="55" w:type="dxa"/>
              <w:start w:w="65" w:type="dxa"/>
              <w:bottom w:w="55" w:type="dxa"/>
              <w:end w:w="65" w:type="dxa"/>
            </w:tcMar>
            <w:shd w:fill="F2F4F7"/>
          </w:tcPr>
          <w:p>
            <w:pPr>
              <w:spacing w:after="0"/>
            </w:pPr>
            <w:r>
              <w:rPr>
                <w:sz w:val="14"/>
              </w:rPr>
              <w:t>WB8</w:t>
            </w:r>
          </w:p>
        </w:tc>
        <w:tc>
          <w:tcPr>
            <w:tcW w:type="dxa" w:w="1742"/>
            <w:vAlign w:val="center"/>
            <w:tcMar>
              <w:top w:w="55" w:type="dxa"/>
              <w:start w:w="65" w:type="dxa"/>
              <w:bottom w:w="55" w:type="dxa"/>
              <w:end w:w="65" w:type="dxa"/>
            </w:tcMar>
            <w:shd w:fill="F2F4F7"/>
          </w:tcPr>
          <w:p>
            <w:pPr>
              <w:spacing w:after="0"/>
            </w:pPr>
            <w:r>
              <w:rPr>
                <w:sz w:val="14"/>
              </w:rPr>
              <w:t>AUTHORIZED-MINIMUM-DISCLOSURE</w:t>
            </w:r>
          </w:p>
        </w:tc>
        <w:tc>
          <w:tcPr>
            <w:tcW w:type="dxa" w:w="1742"/>
            <w:vAlign w:val="center"/>
            <w:tcMar>
              <w:top w:w="55" w:type="dxa"/>
              <w:start w:w="65" w:type="dxa"/>
              <w:bottom w:w="55" w:type="dxa"/>
              <w:end w:w="65" w:type="dxa"/>
            </w:tcMar>
            <w:shd w:fill="F2F4F7"/>
          </w:tcPr>
          <w:p>
            <w:pPr>
              <w:spacing w:after="0"/>
            </w:pPr>
            <w:r>
              <w:rPr>
                <w:sz w:val="14"/>
              </w:rPr>
              <w:t>California CMIA/authorization law; NASW 1.07</w:t>
            </w:r>
          </w:p>
        </w:tc>
      </w:tr>
      <w:tr>
        <w:trPr>
          <w:cantSplit/>
        </w:trPr>
        <w:tc>
          <w:tcPr>
            <w:tcW w:type="dxa" w:w="1742"/>
            <w:vAlign w:val="center"/>
            <w:tcMar>
              <w:top w:w="55" w:type="dxa"/>
              <w:start w:w="65" w:type="dxa"/>
              <w:bottom w:w="55" w:type="dxa"/>
              <w:end w:w="65" w:type="dxa"/>
            </w:tcMar>
          </w:tcPr>
          <w:p>
            <w:pPr>
              <w:spacing w:after="0"/>
            </w:pPr>
            <w:r>
              <w:rPr>
                <w:sz w:val="14"/>
              </w:rPr>
              <w:t>33</w:t>
            </w:r>
          </w:p>
        </w:tc>
        <w:tc>
          <w:tcPr>
            <w:tcW w:type="dxa" w:w="1742"/>
            <w:vAlign w:val="center"/>
            <w:tcMar>
              <w:top w:w="55" w:type="dxa"/>
              <w:start w:w="65" w:type="dxa"/>
              <w:bottom w:w="55" w:type="dxa"/>
              <w:end w:w="65" w:type="dxa"/>
            </w:tcMar>
          </w:tcPr>
          <w:p>
            <w:pPr>
              <w:spacing w:after="0"/>
            </w:pPr>
            <w:r>
              <w:rPr>
                <w:sz w:val="14"/>
              </w:rPr>
              <w:t>Record request after conjoint treatment</w:t>
            </w:r>
          </w:p>
        </w:tc>
        <w:tc>
          <w:tcPr>
            <w:tcW w:type="dxa" w:w="1742"/>
            <w:vAlign w:val="center"/>
            <w:tcMar>
              <w:top w:w="55" w:type="dxa"/>
              <w:start w:w="65" w:type="dxa"/>
              <w:bottom w:w="55" w:type="dxa"/>
              <w:end w:w="65" w:type="dxa"/>
            </w:tcMar>
          </w:tcPr>
          <w:p>
            <w:pPr>
              <w:spacing w:after="0"/>
            </w:pPr>
            <w:r>
              <w:rPr>
                <w:sz w:val="14"/>
              </w:rPr>
              <w:t>1A</w:t>
            </w:r>
          </w:p>
        </w:tc>
        <w:tc>
          <w:tcPr>
            <w:tcW w:type="dxa" w:w="1742"/>
            <w:vAlign w:val="center"/>
            <w:tcMar>
              <w:top w:w="55" w:type="dxa"/>
              <w:start w:w="65" w:type="dxa"/>
              <w:bottom w:w="55" w:type="dxa"/>
              <w:end w:w="65" w:type="dxa"/>
            </w:tcMar>
          </w:tcPr>
          <w:p>
            <w:pPr>
              <w:spacing w:after="0"/>
            </w:pPr>
            <w:r>
              <w:rPr>
                <w:sz w:val="14"/>
              </w:rPr>
              <w:t>WB1</w:t>
            </w:r>
          </w:p>
        </w:tc>
        <w:tc>
          <w:tcPr>
            <w:tcW w:type="dxa" w:w="1742"/>
            <w:vAlign w:val="center"/>
            <w:tcMar>
              <w:top w:w="55" w:type="dxa"/>
              <w:start w:w="65" w:type="dxa"/>
              <w:bottom w:w="55" w:type="dxa"/>
              <w:end w:w="65" w:type="dxa"/>
            </w:tcMar>
          </w:tcPr>
          <w:p>
            <w:pPr>
              <w:spacing w:after="0"/>
            </w:pPr>
            <w:r>
              <w:rPr>
                <w:sz w:val="14"/>
              </w:rPr>
              <w:t>CONJOINT-RECORD-ACCESS</w:t>
            </w:r>
          </w:p>
        </w:tc>
        <w:tc>
          <w:tcPr>
            <w:tcW w:type="dxa" w:w="1742"/>
            <w:vAlign w:val="center"/>
            <w:tcMar>
              <w:top w:w="55" w:type="dxa"/>
              <w:start w:w="65" w:type="dxa"/>
              <w:bottom w:w="55" w:type="dxa"/>
              <w:end w:w="65" w:type="dxa"/>
            </w:tcMar>
          </w:tcPr>
          <w:p>
            <w:pPr>
              <w:spacing w:after="0"/>
            </w:pPr>
            <w:r>
              <w:rPr>
                <w:sz w:val="14"/>
              </w:rPr>
              <w:t>California privilege, confidentiality, and record-access law; NASW 1.07</w:t>
            </w:r>
          </w:p>
        </w:tc>
      </w:tr>
      <w:tr>
        <w:trPr>
          <w:cantSplit/>
        </w:trPr>
        <w:tc>
          <w:tcPr>
            <w:tcW w:type="dxa" w:w="1742"/>
            <w:vAlign w:val="center"/>
            <w:tcMar>
              <w:top w:w="55" w:type="dxa"/>
              <w:start w:w="65" w:type="dxa"/>
              <w:bottom w:w="55" w:type="dxa"/>
              <w:end w:w="65" w:type="dxa"/>
            </w:tcMar>
            <w:shd w:fill="F2F4F7"/>
          </w:tcPr>
          <w:p>
            <w:pPr>
              <w:spacing w:after="0"/>
            </w:pPr>
            <w:r>
              <w:rPr>
                <w:sz w:val="14"/>
              </w:rPr>
              <w:t>34</w:t>
            </w:r>
          </w:p>
        </w:tc>
        <w:tc>
          <w:tcPr>
            <w:tcW w:type="dxa" w:w="1742"/>
            <w:vAlign w:val="center"/>
            <w:tcMar>
              <w:top w:w="55" w:type="dxa"/>
              <w:start w:w="65" w:type="dxa"/>
              <w:bottom w:w="55" w:type="dxa"/>
              <w:end w:w="65" w:type="dxa"/>
            </w:tcMar>
            <w:shd w:fill="F2F4F7"/>
          </w:tcPr>
          <w:p>
            <w:pPr>
              <w:spacing w:after="0"/>
            </w:pPr>
            <w:r>
              <w:rPr>
                <w:sz w:val="14"/>
              </w:rPr>
              <w:t>Parent involvement when minor self-consents</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WB1</w:t>
            </w:r>
          </w:p>
        </w:tc>
        <w:tc>
          <w:tcPr>
            <w:tcW w:type="dxa" w:w="1742"/>
            <w:vAlign w:val="center"/>
            <w:tcMar>
              <w:top w:w="55" w:type="dxa"/>
              <w:start w:w="65" w:type="dxa"/>
              <w:bottom w:w="55" w:type="dxa"/>
              <w:end w:w="65" w:type="dxa"/>
            </w:tcMar>
            <w:shd w:fill="F2F4F7"/>
          </w:tcPr>
          <w:p>
            <w:pPr>
              <w:spacing w:after="0"/>
            </w:pPr>
            <w:r>
              <w:rPr>
                <w:sz w:val="14"/>
              </w:rPr>
              <w:t>MINOR-PARENT-INVOLVEMENT</w:t>
            </w:r>
          </w:p>
        </w:tc>
        <w:tc>
          <w:tcPr>
            <w:tcW w:type="dxa" w:w="1742"/>
            <w:vAlign w:val="center"/>
            <w:tcMar>
              <w:top w:w="55" w:type="dxa"/>
              <w:start w:w="65" w:type="dxa"/>
              <w:bottom w:w="55" w:type="dxa"/>
              <w:end w:w="65" w:type="dxa"/>
            </w:tcMar>
            <w:shd w:fill="F2F4F7"/>
          </w:tcPr>
          <w:p>
            <w:pPr>
              <w:spacing w:after="0"/>
            </w:pPr>
            <w:r>
              <w:rPr>
                <w:sz w:val="14"/>
              </w:rPr>
              <w:t>California Family Code 6924(d)</w:t>
            </w:r>
          </w:p>
        </w:tc>
      </w:tr>
      <w:tr>
        <w:trPr>
          <w:cantSplit/>
        </w:trPr>
        <w:tc>
          <w:tcPr>
            <w:tcW w:type="dxa" w:w="1742"/>
            <w:vAlign w:val="center"/>
            <w:tcMar>
              <w:top w:w="55" w:type="dxa"/>
              <w:start w:w="65" w:type="dxa"/>
              <w:bottom w:w="55" w:type="dxa"/>
              <w:end w:w="65" w:type="dxa"/>
            </w:tcMar>
          </w:tcPr>
          <w:p>
            <w:pPr>
              <w:spacing w:after="0"/>
            </w:pPr>
            <w:r>
              <w:rPr>
                <w:sz w:val="14"/>
              </w:rPr>
              <w:t>35</w:t>
            </w:r>
          </w:p>
        </w:tc>
        <w:tc>
          <w:tcPr>
            <w:tcW w:type="dxa" w:w="1742"/>
            <w:vAlign w:val="center"/>
            <w:tcMar>
              <w:top w:w="55" w:type="dxa"/>
              <w:start w:w="65" w:type="dxa"/>
              <w:bottom w:w="55" w:type="dxa"/>
              <w:end w:w="65" w:type="dxa"/>
            </w:tcMar>
          </w:tcPr>
          <w:p>
            <w:pPr>
              <w:spacing w:after="0"/>
            </w:pPr>
            <w:r>
              <w:rPr>
                <w:sz w:val="14"/>
              </w:rPr>
              <w:t>Minor record-retention calculation</w:t>
            </w:r>
          </w:p>
        </w:tc>
        <w:tc>
          <w:tcPr>
            <w:tcW w:type="dxa" w:w="1742"/>
            <w:vAlign w:val="center"/>
            <w:tcMar>
              <w:top w:w="55" w:type="dxa"/>
              <w:start w:w="65" w:type="dxa"/>
              <w:bottom w:w="55" w:type="dxa"/>
              <w:end w:w="65" w:type="dxa"/>
            </w:tcMar>
          </w:tcPr>
          <w:p>
            <w:pPr>
              <w:spacing w:after="0"/>
            </w:pPr>
            <w:r>
              <w:rPr>
                <w:sz w:val="14"/>
              </w:rPr>
              <w:t>1C</w:t>
            </w:r>
          </w:p>
        </w:tc>
        <w:tc>
          <w:tcPr>
            <w:tcW w:type="dxa" w:w="1742"/>
            <w:vAlign w:val="center"/>
            <w:tcMar>
              <w:top w:w="55" w:type="dxa"/>
              <w:start w:w="65" w:type="dxa"/>
              <w:bottom w:w="55" w:type="dxa"/>
              <w:end w:w="65" w:type="dxa"/>
            </w:tcMar>
          </w:tcPr>
          <w:p>
            <w:pPr>
              <w:spacing w:after="0"/>
            </w:pPr>
            <w:r>
              <w:rPr>
                <w:sz w:val="14"/>
              </w:rPr>
              <w:t>WB9</w:t>
            </w:r>
          </w:p>
        </w:tc>
        <w:tc>
          <w:tcPr>
            <w:tcW w:type="dxa" w:w="1742"/>
            <w:vAlign w:val="center"/>
            <w:tcMar>
              <w:top w:w="55" w:type="dxa"/>
              <w:start w:w="65" w:type="dxa"/>
              <w:bottom w:w="55" w:type="dxa"/>
              <w:end w:w="65" w:type="dxa"/>
            </w:tcMar>
          </w:tcPr>
          <w:p>
            <w:pPr>
              <w:spacing w:after="0"/>
            </w:pPr>
            <w:r>
              <w:rPr>
                <w:sz w:val="14"/>
              </w:rPr>
              <w:t>RECORD-RETENTION</w:t>
            </w:r>
          </w:p>
        </w:tc>
        <w:tc>
          <w:tcPr>
            <w:tcW w:type="dxa" w:w="1742"/>
            <w:vAlign w:val="center"/>
            <w:tcMar>
              <w:top w:w="55" w:type="dxa"/>
              <w:start w:w="65" w:type="dxa"/>
              <w:bottom w:w="55" w:type="dxa"/>
              <w:end w:w="65" w:type="dxa"/>
            </w:tcMar>
          </w:tcPr>
          <w:p>
            <w:pPr>
              <w:spacing w:after="0"/>
            </w:pPr>
            <w:r>
              <w:rPr>
                <w:sz w:val="14"/>
              </w:rPr>
              <w:t>California BPC 4993</w:t>
            </w:r>
          </w:p>
        </w:tc>
      </w:tr>
      <w:tr>
        <w:trPr>
          <w:cantSplit/>
        </w:trPr>
        <w:tc>
          <w:tcPr>
            <w:tcW w:type="dxa" w:w="1742"/>
            <w:vAlign w:val="center"/>
            <w:tcMar>
              <w:top w:w="55" w:type="dxa"/>
              <w:start w:w="65" w:type="dxa"/>
              <w:bottom w:w="55" w:type="dxa"/>
              <w:end w:w="65" w:type="dxa"/>
            </w:tcMar>
            <w:shd w:fill="F2F4F7"/>
          </w:tcPr>
          <w:p>
            <w:pPr>
              <w:spacing w:after="0"/>
            </w:pPr>
            <w:r>
              <w:rPr>
                <w:sz w:val="14"/>
              </w:rPr>
              <w:t>36</w:t>
            </w:r>
          </w:p>
        </w:tc>
        <w:tc>
          <w:tcPr>
            <w:tcW w:type="dxa" w:w="1742"/>
            <w:vAlign w:val="center"/>
            <w:tcMar>
              <w:top w:w="55" w:type="dxa"/>
              <w:start w:w="65" w:type="dxa"/>
              <w:bottom w:w="55" w:type="dxa"/>
              <w:end w:w="65" w:type="dxa"/>
            </w:tcMar>
            <w:shd w:fill="F2F4F7"/>
          </w:tcPr>
          <w:p>
            <w:pPr>
              <w:spacing w:after="0"/>
            </w:pPr>
            <w:r>
              <w:rPr>
                <w:sz w:val="14"/>
              </w:rPr>
              <w:t>Responding to a subpoena</w:t>
            </w:r>
          </w:p>
        </w:tc>
        <w:tc>
          <w:tcPr>
            <w:tcW w:type="dxa" w:w="1742"/>
            <w:vAlign w:val="center"/>
            <w:tcMar>
              <w:top w:w="55" w:type="dxa"/>
              <w:start w:w="65" w:type="dxa"/>
              <w:bottom w:w="55" w:type="dxa"/>
              <w:end w:w="65" w:type="dxa"/>
            </w:tcMar>
            <w:shd w:fill="F2F4F7"/>
          </w:tcPr>
          <w:p>
            <w:pPr>
              <w:spacing w:after="0"/>
            </w:pPr>
            <w:r>
              <w:rPr>
                <w:sz w:val="14"/>
              </w:rPr>
              <w:t>1A</w:t>
            </w:r>
          </w:p>
        </w:tc>
        <w:tc>
          <w:tcPr>
            <w:tcW w:type="dxa" w:w="1742"/>
            <w:vAlign w:val="center"/>
            <w:tcMar>
              <w:top w:w="55" w:type="dxa"/>
              <w:start w:w="65" w:type="dxa"/>
              <w:bottom w:w="55" w:type="dxa"/>
              <w:end w:w="65" w:type="dxa"/>
            </w:tcMar>
            <w:shd w:fill="F2F4F7"/>
          </w:tcPr>
          <w:p>
            <w:pPr>
              <w:spacing w:after="0"/>
            </w:pPr>
            <w:r>
              <w:rPr>
                <w:sz w:val="14"/>
              </w:rPr>
              <w:t>WB8</w:t>
            </w:r>
          </w:p>
        </w:tc>
        <w:tc>
          <w:tcPr>
            <w:tcW w:type="dxa" w:w="1742"/>
            <w:vAlign w:val="center"/>
            <w:tcMar>
              <w:top w:w="55" w:type="dxa"/>
              <w:start w:w="65" w:type="dxa"/>
              <w:bottom w:w="55" w:type="dxa"/>
              <w:end w:w="65" w:type="dxa"/>
            </w:tcMar>
            <w:shd w:fill="F2F4F7"/>
          </w:tcPr>
          <w:p>
            <w:pPr>
              <w:spacing w:after="0"/>
            </w:pPr>
            <w:r>
              <w:rPr>
                <w:sz w:val="14"/>
              </w:rPr>
              <w:t>SUBPOENA-RESPONSE</w:t>
            </w:r>
          </w:p>
        </w:tc>
        <w:tc>
          <w:tcPr>
            <w:tcW w:type="dxa" w:w="1742"/>
            <w:vAlign w:val="center"/>
            <w:tcMar>
              <w:top w:w="55" w:type="dxa"/>
              <w:start w:w="65" w:type="dxa"/>
              <w:bottom w:w="55" w:type="dxa"/>
              <w:end w:w="65" w:type="dxa"/>
            </w:tcMar>
            <w:shd w:fill="F2F4F7"/>
          </w:tcPr>
          <w:p>
            <w:pPr>
              <w:spacing w:after="0"/>
            </w:pPr>
            <w:r>
              <w:rPr>
                <w:sz w:val="14"/>
              </w:rPr>
              <w:t>California confidentiality and privilege law; NASW 1.07(j)</w:t>
            </w:r>
          </w:p>
        </w:tc>
      </w:tr>
      <w:tr>
        <w:trPr>
          <w:cantSplit/>
        </w:trPr>
        <w:tc>
          <w:tcPr>
            <w:tcW w:type="dxa" w:w="1742"/>
            <w:vAlign w:val="center"/>
            <w:tcMar>
              <w:top w:w="55" w:type="dxa"/>
              <w:start w:w="65" w:type="dxa"/>
              <w:bottom w:w="55" w:type="dxa"/>
              <w:end w:w="65" w:type="dxa"/>
            </w:tcMar>
          </w:tcPr>
          <w:p>
            <w:pPr>
              <w:spacing w:after="0"/>
            </w:pPr>
            <w:r>
              <w:rPr>
                <w:sz w:val="14"/>
              </w:rPr>
              <w:t>37</w:t>
            </w:r>
          </w:p>
        </w:tc>
        <w:tc>
          <w:tcPr>
            <w:tcW w:type="dxa" w:w="1742"/>
            <w:vAlign w:val="center"/>
            <w:tcMar>
              <w:top w:w="55" w:type="dxa"/>
              <w:start w:w="65" w:type="dxa"/>
              <w:bottom w:w="55" w:type="dxa"/>
              <w:end w:w="65" w:type="dxa"/>
            </w:tcMar>
          </w:tcPr>
          <w:p>
            <w:pPr>
              <w:spacing w:after="0"/>
            </w:pPr>
            <w:r>
              <w:rPr>
                <w:sz w:val="14"/>
              </w:rPr>
              <w:t>Telehealth initiation requirements</w:t>
            </w:r>
          </w:p>
        </w:tc>
        <w:tc>
          <w:tcPr>
            <w:tcW w:type="dxa" w:w="1742"/>
            <w:vAlign w:val="center"/>
            <w:tcMar>
              <w:top w:w="55" w:type="dxa"/>
              <w:start w:w="65" w:type="dxa"/>
              <w:bottom w:w="55" w:type="dxa"/>
              <w:end w:w="65" w:type="dxa"/>
            </w:tcMar>
          </w:tcPr>
          <w:p>
            <w:pPr>
              <w:spacing w:after="0"/>
            </w:pPr>
            <w:r>
              <w:rPr>
                <w:sz w:val="14"/>
              </w:rPr>
              <w:t>1A</w:t>
            </w:r>
          </w:p>
        </w:tc>
        <w:tc>
          <w:tcPr>
            <w:tcW w:type="dxa" w:w="1742"/>
            <w:vAlign w:val="center"/>
            <w:tcMar>
              <w:top w:w="55" w:type="dxa"/>
              <w:start w:w="65" w:type="dxa"/>
              <w:bottom w:w="55" w:type="dxa"/>
              <w:end w:w="65" w:type="dxa"/>
            </w:tcMar>
          </w:tcPr>
          <w:p>
            <w:pPr>
              <w:spacing w:after="0"/>
            </w:pPr>
            <w:r>
              <w:rPr>
                <w:sz w:val="14"/>
              </w:rPr>
              <w:t>WB2</w:t>
            </w:r>
          </w:p>
        </w:tc>
        <w:tc>
          <w:tcPr>
            <w:tcW w:type="dxa" w:w="1742"/>
            <w:vAlign w:val="center"/>
            <w:tcMar>
              <w:top w:w="55" w:type="dxa"/>
              <w:start w:w="65" w:type="dxa"/>
              <w:bottom w:w="55" w:type="dxa"/>
              <w:end w:w="65" w:type="dxa"/>
            </w:tcMar>
          </w:tcPr>
          <w:p>
            <w:pPr>
              <w:spacing w:after="0"/>
            </w:pPr>
            <w:r>
              <w:rPr>
                <w:sz w:val="14"/>
              </w:rPr>
              <w:t>TELEHEALTH-INITIATION</w:t>
            </w:r>
          </w:p>
        </w:tc>
        <w:tc>
          <w:tcPr>
            <w:tcW w:type="dxa" w:w="1742"/>
            <w:vAlign w:val="center"/>
            <w:tcMar>
              <w:top w:w="55" w:type="dxa"/>
              <w:start w:w="65" w:type="dxa"/>
              <w:bottom w:w="55" w:type="dxa"/>
              <w:end w:w="65" w:type="dxa"/>
            </w:tcMar>
          </w:tcPr>
          <w:p>
            <w:pPr>
              <w:spacing w:after="0"/>
            </w:pPr>
            <w:r>
              <w:rPr>
                <w:sz w:val="14"/>
              </w:rPr>
              <w:t>California CCR 1815.5(c); BPC 2290.5</w:t>
            </w:r>
          </w:p>
        </w:tc>
      </w:tr>
      <w:tr>
        <w:trPr>
          <w:cantSplit/>
        </w:trPr>
        <w:tc>
          <w:tcPr>
            <w:tcW w:type="dxa" w:w="1742"/>
            <w:vAlign w:val="center"/>
            <w:tcMar>
              <w:top w:w="55" w:type="dxa"/>
              <w:start w:w="65" w:type="dxa"/>
              <w:bottom w:w="55" w:type="dxa"/>
              <w:end w:w="65" w:type="dxa"/>
            </w:tcMar>
            <w:shd w:fill="F2F4F7"/>
          </w:tcPr>
          <w:p>
            <w:pPr>
              <w:spacing w:after="0"/>
            </w:pPr>
            <w:r>
              <w:rPr>
                <w:sz w:val="14"/>
              </w:rPr>
              <w:t>38</w:t>
            </w:r>
          </w:p>
        </w:tc>
        <w:tc>
          <w:tcPr>
            <w:tcW w:type="dxa" w:w="1742"/>
            <w:vAlign w:val="center"/>
            <w:tcMar>
              <w:top w:w="55" w:type="dxa"/>
              <w:start w:w="65" w:type="dxa"/>
              <w:bottom w:w="55" w:type="dxa"/>
              <w:end w:w="65" w:type="dxa"/>
            </w:tcMar>
            <w:shd w:fill="F2F4F7"/>
          </w:tcPr>
          <w:p>
            <w:pPr>
              <w:spacing w:after="0"/>
            </w:pPr>
            <w:r>
              <w:rPr>
                <w:sz w:val="14"/>
              </w:rPr>
              <w:t>Accurate ASW status representation</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LS Module</w:t>
            </w:r>
          </w:p>
        </w:tc>
        <w:tc>
          <w:tcPr>
            <w:tcW w:type="dxa" w:w="1742"/>
            <w:vAlign w:val="center"/>
            <w:tcMar>
              <w:top w:w="55" w:type="dxa"/>
              <w:start w:w="65" w:type="dxa"/>
              <w:bottom w:w="55" w:type="dxa"/>
              <w:end w:w="65" w:type="dxa"/>
            </w:tcMar>
            <w:shd w:fill="F2F4F7"/>
          </w:tcPr>
          <w:p>
            <w:pPr>
              <w:spacing w:after="0"/>
            </w:pPr>
            <w:r>
              <w:rPr>
                <w:sz w:val="14"/>
              </w:rPr>
              <w:t>ASW-STATUS-ADVERTISING</w:t>
            </w:r>
          </w:p>
        </w:tc>
        <w:tc>
          <w:tcPr>
            <w:tcW w:type="dxa" w:w="1742"/>
            <w:vAlign w:val="center"/>
            <w:tcMar>
              <w:top w:w="55" w:type="dxa"/>
              <w:start w:w="65" w:type="dxa"/>
              <w:bottom w:w="55" w:type="dxa"/>
              <w:end w:w="65" w:type="dxa"/>
            </w:tcMar>
            <w:shd w:fill="F2F4F7"/>
          </w:tcPr>
          <w:p>
            <w:pPr>
              <w:spacing w:after="0"/>
            </w:pPr>
            <w:r>
              <w:rPr>
                <w:sz w:val="14"/>
              </w:rPr>
              <w:t>California BPC 4996, 4996.18; CCR 1811 operative April 1, 2026</w:t>
            </w:r>
          </w:p>
        </w:tc>
      </w:tr>
      <w:tr>
        <w:trPr>
          <w:cantSplit/>
        </w:trPr>
        <w:tc>
          <w:tcPr>
            <w:tcW w:type="dxa" w:w="1742"/>
            <w:vAlign w:val="center"/>
            <w:tcMar>
              <w:top w:w="55" w:type="dxa"/>
              <w:start w:w="65" w:type="dxa"/>
              <w:bottom w:w="55" w:type="dxa"/>
              <w:end w:w="65" w:type="dxa"/>
            </w:tcMar>
          </w:tcPr>
          <w:p>
            <w:pPr>
              <w:spacing w:after="0"/>
            </w:pPr>
            <w:r>
              <w:rPr>
                <w:sz w:val="14"/>
              </w:rPr>
              <w:t>39</w:t>
            </w:r>
          </w:p>
        </w:tc>
        <w:tc>
          <w:tcPr>
            <w:tcW w:type="dxa" w:w="1742"/>
            <w:vAlign w:val="center"/>
            <w:tcMar>
              <w:top w:w="55" w:type="dxa"/>
              <w:start w:w="65" w:type="dxa"/>
              <w:bottom w:w="55" w:type="dxa"/>
              <w:end w:w="65" w:type="dxa"/>
            </w:tcMar>
          </w:tcPr>
          <w:p>
            <w:pPr>
              <w:spacing w:after="0"/>
            </w:pPr>
            <w:r>
              <w:rPr>
                <w:sz w:val="14"/>
              </w:rPr>
              <w:t>Registration required to accrue experience</w:t>
            </w:r>
          </w:p>
        </w:tc>
        <w:tc>
          <w:tcPr>
            <w:tcW w:type="dxa" w:w="1742"/>
            <w:vAlign w:val="center"/>
            <w:tcMar>
              <w:top w:w="55" w:type="dxa"/>
              <w:start w:w="65" w:type="dxa"/>
              <w:bottom w:w="55" w:type="dxa"/>
              <w:end w:w="65" w:type="dxa"/>
            </w:tcMar>
          </w:tcPr>
          <w:p>
            <w:pPr>
              <w:spacing w:after="0"/>
            </w:pPr>
            <w:r>
              <w:rPr>
                <w:sz w:val="14"/>
              </w:rPr>
              <w:t>1C</w:t>
            </w:r>
          </w:p>
        </w:tc>
        <w:tc>
          <w:tcPr>
            <w:tcW w:type="dxa" w:w="1742"/>
            <w:vAlign w:val="center"/>
            <w:tcMar>
              <w:top w:w="55" w:type="dxa"/>
              <w:start w:w="65" w:type="dxa"/>
              <w:bottom w:w="55" w:type="dxa"/>
              <w:end w:w="65" w:type="dxa"/>
            </w:tcMar>
          </w:tcPr>
          <w:p>
            <w:pPr>
              <w:spacing w:after="0"/>
            </w:pPr>
            <w:r>
              <w:rPr>
                <w:sz w:val="14"/>
              </w:rPr>
              <w:t>LS Module</w:t>
            </w:r>
          </w:p>
        </w:tc>
        <w:tc>
          <w:tcPr>
            <w:tcW w:type="dxa" w:w="1742"/>
            <w:vAlign w:val="center"/>
            <w:tcMar>
              <w:top w:w="55" w:type="dxa"/>
              <w:start w:w="65" w:type="dxa"/>
              <w:bottom w:w="55" w:type="dxa"/>
              <w:end w:w="65" w:type="dxa"/>
            </w:tcMar>
          </w:tcPr>
          <w:p>
            <w:pPr>
              <w:spacing w:after="0"/>
            </w:pPr>
            <w:r>
              <w:rPr>
                <w:sz w:val="14"/>
              </w:rPr>
              <w:t>ASW-REGISTRATION-EXPERIENCE</w:t>
            </w:r>
          </w:p>
        </w:tc>
        <w:tc>
          <w:tcPr>
            <w:tcW w:type="dxa" w:w="1742"/>
            <w:vAlign w:val="center"/>
            <w:tcMar>
              <w:top w:w="55" w:type="dxa"/>
              <w:start w:w="65" w:type="dxa"/>
              <w:bottom w:w="55" w:type="dxa"/>
              <w:end w:w="65" w:type="dxa"/>
            </w:tcMar>
          </w:tcPr>
          <w:p>
            <w:pPr>
              <w:spacing w:after="0"/>
            </w:pPr>
            <w:r>
              <w:rPr>
                <w:sz w:val="14"/>
              </w:rPr>
              <w:t>California BPC 4996.18 and 4996.23; BBS LCSW applicant guidance</w:t>
            </w:r>
          </w:p>
        </w:tc>
      </w:tr>
      <w:tr>
        <w:trPr>
          <w:cantSplit/>
        </w:trPr>
        <w:tc>
          <w:tcPr>
            <w:tcW w:type="dxa" w:w="1742"/>
            <w:vAlign w:val="center"/>
            <w:tcMar>
              <w:top w:w="55" w:type="dxa"/>
              <w:start w:w="65" w:type="dxa"/>
              <w:bottom w:w="55" w:type="dxa"/>
              <w:end w:w="65" w:type="dxa"/>
            </w:tcMar>
            <w:shd w:fill="F2F4F7"/>
          </w:tcPr>
          <w:p>
            <w:pPr>
              <w:spacing w:after="0"/>
            </w:pPr>
            <w:r>
              <w:rPr>
                <w:sz w:val="14"/>
              </w:rPr>
              <w:t>40</w:t>
            </w:r>
          </w:p>
        </w:tc>
        <w:tc>
          <w:tcPr>
            <w:tcW w:type="dxa" w:w="1742"/>
            <w:vAlign w:val="center"/>
            <w:tcMar>
              <w:top w:w="55" w:type="dxa"/>
              <w:start w:w="65" w:type="dxa"/>
              <w:bottom w:w="55" w:type="dxa"/>
              <w:end w:w="65" w:type="dxa"/>
            </w:tcMar>
            <w:shd w:fill="F2F4F7"/>
          </w:tcPr>
          <w:p>
            <w:pPr>
              <w:spacing w:after="0"/>
            </w:pPr>
            <w:r>
              <w:rPr>
                <w:sz w:val="14"/>
              </w:rPr>
              <w:t>Court order and limited disclosure</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WB8</w:t>
            </w:r>
          </w:p>
        </w:tc>
        <w:tc>
          <w:tcPr>
            <w:tcW w:type="dxa" w:w="1742"/>
            <w:vAlign w:val="center"/>
            <w:tcMar>
              <w:top w:w="55" w:type="dxa"/>
              <w:start w:w="65" w:type="dxa"/>
              <w:bottom w:w="55" w:type="dxa"/>
              <w:end w:w="65" w:type="dxa"/>
            </w:tcMar>
            <w:shd w:fill="F2F4F7"/>
          </w:tcPr>
          <w:p>
            <w:pPr>
              <w:spacing w:after="0"/>
            </w:pPr>
            <w:r>
              <w:rPr>
                <w:sz w:val="14"/>
              </w:rPr>
              <w:t>COURT-ORDER-SCOPE</w:t>
            </w:r>
          </w:p>
        </w:tc>
        <w:tc>
          <w:tcPr>
            <w:tcW w:type="dxa" w:w="1742"/>
            <w:vAlign w:val="center"/>
            <w:tcMar>
              <w:top w:w="55" w:type="dxa"/>
              <w:start w:w="65" w:type="dxa"/>
              <w:bottom w:w="55" w:type="dxa"/>
              <w:end w:w="65" w:type="dxa"/>
            </w:tcMar>
            <w:shd w:fill="F2F4F7"/>
          </w:tcPr>
          <w:p>
            <w:pPr>
              <w:spacing w:after="0"/>
            </w:pPr>
            <w:r>
              <w:rPr>
                <w:sz w:val="14"/>
              </w:rPr>
              <w:t>California confidentiality/privilege law; NASW 1.07</w:t>
            </w:r>
          </w:p>
        </w:tc>
      </w:tr>
      <w:tr>
        <w:trPr>
          <w:cantSplit/>
        </w:trPr>
        <w:tc>
          <w:tcPr>
            <w:tcW w:type="dxa" w:w="1742"/>
            <w:vAlign w:val="center"/>
            <w:tcMar>
              <w:top w:w="55" w:type="dxa"/>
              <w:start w:w="65" w:type="dxa"/>
              <w:bottom w:w="55" w:type="dxa"/>
              <w:end w:w="65" w:type="dxa"/>
            </w:tcMar>
          </w:tcPr>
          <w:p>
            <w:pPr>
              <w:spacing w:after="0"/>
            </w:pPr>
            <w:r>
              <w:rPr>
                <w:sz w:val="14"/>
              </w:rPr>
              <w:t>41</w:t>
            </w:r>
          </w:p>
        </w:tc>
        <w:tc>
          <w:tcPr>
            <w:tcW w:type="dxa" w:w="1742"/>
            <w:vAlign w:val="center"/>
            <w:tcMar>
              <w:top w:w="55" w:type="dxa"/>
              <w:start w:w="65" w:type="dxa"/>
              <w:bottom w:w="55" w:type="dxa"/>
              <w:end w:w="65" w:type="dxa"/>
            </w:tcMar>
          </w:tcPr>
          <w:p>
            <w:pPr>
              <w:spacing w:after="0"/>
            </w:pPr>
            <w:r>
              <w:rPr>
                <w:sz w:val="14"/>
              </w:rPr>
              <w:t>Client self-determination</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WB7</w:t>
            </w:r>
          </w:p>
        </w:tc>
        <w:tc>
          <w:tcPr>
            <w:tcW w:type="dxa" w:w="1742"/>
            <w:vAlign w:val="center"/>
            <w:tcMar>
              <w:top w:w="55" w:type="dxa"/>
              <w:start w:w="65" w:type="dxa"/>
              <w:bottom w:w="55" w:type="dxa"/>
              <w:end w:w="65" w:type="dxa"/>
            </w:tcMar>
          </w:tcPr>
          <w:p>
            <w:pPr>
              <w:spacing w:after="0"/>
            </w:pPr>
            <w:r>
              <w:rPr>
                <w:sz w:val="14"/>
              </w:rPr>
              <w:t>SELF-DETERMINATION</w:t>
            </w:r>
          </w:p>
        </w:tc>
        <w:tc>
          <w:tcPr>
            <w:tcW w:type="dxa" w:w="1742"/>
            <w:vAlign w:val="center"/>
            <w:tcMar>
              <w:top w:w="55" w:type="dxa"/>
              <w:start w:w="65" w:type="dxa"/>
              <w:bottom w:w="55" w:type="dxa"/>
              <w:end w:w="65" w:type="dxa"/>
            </w:tcMar>
          </w:tcPr>
          <w:p>
            <w:pPr>
              <w:spacing w:after="0"/>
            </w:pPr>
            <w:r>
              <w:rPr>
                <w:sz w:val="14"/>
              </w:rPr>
              <w:t>NASW 1.02</w:t>
            </w:r>
          </w:p>
        </w:tc>
      </w:tr>
      <w:tr>
        <w:trPr>
          <w:cantSplit/>
        </w:trPr>
        <w:tc>
          <w:tcPr>
            <w:tcW w:type="dxa" w:w="1742"/>
            <w:vAlign w:val="center"/>
            <w:tcMar>
              <w:top w:w="55" w:type="dxa"/>
              <w:start w:w="65" w:type="dxa"/>
              <w:bottom w:w="55" w:type="dxa"/>
              <w:end w:w="65" w:type="dxa"/>
            </w:tcMar>
            <w:shd w:fill="F2F4F7"/>
          </w:tcPr>
          <w:p>
            <w:pPr>
              <w:spacing w:after="0"/>
            </w:pPr>
            <w:r>
              <w:rPr>
                <w:sz w:val="14"/>
              </w:rPr>
              <w:t>42</w:t>
            </w:r>
          </w:p>
        </w:tc>
        <w:tc>
          <w:tcPr>
            <w:tcW w:type="dxa" w:w="1742"/>
            <w:vAlign w:val="center"/>
            <w:tcMar>
              <w:top w:w="55" w:type="dxa"/>
              <w:start w:w="65" w:type="dxa"/>
              <w:bottom w:w="55" w:type="dxa"/>
              <w:end w:w="65" w:type="dxa"/>
            </w:tcMar>
            <w:shd w:fill="F2F4F7"/>
          </w:tcPr>
          <w:p>
            <w:pPr>
              <w:spacing w:after="0"/>
            </w:pPr>
            <w:r>
              <w:rPr>
                <w:sz w:val="14"/>
              </w:rPr>
              <w:t>ASW financial and proprietary restrictions despite W-2 status</w:t>
            </w:r>
          </w:p>
        </w:tc>
        <w:tc>
          <w:tcPr>
            <w:tcW w:type="dxa" w:w="1742"/>
            <w:vAlign w:val="center"/>
            <w:tcMar>
              <w:top w:w="55" w:type="dxa"/>
              <w:start w:w="65" w:type="dxa"/>
              <w:bottom w:w="55" w:type="dxa"/>
              <w:end w:w="65" w:type="dxa"/>
            </w:tcMar>
            <w:shd w:fill="F2F4F7"/>
          </w:tcPr>
          <w:p>
            <w:pPr>
              <w:spacing w:after="0"/>
            </w:pPr>
            <w:r>
              <w:rPr>
                <w:sz w:val="14"/>
              </w:rPr>
              <w:t>1C</w:t>
            </w:r>
          </w:p>
        </w:tc>
        <w:tc>
          <w:tcPr>
            <w:tcW w:type="dxa" w:w="1742"/>
            <w:vAlign w:val="center"/>
            <w:tcMar>
              <w:top w:w="55" w:type="dxa"/>
              <w:start w:w="65" w:type="dxa"/>
              <w:bottom w:w="55" w:type="dxa"/>
              <w:end w:w="65" w:type="dxa"/>
            </w:tcMar>
            <w:shd w:fill="F2F4F7"/>
          </w:tcPr>
          <w:p>
            <w:pPr>
              <w:spacing w:after="0"/>
            </w:pPr>
            <w:r>
              <w:rPr>
                <w:sz w:val="14"/>
              </w:rPr>
              <w:t>WB3</w:t>
            </w:r>
          </w:p>
        </w:tc>
        <w:tc>
          <w:tcPr>
            <w:tcW w:type="dxa" w:w="1742"/>
            <w:vAlign w:val="center"/>
            <w:tcMar>
              <w:top w:w="55" w:type="dxa"/>
              <w:start w:w="65" w:type="dxa"/>
              <w:bottom w:w="55" w:type="dxa"/>
              <w:end w:w="65" w:type="dxa"/>
            </w:tcMar>
            <w:shd w:fill="F2F4F7"/>
          </w:tcPr>
          <w:p>
            <w:pPr>
              <w:spacing w:after="0"/>
            </w:pPr>
            <w:r>
              <w:rPr>
                <w:sz w:val="14"/>
              </w:rPr>
              <w:t>ASW-FINANCIAL-STRUCTURE</w:t>
            </w:r>
          </w:p>
        </w:tc>
        <w:tc>
          <w:tcPr>
            <w:tcW w:type="dxa" w:w="1742"/>
            <w:vAlign w:val="center"/>
            <w:tcMar>
              <w:top w:w="55" w:type="dxa"/>
              <w:start w:w="65" w:type="dxa"/>
              <w:bottom w:w="55" w:type="dxa"/>
              <w:end w:w="65" w:type="dxa"/>
            </w:tcMar>
            <w:shd w:fill="F2F4F7"/>
          </w:tcPr>
          <w:p>
            <w:pPr>
              <w:spacing w:after="0"/>
            </w:pPr>
            <w:r>
              <w:rPr>
                <w:sz w:val="14"/>
              </w:rPr>
              <w:t>California BPC 4996.23.2; BBS ASW supervision guidance</w:t>
            </w:r>
          </w:p>
        </w:tc>
      </w:tr>
      <w:tr>
        <w:trPr>
          <w:cantSplit/>
        </w:trPr>
        <w:tc>
          <w:tcPr>
            <w:tcW w:type="dxa" w:w="1742"/>
            <w:vAlign w:val="center"/>
            <w:tcMar>
              <w:top w:w="55" w:type="dxa"/>
              <w:start w:w="65" w:type="dxa"/>
              <w:bottom w:w="55" w:type="dxa"/>
              <w:end w:w="65" w:type="dxa"/>
            </w:tcMar>
          </w:tcPr>
          <w:p>
            <w:pPr>
              <w:spacing w:after="0"/>
            </w:pPr>
            <w:r>
              <w:rPr>
                <w:sz w:val="14"/>
              </w:rPr>
              <w:t>43</w:t>
            </w:r>
          </w:p>
        </w:tc>
        <w:tc>
          <w:tcPr>
            <w:tcW w:type="dxa" w:w="1742"/>
            <w:vAlign w:val="center"/>
            <w:tcMar>
              <w:top w:w="55" w:type="dxa"/>
              <w:start w:w="65" w:type="dxa"/>
              <w:bottom w:w="55" w:type="dxa"/>
              <w:end w:w="65" w:type="dxa"/>
            </w:tcMar>
          </w:tcPr>
          <w:p>
            <w:pPr>
              <w:spacing w:after="0"/>
            </w:pPr>
            <w:r>
              <w:rPr>
                <w:sz w:val="14"/>
              </w:rPr>
              <w:t>Post-treatment role conversion and mediator neutrality</w:t>
            </w:r>
          </w:p>
        </w:tc>
        <w:tc>
          <w:tcPr>
            <w:tcW w:type="dxa" w:w="1742"/>
            <w:vAlign w:val="center"/>
            <w:tcMar>
              <w:top w:w="55" w:type="dxa"/>
              <w:start w:w="65" w:type="dxa"/>
              <w:bottom w:w="55" w:type="dxa"/>
              <w:end w:w="65" w:type="dxa"/>
            </w:tcMar>
          </w:tcPr>
          <w:p>
            <w:pPr>
              <w:spacing w:after="0"/>
            </w:pPr>
            <w:r>
              <w:rPr>
                <w:sz w:val="14"/>
              </w:rPr>
              <w:t>1C</w:t>
            </w:r>
          </w:p>
        </w:tc>
        <w:tc>
          <w:tcPr>
            <w:tcW w:type="dxa" w:w="1742"/>
            <w:vAlign w:val="center"/>
            <w:tcMar>
              <w:top w:w="55" w:type="dxa"/>
              <w:start w:w="65" w:type="dxa"/>
              <w:bottom w:w="55" w:type="dxa"/>
              <w:end w:w="65" w:type="dxa"/>
            </w:tcMar>
          </w:tcPr>
          <w:p>
            <w:pPr>
              <w:spacing w:after="0"/>
            </w:pPr>
            <w:r>
              <w:rPr>
                <w:sz w:val="14"/>
              </w:rPr>
              <w:t>WB6</w:t>
            </w:r>
          </w:p>
        </w:tc>
        <w:tc>
          <w:tcPr>
            <w:tcW w:type="dxa" w:w="1742"/>
            <w:vAlign w:val="center"/>
            <w:tcMar>
              <w:top w:w="55" w:type="dxa"/>
              <w:start w:w="65" w:type="dxa"/>
              <w:bottom w:w="55" w:type="dxa"/>
              <w:end w:w="65" w:type="dxa"/>
            </w:tcMar>
          </w:tcPr>
          <w:p>
            <w:pPr>
              <w:spacing w:after="0"/>
            </w:pPr>
            <w:r>
              <w:rPr>
                <w:sz w:val="14"/>
              </w:rPr>
              <w:t>POST-TREATMENT-ROLE</w:t>
            </w:r>
          </w:p>
        </w:tc>
        <w:tc>
          <w:tcPr>
            <w:tcW w:type="dxa" w:w="1742"/>
            <w:vAlign w:val="center"/>
            <w:tcMar>
              <w:top w:w="55" w:type="dxa"/>
              <w:start w:w="65" w:type="dxa"/>
              <w:bottom w:w="55" w:type="dxa"/>
              <w:end w:w="65" w:type="dxa"/>
            </w:tcMar>
          </w:tcPr>
          <w:p>
            <w:pPr>
              <w:spacing w:after="0"/>
            </w:pPr>
            <w:r>
              <w:rPr>
                <w:sz w:val="14"/>
              </w:rPr>
              <w:t>NASW 1.06, 1.07; California professional-boundary standards</w:t>
            </w:r>
          </w:p>
        </w:tc>
      </w:tr>
      <w:tr>
        <w:trPr>
          <w:cantSplit/>
        </w:trPr>
        <w:tc>
          <w:tcPr>
            <w:tcW w:type="dxa" w:w="1742"/>
            <w:vAlign w:val="center"/>
            <w:tcMar>
              <w:top w:w="55" w:type="dxa"/>
              <w:start w:w="65" w:type="dxa"/>
              <w:bottom w:w="55" w:type="dxa"/>
              <w:end w:w="65" w:type="dxa"/>
            </w:tcMar>
            <w:shd w:fill="F2F4F7"/>
          </w:tcPr>
          <w:p>
            <w:pPr>
              <w:spacing w:after="0"/>
            </w:pPr>
            <w:r>
              <w:rPr>
                <w:sz w:val="14"/>
              </w:rPr>
              <w:t>44</w:t>
            </w:r>
          </w:p>
        </w:tc>
        <w:tc>
          <w:tcPr>
            <w:tcW w:type="dxa" w:w="1742"/>
            <w:vAlign w:val="center"/>
            <w:tcMar>
              <w:top w:w="55" w:type="dxa"/>
              <w:start w:w="65" w:type="dxa"/>
              <w:bottom w:w="55" w:type="dxa"/>
              <w:end w:w="65" w:type="dxa"/>
            </w:tcMar>
            <w:shd w:fill="F2F4F7"/>
          </w:tcPr>
          <w:p>
            <w:pPr>
              <w:spacing w:after="0"/>
            </w:pPr>
            <w:r>
              <w:rPr>
                <w:sz w:val="14"/>
              </w:rPr>
              <w:t>Lost device and immediate containment</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WB9</w:t>
            </w:r>
          </w:p>
        </w:tc>
        <w:tc>
          <w:tcPr>
            <w:tcW w:type="dxa" w:w="1742"/>
            <w:vAlign w:val="center"/>
            <w:tcMar>
              <w:top w:w="55" w:type="dxa"/>
              <w:start w:w="65" w:type="dxa"/>
              <w:bottom w:w="55" w:type="dxa"/>
              <w:end w:w="65" w:type="dxa"/>
            </w:tcMar>
            <w:shd w:fill="F2F4F7"/>
          </w:tcPr>
          <w:p>
            <w:pPr>
              <w:spacing w:after="0"/>
            </w:pPr>
            <w:r>
              <w:rPr>
                <w:sz w:val="14"/>
              </w:rPr>
              <w:t>LOST-DEVICE</w:t>
            </w:r>
          </w:p>
        </w:tc>
        <w:tc>
          <w:tcPr>
            <w:tcW w:type="dxa" w:w="1742"/>
            <w:vAlign w:val="center"/>
            <w:tcMar>
              <w:top w:w="55" w:type="dxa"/>
              <w:start w:w="65" w:type="dxa"/>
              <w:bottom w:w="55" w:type="dxa"/>
              <w:end w:w="65" w:type="dxa"/>
            </w:tcMar>
            <w:shd w:fill="F2F4F7"/>
          </w:tcPr>
          <w:p>
            <w:pPr>
              <w:spacing w:after="0"/>
            </w:pPr>
            <w:r>
              <w:rPr>
                <w:sz w:val="14"/>
              </w:rPr>
              <w:t>California privacy/security law; NASW 1.07, 3.04</w:t>
            </w:r>
          </w:p>
        </w:tc>
      </w:tr>
      <w:tr>
        <w:trPr>
          <w:cantSplit/>
        </w:trPr>
        <w:tc>
          <w:tcPr>
            <w:tcW w:type="dxa" w:w="1742"/>
            <w:vAlign w:val="center"/>
            <w:tcMar>
              <w:top w:w="55" w:type="dxa"/>
              <w:start w:w="65" w:type="dxa"/>
              <w:bottom w:w="55" w:type="dxa"/>
              <w:end w:w="65" w:type="dxa"/>
            </w:tcMar>
          </w:tcPr>
          <w:p>
            <w:pPr>
              <w:spacing w:after="0"/>
            </w:pPr>
            <w:r>
              <w:rPr>
                <w:sz w:val="14"/>
              </w:rPr>
              <w:t>45</w:t>
            </w:r>
          </w:p>
        </w:tc>
        <w:tc>
          <w:tcPr>
            <w:tcW w:type="dxa" w:w="1742"/>
            <w:vAlign w:val="center"/>
            <w:tcMar>
              <w:top w:w="55" w:type="dxa"/>
              <w:start w:w="65" w:type="dxa"/>
              <w:bottom w:w="55" w:type="dxa"/>
              <w:end w:w="65" w:type="dxa"/>
            </w:tcMar>
          </w:tcPr>
          <w:p>
            <w:pPr>
              <w:spacing w:after="0"/>
            </w:pPr>
            <w:r>
              <w:rPr>
                <w:sz w:val="14"/>
              </w:rPr>
              <w:t>Integrity in diagnosis and benefits advocacy</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LS Module</w:t>
            </w:r>
          </w:p>
        </w:tc>
        <w:tc>
          <w:tcPr>
            <w:tcW w:type="dxa" w:w="1742"/>
            <w:vAlign w:val="center"/>
            <w:tcMar>
              <w:top w:w="55" w:type="dxa"/>
              <w:start w:w="65" w:type="dxa"/>
              <w:bottom w:w="55" w:type="dxa"/>
              <w:end w:w="65" w:type="dxa"/>
            </w:tcMar>
          </w:tcPr>
          <w:p>
            <w:pPr>
              <w:spacing w:after="0"/>
            </w:pPr>
            <w:r>
              <w:rPr>
                <w:sz w:val="14"/>
              </w:rPr>
              <w:t>DIAGNOSIS-INTEGRITY</w:t>
            </w:r>
          </w:p>
        </w:tc>
        <w:tc>
          <w:tcPr>
            <w:tcW w:type="dxa" w:w="1742"/>
            <w:vAlign w:val="center"/>
            <w:tcMar>
              <w:top w:w="55" w:type="dxa"/>
              <w:start w:w="65" w:type="dxa"/>
              <w:bottom w:w="55" w:type="dxa"/>
              <w:end w:w="65" w:type="dxa"/>
            </w:tcMar>
          </w:tcPr>
          <w:p>
            <w:pPr>
              <w:spacing w:after="0"/>
            </w:pPr>
            <w:r>
              <w:rPr>
                <w:sz w:val="14"/>
              </w:rPr>
              <w:t>NASW 1.01, 3.04, 3.07, 4.04; California professional-conduct standards</w:t>
            </w:r>
          </w:p>
        </w:tc>
      </w:tr>
      <w:tr>
        <w:trPr>
          <w:cantSplit/>
        </w:trPr>
        <w:tc>
          <w:tcPr>
            <w:tcW w:type="dxa" w:w="1742"/>
            <w:vAlign w:val="center"/>
            <w:tcMar>
              <w:top w:w="55" w:type="dxa"/>
              <w:start w:w="65" w:type="dxa"/>
              <w:bottom w:w="55" w:type="dxa"/>
              <w:end w:w="65" w:type="dxa"/>
            </w:tcMar>
            <w:shd w:fill="F2F4F7"/>
          </w:tcPr>
          <w:p>
            <w:pPr>
              <w:spacing w:after="0"/>
            </w:pPr>
            <w:r>
              <w:rPr>
                <w:sz w:val="14"/>
              </w:rPr>
              <w:t>46</w:t>
            </w:r>
          </w:p>
        </w:tc>
        <w:tc>
          <w:tcPr>
            <w:tcW w:type="dxa" w:w="1742"/>
            <w:vAlign w:val="center"/>
            <w:tcMar>
              <w:top w:w="55" w:type="dxa"/>
              <w:start w:w="65" w:type="dxa"/>
              <w:bottom w:w="55" w:type="dxa"/>
              <w:end w:w="65" w:type="dxa"/>
            </w:tcMar>
            <w:shd w:fill="F2F4F7"/>
          </w:tcPr>
          <w:p>
            <w:pPr>
              <w:spacing w:after="0"/>
            </w:pPr>
            <w:r>
              <w:rPr>
                <w:sz w:val="14"/>
              </w:rPr>
              <w:t>Third-party request and informed authorization</w:t>
            </w:r>
          </w:p>
        </w:tc>
        <w:tc>
          <w:tcPr>
            <w:tcW w:type="dxa" w:w="1742"/>
            <w:vAlign w:val="center"/>
            <w:tcMar>
              <w:top w:w="55" w:type="dxa"/>
              <w:start w:w="65" w:type="dxa"/>
              <w:bottom w:w="55" w:type="dxa"/>
              <w:end w:w="65" w:type="dxa"/>
            </w:tcMar>
            <w:shd w:fill="F2F4F7"/>
          </w:tcPr>
          <w:p>
            <w:pPr>
              <w:spacing w:after="0"/>
            </w:pPr>
            <w:r>
              <w:rPr>
                <w:sz w:val="14"/>
              </w:rPr>
              <w:t>1A</w:t>
            </w:r>
          </w:p>
        </w:tc>
        <w:tc>
          <w:tcPr>
            <w:tcW w:type="dxa" w:w="1742"/>
            <w:vAlign w:val="center"/>
            <w:tcMar>
              <w:top w:w="55" w:type="dxa"/>
              <w:start w:w="65" w:type="dxa"/>
              <w:bottom w:w="55" w:type="dxa"/>
              <w:end w:w="65" w:type="dxa"/>
            </w:tcMar>
            <w:shd w:fill="F2F4F7"/>
          </w:tcPr>
          <w:p>
            <w:pPr>
              <w:spacing w:after="0"/>
            </w:pPr>
            <w:r>
              <w:rPr>
                <w:sz w:val="14"/>
              </w:rPr>
              <w:t>WB1</w:t>
            </w:r>
          </w:p>
        </w:tc>
        <w:tc>
          <w:tcPr>
            <w:tcW w:type="dxa" w:w="1742"/>
            <w:vAlign w:val="center"/>
            <w:tcMar>
              <w:top w:w="55" w:type="dxa"/>
              <w:start w:w="65" w:type="dxa"/>
              <w:bottom w:w="55" w:type="dxa"/>
              <w:end w:w="65" w:type="dxa"/>
            </w:tcMar>
            <w:shd w:fill="F2F4F7"/>
          </w:tcPr>
          <w:p>
            <w:pPr>
              <w:spacing w:after="0"/>
            </w:pPr>
            <w:r>
              <w:rPr>
                <w:sz w:val="14"/>
              </w:rPr>
              <w:t>THIRD-PARTY-AUTHORIZATION</w:t>
            </w:r>
          </w:p>
        </w:tc>
        <w:tc>
          <w:tcPr>
            <w:tcW w:type="dxa" w:w="1742"/>
            <w:vAlign w:val="center"/>
            <w:tcMar>
              <w:top w:w="55" w:type="dxa"/>
              <w:start w:w="65" w:type="dxa"/>
              <w:bottom w:w="55" w:type="dxa"/>
              <w:end w:w="65" w:type="dxa"/>
            </w:tcMar>
            <w:shd w:fill="F2F4F7"/>
          </w:tcPr>
          <w:p>
            <w:pPr>
              <w:spacing w:after="0"/>
            </w:pPr>
            <w:r>
              <w:rPr>
                <w:sz w:val="14"/>
              </w:rPr>
              <w:t>California CMIA/authorization law; NASW 1.03, 1.07</w:t>
            </w:r>
          </w:p>
        </w:tc>
      </w:tr>
      <w:tr>
        <w:trPr>
          <w:cantSplit/>
        </w:trPr>
        <w:tc>
          <w:tcPr>
            <w:tcW w:type="dxa" w:w="1742"/>
            <w:vAlign w:val="center"/>
            <w:tcMar>
              <w:top w:w="55" w:type="dxa"/>
              <w:start w:w="65" w:type="dxa"/>
              <w:bottom w:w="55" w:type="dxa"/>
              <w:end w:w="65" w:type="dxa"/>
            </w:tcMar>
          </w:tcPr>
          <w:p>
            <w:pPr>
              <w:spacing w:after="0"/>
            </w:pPr>
            <w:r>
              <w:rPr>
                <w:sz w:val="14"/>
              </w:rPr>
              <w:t>47</w:t>
            </w:r>
          </w:p>
        </w:tc>
        <w:tc>
          <w:tcPr>
            <w:tcW w:type="dxa" w:w="1742"/>
            <w:vAlign w:val="center"/>
            <w:tcMar>
              <w:top w:w="55" w:type="dxa"/>
              <w:start w:w="65" w:type="dxa"/>
              <w:bottom w:w="55" w:type="dxa"/>
              <w:end w:w="65" w:type="dxa"/>
            </w:tcMar>
          </w:tcPr>
          <w:p>
            <w:pPr>
              <w:spacing w:after="0"/>
            </w:pPr>
            <w:r>
              <w:rPr>
                <w:sz w:val="14"/>
              </w:rPr>
              <w:t>Cultural humility as ongoing competence</w:t>
            </w:r>
          </w:p>
        </w:tc>
        <w:tc>
          <w:tcPr>
            <w:tcW w:type="dxa" w:w="1742"/>
            <w:vAlign w:val="center"/>
            <w:tcMar>
              <w:top w:w="55" w:type="dxa"/>
              <w:start w:w="65" w:type="dxa"/>
              <w:bottom w:w="55" w:type="dxa"/>
              <w:end w:w="65" w:type="dxa"/>
            </w:tcMar>
          </w:tcPr>
          <w:p>
            <w:pPr>
              <w:spacing w:after="0"/>
            </w:pPr>
            <w:r>
              <w:rPr>
                <w:sz w:val="14"/>
              </w:rPr>
              <w:t>2A</w:t>
            </w:r>
          </w:p>
        </w:tc>
        <w:tc>
          <w:tcPr>
            <w:tcW w:type="dxa" w:w="1742"/>
            <w:vAlign w:val="center"/>
            <w:tcMar>
              <w:top w:w="55" w:type="dxa"/>
              <w:start w:w="65" w:type="dxa"/>
              <w:bottom w:w="55" w:type="dxa"/>
              <w:end w:w="65" w:type="dxa"/>
            </w:tcMar>
          </w:tcPr>
          <w:p>
            <w:pPr>
              <w:spacing w:after="0"/>
            </w:pPr>
            <w:r>
              <w:rPr>
                <w:sz w:val="14"/>
              </w:rPr>
              <w:t>WB7</w:t>
            </w:r>
          </w:p>
        </w:tc>
        <w:tc>
          <w:tcPr>
            <w:tcW w:type="dxa" w:w="1742"/>
            <w:vAlign w:val="center"/>
            <w:tcMar>
              <w:top w:w="55" w:type="dxa"/>
              <w:start w:w="65" w:type="dxa"/>
              <w:bottom w:w="55" w:type="dxa"/>
              <w:end w:w="65" w:type="dxa"/>
            </w:tcMar>
          </w:tcPr>
          <w:p>
            <w:pPr>
              <w:spacing w:after="0"/>
            </w:pPr>
            <w:r>
              <w:rPr>
                <w:sz w:val="14"/>
              </w:rPr>
              <w:t>CULTURAL-HUMILITY-COMPETENCE</w:t>
            </w:r>
          </w:p>
        </w:tc>
        <w:tc>
          <w:tcPr>
            <w:tcW w:type="dxa" w:w="1742"/>
            <w:vAlign w:val="center"/>
            <w:tcMar>
              <w:top w:w="55" w:type="dxa"/>
              <w:start w:w="65" w:type="dxa"/>
              <w:bottom w:w="55" w:type="dxa"/>
              <w:end w:w="65" w:type="dxa"/>
            </w:tcMar>
          </w:tcPr>
          <w:p>
            <w:pPr>
              <w:spacing w:after="0"/>
            </w:pPr>
            <w:r>
              <w:rPr>
                <w:sz w:val="14"/>
              </w:rPr>
              <w:t>NASW 1.05 and 2021 revisions</w:t>
            </w:r>
          </w:p>
        </w:tc>
      </w:tr>
      <w:tr>
        <w:trPr>
          <w:cantSplit/>
        </w:trPr>
        <w:tc>
          <w:tcPr>
            <w:tcW w:type="dxa" w:w="1742"/>
            <w:vAlign w:val="center"/>
            <w:tcMar>
              <w:top w:w="55" w:type="dxa"/>
              <w:start w:w="65" w:type="dxa"/>
              <w:bottom w:w="55" w:type="dxa"/>
              <w:end w:w="65" w:type="dxa"/>
            </w:tcMar>
            <w:shd w:fill="F2F4F7"/>
          </w:tcPr>
          <w:p>
            <w:pPr>
              <w:spacing w:after="0"/>
            </w:pPr>
            <w:r>
              <w:rPr>
                <w:sz w:val="14"/>
              </w:rPr>
              <w:t>48</w:t>
            </w:r>
          </w:p>
        </w:tc>
        <w:tc>
          <w:tcPr>
            <w:tcW w:type="dxa" w:w="1742"/>
            <w:vAlign w:val="center"/>
            <w:tcMar>
              <w:top w:w="55" w:type="dxa"/>
              <w:start w:w="65" w:type="dxa"/>
              <w:bottom w:w="55" w:type="dxa"/>
              <w:end w:w="65" w:type="dxa"/>
            </w:tcMar>
            <w:shd w:fill="F2F4F7"/>
          </w:tcPr>
          <w:p>
            <w:pPr>
              <w:spacing w:after="0"/>
            </w:pPr>
            <w:r>
              <w:rPr>
                <w:sz w:val="14"/>
              </w:rPr>
              <w:t>Elder/dependent-adult abuse reporting timing</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WB5</w:t>
            </w:r>
          </w:p>
        </w:tc>
        <w:tc>
          <w:tcPr>
            <w:tcW w:type="dxa" w:w="1742"/>
            <w:vAlign w:val="center"/>
            <w:tcMar>
              <w:top w:w="55" w:type="dxa"/>
              <w:start w:w="65" w:type="dxa"/>
              <w:bottom w:w="55" w:type="dxa"/>
              <w:end w:w="65" w:type="dxa"/>
            </w:tcMar>
            <w:shd w:fill="F2F4F7"/>
          </w:tcPr>
          <w:p>
            <w:pPr>
              <w:spacing w:after="0"/>
            </w:pPr>
            <w:r>
              <w:rPr>
                <w:sz w:val="14"/>
              </w:rPr>
              <w:t>ELDER-REPORTING-TIMING</w:t>
            </w:r>
          </w:p>
        </w:tc>
        <w:tc>
          <w:tcPr>
            <w:tcW w:type="dxa" w:w="1742"/>
            <w:vAlign w:val="center"/>
            <w:tcMar>
              <w:top w:w="55" w:type="dxa"/>
              <w:start w:w="65" w:type="dxa"/>
              <w:bottom w:w="55" w:type="dxa"/>
              <w:end w:w="65" w:type="dxa"/>
            </w:tcMar>
            <w:shd w:fill="F2F4F7"/>
          </w:tcPr>
          <w:p>
            <w:pPr>
              <w:spacing w:after="0"/>
            </w:pPr>
            <w:r>
              <w:rPr>
                <w:sz w:val="14"/>
              </w:rPr>
              <w:t>California WIC 15630</w:t>
            </w:r>
          </w:p>
        </w:tc>
      </w:tr>
      <w:tr>
        <w:trPr>
          <w:cantSplit/>
        </w:trPr>
        <w:tc>
          <w:tcPr>
            <w:tcW w:type="dxa" w:w="1742"/>
            <w:vAlign w:val="center"/>
            <w:tcMar>
              <w:top w:w="55" w:type="dxa"/>
              <w:start w:w="65" w:type="dxa"/>
              <w:bottom w:w="55" w:type="dxa"/>
              <w:end w:w="65" w:type="dxa"/>
            </w:tcMar>
          </w:tcPr>
          <w:p>
            <w:pPr>
              <w:spacing w:after="0"/>
            </w:pPr>
            <w:r>
              <w:rPr>
                <w:sz w:val="14"/>
              </w:rPr>
              <w:t>49</w:t>
            </w:r>
          </w:p>
        </w:tc>
        <w:tc>
          <w:tcPr>
            <w:tcW w:type="dxa" w:w="1742"/>
            <w:vAlign w:val="center"/>
            <w:tcMar>
              <w:top w:w="55" w:type="dxa"/>
              <w:start w:w="65" w:type="dxa"/>
              <w:bottom w:w="55" w:type="dxa"/>
              <w:end w:w="65" w:type="dxa"/>
            </w:tcMar>
          </w:tcPr>
          <w:p>
            <w:pPr>
              <w:spacing w:after="0"/>
            </w:pPr>
            <w:r>
              <w:rPr>
                <w:sz w:val="14"/>
              </w:rPr>
              <w:t>Reentry after a competence lapse</w:t>
            </w:r>
          </w:p>
        </w:tc>
        <w:tc>
          <w:tcPr>
            <w:tcW w:type="dxa" w:w="1742"/>
            <w:vAlign w:val="center"/>
            <w:tcMar>
              <w:top w:w="55" w:type="dxa"/>
              <w:start w:w="65" w:type="dxa"/>
              <w:bottom w:w="55" w:type="dxa"/>
              <w:end w:w="65" w:type="dxa"/>
            </w:tcMar>
          </w:tcPr>
          <w:p>
            <w:pPr>
              <w:spacing w:after="0"/>
            </w:pPr>
            <w:r>
              <w:rPr>
                <w:sz w:val="14"/>
              </w:rPr>
              <w:t>2A</w:t>
            </w:r>
          </w:p>
        </w:tc>
        <w:tc>
          <w:tcPr>
            <w:tcW w:type="dxa" w:w="1742"/>
            <w:vAlign w:val="center"/>
            <w:tcMar>
              <w:top w:w="55" w:type="dxa"/>
              <w:start w:w="65" w:type="dxa"/>
              <w:bottom w:w="55" w:type="dxa"/>
              <w:end w:w="65" w:type="dxa"/>
            </w:tcMar>
          </w:tcPr>
          <w:p>
            <w:pPr>
              <w:spacing w:after="0"/>
            </w:pPr>
            <w:r>
              <w:rPr>
                <w:sz w:val="14"/>
              </w:rPr>
              <w:t>WB3</w:t>
            </w:r>
          </w:p>
        </w:tc>
        <w:tc>
          <w:tcPr>
            <w:tcW w:type="dxa" w:w="1742"/>
            <w:vAlign w:val="center"/>
            <w:tcMar>
              <w:top w:w="55" w:type="dxa"/>
              <w:start w:w="65" w:type="dxa"/>
              <w:bottom w:w="55" w:type="dxa"/>
              <w:end w:w="65" w:type="dxa"/>
            </w:tcMar>
          </w:tcPr>
          <w:p>
            <w:pPr>
              <w:spacing w:after="0"/>
            </w:pPr>
            <w:r>
              <w:rPr>
                <w:sz w:val="14"/>
              </w:rPr>
              <w:t>COMPETENCE-REENTRY</w:t>
            </w:r>
          </w:p>
        </w:tc>
        <w:tc>
          <w:tcPr>
            <w:tcW w:type="dxa" w:w="1742"/>
            <w:vAlign w:val="center"/>
            <w:tcMar>
              <w:top w:w="55" w:type="dxa"/>
              <w:start w:w="65" w:type="dxa"/>
              <w:bottom w:w="55" w:type="dxa"/>
              <w:end w:w="65" w:type="dxa"/>
            </w:tcMar>
          </w:tcPr>
          <w:p>
            <w:pPr>
              <w:spacing w:after="0"/>
            </w:pPr>
            <w:r>
              <w:rPr>
                <w:sz w:val="14"/>
              </w:rPr>
              <w:t>NASW 1.04</w:t>
            </w:r>
          </w:p>
        </w:tc>
      </w:tr>
      <w:tr>
        <w:trPr>
          <w:cantSplit/>
        </w:trPr>
        <w:tc>
          <w:tcPr>
            <w:tcW w:type="dxa" w:w="1742"/>
            <w:vAlign w:val="center"/>
            <w:tcMar>
              <w:top w:w="55" w:type="dxa"/>
              <w:start w:w="65" w:type="dxa"/>
              <w:bottom w:w="55" w:type="dxa"/>
              <w:end w:w="65" w:type="dxa"/>
            </w:tcMar>
            <w:shd w:fill="F2F4F7"/>
          </w:tcPr>
          <w:p>
            <w:pPr>
              <w:spacing w:after="0"/>
            </w:pPr>
            <w:r>
              <w:rPr>
                <w:sz w:val="14"/>
              </w:rPr>
              <w:t>50</w:t>
            </w:r>
          </w:p>
        </w:tc>
        <w:tc>
          <w:tcPr>
            <w:tcW w:type="dxa" w:w="1742"/>
            <w:vAlign w:val="center"/>
            <w:tcMar>
              <w:top w:w="55" w:type="dxa"/>
              <w:start w:w="65" w:type="dxa"/>
              <w:bottom w:w="55" w:type="dxa"/>
              <w:end w:w="65" w:type="dxa"/>
            </w:tcMar>
            <w:shd w:fill="F2F4F7"/>
          </w:tcPr>
          <w:p>
            <w:pPr>
              <w:spacing w:after="0"/>
            </w:pPr>
            <w:r>
              <w:rPr>
                <w:sz w:val="14"/>
              </w:rPr>
              <w:t>Safe return-to-practice plan after impairment leave</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WB4</w:t>
            </w:r>
          </w:p>
        </w:tc>
        <w:tc>
          <w:tcPr>
            <w:tcW w:type="dxa" w:w="1742"/>
            <w:vAlign w:val="center"/>
            <w:tcMar>
              <w:top w:w="55" w:type="dxa"/>
              <w:start w:w="65" w:type="dxa"/>
              <w:bottom w:w="55" w:type="dxa"/>
              <w:end w:w="65" w:type="dxa"/>
            </w:tcMar>
            <w:shd w:fill="F2F4F7"/>
          </w:tcPr>
          <w:p>
            <w:pPr>
              <w:spacing w:after="0"/>
            </w:pPr>
            <w:r>
              <w:rPr>
                <w:sz w:val="14"/>
              </w:rPr>
              <w:t>RETURN-TO-PRACTICE</w:t>
            </w:r>
          </w:p>
        </w:tc>
        <w:tc>
          <w:tcPr>
            <w:tcW w:type="dxa" w:w="1742"/>
            <w:vAlign w:val="center"/>
            <w:tcMar>
              <w:top w:w="55" w:type="dxa"/>
              <w:start w:w="65" w:type="dxa"/>
              <w:bottom w:w="55" w:type="dxa"/>
              <w:end w:w="65" w:type="dxa"/>
            </w:tcMar>
            <w:shd w:fill="F2F4F7"/>
          </w:tcPr>
          <w:p>
            <w:pPr>
              <w:spacing w:after="0"/>
            </w:pPr>
            <w:r>
              <w:rPr>
                <w:sz w:val="14"/>
              </w:rPr>
              <w:t>NASW self-care language, 4.05; California BPC 4992.3</w:t>
            </w:r>
          </w:p>
        </w:tc>
      </w:tr>
    </w:tbl>
    <w:p>
      <w:pPr>
        <w:pStyle w:val="Heading1"/>
      </w:pPr>
      <w:r>
        <w:t>Official Source-Control Register</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5227"/>
            <w:shd w:fill="17365D"/>
            <w:tcMar>
              <w:top w:w="55" w:type="dxa"/>
              <w:start w:w="65" w:type="dxa"/>
              <w:bottom w:w="55" w:type="dxa"/>
              <w:end w:w="65" w:type="dxa"/>
            </w:tcMar>
            <w:vAlign w:val="center"/>
          </w:tcPr>
          <w:p>
            <w:pPr>
              <w:spacing w:after="0"/>
            </w:pPr>
            <w:r>
              <w:rPr>
                <w:sz w:val="16"/>
              </w:rPr>
            </w:r>
            <w:r>
              <w:rPr>
                <w:b/>
                <w:color w:val="FFFFFF"/>
                <w:sz w:val="16"/>
              </w:rPr>
              <w:t>Code</w:t>
            </w:r>
          </w:p>
        </w:tc>
        <w:tc>
          <w:tcPr>
            <w:tcW w:type="dxa" w:w="5227"/>
            <w:shd w:fill="17365D"/>
            <w:tcMar>
              <w:top w:w="55" w:type="dxa"/>
              <w:start w:w="65" w:type="dxa"/>
              <w:bottom w:w="55" w:type="dxa"/>
              <w:end w:w="65" w:type="dxa"/>
            </w:tcMar>
            <w:vAlign w:val="center"/>
          </w:tcPr>
          <w:p>
            <w:pPr>
              <w:spacing w:after="0"/>
            </w:pPr>
            <w:r>
              <w:rPr>
                <w:sz w:val="16"/>
              </w:rPr>
            </w:r>
            <w:r>
              <w:rPr>
                <w:b/>
                <w:color w:val="FFFFFF"/>
                <w:sz w:val="16"/>
              </w:rPr>
              <w:t>Controlling source family</w:t>
            </w:r>
          </w:p>
        </w:tc>
      </w:tr>
      <w:tr>
        <w:trPr>
          <w:cantSplit/>
        </w:trPr>
        <w:tc>
          <w:tcPr>
            <w:tcW w:type="dxa" w:w="5227"/>
            <w:vAlign w:val="center"/>
            <w:tcMar>
              <w:top w:w="55" w:type="dxa"/>
              <w:start w:w="65" w:type="dxa"/>
              <w:bottom w:w="55" w:type="dxa"/>
              <w:end w:w="65" w:type="dxa"/>
            </w:tcMar>
          </w:tcPr>
          <w:p>
            <w:pPr>
              <w:spacing w:after="0"/>
            </w:pPr>
            <w:r>
              <w:rPr>
                <w:sz w:val="16"/>
              </w:rPr>
              <w:t>BBS-LAWS-2026</w:t>
            </w:r>
          </w:p>
        </w:tc>
        <w:tc>
          <w:tcPr>
            <w:tcW w:type="dxa" w:w="5227"/>
            <w:vAlign w:val="center"/>
            <w:tcMar>
              <w:top w:w="55" w:type="dxa"/>
              <w:start w:w="65" w:type="dxa"/>
              <w:bottom w:w="55" w:type="dxa"/>
              <w:end w:w="65" w:type="dxa"/>
            </w:tcMar>
          </w:tcPr>
          <w:p>
            <w:pPr>
              <w:spacing w:after="0"/>
            </w:pPr>
            <w:r>
              <w:rPr>
                <w:sz w:val="16"/>
              </w:rPr>
              <w:t>California Board of Behavioral Sciences, Statutes and Regulations relating to clinical social work, issued January 2026; later effective and post-January changes require separate Law Changes review.</w:t>
            </w:r>
          </w:p>
        </w:tc>
      </w:tr>
      <w:tr>
        <w:trPr>
          <w:cantSplit/>
        </w:trPr>
        <w:tc>
          <w:tcPr>
            <w:tcW w:type="dxa" w:w="5227"/>
            <w:vAlign w:val="center"/>
            <w:tcMar>
              <w:top w:w="55" w:type="dxa"/>
              <w:start w:w="65" w:type="dxa"/>
              <w:bottom w:w="55" w:type="dxa"/>
              <w:end w:w="65" w:type="dxa"/>
            </w:tcMar>
            <w:shd w:fill="F2F4F7"/>
          </w:tcPr>
          <w:p>
            <w:pPr>
              <w:spacing w:after="0"/>
            </w:pPr>
            <w:r>
              <w:rPr>
                <w:sz w:val="16"/>
              </w:rPr>
              <w:t>BBS-TELEHEALTH</w:t>
            </w:r>
          </w:p>
        </w:tc>
        <w:tc>
          <w:tcPr>
            <w:tcW w:type="dxa" w:w="5227"/>
            <w:vAlign w:val="center"/>
            <w:tcMar>
              <w:top w:w="55" w:type="dxa"/>
              <w:start w:w="65" w:type="dxa"/>
              <w:bottom w:w="55" w:type="dxa"/>
              <w:end w:w="65" w:type="dxa"/>
            </w:tcMar>
            <w:shd w:fill="F2F4F7"/>
          </w:tcPr>
          <w:p>
            <w:pPr>
              <w:spacing w:after="0"/>
            </w:pPr>
            <w:r>
              <w:rPr>
                <w:sz w:val="16"/>
              </w:rPr>
              <w:t>Title 16 California Code of Regulations section 1815.5, effective January 1, 2026, and Business and Professions Code section 2290.5.</w:t>
            </w:r>
          </w:p>
        </w:tc>
      </w:tr>
      <w:tr>
        <w:trPr>
          <w:cantSplit/>
        </w:trPr>
        <w:tc>
          <w:tcPr>
            <w:tcW w:type="dxa" w:w="5227"/>
            <w:vAlign w:val="center"/>
            <w:tcMar>
              <w:top w:w="55" w:type="dxa"/>
              <w:start w:w="65" w:type="dxa"/>
              <w:bottom w:w="55" w:type="dxa"/>
              <w:end w:w="65" w:type="dxa"/>
            </w:tcMar>
          </w:tcPr>
          <w:p>
            <w:pPr>
              <w:spacing w:after="0"/>
            </w:pPr>
            <w:r>
              <w:rPr>
                <w:sz w:val="16"/>
              </w:rPr>
              <w:t>BBS-ADVERTISING</w:t>
            </w:r>
          </w:p>
        </w:tc>
        <w:tc>
          <w:tcPr>
            <w:tcW w:type="dxa" w:w="5227"/>
            <w:vAlign w:val="center"/>
            <w:tcMar>
              <w:top w:w="55" w:type="dxa"/>
              <w:start w:w="65" w:type="dxa"/>
              <w:bottom w:w="55" w:type="dxa"/>
              <w:end w:w="65" w:type="dxa"/>
            </w:tcMar>
          </w:tcPr>
          <w:p>
            <w:pPr>
              <w:spacing w:after="0"/>
            </w:pPr>
            <w:r>
              <w:rPr>
                <w:sz w:val="16"/>
              </w:rPr>
              <w:t>Title 16 California Code of Regulations section 1811 operative April 1, 2026, plus applicable Clinical Social Worker Practice Act title and status provisions.</w:t>
            </w:r>
          </w:p>
        </w:tc>
      </w:tr>
      <w:tr>
        <w:trPr>
          <w:cantSplit/>
        </w:trPr>
        <w:tc>
          <w:tcPr>
            <w:tcW w:type="dxa" w:w="5227"/>
            <w:vAlign w:val="center"/>
            <w:tcMar>
              <w:top w:w="55" w:type="dxa"/>
              <w:start w:w="65" w:type="dxa"/>
              <w:bottom w:w="55" w:type="dxa"/>
              <w:end w:w="65" w:type="dxa"/>
            </w:tcMar>
            <w:shd w:fill="F2F4F7"/>
          </w:tcPr>
          <w:p>
            <w:pPr>
              <w:spacing w:after="0"/>
            </w:pPr>
            <w:r>
              <w:rPr>
                <w:sz w:val="16"/>
              </w:rPr>
              <w:t>CA-MINOR</w:t>
            </w:r>
          </w:p>
        </w:tc>
        <w:tc>
          <w:tcPr>
            <w:tcW w:type="dxa" w:w="5227"/>
            <w:vAlign w:val="center"/>
            <w:tcMar>
              <w:top w:w="55" w:type="dxa"/>
              <w:start w:w="65" w:type="dxa"/>
              <w:bottom w:w="55" w:type="dxa"/>
              <w:end w:w="65" w:type="dxa"/>
            </w:tcMar>
            <w:shd w:fill="F2F4F7"/>
          </w:tcPr>
          <w:p>
            <w:pPr>
              <w:spacing w:after="0"/>
            </w:pPr>
            <w:r>
              <w:rPr>
                <w:sz w:val="16"/>
              </w:rPr>
              <w:t>California Family Code section 6924 and related consent, confidentiality, and parent-involvement authority.</w:t>
            </w:r>
          </w:p>
        </w:tc>
      </w:tr>
      <w:tr>
        <w:trPr>
          <w:cantSplit/>
        </w:trPr>
        <w:tc>
          <w:tcPr>
            <w:tcW w:type="dxa" w:w="5227"/>
            <w:vAlign w:val="center"/>
            <w:tcMar>
              <w:top w:w="55" w:type="dxa"/>
              <w:start w:w="65" w:type="dxa"/>
              <w:bottom w:w="55" w:type="dxa"/>
              <w:end w:w="65" w:type="dxa"/>
            </w:tcMar>
          </w:tcPr>
          <w:p>
            <w:pPr>
              <w:spacing w:after="0"/>
            </w:pPr>
            <w:r>
              <w:rPr>
                <w:sz w:val="16"/>
              </w:rPr>
              <w:t>CA-MANDATED</w:t>
            </w:r>
          </w:p>
        </w:tc>
        <w:tc>
          <w:tcPr>
            <w:tcW w:type="dxa" w:w="5227"/>
            <w:vAlign w:val="center"/>
            <w:tcMar>
              <w:top w:w="55" w:type="dxa"/>
              <w:start w:w="65" w:type="dxa"/>
              <w:bottom w:w="55" w:type="dxa"/>
              <w:end w:w="65" w:type="dxa"/>
            </w:tcMar>
          </w:tcPr>
          <w:p>
            <w:pPr>
              <w:spacing w:after="0"/>
            </w:pPr>
            <w:r>
              <w:rPr>
                <w:sz w:val="16"/>
              </w:rPr>
              <w:t>California Penal Code section 11166; Welfare and Institutions Code section 15630; Civil Code section 43.92; and other fact-specific exceptions.</w:t>
            </w:r>
          </w:p>
        </w:tc>
      </w:tr>
      <w:tr>
        <w:trPr>
          <w:cantSplit/>
        </w:trPr>
        <w:tc>
          <w:tcPr>
            <w:tcW w:type="dxa" w:w="5227"/>
            <w:vAlign w:val="center"/>
            <w:tcMar>
              <w:top w:w="55" w:type="dxa"/>
              <w:start w:w="65" w:type="dxa"/>
              <w:bottom w:w="55" w:type="dxa"/>
              <w:end w:w="65" w:type="dxa"/>
            </w:tcMar>
            <w:shd w:fill="F2F4F7"/>
          </w:tcPr>
          <w:p>
            <w:pPr>
              <w:spacing w:after="0"/>
            </w:pPr>
            <w:r>
              <w:rPr>
                <w:sz w:val="16"/>
              </w:rPr>
              <w:t>CA-PRIVACY</w:t>
            </w:r>
          </w:p>
        </w:tc>
        <w:tc>
          <w:tcPr>
            <w:tcW w:type="dxa" w:w="5227"/>
            <w:vAlign w:val="center"/>
            <w:tcMar>
              <w:top w:w="55" w:type="dxa"/>
              <w:start w:w="65" w:type="dxa"/>
              <w:bottom w:w="55" w:type="dxa"/>
              <w:end w:w="65" w:type="dxa"/>
            </w:tcMar>
            <w:shd w:fill="F2F4F7"/>
          </w:tcPr>
          <w:p>
            <w:pPr>
              <w:spacing w:after="0"/>
            </w:pPr>
            <w:r>
              <w:rPr>
                <w:sz w:val="16"/>
              </w:rPr>
              <w:t>California confidentiality, privilege, authorization, record-access, CMIA, court-process, and record-retention authority applicable to the specific facts.</w:t>
            </w:r>
          </w:p>
        </w:tc>
      </w:tr>
      <w:tr>
        <w:trPr>
          <w:cantSplit/>
        </w:trPr>
        <w:tc>
          <w:tcPr>
            <w:tcW w:type="dxa" w:w="5227"/>
            <w:vAlign w:val="center"/>
            <w:tcMar>
              <w:top w:w="55" w:type="dxa"/>
              <w:start w:w="65" w:type="dxa"/>
              <w:bottom w:w="55" w:type="dxa"/>
              <w:end w:w="65" w:type="dxa"/>
            </w:tcMar>
          </w:tcPr>
          <w:p>
            <w:pPr>
              <w:spacing w:after="0"/>
            </w:pPr>
            <w:r>
              <w:rPr>
                <w:sz w:val="16"/>
              </w:rPr>
              <w:t>NASW-2021</w:t>
            </w:r>
          </w:p>
        </w:tc>
        <w:tc>
          <w:tcPr>
            <w:tcW w:type="dxa" w:w="5227"/>
            <w:vAlign w:val="center"/>
            <w:tcMar>
              <w:top w:w="55" w:type="dxa"/>
              <w:start w:w="65" w:type="dxa"/>
              <w:bottom w:w="55" w:type="dxa"/>
              <w:end w:w="65" w:type="dxa"/>
            </w:tcMar>
          </w:tcPr>
          <w:p>
            <w:pPr>
              <w:spacing w:after="0"/>
            </w:pPr>
            <w:r>
              <w:rPr>
                <w:sz w:val="16"/>
              </w:rPr>
              <w:t>NASW Code of Ethics, including the 2021 revisions addressing self-care and cultural competence.</w:t>
            </w:r>
          </w:p>
        </w:tc>
      </w:tr>
    </w:tbl>
    <w:p>
      <w:pPr>
        <w:pStyle w:val="Heading1"/>
      </w:pPr>
      <w:r>
        <w:t>Controlled Release and Synchronization Rules</w:t>
      </w:r>
    </w:p>
    <w:p>
      <w:pPr>
        <w:pStyle w:val="ListBullet"/>
      </w:pPr>
      <w:r>
        <w:t>Keep this file separate from the answer-hidden candidate booklet until the approved post-attempt review point.</w:t>
      </w:r>
    </w:p>
    <w:p>
      <w:pPr>
        <w:pStyle w:val="ListBullet"/>
      </w:pPr>
      <w:r>
        <w:t>Any correction to an item requires synchronized review of the stem, all four options, key, all four rationales, source mapping, remediation route, answer sheet, LMS record, duplicate scan, and version history.</w:t>
      </w:r>
    </w:p>
    <w:p>
      <w:pPr>
        <w:pStyle w:val="ListBullet"/>
      </w:pPr>
      <w:r>
        <w:t>Do not represent CTA items as copied, recalled, psychometrically equivalent to, or officially endorsed versions of the California licensing examination.</w:t>
      </w:r>
    </w:p>
    <w:p>
      <w:pPr>
        <w:pStyle w:val="ListBullet"/>
      </w:pPr>
      <w:r>
        <w:t>Recheck high-change subjects—including telehealth, advertising, supervision, records, privacy, and mandated reporting—before LMS lock and public release.</w:t>
      </w:r>
    </w:p>
    <w:p>
      <w:pPr>
        <w:pStyle w:val="Heading1"/>
      </w:pPr>
      <w:r>
        <w:t>Stage 4B3 Synchronized Rationale Status</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5227"/>
            <w:shd w:fill="17365D"/>
            <w:tcMar>
              <w:top w:w="55" w:type="dxa"/>
              <w:start w:w="65" w:type="dxa"/>
              <w:bottom w:w="55" w:type="dxa"/>
              <w:end w:w="65" w:type="dxa"/>
            </w:tcMar>
            <w:vAlign w:val="center"/>
          </w:tcPr>
          <w:p>
            <w:pPr>
              <w:spacing w:after="0"/>
            </w:pPr>
            <w:r>
              <w:rPr>
                <w:sz w:val="16"/>
              </w:rPr>
            </w:r>
            <w:r>
              <w:rPr>
                <w:b/>
                <w:color w:val="FFFFFF"/>
                <w:sz w:val="16"/>
              </w:rPr>
              <w:t>Control</w:t>
            </w:r>
          </w:p>
        </w:tc>
        <w:tc>
          <w:tcPr>
            <w:tcW w:type="dxa" w:w="5227"/>
            <w:shd w:fill="17365D"/>
            <w:tcMar>
              <w:top w:w="55" w:type="dxa"/>
              <w:start w:w="65" w:type="dxa"/>
              <w:bottom w:w="55" w:type="dxa"/>
              <w:end w:w="65" w:type="dxa"/>
            </w:tcMar>
            <w:vAlign w:val="center"/>
          </w:tcPr>
          <w:p>
            <w:pPr>
              <w:spacing w:after="0"/>
            </w:pPr>
            <w:r>
              <w:rPr>
                <w:sz w:val="16"/>
              </w:rPr>
            </w:r>
            <w:r>
              <w:rPr>
                <w:b/>
                <w:color w:val="FFFFFF"/>
                <w:sz w:val="16"/>
              </w:rPr>
              <w:t>Status</w:t>
            </w:r>
          </w:p>
        </w:tc>
      </w:tr>
      <w:tr>
        <w:trPr>
          <w:cantSplit/>
        </w:trPr>
        <w:tc>
          <w:tcPr>
            <w:tcW w:type="dxa" w:w="5227"/>
            <w:vAlign w:val="center"/>
            <w:tcMar>
              <w:top w:w="55" w:type="dxa"/>
              <w:start w:w="65" w:type="dxa"/>
              <w:bottom w:w="55" w:type="dxa"/>
              <w:end w:w="65" w:type="dxa"/>
            </w:tcMar>
          </w:tcPr>
          <w:p>
            <w:pPr>
              <w:spacing w:after="0"/>
            </w:pPr>
            <w:r>
              <w:rPr>
                <w:sz w:val="16"/>
              </w:rPr>
              <w:t>Question count</w:t>
            </w:r>
          </w:p>
        </w:tc>
        <w:tc>
          <w:tcPr>
            <w:tcW w:type="dxa" w:w="5227"/>
            <w:vAlign w:val="center"/>
            <w:tcMar>
              <w:top w:w="55" w:type="dxa"/>
              <w:start w:w="65" w:type="dxa"/>
              <w:bottom w:w="55" w:type="dxa"/>
              <w:end w:w="65" w:type="dxa"/>
            </w:tcMar>
          </w:tcPr>
          <w:p>
            <w:pPr>
              <w:spacing w:after="0"/>
            </w:pPr>
            <w:r>
              <w:rPr>
                <w:sz w:val="16"/>
              </w:rPr>
              <w:t>50</w:t>
            </w:r>
          </w:p>
        </w:tc>
      </w:tr>
      <w:tr>
        <w:trPr>
          <w:cantSplit/>
        </w:trPr>
        <w:tc>
          <w:tcPr>
            <w:tcW w:type="dxa" w:w="5227"/>
            <w:vAlign w:val="center"/>
            <w:tcMar>
              <w:top w:w="55" w:type="dxa"/>
              <w:start w:w="65" w:type="dxa"/>
              <w:bottom w:w="55" w:type="dxa"/>
              <w:end w:w="65" w:type="dxa"/>
            </w:tcMar>
            <w:shd w:fill="F2F4F7"/>
          </w:tcPr>
          <w:p>
            <w:pPr>
              <w:spacing w:after="0"/>
            </w:pPr>
            <w:r>
              <w:rPr>
                <w:sz w:val="16"/>
              </w:rPr>
              <w:t>Correct-answer key</w:t>
            </w:r>
          </w:p>
        </w:tc>
        <w:tc>
          <w:tcPr>
            <w:tcW w:type="dxa" w:w="5227"/>
            <w:vAlign w:val="center"/>
            <w:tcMar>
              <w:top w:w="55" w:type="dxa"/>
              <w:start w:w="65" w:type="dxa"/>
              <w:bottom w:w="55" w:type="dxa"/>
              <w:end w:w="65" w:type="dxa"/>
            </w:tcMar>
            <w:shd w:fill="F2F4F7"/>
          </w:tcPr>
          <w:p>
            <w:pPr>
              <w:spacing w:after="0"/>
            </w:pPr>
            <w:r>
              <w:rPr>
                <w:sz w:val="16"/>
              </w:rPr>
              <w:t>Complete</w:t>
            </w:r>
          </w:p>
        </w:tc>
      </w:tr>
      <w:tr>
        <w:trPr>
          <w:cantSplit/>
        </w:trPr>
        <w:tc>
          <w:tcPr>
            <w:tcW w:type="dxa" w:w="5227"/>
            <w:vAlign w:val="center"/>
            <w:tcMar>
              <w:top w:w="55" w:type="dxa"/>
              <w:start w:w="65" w:type="dxa"/>
              <w:bottom w:w="55" w:type="dxa"/>
              <w:end w:w="65" w:type="dxa"/>
            </w:tcMar>
          </w:tcPr>
          <w:p>
            <w:pPr>
              <w:spacing w:after="0"/>
            </w:pPr>
            <w:r>
              <w:rPr>
                <w:sz w:val="16"/>
              </w:rPr>
              <w:t>Option-by-option rationales</w:t>
            </w:r>
          </w:p>
        </w:tc>
        <w:tc>
          <w:tcPr>
            <w:tcW w:type="dxa" w:w="5227"/>
            <w:vAlign w:val="center"/>
            <w:tcMar>
              <w:top w:w="55" w:type="dxa"/>
              <w:start w:w="65" w:type="dxa"/>
              <w:bottom w:w="55" w:type="dxa"/>
              <w:end w:w="65" w:type="dxa"/>
            </w:tcMar>
          </w:tcPr>
          <w:p>
            <w:pPr>
              <w:spacing w:after="0"/>
            </w:pPr>
            <w:r>
              <w:rPr>
                <w:sz w:val="16"/>
              </w:rPr>
              <w:t>Complete for all 200 answer choices</w:t>
            </w:r>
          </w:p>
        </w:tc>
      </w:tr>
      <w:tr>
        <w:trPr>
          <w:cantSplit/>
        </w:trPr>
        <w:tc>
          <w:tcPr>
            <w:tcW w:type="dxa" w:w="5227"/>
            <w:vAlign w:val="center"/>
            <w:tcMar>
              <w:top w:w="55" w:type="dxa"/>
              <w:start w:w="65" w:type="dxa"/>
              <w:bottom w:w="55" w:type="dxa"/>
              <w:end w:w="65" w:type="dxa"/>
            </w:tcMar>
            <w:shd w:fill="F2F4F7"/>
          </w:tcPr>
          <w:p>
            <w:pPr>
              <w:spacing w:after="0"/>
            </w:pPr>
            <w:r>
              <w:rPr>
                <w:sz w:val="16"/>
              </w:rPr>
              <w:t>Exam strategies</w:t>
            </w:r>
          </w:p>
        </w:tc>
        <w:tc>
          <w:tcPr>
            <w:tcW w:type="dxa" w:w="5227"/>
            <w:vAlign w:val="center"/>
            <w:tcMar>
              <w:top w:w="55" w:type="dxa"/>
              <w:start w:w="65" w:type="dxa"/>
              <w:bottom w:w="55" w:type="dxa"/>
              <w:end w:w="65" w:type="dxa"/>
            </w:tcMar>
            <w:shd w:fill="F2F4F7"/>
          </w:tcPr>
          <w:p>
            <w:pPr>
              <w:spacing w:after="0"/>
            </w:pPr>
            <w:r>
              <w:rPr>
                <w:sz w:val="16"/>
              </w:rPr>
              <w:t>50 complete</w:t>
            </w:r>
          </w:p>
        </w:tc>
      </w:tr>
      <w:tr>
        <w:trPr>
          <w:cantSplit/>
        </w:trPr>
        <w:tc>
          <w:tcPr>
            <w:tcW w:type="dxa" w:w="5227"/>
            <w:vAlign w:val="center"/>
            <w:tcMar>
              <w:top w:w="55" w:type="dxa"/>
              <w:start w:w="65" w:type="dxa"/>
              <w:bottom w:w="55" w:type="dxa"/>
              <w:end w:w="65" w:type="dxa"/>
            </w:tcMar>
          </w:tcPr>
          <w:p>
            <w:pPr>
              <w:spacing w:after="0"/>
            </w:pPr>
            <w:r>
              <w:rPr>
                <w:sz w:val="16"/>
              </w:rPr>
              <w:t>Remediation routes</w:t>
            </w:r>
          </w:p>
        </w:tc>
        <w:tc>
          <w:tcPr>
            <w:tcW w:type="dxa" w:w="5227"/>
            <w:vAlign w:val="center"/>
            <w:tcMar>
              <w:top w:w="55" w:type="dxa"/>
              <w:start w:w="65" w:type="dxa"/>
              <w:bottom w:w="55" w:type="dxa"/>
              <w:end w:w="65" w:type="dxa"/>
            </w:tcMar>
          </w:tcPr>
          <w:p>
            <w:pPr>
              <w:spacing w:after="0"/>
            </w:pPr>
            <w:r>
              <w:rPr>
                <w:sz w:val="16"/>
              </w:rPr>
              <w:t>50 complete</w:t>
            </w:r>
          </w:p>
        </w:tc>
      </w:tr>
      <w:tr>
        <w:trPr>
          <w:cantSplit/>
        </w:trPr>
        <w:tc>
          <w:tcPr>
            <w:tcW w:type="dxa" w:w="5227"/>
            <w:vAlign w:val="center"/>
            <w:tcMar>
              <w:top w:w="55" w:type="dxa"/>
              <w:start w:w="65" w:type="dxa"/>
              <w:bottom w:w="55" w:type="dxa"/>
              <w:end w:w="65" w:type="dxa"/>
            </w:tcMar>
            <w:shd w:fill="F2F4F7"/>
          </w:tcPr>
          <w:p>
            <w:pPr>
              <w:spacing w:after="0"/>
            </w:pPr>
            <w:r>
              <w:rPr>
                <w:sz w:val="16"/>
              </w:rPr>
              <w:t>Source controls</w:t>
            </w:r>
          </w:p>
        </w:tc>
        <w:tc>
          <w:tcPr>
            <w:tcW w:type="dxa" w:w="5227"/>
            <w:vAlign w:val="center"/>
            <w:tcMar>
              <w:top w:w="55" w:type="dxa"/>
              <w:start w:w="65" w:type="dxa"/>
              <w:bottom w:w="55" w:type="dxa"/>
              <w:end w:w="65" w:type="dxa"/>
            </w:tcMar>
            <w:shd w:fill="F2F4F7"/>
          </w:tcPr>
          <w:p>
            <w:pPr>
              <w:spacing w:after="0"/>
            </w:pPr>
            <w:r>
              <w:rPr>
                <w:sz w:val="16"/>
              </w:rPr>
              <w:t>50 item-level controls plus consolidated register</w:t>
            </w:r>
          </w:p>
        </w:tc>
      </w:tr>
      <w:tr>
        <w:trPr>
          <w:cantSplit/>
        </w:trPr>
        <w:tc>
          <w:tcPr>
            <w:tcW w:type="dxa" w:w="5227"/>
            <w:vAlign w:val="center"/>
            <w:tcMar>
              <w:top w:w="55" w:type="dxa"/>
              <w:start w:w="65" w:type="dxa"/>
              <w:bottom w:w="55" w:type="dxa"/>
              <w:end w:w="65" w:type="dxa"/>
            </w:tcMar>
          </w:tcPr>
          <w:p>
            <w:pPr>
              <w:spacing w:after="0"/>
            </w:pPr>
            <w:r>
              <w:rPr>
                <w:sz w:val="16"/>
              </w:rPr>
              <w:t>Independent legal/ethical review</w:t>
            </w:r>
          </w:p>
        </w:tc>
        <w:tc>
          <w:tcPr>
            <w:tcW w:type="dxa" w:w="5227"/>
            <w:vAlign w:val="center"/>
            <w:tcMar>
              <w:top w:w="55" w:type="dxa"/>
              <w:start w:w="65" w:type="dxa"/>
              <w:bottom w:w="55" w:type="dxa"/>
              <w:end w:w="65" w:type="dxa"/>
            </w:tcMar>
          </w:tcPr>
          <w:p>
            <w:pPr>
              <w:spacing w:after="0"/>
            </w:pPr>
            <w:r>
              <w:t>See Stage 4B3 QA closeout register</w:t>
            </w:r>
          </w:p>
        </w:tc>
      </w:tr>
      <w:tr>
        <w:trPr>
          <w:cantSplit/>
        </w:trPr>
        <w:tc>
          <w:tcPr>
            <w:tcW w:type="dxa" w:w="5227"/>
            <w:vAlign w:val="center"/>
            <w:tcMar>
              <w:top w:w="55" w:type="dxa"/>
              <w:start w:w="65" w:type="dxa"/>
              <w:bottom w:w="55" w:type="dxa"/>
              <w:end w:w="65" w:type="dxa"/>
            </w:tcMar>
            <w:shd w:fill="F2F4F7"/>
          </w:tcPr>
          <w:p>
            <w:pPr>
              <w:spacing w:after="0"/>
            </w:pPr>
            <w:r>
              <w:t>Duplicate and scenario-skeleton audit</w:t>
            </w:r>
          </w:p>
        </w:tc>
        <w:tc>
          <w:tcPr>
            <w:tcW w:type="dxa" w:w="5227"/>
            <w:vAlign w:val="center"/>
            <w:tcMar>
              <w:top w:w="55" w:type="dxa"/>
              <w:start w:w="65" w:type="dxa"/>
              <w:bottom w:w="55" w:type="dxa"/>
              <w:end w:w="65" w:type="dxa"/>
            </w:tcMar>
            <w:shd w:fill="F2F4F7"/>
          </w:tcPr>
          <w:p>
            <w:pPr>
              <w:spacing w:after="0"/>
            </w:pPr>
            <w:r>
              <w:t>See Stage 4B3 QA closeout register</w:t>
            </w:r>
          </w:p>
        </w:tc>
      </w:tr>
      <w:tr>
        <w:trPr>
          <w:cantSplit/>
        </w:trPr>
        <w:tc>
          <w:tcPr>
            <w:tcW w:type="dxa" w:w="5227"/>
            <w:vAlign w:val="center"/>
            <w:tcMar>
              <w:top w:w="55" w:type="dxa"/>
              <w:start w:w="65" w:type="dxa"/>
              <w:bottom w:w="55" w:type="dxa"/>
              <w:end w:w="65" w:type="dxa"/>
            </w:tcMar>
          </w:tcPr>
          <w:p>
            <w:pPr>
              <w:spacing w:after="0"/>
            </w:pPr>
            <w:r>
              <w:rPr>
                <w:sz w:val="16"/>
              </w:rPr>
              <w:t>Learner-view and LMS testing</w:t>
            </w:r>
          </w:p>
        </w:tc>
        <w:tc>
          <w:tcPr>
            <w:tcW w:type="dxa" w:w="5227"/>
            <w:vAlign w:val="center"/>
            <w:tcMar>
              <w:top w:w="55" w:type="dxa"/>
              <w:start w:w="65" w:type="dxa"/>
              <w:bottom w:w="55" w:type="dxa"/>
              <w:end w:w="65" w:type="dxa"/>
            </w:tcMar>
          </w:tcPr>
          <w:p>
            <w:pPr>
              <w:spacing w:after="0"/>
            </w:pPr>
            <w:r>
              <w:t>See Stage 4B3 QA closeout register</w:t>
            </w:r>
          </w:p>
        </w:tc>
      </w:tr>
      <w:tr>
        <w:trPr>
          <w:cantSplit/>
        </w:trPr>
        <w:tc>
          <w:tcPr>
            <w:tcW w:type="dxa" w:w="5227"/>
            <w:vAlign w:val="center"/>
            <w:tcMar>
              <w:top w:w="55" w:type="dxa"/>
              <w:start w:w="65" w:type="dxa"/>
              <w:bottom w:w="55" w:type="dxa"/>
              <w:end w:w="65" w:type="dxa"/>
            </w:tcMar>
            <w:shd w:fill="F2F4F7"/>
          </w:tcPr>
          <w:p>
            <w:pPr>
              <w:spacing w:after="0"/>
            </w:pPr>
            <w:r>
              <w:rPr>
                <w:sz w:val="16"/>
              </w:rPr>
              <w:t>Public release</w:t>
            </w:r>
          </w:p>
        </w:tc>
        <w:tc>
          <w:tcPr>
            <w:tcW w:type="dxa" w:w="5227"/>
            <w:vAlign w:val="center"/>
            <w:tcMar>
              <w:top w:w="55" w:type="dxa"/>
              <w:start w:w="65" w:type="dxa"/>
              <w:bottom w:w="55" w:type="dxa"/>
              <w:end w:w="65" w:type="dxa"/>
            </w:tcMar>
            <w:shd w:fill="F2F4F7"/>
          </w:tcPr>
          <w:p>
            <w:pPr>
              <w:spacing w:after="0"/>
            </w:pPr>
            <w:r>
              <w:rPr>
                <w:sz w:val="16"/>
              </w:rPr>
              <w:t>Blocked</w:t>
            </w:r>
          </w:p>
        </w:tc>
      </w:tr>
      <w:tr>
        <w:trPr>
          <w:cantSplit/>
        </w:trPr>
        <w:tc>
          <w:tcPr>
            <w:tcW w:type="dxa" w:w="5227"/>
            <w:vAlign w:val="center"/>
            <w:tcMar>
              <w:top w:w="55" w:type="dxa"/>
              <w:start w:w="65" w:type="dxa"/>
              <w:bottom w:w="55" w:type="dxa"/>
              <w:end w:w="65" w:type="dxa"/>
            </w:tcMar>
          </w:tcPr>
          <w:p>
            <w:pPr>
              <w:spacing w:after="0"/>
            </w:pPr>
            <w:r>
              <w:rPr>
                <w:sz w:val="16"/>
              </w:rPr>
              <w:t>Next controlled build</w:t>
            </w:r>
          </w:p>
        </w:tc>
        <w:tc>
          <w:tcPr>
            <w:tcW w:type="dxa" w:w="5227"/>
            <w:vAlign w:val="center"/>
            <w:tcMar>
              <w:top w:w="55" w:type="dxa"/>
              <w:start w:w="65" w:type="dxa"/>
              <w:bottom w:w="55" w:type="dxa"/>
              <w:end w:w="65" w:type="dxa"/>
            </w:tcMar>
          </w:tcPr>
          <w:p>
            <w:pPr>
              <w:spacing w:after="0"/>
            </w:pPr>
            <w:r>
              <w:t>Stage 4B3 complete; see the separate QA closeout register and learner performance workbook</w:t>
            </w:r>
          </w:p>
        </w:tc>
      </w:tr>
    </w:tbl>
    <w:sectPr w:rsidR="00FC693F" w:rsidRPr="0006063C" w:rsidSect="00034616">
      <w:headerReference w:type="default" r:id="rId9"/>
      <w:footerReference w:type="default" r:id="rId10"/>
      <w:pgSz w:w="12240" w:h="15840"/>
      <w:pgMar w:top="749"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CTA-EP-002 | Practice Examination A Rationales | POST-ATTEMPT CONTROLLED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AA6A6"/>
      </w:pBdr>
    </w:pPr>
    <w:r>
      <w:drawing>
        <wp:inline xmlns:a="http://schemas.openxmlformats.org/drawingml/2006/main" xmlns:pic="http://schemas.openxmlformats.org/drawingml/2006/picture">
          <wp:extent cx="1828800" cy="1257905"/>
          <wp:docPr id="1" name="Picture 1" descr="Image: item1.xml"/>
          <wp:cNvGraphicFramePr>
            <a:graphicFrameLocks noChangeAspect="1"/>
          </wp:cNvGraphicFramePr>
          <a:graphic>
            <a:graphicData uri="http://schemas.openxmlformats.org/drawingml/2006/picture">
              <pic:pic>
                <pic:nvPicPr>
                  <pic:cNvPr id="0" name="Primary Horizontal Logo.png"/>
                  <pic:cNvPicPr/>
                </pic:nvPicPr>
                <pic:blipFill>
                  <a:blip r:embed="rId1"/>
                  <a:stretch>
                    <a:fillRect/>
                  </a:stretch>
                </pic:blipFill>
                <pic:spPr>
                  <a:xfrm>
                    <a:off x="0" y="0"/>
                    <a:ext cx="1828800" cy="12579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A6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and Ethics EP Practice Examination A Controlled Answer Key and Detailed Rationales v1.1</dc:title>
  <dc:subject>Protected answer key, option-by-option rationales, exam strategy, source control, and remediation</dc:subject>
  <dc:creator>Clinical Training and Supervision Academy</dc:creator>
  <cp:keywords>CTA-EP-002, LCSW, ASW, California Law and Ethics, Practice Examination A, controlled rationales</cp:keywords>
  <dc:description>generated by python-docx</dc:description>
  <cp:lastModifiedBy/>
  <cp:revision>1</cp:revision>
  <dcterms:created xsi:type="dcterms:W3CDTF">2013-12-23T23:15:00Z</dcterms:created>
  <dcterms:modified xsi:type="dcterms:W3CDTF">2013-12-23T23:15:00Z</dcterms:modified>
  <cp:category/>
</cp:coreProperties>
</file>