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A6A6"/>
          <w:sz w:val="23"/>
        </w:rPr>
        <w:t>CALIFORNIA LAW &amp; ETHICS EXAM PREPARATION</w:t>
      </w:r>
    </w:p>
    <w:p>
      <w:pPr>
        <w:jc w:val="center"/>
      </w:pPr>
      <w:r>
        <w:rPr>
          <w:b/>
          <w:color w:val="17365D"/>
          <w:sz w:val="42"/>
        </w:rPr>
        <w:t>Practice Examination B</w:t>
      </w:r>
    </w:p>
    <w:p>
      <w:pPr>
        <w:jc w:val="center"/>
      </w:pPr>
      <w:r>
        <w:rPr>
          <w:b/>
          <w:color w:val="17365D"/>
          <w:sz w:val="32"/>
        </w:rPr>
        <w:t>50-Question Candidate Booklet</w:t>
      </w:r>
    </w:p>
    <w:p>
      <w:pPr>
        <w:jc w:val="center"/>
      </w:pPr>
      <w:r>
        <w:t>CTA-EP-002 | Version 1.3 | August 7, 2026</w:t>
      </w:r>
    </w:p>
    <w:p>
      <w:pPr>
        <w:jc w:val="center"/>
      </w:pPr>
      <w:r>
        <w:rPr>
          <w:i/>
          <w:color w:val="1AA6A6"/>
        </w:rPr>
        <w:t>Teaching Clinicians How to Think.</w:t>
      </w:r>
    </w:p>
    <w:tbl>
      <w:tblPr>
        <w:tblStyle w:val="TableGrid"/>
        <w:tblW w:type="auto" w:w="0"/>
        <w:jc w:val="center"/>
        <w:tblLayout w:type="fixed"/>
        <w:tblLook w:firstColumn="1" w:firstRow="1" w:lastColumn="0" w:lastRow="0" w:noHBand="0" w:noVBand="1" w:val="04A0"/>
      </w:tblPr>
      <w:tblGrid>
        <w:gridCol w:w="10368"/>
      </w:tblGrid>
      <w:tr>
        <w:trPr>
          <w:cantSplit/>
          <w:tblHeader/>
        </w:trPr>
        <w:tc>
          <w:tcPr>
            <w:tcW w:type="dxa" w:w="9504"/>
            <w:shd w:fill="EAF7F7"/>
            <w:tcMar>
              <w:top w:w="55" w:type="dxa"/>
              <w:start w:w="65" w:type="dxa"/>
              <w:bottom w:w="55" w:type="dxa"/>
              <w:end w:w="65" w:type="dxa"/>
            </w:tcMar>
            <w:vAlign w:val="center"/>
          </w:tcPr>
          <w:p>
            <w:pPr>
              <w:spacing w:after="0"/>
            </w:pPr>
            <w:r>
              <w:rPr>
                <w:b/>
                <w:color w:val="17365D"/>
                <w:sz w:val="18"/>
              </w:rPr>
              <w:t>ANSWER-HIDDEN CANDIDATE FORM</w:t>
              <w:br/>
              <w:t>This answer-hidden booklet supersedes v1.0. Five questions were revised during Stage 4C3 duplicate, distinction, domain-alignment, and cumulative QA; all locked form distributions and answer positions remain unchanged.</w:t>
            </w:r>
            <w:r>
              <w:rPr>
                <w:sz w:val="18"/>
              </w:rPr>
            </w:r>
          </w:p>
        </w:tc>
      </w:tr>
    </w:tbl>
    <w:p>
      <w:pPr>
        <w:pStyle w:val="Heading1"/>
      </w:pPr>
      <w:r>
        <w:t>Candidate Instructions</w:t>
      </w:r>
    </w:p>
    <w:p>
      <w:pPr>
        <w:pStyle w:val="ListBullet"/>
      </w:pPr>
      <w:r>
        <w:t>Choose the single BEST answer for each question.</w:t>
      </w:r>
    </w:p>
    <w:p>
      <w:pPr>
        <w:pStyle w:val="ListBullet"/>
      </w:pPr>
      <w:r>
        <w:t>Use the suggested 60-minute timed-study target after completing and remediating Practice Examination A, or complete the form untimed as a transfer diagnostic. This is not an official examination time limit.</w:t>
      </w:r>
    </w:p>
    <w:p>
      <w:pPr>
        <w:pStyle w:val="ListBullet"/>
      </w:pPr>
      <w:r>
        <w:t>Complete the first attempt without workbooks, notes, flashcards, toolkits, Practice A, or the controlled rationale file.</w:t>
      </w:r>
    </w:p>
    <w:p>
      <w:pPr>
        <w:pStyle w:val="ListBullet"/>
      </w:pPr>
      <w:r>
        <w:t>Record one confidence rating for every response: 1 = guess, 2 = low, 3 = moderate, and 4 = high.</w:t>
      </w:r>
    </w:p>
    <w:p>
      <w:pPr>
        <w:pStyle w:val="ListBullet"/>
      </w:pPr>
      <w:r>
        <w:t>Mark Review when you want to revisit an item before ending the attempt.</w:t>
      </w:r>
    </w:p>
    <w:p>
      <w:pPr>
        <w:pStyle w:val="ListBullet"/>
      </w:pPr>
      <w:r>
        <w:t>Preserve the response sheet, start/end times, confidence ratings, and review flags before opening the controlled answer key.</w:t>
      </w:r>
    </w:p>
    <w:p>
      <w:pPr>
        <w:pStyle w:val="ListBullet"/>
      </w:pPr>
      <w:r>
        <w:t>These are original CTA educational questions. They are not copied, recalled, or represented as official licensing-examination items.</w:t>
      </w:r>
    </w:p>
    <w:p>
      <w:pPr>
        <w:pStyle w:val="ListBullet"/>
      </w:pPr>
      <w:r>
        <w:t>CTA is independent and is not affiliated with or endorsed by the California Board of Behavioral Sciences, Pearson VUE, NASW, ASWB, or another licensing or examination organization.</w:t>
      </w:r>
    </w:p>
    <w:p>
      <w:pPr>
        <w:pStyle w:val="Heading1"/>
      </w:pPr>
      <w:r>
        <w:t>First-Attempt Response Sheet</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cantSplit/>
        </w:trPr>
        <w:tc>
          <w:tcPr>
            <w:tcW w:type="dxa" w:w="2074"/>
            <w:shd w:fill="17365D"/>
            <w:tcMar>
              <w:top w:w="55" w:type="dxa"/>
              <w:start w:w="65" w:type="dxa"/>
              <w:bottom w:w="55" w:type="dxa"/>
              <w:end w:w="65" w:type="dxa"/>
            </w:tcMar>
            <w:vAlign w:val="center"/>
          </w:tcPr>
          <w:p>
            <w:pPr>
              <w:spacing w:after="0"/>
            </w:pPr>
            <w:r>
              <w:rPr>
                <w:sz w:val="16"/>
              </w:rPr>
            </w:r>
            <w:r>
              <w:rPr>
                <w:b/>
                <w:color w:val="FFFFFF"/>
                <w:sz w:val="16"/>
              </w:rPr>
              <w:t>Item</w:t>
            </w:r>
          </w:p>
        </w:tc>
        <w:tc>
          <w:tcPr>
            <w:tcW w:type="dxa" w:w="2074"/>
            <w:shd w:fill="17365D"/>
            <w:tcMar>
              <w:top w:w="55" w:type="dxa"/>
              <w:start w:w="65" w:type="dxa"/>
              <w:bottom w:w="55" w:type="dxa"/>
              <w:end w:w="65" w:type="dxa"/>
            </w:tcMar>
            <w:vAlign w:val="center"/>
          </w:tcPr>
          <w:p>
            <w:pPr>
              <w:spacing w:after="0"/>
            </w:pPr>
            <w:r>
              <w:rPr>
                <w:sz w:val="16"/>
              </w:rPr>
            </w:r>
            <w:r>
              <w:rPr>
                <w:b/>
                <w:color w:val="FFFFFF"/>
                <w:sz w:val="16"/>
              </w:rPr>
              <w:t>Answer</w:t>
            </w:r>
          </w:p>
        </w:tc>
        <w:tc>
          <w:tcPr>
            <w:tcW w:type="dxa" w:w="2074"/>
            <w:shd w:fill="17365D"/>
            <w:tcMar>
              <w:top w:w="55" w:type="dxa"/>
              <w:start w:w="65" w:type="dxa"/>
              <w:bottom w:w="55" w:type="dxa"/>
              <w:end w:w="65" w:type="dxa"/>
            </w:tcMar>
            <w:vAlign w:val="center"/>
          </w:tcPr>
          <w:p>
            <w:pPr>
              <w:spacing w:after="0"/>
            </w:pPr>
            <w:r>
              <w:rPr>
                <w:sz w:val="16"/>
              </w:rPr>
            </w:r>
            <w:r>
              <w:rPr>
                <w:b/>
                <w:color w:val="FFFFFF"/>
                <w:sz w:val="16"/>
              </w:rPr>
              <w:t>Confidence 1-4</w:t>
            </w:r>
          </w:p>
        </w:tc>
        <w:tc>
          <w:tcPr>
            <w:tcW w:type="dxa" w:w="2074"/>
            <w:shd w:fill="17365D"/>
            <w:tcMar>
              <w:top w:w="55" w:type="dxa"/>
              <w:start w:w="65" w:type="dxa"/>
              <w:bottom w:w="55" w:type="dxa"/>
              <w:end w:w="65" w:type="dxa"/>
            </w:tcMar>
            <w:vAlign w:val="center"/>
          </w:tcPr>
          <w:p>
            <w:pPr>
              <w:spacing w:after="0"/>
            </w:pPr>
            <w:r>
              <w:rPr>
                <w:sz w:val="16"/>
              </w:rPr>
            </w:r>
            <w:r>
              <w:rPr>
                <w:b/>
                <w:color w:val="FFFFFF"/>
                <w:sz w:val="16"/>
              </w:rPr>
              <w:t>Review</w:t>
            </w:r>
          </w:p>
        </w:tc>
        <w:tc>
          <w:tcPr>
            <w:tcW w:type="dxa" w:w="2074"/>
            <w:shd w:fill="17365D"/>
            <w:tcMar>
              <w:top w:w="55" w:type="dxa"/>
              <w:start w:w="65" w:type="dxa"/>
              <w:bottom w:w="55" w:type="dxa"/>
              <w:end w:w="65" w:type="dxa"/>
            </w:tcMar>
            <w:vAlign w:val="center"/>
          </w:tcPr>
          <w:p>
            <w:pPr>
              <w:spacing w:after="0"/>
            </w:pPr>
            <w:r>
              <w:rPr>
                <w:sz w:val="16"/>
              </w:rPr>
            </w:r>
            <w:r>
              <w:rPr>
                <w:b/>
                <w:color w:val="FFFFFF"/>
                <w:sz w:val="16"/>
              </w:rPr>
              <w:t>Post-review note</w:t>
            </w:r>
          </w:p>
        </w:tc>
      </w:tr>
      <w:tr>
        <w:trPr>
          <w:cantSplit/>
        </w:trPr>
        <w:tc>
          <w:tcPr>
            <w:tcW w:type="dxa" w:w="2074"/>
            <w:vAlign w:val="center"/>
            <w:tcMar>
              <w:top w:w="55" w:type="dxa"/>
              <w:start w:w="65" w:type="dxa"/>
              <w:bottom w:w="55" w:type="dxa"/>
              <w:end w:w="65" w:type="dxa"/>
            </w:tcMar>
          </w:tcPr>
          <w:p>
            <w:pPr>
              <w:spacing w:after="0"/>
              <w:jc w:val="center"/>
            </w:pPr>
            <w:r>
              <w:rPr>
                <w:sz w:val="16"/>
              </w:rPr>
              <w:t>1</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2</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3</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4</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5</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6</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7</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8</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9</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10</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11</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12</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13</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14</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15</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16</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17</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18</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19</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20</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21</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22</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23</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24</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25</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26</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27</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28</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29</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30</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31</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32</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33</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34</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35</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36</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37</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38</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39</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40</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41</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42</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43</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44</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45</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46</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47</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48</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tcPr>
          <w:p>
            <w:pPr>
              <w:spacing w:after="0"/>
              <w:jc w:val="center"/>
            </w:pPr>
            <w:r>
              <w:rPr>
                <w:sz w:val="16"/>
              </w:rPr>
              <w:t>49</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____</w:t>
            </w:r>
          </w:p>
        </w:tc>
        <w:tc>
          <w:tcPr>
            <w:tcW w:type="dxa" w:w="2074"/>
            <w:vAlign w:val="center"/>
            <w:tcMar>
              <w:top w:w="55" w:type="dxa"/>
              <w:start w:w="65" w:type="dxa"/>
              <w:bottom w:w="55" w:type="dxa"/>
              <w:end w:w="65" w:type="dxa"/>
            </w:tcMar>
          </w:tcPr>
          <w:p>
            <w:pPr>
              <w:spacing w:after="0"/>
              <w:jc w:val="center"/>
            </w:pPr>
            <w:r>
              <w:rPr>
                <w:sz w:val="16"/>
              </w:rPr>
              <w:t>☐</w:t>
            </w:r>
          </w:p>
        </w:tc>
        <w:tc>
          <w:tcPr>
            <w:tcW w:type="dxa" w:w="2074"/>
            <w:vAlign w:val="center"/>
            <w:tcMar>
              <w:top w:w="55" w:type="dxa"/>
              <w:start w:w="65" w:type="dxa"/>
              <w:bottom w:w="55" w:type="dxa"/>
              <w:end w:w="65" w:type="dxa"/>
            </w:tcMar>
          </w:tcPr>
          <w:p>
            <w:pPr>
              <w:spacing w:after="0"/>
              <w:jc w:val="left"/>
            </w:pPr>
            <w:r>
              <w:rPr>
                <w:sz w:val="16"/>
              </w:rPr>
              <w:t>________________</w:t>
            </w:r>
          </w:p>
        </w:tc>
      </w:tr>
      <w:tr>
        <w:trPr>
          <w:cantSplit/>
        </w:trPr>
        <w:tc>
          <w:tcPr>
            <w:tcW w:type="dxa" w:w="2074"/>
            <w:vAlign w:val="center"/>
            <w:tcMar>
              <w:top w:w="55" w:type="dxa"/>
              <w:start w:w="65" w:type="dxa"/>
              <w:bottom w:w="55" w:type="dxa"/>
              <w:end w:w="65" w:type="dxa"/>
            </w:tcMar>
            <w:shd w:fill="F2F4F7"/>
          </w:tcPr>
          <w:p>
            <w:pPr>
              <w:spacing w:after="0"/>
              <w:jc w:val="center"/>
            </w:pPr>
            <w:r>
              <w:rPr>
                <w:sz w:val="16"/>
              </w:rPr>
              <w:t>50</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____</w:t>
            </w:r>
          </w:p>
        </w:tc>
        <w:tc>
          <w:tcPr>
            <w:tcW w:type="dxa" w:w="2074"/>
            <w:vAlign w:val="center"/>
            <w:tcMar>
              <w:top w:w="55" w:type="dxa"/>
              <w:start w:w="65" w:type="dxa"/>
              <w:bottom w:w="55" w:type="dxa"/>
              <w:end w:w="65" w:type="dxa"/>
            </w:tcMar>
            <w:shd w:fill="F2F4F7"/>
          </w:tcPr>
          <w:p>
            <w:pPr>
              <w:spacing w:after="0"/>
              <w:jc w:val="center"/>
            </w:pPr>
            <w:r>
              <w:rPr>
                <w:sz w:val="16"/>
              </w:rPr>
              <w:t>☐</w:t>
            </w:r>
          </w:p>
        </w:tc>
        <w:tc>
          <w:tcPr>
            <w:tcW w:type="dxa" w:w="2074"/>
            <w:vAlign w:val="center"/>
            <w:tcMar>
              <w:top w:w="55" w:type="dxa"/>
              <w:start w:w="65" w:type="dxa"/>
              <w:bottom w:w="55" w:type="dxa"/>
              <w:end w:w="65" w:type="dxa"/>
            </w:tcMar>
            <w:shd w:fill="F2F4F7"/>
          </w:tcPr>
          <w:p>
            <w:pPr>
              <w:spacing w:after="0"/>
              <w:jc w:val="left"/>
            </w:pPr>
            <w:r>
              <w:rPr>
                <w:sz w:val="16"/>
              </w:rPr>
              <w:t>________________</w:t>
            </w:r>
          </w:p>
        </w:tc>
      </w:tr>
    </w:tbl>
    <w:p>
      <w:r>
        <w:rPr>
          <w:b/>
        </w:rPr>
        <w:t>Recommended study sequence: Record your end time and preserve this response sheet before reviewing answers or rationales.</w:t>
      </w:r>
      <w:r/>
    </w:p>
    <w:p>
      <w:r>
        <w:br w:type="page"/>
      </w:r>
    </w:p>
    <w:p>
      <w:pPr>
        <w:pStyle w:val="Heading1"/>
      </w:pPr>
      <w:r>
        <w:t>Practice Examination B</w:t>
      </w:r>
    </w:p>
    <w:p>
      <w:r>
        <w:t>Select one answer for every item. Internal domains, source mappings, keys, difficulty labels, item types, and remediation records are intentionally excluded.</w:t>
      </w:r>
    </w:p>
    <w:p>
      <w:pPr>
        <w:keepNext/>
        <w:spacing w:before="140"/>
      </w:pPr>
      <w:r>
        <w:rPr>
          <w:b/>
        </w:rPr>
        <w:t>1. A group practice drafts this website bio: “Jordan Lee, ASW, trauma therapist,” followed by the registration number and employer name. The bio omits the complete registered title and does not state that services are provided under licensed supervision. What change is required before publication after April 1, 2026?</w:t>
      </w:r>
    </w:p>
    <w:p>
      <w:pPr>
        <w:keepNext/>
        <w:ind w:left="317" w:hanging="317"/>
      </w:pPr>
      <w:r>
        <w:rPr>
          <w:b/>
        </w:rPr>
        <w:t xml:space="preserve">A. </w:t>
      </w:r>
      <w:r>
        <w:t>No change is required because the registration number and employer name are already present.</w:t>
      </w:r>
    </w:p>
    <w:p>
      <w:pPr>
        <w:keepNext/>
        <w:ind w:left="317" w:hanging="317"/>
      </w:pPr>
      <w:r>
        <w:rPr>
          <w:b/>
        </w:rPr>
        <w:t xml:space="preserve">B. </w:t>
      </w:r>
      <w:r>
        <w:t>Add the complete title “Registered Associate Clinical Social Worker” and a statement that services are provided under the supervision of a licensed person; “ASW” may remain only when the complete title also appears.</w:t>
      </w:r>
    </w:p>
    <w:p>
      <w:pPr>
        <w:keepNext/>
        <w:ind w:left="317" w:hanging="317"/>
      </w:pPr>
      <w:r>
        <w:rPr>
          <w:b/>
        </w:rPr>
        <w:t xml:space="preserve">C. </w:t>
      </w:r>
      <w:r>
        <w:t>Replace “ASW” with “ACSW” and omit the supervision statement because the employer owns the website.</w:t>
      </w:r>
    </w:p>
    <w:p>
      <w:pPr>
        <w:keepNext/>
        <w:ind w:left="317" w:hanging="317"/>
      </w:pPr>
      <w:r>
        <w:rPr>
          <w:b/>
        </w:rPr>
        <w:t xml:space="preserve">D. </w:t>
      </w:r>
      <w:r>
        <w:t>Add only the supervisor’s license number because the practice, rather than the associate, controls the advertisement.</w:t>
      </w:r>
    </w:p>
    <w:p>
      <w:pPr>
        <w:spacing w:after="160"/>
      </w:pPr>
      <w:r>
        <w:rPr>
          <w:color w:val="4B4B4B"/>
          <w:sz w:val="18"/>
        </w:rPr>
        <w:t>Answer: ______    Confidence: ☐ 1 Guess  ☐ 2 Low  ☐ 3 Moderate  ☐ 4 High    Review: ☐</w:t>
      </w:r>
    </w:p>
    <w:p>
      <w:pPr>
        <w:keepNext/>
        <w:spacing w:before="140"/>
      </w:pPr>
      <w:r>
        <w:rPr>
          <w:b/>
        </w:rPr>
        <w:t>2. An adult client submits a written request to inspect the treatment record, but the signature does not match the signature on file. What should the LCSW do FIRST?</w:t>
      </w:r>
    </w:p>
    <w:p>
      <w:pPr>
        <w:keepNext/>
        <w:ind w:left="317" w:hanging="317"/>
      </w:pPr>
      <w:r>
        <w:rPr>
          <w:b/>
        </w:rPr>
        <w:t xml:space="preserve">A. </w:t>
      </w:r>
      <w:r>
        <w:t>Use a reasonable, nondiscriminatory identity-verification process and then arrange legally required access within the applicable time frame, subject to any valid exception.</w:t>
      </w:r>
    </w:p>
    <w:p>
      <w:pPr>
        <w:keepNext/>
        <w:ind w:left="317" w:hanging="317"/>
      </w:pPr>
      <w:r>
        <w:rPr>
          <w:b/>
        </w:rPr>
        <w:t xml:space="preserve">B. </w:t>
      </w:r>
      <w:r>
        <w:t>Deny the request permanently because any signature difference proves fraud.</w:t>
      </w:r>
    </w:p>
    <w:p>
      <w:pPr>
        <w:keepNext/>
        <w:ind w:left="317" w:hanging="317"/>
      </w:pPr>
      <w:r>
        <w:rPr>
          <w:b/>
        </w:rPr>
        <w:t xml:space="preserve">C. </w:t>
      </w:r>
      <w:r>
        <w:t>Send the complete record to the address in the chart without verifying who made the request.</w:t>
      </w:r>
    </w:p>
    <w:p>
      <w:pPr>
        <w:keepNext/>
        <w:ind w:left="317" w:hanging="317"/>
      </w:pPr>
      <w:r>
        <w:rPr>
          <w:b/>
        </w:rPr>
        <w:t xml:space="preserve">D. </w:t>
      </w:r>
      <w:r>
        <w:t>Require a notarized court order because clients may not inspect psychotherapy records directly.</w:t>
      </w:r>
    </w:p>
    <w:p>
      <w:pPr>
        <w:spacing w:after="160"/>
      </w:pPr>
      <w:r>
        <w:rPr>
          <w:color w:val="4B4B4B"/>
          <w:sz w:val="18"/>
        </w:rPr>
        <w:t>Answer: ______    Confidence: ☐ 1 Guess  ☐ 2 Low  ☐ 3 Moderate  ☐ 4 High    Review: ☐</w:t>
      </w:r>
    </w:p>
    <w:p>
      <w:pPr>
        <w:keepNext/>
        <w:spacing w:before="140"/>
      </w:pPr>
      <w:r>
        <w:rPr>
          <w:b/>
        </w:rPr>
        <w:t>3. A supervisor learns that an ASW has been assigned to administer and interpret a specialized cognitive assessment the ASW has never been trained to use. What should the supervisor do FIRST?</w:t>
      </w:r>
    </w:p>
    <w:p>
      <w:pPr>
        <w:keepNext/>
        <w:ind w:left="317" w:hanging="317"/>
      </w:pPr>
      <w:r>
        <w:rPr>
          <w:b/>
        </w:rPr>
        <w:t xml:space="preserve">A. </w:t>
      </w:r>
      <w:r>
        <w:t>Pause the unsupported assignment and determine whether appropriate training, direct oversight, consultation, or referral can bring the work within the ASW’s competence and lawful role.</w:t>
      </w:r>
    </w:p>
    <w:p>
      <w:pPr>
        <w:keepNext/>
        <w:ind w:left="317" w:hanging="317"/>
      </w:pPr>
      <w:r>
        <w:rPr>
          <w:b/>
        </w:rPr>
        <w:t xml:space="preserve">B. </w:t>
      </w:r>
      <w:r>
        <w:t>Allow the ASW to complete one assessment so the supervisor can evaluate the results afterward.</w:t>
      </w:r>
    </w:p>
    <w:p>
      <w:pPr>
        <w:keepNext/>
        <w:ind w:left="317" w:hanging="317"/>
      </w:pPr>
      <w:r>
        <w:rPr>
          <w:b/>
        </w:rPr>
        <w:t xml:space="preserve">C. </w:t>
      </w:r>
      <w:r>
        <w:t>Have the ASW obtain a client waiver acknowledging limited experience.</w:t>
      </w:r>
    </w:p>
    <w:p>
      <w:pPr>
        <w:keepNext/>
        <w:ind w:left="317" w:hanging="317"/>
      </w:pPr>
      <w:r>
        <w:rPr>
          <w:b/>
        </w:rPr>
        <w:t xml:space="preserve">D. </w:t>
      </w:r>
      <w:r>
        <w:t>Permit the work because the supervisor’s competence automatically extends to the supervisee.</w:t>
      </w:r>
    </w:p>
    <w:p>
      <w:pPr>
        <w:spacing w:after="160"/>
      </w:pPr>
      <w:r>
        <w:rPr>
          <w:color w:val="4B4B4B"/>
          <w:sz w:val="18"/>
        </w:rPr>
        <w:t>Answer: ______    Confidence: ☐ 1 Guess  ☐ 2 Low  ☐ 3 Moderate  ☐ 4 High    Review: ☐</w:t>
      </w:r>
    </w:p>
    <w:p>
      <w:pPr>
        <w:keepNext/>
        <w:spacing w:before="140"/>
      </w:pPr>
      <w:r>
        <w:rPr>
          <w:b/>
        </w:rPr>
        <w:t>4. An LCSW supervisor observes that an ASW smells strongly of alcohol, is slurring words, and has a high-risk client waiting. Which response is BEST?</w:t>
      </w:r>
    </w:p>
    <w:p>
      <w:pPr>
        <w:keepNext/>
        <w:ind w:left="317" w:hanging="317"/>
      </w:pPr>
      <w:r>
        <w:rPr>
          <w:b/>
        </w:rPr>
        <w:t xml:space="preserve">A. </w:t>
      </w:r>
      <w:r>
        <w:t>Allow the ASW to conduct the session while the supervisor watches through a one-way mirror.</w:t>
      </w:r>
    </w:p>
    <w:p>
      <w:pPr>
        <w:keepNext/>
        <w:ind w:left="317" w:hanging="317"/>
      </w:pPr>
      <w:r>
        <w:rPr>
          <w:b/>
        </w:rPr>
        <w:t xml:space="preserve">B. </w:t>
      </w:r>
      <w:r>
        <w:t>Ask the waiting client to decide whether the ASW appears capable of practicing.</w:t>
      </w:r>
    </w:p>
    <w:p>
      <w:pPr>
        <w:keepNext/>
        <w:ind w:left="317" w:hanging="317"/>
      </w:pPr>
      <w:r>
        <w:rPr>
          <w:b/>
        </w:rPr>
        <w:t xml:space="preserve">C. </w:t>
      </w:r>
      <w:r>
        <w:t>Remove the ASW from client care, arrange qualified coverage and immediate safety review, document objective observations, and activate appropriate employment, supervision, and impairment procedures.</w:t>
      </w:r>
    </w:p>
    <w:p>
      <w:pPr>
        <w:keepNext/>
        <w:ind w:left="317" w:hanging="317"/>
      </w:pPr>
      <w:r>
        <w:rPr>
          <w:b/>
        </w:rPr>
        <w:t xml:space="preserve">D. </w:t>
      </w:r>
      <w:r>
        <w:t>Send the ASW home without arranging coverage or documenting the client-safety issue.</w:t>
      </w:r>
    </w:p>
    <w:p>
      <w:pPr>
        <w:spacing w:after="160"/>
      </w:pPr>
      <w:r>
        <w:rPr>
          <w:color w:val="4B4B4B"/>
          <w:sz w:val="18"/>
        </w:rPr>
        <w:t>Answer: ______    Confidence: ☐ 1 Guess  ☐ 2 Low  ☐ 3 Moderate  ☐ 4 High    Review: ☐</w:t>
      </w:r>
    </w:p>
    <w:p>
      <w:pPr>
        <w:keepNext/>
        <w:spacing w:before="140"/>
      </w:pPr>
      <w:r>
        <w:rPr>
          <w:b/>
        </w:rPr>
        <w:t>5. Which statement BEST describes the recurring California Law and Ethics obligations of an ASW who has not yet passed the examination?</w:t>
      </w:r>
    </w:p>
    <w:p>
      <w:pPr>
        <w:keepNext/>
        <w:ind w:left="317" w:hanging="317"/>
      </w:pPr>
      <w:r>
        <w:rPr>
          <w:b/>
        </w:rPr>
        <w:t xml:space="preserve">A. </w:t>
      </w:r>
      <w:r>
        <w:t>The examination is optional until the ASW applies for the clinical examination.</w:t>
      </w:r>
    </w:p>
    <w:p>
      <w:pPr>
        <w:keepNext/>
        <w:ind w:left="317" w:hanging="317"/>
      </w:pPr>
      <w:r>
        <w:rPr>
          <w:b/>
        </w:rPr>
        <w:t xml:space="preserve">B. </w:t>
      </w:r>
      <w:r>
        <w:t>The ASW must pass the examination every year in order to keep the same registration active.</w:t>
      </w:r>
    </w:p>
    <w:p>
      <w:pPr>
        <w:keepNext/>
        <w:ind w:left="317" w:hanging="317"/>
      </w:pPr>
      <w:r>
        <w:rPr>
          <w:b/>
        </w:rPr>
        <w:t xml:space="preserve">C. </w:t>
      </w:r>
      <w:r>
        <w:t>The ASW renews the registration annually, completes the required California law-and-ethics education for the renewal cycle, and attempts the examination as required each cycle until it is passed; passing is required for a subsequent registration.</w:t>
      </w:r>
    </w:p>
    <w:p>
      <w:pPr>
        <w:keepNext/>
        <w:ind w:left="317" w:hanging="317"/>
      </w:pPr>
      <w:r>
        <w:rPr>
          <w:b/>
        </w:rPr>
        <w:t xml:space="preserve">D. </w:t>
      </w:r>
      <w:r>
        <w:t>A supervisor may waive the examination attempt when the ASW has completed enough supervised hours.</w:t>
      </w:r>
    </w:p>
    <w:p>
      <w:pPr>
        <w:spacing w:after="160"/>
      </w:pPr>
      <w:r>
        <w:rPr>
          <w:color w:val="4B4B4B"/>
          <w:sz w:val="18"/>
        </w:rPr>
        <w:t>Answer: ______    Confidence: ☐ 1 Guess  ☐ 2 Low  ☐ 3 Moderate  ☐ 4 High    Review: ☐</w:t>
      </w:r>
    </w:p>
    <w:p>
      <w:pPr>
        <w:keepNext/>
        <w:spacing w:before="140"/>
      </w:pPr>
      <w:r>
        <w:rPr>
          <w:b/>
        </w:rPr>
        <w:t>6. Before beginning an outpatient psychotherapy group, what should the LCSW explain about confidentiality?</w:t>
      </w:r>
    </w:p>
    <w:p>
      <w:pPr>
        <w:keepNext/>
        <w:ind w:left="317" w:hanging="317"/>
      </w:pPr>
      <w:r>
        <w:rPr>
          <w:b/>
        </w:rPr>
        <w:t xml:space="preserve">A. </w:t>
      </w:r>
      <w:r>
        <w:t>Confidentiality is identical to individual therapy because every member becomes a licensed provider.</w:t>
      </w:r>
    </w:p>
    <w:p>
      <w:pPr>
        <w:keepNext/>
        <w:ind w:left="317" w:hanging="317"/>
      </w:pPr>
      <w:r>
        <w:rPr>
          <w:b/>
        </w:rPr>
        <w:t xml:space="preserve">B. </w:t>
      </w:r>
      <w:r>
        <w:t>Members may freely discuss sessions outside the group as long as they omit diagnoses.</w:t>
      </w:r>
    </w:p>
    <w:p>
      <w:pPr>
        <w:keepNext/>
        <w:ind w:left="317" w:hanging="317"/>
      </w:pPr>
      <w:r>
        <w:rPr>
          <w:b/>
        </w:rPr>
        <w:t xml:space="preserve">C. </w:t>
      </w:r>
      <w:r>
        <w:t>A signed group rule creates absolute legal privilege among all members in every later proceeding.</w:t>
      </w:r>
    </w:p>
    <w:p>
      <w:pPr>
        <w:keepNext/>
        <w:ind w:left="317" w:hanging="317"/>
      </w:pPr>
      <w:r>
        <w:rPr>
          <w:b/>
        </w:rPr>
        <w:t xml:space="preserve">D. </w:t>
      </w:r>
      <w:r>
        <w:t>The clinician’s confidentiality duties, applicable legal limits, group expectations, and the fact that the clinician cannot guarantee that other members will keep information confidential.</w:t>
      </w:r>
    </w:p>
    <w:p>
      <w:pPr>
        <w:spacing w:after="160"/>
      </w:pPr>
      <w:r>
        <w:rPr>
          <w:color w:val="4B4B4B"/>
          <w:sz w:val="18"/>
        </w:rPr>
        <w:t>Answer: ______    Confidence: ☐ 1 Guess  ☐ 2 Low  ☐ 3 Moderate  ☐ 4 High    Review: ☐</w:t>
      </w:r>
    </w:p>
    <w:p>
      <w:pPr>
        <w:keepNext/>
        <w:spacing w:before="140"/>
      </w:pPr>
      <w:r>
        <w:rPr>
          <w:b/>
        </w:rPr>
        <w:t>7. An online marketing company offers to list an LCSW at no charge but bills $75 each time a visitor becomes a paying psychotherapy client. What should the LCSW do FIRST?</w:t>
      </w:r>
    </w:p>
    <w:p>
      <w:pPr>
        <w:keepNext/>
        <w:ind w:left="317" w:hanging="317"/>
      </w:pPr>
      <w:r>
        <w:rPr>
          <w:b/>
        </w:rPr>
        <w:t xml:space="preserve">A. </w:t>
      </w:r>
      <w:r>
        <w:t>Accept the arrangement if the fee is disclosed in the client’s informed-consent form.</w:t>
      </w:r>
    </w:p>
    <w:p>
      <w:pPr>
        <w:keepNext/>
        <w:ind w:left="317" w:hanging="317"/>
      </w:pPr>
      <w:r>
        <w:rPr>
          <w:b/>
        </w:rPr>
        <w:t xml:space="preserve">B. </w:t>
      </w:r>
      <w:r>
        <w:t>Accept it because the company receives no clinical information about the referred person.</w:t>
      </w:r>
    </w:p>
    <w:p>
      <w:pPr>
        <w:keepNext/>
        <w:ind w:left="317" w:hanging="317"/>
      </w:pPr>
      <w:r>
        <w:rPr>
          <w:b/>
        </w:rPr>
        <w:t xml:space="preserve">C. </w:t>
      </w:r>
      <w:r>
        <w:t>Accept it if the LCSW donates an equal amount to a client-assistance fund.</w:t>
      </w:r>
    </w:p>
    <w:p>
      <w:pPr>
        <w:keepNext/>
        <w:ind w:left="317" w:hanging="317"/>
      </w:pPr>
      <w:r>
        <w:rPr>
          <w:b/>
        </w:rPr>
        <w:t xml:space="preserve">D. </w:t>
      </w:r>
      <w:r>
        <w:t>Decline compensation tied to a client referral and use only a lawful fixed advertising or professional-service fee that is not contingent on a person becoming a client.</w:t>
      </w:r>
    </w:p>
    <w:p>
      <w:pPr>
        <w:spacing w:after="160"/>
      </w:pPr>
      <w:r>
        <w:rPr>
          <w:color w:val="4B4B4B"/>
          <w:sz w:val="18"/>
        </w:rPr>
        <w:t>Answer: ______    Confidence: ☐ 1 Guess  ☐ 2 Low  ☐ 3 Moderate  ☐ 4 High    Review: ☐</w:t>
      </w:r>
    </w:p>
    <w:p>
      <w:pPr>
        <w:keepNext/>
        <w:spacing w:before="140"/>
      </w:pPr>
      <w:r>
        <w:rPr>
          <w:b/>
        </w:rPr>
        <w:t>8. An adult client asks to bring a sibling into the next session for support. Which response is appropriate?</w:t>
      </w:r>
    </w:p>
    <w:p>
      <w:pPr>
        <w:keepNext/>
        <w:ind w:left="317" w:hanging="317"/>
      </w:pPr>
      <w:r>
        <w:rPr>
          <w:b/>
        </w:rPr>
        <w:t xml:space="preserve">A. </w:t>
      </w:r>
      <w:r>
        <w:t>Refuse because only legal guardians may attend an adult client’s session.</w:t>
      </w:r>
    </w:p>
    <w:p>
      <w:pPr>
        <w:keepNext/>
        <w:ind w:left="317" w:hanging="317"/>
      </w:pPr>
      <w:r>
        <w:rPr>
          <w:b/>
        </w:rPr>
        <w:t xml:space="preserve">B. </w:t>
      </w:r>
      <w:r>
        <w:t>Allow attendance without discussion because the client scheduled the appointment.</w:t>
      </w:r>
    </w:p>
    <w:p>
      <w:pPr>
        <w:keepNext/>
        <w:ind w:left="317" w:hanging="317"/>
      </w:pPr>
      <w:r>
        <w:rPr>
          <w:b/>
        </w:rPr>
        <w:t xml:space="preserve">C. </w:t>
      </w:r>
      <w:r>
        <w:t>Treat the sibling as a second client automatically and create a joint record without explanation.</w:t>
      </w:r>
    </w:p>
    <w:p>
      <w:pPr>
        <w:keepNext/>
        <w:ind w:left="317" w:hanging="317"/>
      </w:pPr>
      <w:r>
        <w:rPr>
          <w:b/>
        </w:rPr>
        <w:t xml:space="preserve">D. </w:t>
      </w:r>
      <w:r>
        <w:t>Discuss the client’s goals, obtain informed authorization, clarify the sibling’s role and confidentiality expectations, and revisit consent if the role changes.</w:t>
      </w:r>
    </w:p>
    <w:p>
      <w:pPr>
        <w:spacing w:after="160"/>
      </w:pPr>
      <w:r>
        <w:rPr>
          <w:color w:val="4B4B4B"/>
          <w:sz w:val="18"/>
        </w:rPr>
        <w:t>Answer: ______    Confidence: ☐ 1 Guess  ☐ 2 Low  ☐ 3 Moderate  ☐ 4 High    Review: ☐</w:t>
      </w:r>
    </w:p>
    <w:p>
      <w:pPr>
        <w:keepNext/>
        <w:spacing w:before="140"/>
      </w:pPr>
      <w:r>
        <w:rPr>
          <w:b/>
        </w:rPr>
        <w:t>9. Which practice is MOST important when initiating family or conjoint services?</w:t>
      </w:r>
    </w:p>
    <w:p>
      <w:pPr>
        <w:keepNext/>
        <w:ind w:left="317" w:hanging="317"/>
      </w:pPr>
      <w:r>
        <w:rPr>
          <w:b/>
        </w:rPr>
        <w:t xml:space="preserve">A. </w:t>
      </w:r>
      <w:r>
        <w:t>Designate the person who pays as the only client in every case.</w:t>
      </w:r>
    </w:p>
    <w:p>
      <w:pPr>
        <w:keepNext/>
        <w:ind w:left="317" w:hanging="317"/>
      </w:pPr>
      <w:r>
        <w:rPr>
          <w:b/>
        </w:rPr>
        <w:t xml:space="preserve">B. </w:t>
      </w:r>
      <w:r>
        <w:t>Promise each participant that every individual statement will remain secret from all other participants.</w:t>
      </w:r>
    </w:p>
    <w:p>
      <w:pPr>
        <w:keepNext/>
        <w:ind w:left="317" w:hanging="317"/>
      </w:pPr>
      <w:r>
        <w:rPr>
          <w:b/>
        </w:rPr>
        <w:t xml:space="preserve">C. </w:t>
      </w:r>
      <w:r>
        <w:t>Clarify who the client or clients are and explain the policies governing confidentiality, individual communications, records, access, and later requests from family members.</w:t>
      </w:r>
    </w:p>
    <w:p>
      <w:pPr>
        <w:keepNext/>
        <w:ind w:left="317" w:hanging="317"/>
      </w:pPr>
      <w:r>
        <w:rPr>
          <w:b/>
        </w:rPr>
        <w:t xml:space="preserve">D. </w:t>
      </w:r>
      <w:r>
        <w:t>Avoid documenting the client identity so the clinician can change it later without discussion.</w:t>
      </w:r>
    </w:p>
    <w:p>
      <w:pPr>
        <w:spacing w:after="160"/>
      </w:pPr>
      <w:r>
        <w:rPr>
          <w:color w:val="4B4B4B"/>
          <w:sz w:val="18"/>
        </w:rPr>
        <w:t>Answer: ______    Confidence: ☐ 1 Guess  ☐ 2 Low  ☐ 3 Moderate  ☐ 4 High    Review: ☐</w:t>
      </w:r>
    </w:p>
    <w:p>
      <w:pPr>
        <w:keepNext/>
        <w:spacing w:before="140"/>
      </w:pPr>
      <w:r>
        <w:rPr>
          <w:b/>
        </w:rPr>
        <w:t>10. A client misses two appointments after losing access to transportation. Which progress-note entry is BEST?</w:t>
      </w:r>
    </w:p>
    <w:p>
      <w:pPr>
        <w:keepNext/>
        <w:ind w:left="317" w:hanging="317"/>
      </w:pPr>
      <w:r>
        <w:rPr>
          <w:b/>
        </w:rPr>
        <w:t xml:space="preserve">A. </w:t>
      </w:r>
      <w:r>
        <w:t>“Client is manipulative and clearly does not value treatment.”</w:t>
      </w:r>
    </w:p>
    <w:p>
      <w:pPr>
        <w:keepNext/>
        <w:ind w:left="317" w:hanging="317"/>
      </w:pPr>
      <w:r>
        <w:rPr>
          <w:b/>
        </w:rPr>
        <w:t xml:space="preserve">B. </w:t>
      </w:r>
      <w:r>
        <w:t>“No-show. Case closed,” without documenting outreach or the known access barrier.</w:t>
      </w:r>
    </w:p>
    <w:p>
      <w:pPr>
        <w:keepNext/>
        <w:ind w:left="317" w:hanging="317"/>
      </w:pPr>
      <w:r>
        <w:rPr>
          <w:b/>
        </w:rPr>
        <w:t xml:space="preserve">C. </w:t>
      </w:r>
      <w:r>
        <w:t>Document the missed contacts, the transportation barrier reported by the client, relevant clinical impact, outreach, options offered, and the follow-up plan without labeling the client as unmotivated.</w:t>
      </w:r>
    </w:p>
    <w:p>
      <w:pPr>
        <w:keepNext/>
        <w:ind w:left="317" w:hanging="317"/>
      </w:pPr>
      <w:r>
        <w:rPr>
          <w:b/>
        </w:rPr>
        <w:t xml:space="preserve">D. </w:t>
      </w:r>
      <w:r>
        <w:t>Delete the appointments from the schedule so the record does not reflect attendance problems.</w:t>
      </w:r>
    </w:p>
    <w:p>
      <w:pPr>
        <w:spacing w:after="160"/>
      </w:pPr>
      <w:r>
        <w:rPr>
          <w:color w:val="4B4B4B"/>
          <w:sz w:val="18"/>
        </w:rPr>
        <w:t>Answer: ______    Confidence: ☐ 1 Guess  ☐ 2 Low  ☐ 3 Moderate  ☐ 4 High    Review: ☐</w:t>
      </w:r>
    </w:p>
    <w:p>
      <w:pPr>
        <w:keepNext/>
        <w:spacing w:before="140"/>
      </w:pPr>
      <w:r>
        <w:rPr>
          <w:b/>
        </w:rPr>
        <w:t>11. An unlicensed person employed to perform limited social-work functions meets a client for the first time. Which disclosure is required before performing those functions?</w:t>
      </w:r>
    </w:p>
    <w:p>
      <w:pPr>
        <w:keepNext/>
        <w:ind w:left="317" w:hanging="317"/>
      </w:pPr>
      <w:r>
        <w:rPr>
          <w:b/>
        </w:rPr>
        <w:t xml:space="preserve">A. </w:t>
      </w:r>
      <w:r>
        <w:t>The person may use “LCSW candidate” if the employer has approved the job title.</w:t>
      </w:r>
    </w:p>
    <w:p>
      <w:pPr>
        <w:keepNext/>
        <w:ind w:left="317" w:hanging="317"/>
      </w:pPr>
      <w:r>
        <w:rPr>
          <w:b/>
        </w:rPr>
        <w:t xml:space="preserve">B. </w:t>
      </w:r>
      <w:r>
        <w:t>The person informs the client that the person is not a licensed clinical social worker and is working under the supervision of an authorized licensed professional.</w:t>
      </w:r>
    </w:p>
    <w:p>
      <w:pPr>
        <w:keepNext/>
        <w:ind w:left="317" w:hanging="317"/>
      </w:pPr>
      <w:r>
        <w:rPr>
          <w:b/>
        </w:rPr>
        <w:t xml:space="preserve">C. </w:t>
      </w:r>
      <w:r>
        <w:t>No disclosure is needed when the client was referred by a government agency.</w:t>
      </w:r>
    </w:p>
    <w:p>
      <w:pPr>
        <w:keepNext/>
        <w:ind w:left="317" w:hanging="317"/>
      </w:pPr>
      <w:r>
        <w:rPr>
          <w:b/>
        </w:rPr>
        <w:t xml:space="preserve">D. </w:t>
      </w:r>
      <w:r>
        <w:t>The person must state only the supervisor’s name; the person’s own unlicensed status is confidential employment information.</w:t>
      </w:r>
    </w:p>
    <w:p>
      <w:pPr>
        <w:spacing w:after="160"/>
      </w:pPr>
      <w:r>
        <w:rPr>
          <w:color w:val="4B4B4B"/>
          <w:sz w:val="18"/>
        </w:rPr>
        <w:t>Answer: ______    Confidence: ☐ 1 Guess  ☐ 2 Low  ☐ 3 Moderate  ☐ 4 High    Review: ☐</w:t>
      </w:r>
    </w:p>
    <w:p>
      <w:pPr>
        <w:keepNext/>
        <w:spacing w:before="140"/>
      </w:pPr>
      <w:r>
        <w:rPr>
          <w:b/>
        </w:rPr>
        <w:t>12. A clinic accepts new-client requests only through an English-only telephone line open weekdays from 9:00 a.m. to 4:00 p.m. A Deaf client who uses relay service and works those hours cannot complete intake, and similar complaints have occurred. What should the LCSW do?</w:t>
      </w:r>
    </w:p>
    <w:p>
      <w:pPr>
        <w:keepNext/>
        <w:ind w:left="317" w:hanging="317"/>
      </w:pPr>
      <w:r>
        <w:rPr>
          <w:b/>
        </w:rPr>
        <w:t xml:space="preserve">A. </w:t>
      </w:r>
      <w:r>
        <w:t>Require the client to use the same telephone process because identical rules are always equitable.</w:t>
      </w:r>
    </w:p>
    <w:p>
      <w:pPr>
        <w:keepNext/>
        <w:ind w:left="317" w:hanging="317"/>
      </w:pPr>
      <w:r>
        <w:rPr>
          <w:b/>
        </w:rPr>
        <w:t xml:space="preserve">B. </w:t>
      </w:r>
      <w:r>
        <w:t>Tell the client to have a family member call and answer the intake questions.</w:t>
      </w:r>
    </w:p>
    <w:p>
      <w:pPr>
        <w:keepNext/>
        <w:ind w:left="317" w:hanging="317"/>
      </w:pPr>
      <w:r>
        <w:rPr>
          <w:b/>
        </w:rPr>
        <w:t xml:space="preserve">C. </w:t>
      </w:r>
      <w:r>
        <w:t>Refer the client elsewhere and close the complaint because intake access is an administrative matter.</w:t>
      </w:r>
    </w:p>
    <w:p>
      <w:pPr>
        <w:keepNext/>
        <w:ind w:left="317" w:hanging="317"/>
      </w:pPr>
      <w:r>
        <w:rPr>
          <w:b/>
        </w:rPr>
        <w:t xml:space="preserve">D. </w:t>
      </w:r>
      <w:r>
        <w:t>Arrange an effective accessible intake option now, document the recurring barrier, and use leadership or compliance channels to add accessible communication and scheduling methods.</w:t>
      </w:r>
    </w:p>
    <w:p>
      <w:pPr>
        <w:spacing w:after="160"/>
      </w:pPr>
      <w:r>
        <w:rPr>
          <w:color w:val="4B4B4B"/>
          <w:sz w:val="18"/>
        </w:rPr>
        <w:t>Answer: ______    Confidence: ☐ 1 Guess  ☐ 2 Low  ☐ 3 Moderate  ☐ 4 High    Review: ☐</w:t>
      </w:r>
    </w:p>
    <w:p>
      <w:pPr>
        <w:keepNext/>
        <w:spacing w:before="140"/>
      </w:pPr>
      <w:r>
        <w:rPr>
          <w:b/>
        </w:rPr>
        <w:t>13. Which informed-consent element is MOST important before a client enters group psychotherapy?</w:t>
      </w:r>
    </w:p>
    <w:p>
      <w:pPr>
        <w:keepNext/>
        <w:ind w:left="317" w:hanging="317"/>
      </w:pPr>
      <w:r>
        <w:rPr>
          <w:b/>
        </w:rPr>
        <w:t xml:space="preserve">A. </w:t>
      </w:r>
      <w:r>
        <w:t>A promise that no member will ever disclose anything heard in the group.</w:t>
      </w:r>
    </w:p>
    <w:p>
      <w:pPr>
        <w:keepNext/>
        <w:ind w:left="317" w:hanging="317"/>
      </w:pPr>
      <w:r>
        <w:rPr>
          <w:b/>
        </w:rPr>
        <w:t xml:space="preserve">B. </w:t>
      </w:r>
      <w:r>
        <w:t>An agreement that the clinician may change the group purpose without notice.</w:t>
      </w:r>
    </w:p>
    <w:p>
      <w:pPr>
        <w:keepNext/>
        <w:ind w:left="317" w:hanging="317"/>
      </w:pPr>
      <w:r>
        <w:rPr>
          <w:b/>
        </w:rPr>
        <w:t xml:space="preserve">C. </w:t>
      </w:r>
      <w:r>
        <w:t>A waiver stating that the clinician has no responsibility for screening or group safety.</w:t>
      </w:r>
    </w:p>
    <w:p>
      <w:pPr>
        <w:keepNext/>
        <w:ind w:left="317" w:hanging="317"/>
      </w:pPr>
      <w:r>
        <w:rPr>
          <w:b/>
        </w:rPr>
        <w:t xml:space="preserve">D. </w:t>
      </w:r>
      <w:r>
        <w:t>A clear explanation of the group purpose, expected participation, foreseeable risks and benefits, confidentiality limits, member responsibilities, alternatives, and the right to ask questions or withdraw.</w:t>
      </w:r>
    </w:p>
    <w:p>
      <w:pPr>
        <w:spacing w:after="160"/>
      </w:pPr>
      <w:r>
        <w:rPr>
          <w:color w:val="4B4B4B"/>
          <w:sz w:val="18"/>
        </w:rPr>
        <w:t>Answer: ______    Confidence: ☐ 1 Guess  ☐ 2 Low  ☐ 3 Moderate  ☐ 4 High    Review: ☐</w:t>
      </w:r>
    </w:p>
    <w:p>
      <w:pPr>
        <w:keepNext/>
        <w:spacing w:before="140"/>
      </w:pPr>
      <w:r>
        <w:rPr>
          <w:b/>
        </w:rPr>
        <w:t>14. A clinician interprets a client’s limited eye contact as resistance, but the client explains that direct eye contact with authority figures is considered disrespectful in the client’s family. What should the clinician do?</w:t>
      </w:r>
    </w:p>
    <w:p>
      <w:pPr>
        <w:keepNext/>
        <w:ind w:left="317" w:hanging="317"/>
      </w:pPr>
      <w:r>
        <w:rPr>
          <w:b/>
        </w:rPr>
        <w:t xml:space="preserve">A. </w:t>
      </w:r>
      <w:r>
        <w:t>Maintain the resistance formulation because clinical observation is more objective than the client’s explanation.</w:t>
      </w:r>
    </w:p>
    <w:p>
      <w:pPr>
        <w:keepNext/>
        <w:ind w:left="317" w:hanging="317"/>
      </w:pPr>
      <w:r>
        <w:rPr>
          <w:b/>
        </w:rPr>
        <w:t xml:space="preserve">B. </w:t>
      </w:r>
      <w:r>
        <w:t>Reassess the interpretation with the client, consider cultural meaning and the therapeutic context, and avoid treating the behavior as pathology without additional evidence.</w:t>
      </w:r>
    </w:p>
    <w:p>
      <w:pPr>
        <w:keepNext/>
        <w:ind w:left="317" w:hanging="317"/>
      </w:pPr>
      <w:r>
        <w:rPr>
          <w:b/>
        </w:rPr>
        <w:t xml:space="preserve">C. </w:t>
      </w:r>
      <w:r>
        <w:t>Stop asking about culture because cultural discussion makes assessment less neutral.</w:t>
      </w:r>
    </w:p>
    <w:p>
      <w:pPr>
        <w:keepNext/>
        <w:ind w:left="317" w:hanging="317"/>
      </w:pPr>
      <w:r>
        <w:rPr>
          <w:b/>
        </w:rPr>
        <w:t xml:space="preserve">D. </w:t>
      </w:r>
      <w:r>
        <w:t>Require direct eye contact as a treatment goal before exploring the client’s meaning.</w:t>
      </w:r>
    </w:p>
    <w:p>
      <w:pPr>
        <w:spacing w:after="160"/>
      </w:pPr>
      <w:r>
        <w:rPr>
          <w:color w:val="4B4B4B"/>
          <w:sz w:val="18"/>
        </w:rPr>
        <w:t>Answer: ______    Confidence: ☐ 1 Guess  ☐ 2 Low  ☐ 3 Moderate  ☐ 4 High    Review: ☐</w:t>
      </w:r>
    </w:p>
    <w:p>
      <w:pPr>
        <w:keepNext/>
        <w:spacing w:before="140"/>
      </w:pPr>
      <w:r>
        <w:rPr>
          <w:b/>
        </w:rPr>
        <w:t>15. A client who cannot pay the fee offers weekly bookkeeping services to the LCSW in exchange for psychotherapy. Which response is BEST?</w:t>
      </w:r>
    </w:p>
    <w:p>
      <w:pPr>
        <w:keepNext/>
        <w:ind w:left="317" w:hanging="317"/>
      </w:pPr>
      <w:r>
        <w:rPr>
          <w:b/>
        </w:rPr>
        <w:t xml:space="preserve">A. </w:t>
      </w:r>
      <w:r>
        <w:t>Avoid the bartering arrangement because it creates conflict, exploitation, confidentiality, and boundary risks; discuss fair fees, alternatives, and continuity options with the client.</w:t>
      </w:r>
    </w:p>
    <w:p>
      <w:pPr>
        <w:keepNext/>
        <w:ind w:left="317" w:hanging="317"/>
      </w:pPr>
      <w:r>
        <w:rPr>
          <w:b/>
        </w:rPr>
        <w:t xml:space="preserve">B. </w:t>
      </w:r>
      <w:r>
        <w:t>Accept because the exchange has equal market value.</w:t>
      </w:r>
    </w:p>
    <w:p>
      <w:pPr>
        <w:keepNext/>
        <w:ind w:left="317" w:hanging="317"/>
      </w:pPr>
      <w:r>
        <w:rPr>
          <w:b/>
        </w:rPr>
        <w:t xml:space="preserve">C. </w:t>
      </w:r>
      <w:r>
        <w:t>Accept if the client signs a form stating that no conflict can arise.</w:t>
      </w:r>
    </w:p>
    <w:p>
      <w:pPr>
        <w:keepNext/>
        <w:ind w:left="317" w:hanging="317"/>
      </w:pPr>
      <w:r>
        <w:rPr>
          <w:b/>
        </w:rPr>
        <w:t xml:space="preserve">D. </w:t>
      </w:r>
      <w:r>
        <w:t>End treatment immediately without discussing affordable alternatives or clinical consequences.</w:t>
      </w:r>
    </w:p>
    <w:p>
      <w:pPr>
        <w:spacing w:after="160"/>
      </w:pPr>
      <w:r>
        <w:rPr>
          <w:color w:val="4B4B4B"/>
          <w:sz w:val="18"/>
        </w:rPr>
        <w:t>Answer: ______    Confidence: ☐ 1 Guess  ☐ 2 Low  ☐ 3 Moderate  ☐ 4 High    Review: ☐</w:t>
      </w:r>
    </w:p>
    <w:p>
      <w:pPr>
        <w:keepNext/>
        <w:spacing w:before="140"/>
      </w:pPr>
      <w:r>
        <w:rPr>
          <w:b/>
        </w:rPr>
        <w:t>16. A client angrily says, “Someone at that company is going to pay,” but identifies no person, plan, means, or intended act. Which response is BEST?</w:t>
      </w:r>
    </w:p>
    <w:p>
      <w:pPr>
        <w:keepNext/>
        <w:ind w:left="317" w:hanging="317"/>
      </w:pPr>
      <w:r>
        <w:rPr>
          <w:b/>
        </w:rPr>
        <w:t xml:space="preserve">A. </w:t>
      </w:r>
      <w:r>
        <w:t>Notify every employee at the company immediately because any angry statement triggers a duty to warn.</w:t>
      </w:r>
    </w:p>
    <w:p>
      <w:pPr>
        <w:keepNext/>
        <w:ind w:left="317" w:hanging="317"/>
      </w:pPr>
      <w:r>
        <w:rPr>
          <w:b/>
        </w:rPr>
        <w:t xml:space="preserve">B. </w:t>
      </w:r>
      <w:r>
        <w:t>Conduct and document a focused violence-risk assessment, clarify the statement and possible targets, seek consultation as needed, and reassess legal protective duties if a serious threat toward a reasonably identifiable victim emerges.</w:t>
      </w:r>
    </w:p>
    <w:p>
      <w:pPr>
        <w:keepNext/>
        <w:ind w:left="317" w:hanging="317"/>
      </w:pPr>
      <w:r>
        <w:rPr>
          <w:b/>
        </w:rPr>
        <w:t xml:space="preserve">C. </w:t>
      </w:r>
      <w:r>
        <w:t>Ignore the statement because a duty to protect can never arise without a named victim.</w:t>
      </w:r>
    </w:p>
    <w:p>
      <w:pPr>
        <w:keepNext/>
        <w:ind w:left="317" w:hanging="317"/>
      </w:pPr>
      <w:r>
        <w:rPr>
          <w:b/>
        </w:rPr>
        <w:t xml:space="preserve">D. </w:t>
      </w:r>
      <w:r>
        <w:t>Terminate the client immediately so the clinician is no longer responsible for assessing the threat.</w:t>
      </w:r>
    </w:p>
    <w:p>
      <w:pPr>
        <w:spacing w:after="160"/>
      </w:pPr>
      <w:r>
        <w:rPr>
          <w:color w:val="4B4B4B"/>
          <w:sz w:val="18"/>
        </w:rPr>
        <w:t>Answer: ______    Confidence: ☐ 1 Guess  ☐ 2 Low  ☐ 3 Moderate  ☐ 4 High    Review: ☐</w:t>
      </w:r>
    </w:p>
    <w:p>
      <w:pPr>
        <w:keepNext/>
        <w:spacing w:before="140"/>
      </w:pPr>
      <w:r>
        <w:rPr>
          <w:b/>
        </w:rPr>
        <w:t>17. A client has stopped paying an overdue balance. Under which conditions may a fee-for-service LCSW ethically consider termination for nonpayment?</w:t>
      </w:r>
    </w:p>
    <w:p>
      <w:pPr>
        <w:keepNext/>
        <w:ind w:left="317" w:hanging="317"/>
      </w:pPr>
      <w:r>
        <w:rPr>
          <w:b/>
        </w:rPr>
        <w:t xml:space="preserve">A. </w:t>
      </w:r>
      <w:r>
        <w:t>Whenever the balance is seven days overdue, regardless of risk or continuity.</w:t>
      </w:r>
    </w:p>
    <w:p>
      <w:pPr>
        <w:keepNext/>
        <w:ind w:left="317" w:hanging="317"/>
      </w:pPr>
      <w:r>
        <w:rPr>
          <w:b/>
        </w:rPr>
        <w:t xml:space="preserve">B. </w:t>
      </w:r>
      <w:r>
        <w:t>Only after the LCSW publicly posts the unpaid balance to encourage payment.</w:t>
      </w:r>
    </w:p>
    <w:p>
      <w:pPr>
        <w:keepNext/>
        <w:ind w:left="317" w:hanging="317"/>
      </w:pPr>
      <w:r>
        <w:rPr>
          <w:b/>
        </w:rPr>
        <w:t xml:space="preserve">C. </w:t>
      </w:r>
      <w:r>
        <w:t>The financial arrangement was clear, the client does not pose imminent danger, the clinical and practical consequences have been discussed, and reasonable notice and continuity options are provided.</w:t>
      </w:r>
    </w:p>
    <w:p>
      <w:pPr>
        <w:keepNext/>
        <w:ind w:left="317" w:hanging="317"/>
      </w:pPr>
      <w:r>
        <w:rPr>
          <w:b/>
        </w:rPr>
        <w:t xml:space="preserve">D. </w:t>
      </w:r>
      <w:r>
        <w:t>Never; a social worker must provide indefinite services without payment in every circumstance.</w:t>
      </w:r>
    </w:p>
    <w:p>
      <w:pPr>
        <w:spacing w:after="160"/>
      </w:pPr>
      <w:r>
        <w:rPr>
          <w:color w:val="4B4B4B"/>
          <w:sz w:val="18"/>
        </w:rPr>
        <w:t>Answer: ______    Confidence: ☐ 1 Guess  ☐ 2 Low  ☐ 3 Moderate  ☐ 4 High    Review: ☐</w:t>
      </w:r>
    </w:p>
    <w:p>
      <w:pPr>
        <w:keepNext/>
        <w:spacing w:before="140"/>
      </w:pPr>
      <w:r>
        <w:rPr>
          <w:b/>
        </w:rPr>
        <w:t>18. A former psychotherapy client contacts the LCSW 25 months after termination and proposes a sexual relationship. What should the LCSW do FIRST?</w:t>
      </w:r>
    </w:p>
    <w:p>
      <w:pPr>
        <w:keepNext/>
        <w:ind w:left="317" w:hanging="317"/>
      </w:pPr>
      <w:r>
        <w:rPr>
          <w:b/>
        </w:rPr>
        <w:t xml:space="preserve">A. </w:t>
      </w:r>
      <w:r>
        <w:t>Recognize that the two-year California disciplinary prohibition is not an ethical permission point; evaluate enduring power and harm concerns under the NASW standard and decline the relationship when client welfare may be affected.</w:t>
      </w:r>
    </w:p>
    <w:p>
      <w:pPr>
        <w:keepNext/>
        <w:ind w:left="317" w:hanging="317"/>
      </w:pPr>
      <w:r>
        <w:rPr>
          <w:b/>
        </w:rPr>
        <w:t xml:space="preserve">B. </w:t>
      </w:r>
      <w:r>
        <w:t>Accept because the California two-year period has ended and no ethical analysis remains.</w:t>
      </w:r>
    </w:p>
    <w:p>
      <w:pPr>
        <w:keepNext/>
        <w:ind w:left="317" w:hanging="317"/>
      </w:pPr>
      <w:r>
        <w:rPr>
          <w:b/>
        </w:rPr>
        <w:t xml:space="preserve">C. </w:t>
      </w:r>
      <w:r>
        <w:t>Ask the former client to sign a waiver stating that therapy no longer affects the relationship.</w:t>
      </w:r>
    </w:p>
    <w:p>
      <w:pPr>
        <w:keepNext/>
        <w:ind w:left="317" w:hanging="317"/>
      </w:pPr>
      <w:r>
        <w:rPr>
          <w:b/>
        </w:rPr>
        <w:t xml:space="preserve">D. </w:t>
      </w:r>
      <w:r>
        <w:t>Resume one session of therapy and then begin the relationship after a new termination date.</w:t>
      </w:r>
    </w:p>
    <w:p>
      <w:pPr>
        <w:spacing w:after="160"/>
      </w:pPr>
      <w:r>
        <w:rPr>
          <w:color w:val="4B4B4B"/>
          <w:sz w:val="18"/>
        </w:rPr>
        <w:t>Answer: ______    Confidence: ☐ 1 Guess  ☐ 2 Low  ☐ 3 Moderate  ☐ 4 High    Review: ☐</w:t>
      </w:r>
    </w:p>
    <w:p>
      <w:pPr>
        <w:keepNext/>
        <w:spacing w:before="140"/>
      </w:pPr>
      <w:r>
        <w:rPr>
          <w:b/>
        </w:rPr>
        <w:t>19. When initiating telehealth with a California client, what emergency-planning action must the LCSW document?</w:t>
      </w:r>
    </w:p>
    <w:p>
      <w:pPr>
        <w:keepNext/>
        <w:ind w:left="317" w:hanging="317"/>
      </w:pPr>
      <w:r>
        <w:rPr>
          <w:b/>
        </w:rPr>
        <w:t xml:space="preserve">A. </w:t>
      </w:r>
      <w:r>
        <w:t>A guarantee that emergency services will respond within a specified number of minutes.</w:t>
      </w:r>
    </w:p>
    <w:p>
      <w:pPr>
        <w:keepNext/>
        <w:ind w:left="317" w:hanging="317"/>
      </w:pPr>
      <w:r>
        <w:rPr>
          <w:b/>
        </w:rPr>
        <w:t xml:space="preserve">B. </w:t>
      </w:r>
      <w:r>
        <w:t>The client’s agreement that emergency resources will never be contacted.</w:t>
      </w:r>
    </w:p>
    <w:p>
      <w:pPr>
        <w:keepNext/>
        <w:ind w:left="317" w:hanging="317"/>
      </w:pPr>
      <w:r>
        <w:rPr>
          <w:b/>
        </w:rPr>
        <w:t xml:space="preserve">C. </w:t>
      </w:r>
      <w:r>
        <w:t>Reasonable efforts to identify contact information for relevant emergency resources in the client’s geographic area.</w:t>
      </w:r>
    </w:p>
    <w:p>
      <w:pPr>
        <w:keepNext/>
        <w:ind w:left="317" w:hanging="317"/>
      </w:pPr>
      <w:r>
        <w:rPr>
          <w:b/>
        </w:rPr>
        <w:t xml:space="preserve">D. </w:t>
      </w:r>
      <w:r>
        <w:t>A copy of every hospital policy in the county where the clinician is located.</w:t>
      </w:r>
    </w:p>
    <w:p>
      <w:pPr>
        <w:spacing w:after="160"/>
      </w:pPr>
      <w:r>
        <w:rPr>
          <w:color w:val="4B4B4B"/>
          <w:sz w:val="18"/>
        </w:rPr>
        <w:t>Answer: ______    Confidence: ☐ 1 Guess  ☐ 2 Low  ☐ 3 Moderate  ☐ 4 High    Review: ☐</w:t>
      </w:r>
    </w:p>
    <w:p>
      <w:pPr>
        <w:keepNext/>
        <w:spacing w:before="140"/>
      </w:pPr>
      <w:r>
        <w:rPr>
          <w:b/>
        </w:rPr>
        <w:t>20. A client asks the LCSW to conduct detailed clinical exchanges through ordinary unencrypted text messages. What is the appropriate response?</w:t>
      </w:r>
    </w:p>
    <w:p>
      <w:pPr>
        <w:keepNext/>
        <w:ind w:left="317" w:hanging="317"/>
      </w:pPr>
      <w:r>
        <w:rPr>
          <w:b/>
        </w:rPr>
        <w:t xml:space="preserve">A. </w:t>
      </w:r>
      <w:r>
        <w:t>Agree because client preference transfers all privacy responsibility to the client.</w:t>
      </w:r>
    </w:p>
    <w:p>
      <w:pPr>
        <w:keepNext/>
        <w:ind w:left="317" w:hanging="317"/>
      </w:pPr>
      <w:r>
        <w:rPr>
          <w:b/>
        </w:rPr>
        <w:t xml:space="preserve">B. </w:t>
      </w:r>
      <w:r>
        <w:t>Explain the privacy, security, availability, and emergency-response limits; offer safer alternatives; obtain informed agreement consistent with applicable law and policy; and minimize sensitive content.</w:t>
      </w:r>
    </w:p>
    <w:p>
      <w:pPr>
        <w:keepNext/>
        <w:ind w:left="317" w:hanging="317"/>
      </w:pPr>
      <w:r>
        <w:rPr>
          <w:b/>
        </w:rPr>
        <w:t xml:space="preserve">C. </w:t>
      </w:r>
      <w:r>
        <w:t>Send detailed information first and discuss the risks at the next appointment.</w:t>
      </w:r>
    </w:p>
    <w:p>
      <w:pPr>
        <w:keepNext/>
        <w:ind w:left="317" w:hanging="317"/>
      </w:pPr>
      <w:r>
        <w:rPr>
          <w:b/>
        </w:rPr>
        <w:t xml:space="preserve">D. </w:t>
      </w:r>
      <w:r>
        <w:t>Refuse every electronic communication, including scheduling, because ethics prohibits all texting.</w:t>
      </w:r>
    </w:p>
    <w:p>
      <w:pPr>
        <w:spacing w:after="160"/>
      </w:pPr>
      <w:r>
        <w:rPr>
          <w:color w:val="4B4B4B"/>
          <w:sz w:val="18"/>
        </w:rPr>
        <w:t>Answer: ______    Confidence: ☐ 1 Guess  ☐ 2 Low  ☐ 3 Moderate  ☐ 4 High    Review: ☐</w:t>
      </w:r>
    </w:p>
    <w:p>
      <w:pPr>
        <w:keepNext/>
        <w:spacing w:before="140"/>
      </w:pPr>
      <w:r>
        <w:rPr>
          <w:b/>
        </w:rPr>
        <w:t>21. During a telehealth session, an LCSW realizes that a voice-activated smart speaker in the office has been recording and uploading parts of the session to a linked consumer account. Which response is BEST?</w:t>
      </w:r>
    </w:p>
    <w:p>
      <w:pPr>
        <w:keepNext/>
        <w:ind w:left="317" w:hanging="317"/>
      </w:pPr>
      <w:r>
        <w:rPr>
          <w:b/>
        </w:rPr>
        <w:t xml:space="preserve">A. </w:t>
      </w:r>
      <w:r>
        <w:t>Stop and secure the recording function, preserve the known facts, notify appropriate privacy or compliance personnel, assess access and notification duties, document the response, and prevent recurrence.</w:t>
      </w:r>
    </w:p>
    <w:p>
      <w:pPr>
        <w:keepNext/>
        <w:ind w:left="317" w:hanging="317"/>
      </w:pPr>
      <w:r>
        <w:rPr>
          <w:b/>
        </w:rPr>
        <w:t xml:space="preserve">B. </w:t>
      </w:r>
      <w:r>
        <w:t>Continue the session because the client consented to telehealth generally.</w:t>
      </w:r>
    </w:p>
    <w:p>
      <w:pPr>
        <w:keepNext/>
        <w:ind w:left="317" w:hanging="317"/>
      </w:pPr>
      <w:r>
        <w:rPr>
          <w:b/>
        </w:rPr>
        <w:t xml:space="preserve">C. </w:t>
      </w:r>
      <w:r>
        <w:t>Delete the consumer application and omit the event from records if no one confirms listening.</w:t>
      </w:r>
    </w:p>
    <w:p>
      <w:pPr>
        <w:keepNext/>
        <w:ind w:left="317" w:hanging="317"/>
      </w:pPr>
      <w:r>
        <w:rPr>
          <w:b/>
        </w:rPr>
        <w:t xml:space="preserve">D. </w:t>
      </w:r>
      <w:r>
        <w:t>Ask the client to waive any privacy concern so the device may remain active.</w:t>
      </w:r>
    </w:p>
    <w:p>
      <w:pPr>
        <w:spacing w:after="160"/>
      </w:pPr>
      <w:r>
        <w:rPr>
          <w:color w:val="4B4B4B"/>
          <w:sz w:val="18"/>
        </w:rPr>
        <w:t>Answer: ______    Confidence: ☐ 1 Guess  ☐ 2 Low  ☐ 3 Moderate  ☐ 4 High    Review: ☐</w:t>
      </w:r>
    </w:p>
    <w:p>
      <w:pPr>
        <w:keepNext/>
        <w:spacing w:before="140"/>
      </w:pPr>
      <w:r>
        <w:rPr>
          <w:b/>
        </w:rPr>
        <w:t>22. A client reports being denied a community service because of a protected characteristic and asks the LCSW for help. What should the LCSW do FIRST?</w:t>
      </w:r>
    </w:p>
    <w:p>
      <w:pPr>
        <w:keepNext/>
        <w:ind w:left="317" w:hanging="317"/>
      </w:pPr>
      <w:r>
        <w:rPr>
          <w:b/>
        </w:rPr>
        <w:t xml:space="preserve">A. </w:t>
      </w:r>
      <w:r>
        <w:t>File a public complaint in the client’s name without discussing the risks or the client’s preference.</w:t>
      </w:r>
    </w:p>
    <w:p>
      <w:pPr>
        <w:keepNext/>
        <w:ind w:left="317" w:hanging="317"/>
      </w:pPr>
      <w:r>
        <w:rPr>
          <w:b/>
        </w:rPr>
        <w:t xml:space="preserve">B. </w:t>
      </w:r>
      <w:r>
        <w:t>Assess the client’s immediate needs and goals, document the reported facts, explain available advocacy or complaint options, and obtain the client’s direction before sharing identifying information.</w:t>
      </w:r>
    </w:p>
    <w:p>
      <w:pPr>
        <w:keepNext/>
        <w:ind w:left="317" w:hanging="317"/>
      </w:pPr>
      <w:r>
        <w:rPr>
          <w:b/>
        </w:rPr>
        <w:t xml:space="preserve">C. </w:t>
      </w:r>
      <w:r>
        <w:t>Tell the client that discrimination is outside the scope of social work.</w:t>
      </w:r>
    </w:p>
    <w:p>
      <w:pPr>
        <w:keepNext/>
        <w:ind w:left="317" w:hanging="317"/>
      </w:pPr>
      <w:r>
        <w:rPr>
          <w:b/>
        </w:rPr>
        <w:t xml:space="preserve">D. </w:t>
      </w:r>
      <w:r>
        <w:t>Contact the service provider and disclose the full treatment record to prove the client needs assistance.</w:t>
      </w:r>
    </w:p>
    <w:p>
      <w:pPr>
        <w:spacing w:after="160"/>
      </w:pPr>
      <w:r>
        <w:rPr>
          <w:color w:val="4B4B4B"/>
          <w:sz w:val="18"/>
        </w:rPr>
        <w:t>Answer: ______    Confidence: ☐ 1 Guess  ☐ 2 Low  ☐ 3 Moderate  ☐ 4 High    Review: ☐</w:t>
      </w:r>
    </w:p>
    <w:p>
      <w:pPr>
        <w:keepNext/>
        <w:spacing w:before="140"/>
      </w:pPr>
      <w:r>
        <w:rPr>
          <w:b/>
        </w:rPr>
        <w:t>23. During a telehealth session with a minor, the clinician notices that a parent has entered the room and is listening off camera. Which response is BEST?</w:t>
      </w:r>
    </w:p>
    <w:p>
      <w:pPr>
        <w:keepNext/>
        <w:ind w:left="317" w:hanging="317"/>
      </w:pPr>
      <w:r>
        <w:rPr>
          <w:b/>
        </w:rPr>
        <w:t xml:space="preserve">A. </w:t>
      </w:r>
      <w:r>
        <w:t>Pause sensitive discussion, identify who is present, review the consent and confidentiality arrangement, assess privacy and safety, and decide with the minor how to proceed within applicable law.</w:t>
      </w:r>
    </w:p>
    <w:p>
      <w:pPr>
        <w:keepNext/>
        <w:ind w:left="317" w:hanging="317"/>
      </w:pPr>
      <w:r>
        <w:rPr>
          <w:b/>
        </w:rPr>
        <w:t xml:space="preserve">B. </w:t>
      </w:r>
      <w:r>
        <w:t>Continue because a parent may always listen to every minor session without discussion.</w:t>
      </w:r>
    </w:p>
    <w:p>
      <w:pPr>
        <w:keepNext/>
        <w:ind w:left="317" w:hanging="317"/>
      </w:pPr>
      <w:r>
        <w:rPr>
          <w:b/>
        </w:rPr>
        <w:t xml:space="preserve">C. </w:t>
      </w:r>
      <w:r>
        <w:t>End treatment permanently because any interruption makes telehealth unethical.</w:t>
      </w:r>
    </w:p>
    <w:p>
      <w:pPr>
        <w:keepNext/>
        <w:ind w:left="317" w:hanging="317"/>
      </w:pPr>
      <w:r>
        <w:rPr>
          <w:b/>
        </w:rPr>
        <w:t xml:space="preserve">D. </w:t>
      </w:r>
      <w:r>
        <w:t>Ask the minor to conceal the session from the parent at all future appointments.</w:t>
      </w:r>
    </w:p>
    <w:p>
      <w:pPr>
        <w:spacing w:after="160"/>
      </w:pPr>
      <w:r>
        <w:rPr>
          <w:color w:val="4B4B4B"/>
          <w:sz w:val="18"/>
        </w:rPr>
        <w:t>Answer: ______    Confidence: ☐ 1 Guess  ☐ 2 Low  ☐ 3 Moderate  ☐ 4 High    Review: ☐</w:t>
      </w:r>
    </w:p>
    <w:p>
      <w:pPr>
        <w:keepNext/>
        <w:spacing w:before="140"/>
      </w:pPr>
      <w:r>
        <w:rPr>
          <w:b/>
        </w:rPr>
        <w:t>24. Which supervisory arrangement presents the clearest legal barrier to crediting an ASW’s experience?</w:t>
      </w:r>
    </w:p>
    <w:p>
      <w:pPr>
        <w:keepNext/>
        <w:ind w:left="317" w:hanging="317"/>
      </w:pPr>
      <w:r>
        <w:rPr>
          <w:b/>
        </w:rPr>
        <w:t xml:space="preserve">A. </w:t>
      </w:r>
      <w:r>
        <w:t>The supervisor is the ASW’s spouse or relative by blood or marriage, or has a personal, professional, or business relationship that undermines supervisory authority or effectiveness.</w:t>
      </w:r>
    </w:p>
    <w:p>
      <w:pPr>
        <w:keepNext/>
        <w:ind w:left="317" w:hanging="317"/>
      </w:pPr>
      <w:r>
        <w:rPr>
          <w:b/>
        </w:rPr>
        <w:t xml:space="preserve">B. </w:t>
      </w:r>
      <w:r>
        <w:t>The supervisor and ASW work in different departments of the same large organization.</w:t>
      </w:r>
    </w:p>
    <w:p>
      <w:pPr>
        <w:keepNext/>
        <w:ind w:left="317" w:hanging="317"/>
      </w:pPr>
      <w:r>
        <w:rPr>
          <w:b/>
        </w:rPr>
        <w:t xml:space="preserve">C. </w:t>
      </w:r>
      <w:r>
        <w:t>The supervisor uses both individual and group supervision during the same month.</w:t>
      </w:r>
    </w:p>
    <w:p>
      <w:pPr>
        <w:keepNext/>
        <w:ind w:left="317" w:hanging="317"/>
      </w:pPr>
      <w:r>
        <w:rPr>
          <w:b/>
        </w:rPr>
        <w:t xml:space="preserve">D. </w:t>
      </w:r>
      <w:r>
        <w:t>The supervisor consults another qualified clinician about a complex case.</w:t>
      </w:r>
    </w:p>
    <w:p>
      <w:pPr>
        <w:spacing w:after="160"/>
      </w:pPr>
      <w:r>
        <w:rPr>
          <w:color w:val="4B4B4B"/>
          <w:sz w:val="18"/>
        </w:rPr>
        <w:t>Answer: ______    Confidence: ☐ 1 Guess  ☐ 2 Low  ☐ 3 Moderate  ☐ 4 High    Review: ☐</w:t>
      </w:r>
    </w:p>
    <w:p>
      <w:pPr>
        <w:keepNext/>
        <w:spacing w:before="140"/>
      </w:pPr>
      <w:r>
        <w:rPr>
          <w:b/>
        </w:rPr>
        <w:t>25. Which action is most clearly inconsistent with California professional-conduct rules governing tests and licensing examinations?</w:t>
      </w:r>
    </w:p>
    <w:p>
      <w:pPr>
        <w:keepNext/>
        <w:ind w:left="317" w:hanging="317"/>
      </w:pPr>
      <w:r>
        <w:rPr>
          <w:b/>
        </w:rPr>
        <w:t xml:space="preserve">A. </w:t>
      </w:r>
      <w:r>
        <w:t>Teaching general legal and ethical concepts using original practice questions.</w:t>
      </w:r>
    </w:p>
    <w:p>
      <w:pPr>
        <w:keepNext/>
        <w:ind w:left="317" w:hanging="317"/>
      </w:pPr>
      <w:r>
        <w:rPr>
          <w:b/>
        </w:rPr>
        <w:t xml:space="preserve">B. </w:t>
      </w:r>
      <w:r>
        <w:t>Publishing recalled licensing-examination questions or protected assessment items in a public study group in a way that compromises test security or validity.</w:t>
      </w:r>
    </w:p>
    <w:p>
      <w:pPr>
        <w:keepNext/>
        <w:ind w:left="317" w:hanging="317"/>
      </w:pPr>
      <w:r>
        <w:rPr>
          <w:b/>
        </w:rPr>
        <w:t xml:space="preserve">C. </w:t>
      </w:r>
      <w:r>
        <w:t>Discussing publicly available BBS candidate-handbook instructions.</w:t>
      </w:r>
    </w:p>
    <w:p>
      <w:pPr>
        <w:keepNext/>
        <w:ind w:left="317" w:hanging="317"/>
      </w:pPr>
      <w:r>
        <w:rPr>
          <w:b/>
        </w:rPr>
        <w:t xml:space="preserve">D. </w:t>
      </w:r>
      <w:r>
        <w:t>Explaining why an original hypothetical has one best answer.</w:t>
      </w:r>
    </w:p>
    <w:p>
      <w:pPr>
        <w:spacing w:after="160"/>
      </w:pPr>
      <w:r>
        <w:rPr>
          <w:color w:val="4B4B4B"/>
          <w:sz w:val="18"/>
        </w:rPr>
        <w:t>Answer: ______    Confidence: ☐ 1 Guess  ☐ 2 Low  ☐ 3 Moderate  ☐ 4 High    Review: ☐</w:t>
      </w:r>
    </w:p>
    <w:p>
      <w:pPr>
        <w:keepNext/>
        <w:spacing w:before="140"/>
      </w:pPr>
      <w:r>
        <w:rPr>
          <w:b/>
        </w:rPr>
        <w:t>26. An LCSW reviews a colleague’s note that describes a client as “lazy and attention-seeking” without supporting observations. What should the LCSW do?</w:t>
      </w:r>
    </w:p>
    <w:p>
      <w:pPr>
        <w:keepNext/>
        <w:ind w:left="317" w:hanging="317"/>
      </w:pPr>
      <w:r>
        <w:rPr>
          <w:b/>
        </w:rPr>
        <w:t xml:space="preserve">A. </w:t>
      </w:r>
      <w:r>
        <w:t>Leave the note unchanged because clinicians may document any private impression.</w:t>
      </w:r>
    </w:p>
    <w:p>
      <w:pPr>
        <w:keepNext/>
        <w:ind w:left="317" w:hanging="317"/>
      </w:pPr>
      <w:r>
        <w:rPr>
          <w:b/>
        </w:rPr>
        <w:t xml:space="preserve">B. </w:t>
      </w:r>
      <w:r>
        <w:t>Delete the note secretly so the original author cannot be identified.</w:t>
      </w:r>
    </w:p>
    <w:p>
      <w:pPr>
        <w:keepNext/>
        <w:ind w:left="317" w:hanging="317"/>
      </w:pPr>
      <w:r>
        <w:rPr>
          <w:b/>
        </w:rPr>
        <w:t xml:space="preserve">C. </w:t>
      </w:r>
      <w:r>
        <w:t>Add a diagnosis solely to make the language sound more clinical.</w:t>
      </w:r>
    </w:p>
    <w:p>
      <w:pPr>
        <w:keepNext/>
        <w:ind w:left="317" w:hanging="317"/>
      </w:pPr>
      <w:r>
        <w:rPr>
          <w:b/>
        </w:rPr>
        <w:t xml:space="preserve">D. </w:t>
      </w:r>
      <w:r>
        <w:t>Address the derogatory and unsupported language, encourage an accurate factual correction or addendum, and use appropriate supervisory or organizational channels if the problem continues.</w:t>
      </w:r>
    </w:p>
    <w:p>
      <w:pPr>
        <w:spacing w:after="160"/>
      </w:pPr>
      <w:r>
        <w:rPr>
          <w:color w:val="4B4B4B"/>
          <w:sz w:val="18"/>
        </w:rPr>
        <w:t>Answer: ______    Confidence: ☐ 1 Guess  ☐ 2 Low  ☐ 3 Moderate  ☐ 4 High    Review: ☐</w:t>
      </w:r>
    </w:p>
    <w:p>
      <w:pPr>
        <w:keepNext/>
        <w:spacing w:before="140"/>
      </w:pPr>
      <w:r>
        <w:rPr>
          <w:b/>
        </w:rPr>
        <w:t>27. An LCSW wants to activate a new artificial-intelligence transcription tool during sessions. What should occur FIRST?</w:t>
      </w:r>
    </w:p>
    <w:p>
      <w:pPr>
        <w:keepNext/>
        <w:ind w:left="317" w:hanging="317"/>
      </w:pPr>
      <w:r>
        <w:rPr>
          <w:b/>
        </w:rPr>
        <w:t xml:space="preserve">A. </w:t>
      </w:r>
      <w:r>
        <w:t>Begin using the tool secretly so clients are not influenced by the technology.</w:t>
      </w:r>
    </w:p>
    <w:p>
      <w:pPr>
        <w:keepNext/>
        <w:ind w:left="317" w:hanging="317"/>
      </w:pPr>
      <w:r>
        <w:rPr>
          <w:b/>
        </w:rPr>
        <w:t xml:space="preserve">B. </w:t>
      </w:r>
      <w:r>
        <w:t>Rely on the vendor’s advertising as proof that the tool is legally compliant and clinically accurate.</w:t>
      </w:r>
    </w:p>
    <w:p>
      <w:pPr>
        <w:keepNext/>
        <w:ind w:left="317" w:hanging="317"/>
      </w:pPr>
      <w:r>
        <w:rPr>
          <w:b/>
        </w:rPr>
        <w:t xml:space="preserve">C. </w:t>
      </w:r>
      <w:r>
        <w:t>Allow the tool to create final records without clinician review because automation reduces bias.</w:t>
      </w:r>
    </w:p>
    <w:p>
      <w:pPr>
        <w:keepNext/>
        <w:ind w:left="317" w:hanging="317"/>
      </w:pPr>
      <w:r>
        <w:rPr>
          <w:b/>
        </w:rPr>
        <w:t xml:space="preserve">D. </w:t>
      </w:r>
      <w:r>
        <w:t>Assess competence, accuracy limits, data collection and storage, privacy and security, legal and organizational requirements, client notice or consent, alternatives, and a plan for human review before use.</w:t>
      </w:r>
    </w:p>
    <w:p>
      <w:pPr>
        <w:spacing w:after="160"/>
      </w:pPr>
      <w:r>
        <w:rPr>
          <w:color w:val="4B4B4B"/>
          <w:sz w:val="18"/>
        </w:rPr>
        <w:t>Answer: ______    Confidence: ☐ 1 Guess  ☐ 2 Low  ☐ 3 Moderate  ☐ 4 High    Review: ☐</w:t>
      </w:r>
    </w:p>
    <w:p>
      <w:pPr>
        <w:keepNext/>
        <w:spacing w:before="140"/>
      </w:pPr>
      <w:r>
        <w:rPr>
          <w:b/>
        </w:rPr>
        <w:t>28. A supervisor discovers that an ASW copied risk-assessment findings from another client’s record and represented them as having been completed. What is the appropriate response?</w:t>
      </w:r>
    </w:p>
    <w:p>
      <w:pPr>
        <w:keepNext/>
        <w:ind w:left="317" w:hanging="317"/>
      </w:pPr>
      <w:r>
        <w:rPr>
          <w:b/>
        </w:rPr>
        <w:t xml:space="preserve">A. </w:t>
      </w:r>
      <w:r>
        <w:t>Ask the ASW to replace the copied material without leaving any trace of the correction.</w:t>
      </w:r>
    </w:p>
    <w:p>
      <w:pPr>
        <w:keepNext/>
        <w:ind w:left="317" w:hanging="317"/>
      </w:pPr>
      <w:r>
        <w:rPr>
          <w:b/>
        </w:rPr>
        <w:t xml:space="preserve">B. </w:t>
      </w:r>
      <w:r>
        <w:t>Ignore the conduct if the current client has not yet been harmed.</w:t>
      </w:r>
    </w:p>
    <w:p>
      <w:pPr>
        <w:keepNext/>
        <w:ind w:left="317" w:hanging="317"/>
      </w:pPr>
      <w:r>
        <w:rPr>
          <w:b/>
        </w:rPr>
        <w:t xml:space="preserve">C. </w:t>
      </w:r>
      <w:r>
        <w:t>Terminate the ASW immediately without reviewing client safety, records, or continuity needs.</w:t>
      </w:r>
    </w:p>
    <w:p>
      <w:pPr>
        <w:keepNext/>
        <w:ind w:left="317" w:hanging="317"/>
      </w:pPr>
      <w:r>
        <w:rPr>
          <w:b/>
        </w:rPr>
        <w:t xml:space="preserve">D. </w:t>
      </w:r>
      <w:r>
        <w:t>Protect affected clients, restrict or supervise current duties as needed, preserve and correct records transparently, investigate the extent of the conduct, document the response, and use required organizational or regulatory channels.</w:t>
      </w:r>
    </w:p>
    <w:p>
      <w:pPr>
        <w:spacing w:after="160"/>
      </w:pPr>
      <w:r>
        <w:rPr>
          <w:color w:val="4B4B4B"/>
          <w:sz w:val="18"/>
        </w:rPr>
        <w:t>Answer: ______    Confidence: ☐ 1 Guess  ☐ 2 Low  ☐ 3 Moderate  ☐ 4 High    Review: ☐</w:t>
      </w:r>
    </w:p>
    <w:p>
      <w:pPr>
        <w:keepNext/>
        <w:spacing w:before="140"/>
      </w:pPr>
      <w:r>
        <w:rPr>
          <w:b/>
        </w:rPr>
        <w:t>29. A client sends an after-hours message stating, “I took a bottle of pills and I am getting sleepy.” What should the LCSW do FIRST?</w:t>
      </w:r>
    </w:p>
    <w:p>
      <w:pPr>
        <w:keepNext/>
        <w:ind w:left="317" w:hanging="317"/>
      </w:pPr>
      <w:r>
        <w:rPr>
          <w:b/>
        </w:rPr>
        <w:t xml:space="preserve">A. </w:t>
      </w:r>
      <w:r>
        <w:t>Activate the established emergency response, attempt immediate contact and location verification, mobilize emergency resources or an authorized support as necessary, and document the actions.</w:t>
      </w:r>
    </w:p>
    <w:p>
      <w:pPr>
        <w:keepNext/>
        <w:ind w:left="317" w:hanging="317"/>
      </w:pPr>
      <w:r>
        <w:rPr>
          <w:b/>
        </w:rPr>
        <w:t xml:space="preserve">B. </w:t>
      </w:r>
      <w:r>
        <w:t>Wait until business hours because the client used messaging instead of the emergency number.</w:t>
      </w:r>
    </w:p>
    <w:p>
      <w:pPr>
        <w:keepNext/>
        <w:ind w:left="317" w:hanging="317"/>
      </w:pPr>
      <w:r>
        <w:rPr>
          <w:b/>
        </w:rPr>
        <w:t xml:space="preserve">C. </w:t>
      </w:r>
      <w:r>
        <w:t>Send a worksheet about coping skills and ask the client to reply the next day.</w:t>
      </w:r>
    </w:p>
    <w:p>
      <w:pPr>
        <w:keepNext/>
        <w:ind w:left="317" w:hanging="317"/>
      </w:pPr>
      <w:r>
        <w:rPr>
          <w:b/>
        </w:rPr>
        <w:t xml:space="preserve">D. </w:t>
      </w:r>
      <w:r>
        <w:t>Post the message in a professional forum to ask whether it sounds serious.</w:t>
      </w:r>
    </w:p>
    <w:p>
      <w:pPr>
        <w:spacing w:after="160"/>
      </w:pPr>
      <w:r>
        <w:rPr>
          <w:color w:val="4B4B4B"/>
          <w:sz w:val="18"/>
        </w:rPr>
        <w:t>Answer: ______    Confidence: ☐ 1 Guess  ☐ 2 Low  ☐ 3 Moderate  ☐ 4 High    Review: ☐</w:t>
      </w:r>
    </w:p>
    <w:p>
      <w:pPr>
        <w:keepNext/>
        <w:spacing w:before="140"/>
      </w:pPr>
      <w:r>
        <w:rPr>
          <w:b/>
        </w:rPr>
        <w:t>30. A client joins a trauma-focused telehealth session from a parked car while coworkers are standing nearby. Which response is BEST?</w:t>
      </w:r>
    </w:p>
    <w:p>
      <w:pPr>
        <w:keepNext/>
        <w:ind w:left="317" w:hanging="317"/>
      </w:pPr>
      <w:r>
        <w:rPr>
          <w:b/>
        </w:rPr>
        <w:t xml:space="preserve">A. </w:t>
      </w:r>
      <w:r>
        <w:t>Assess immediate safety and privacy, help the client move to an appropriate private setting or select a safer alternative, and avoid proceeding with sensitive work when confidentiality and appropriateness cannot be protected.</w:t>
      </w:r>
    </w:p>
    <w:p>
      <w:pPr>
        <w:keepNext/>
        <w:ind w:left="317" w:hanging="317"/>
      </w:pPr>
      <w:r>
        <w:rPr>
          <w:b/>
        </w:rPr>
        <w:t xml:space="preserve">B. </w:t>
      </w:r>
      <w:r>
        <w:t>Continue because the client chose the location and therefore accepted all confidentiality risk.</w:t>
      </w:r>
    </w:p>
    <w:p>
      <w:pPr>
        <w:keepNext/>
        <w:ind w:left="317" w:hanging="317"/>
      </w:pPr>
      <w:r>
        <w:rPr>
          <w:b/>
        </w:rPr>
        <w:t xml:space="preserve">C. </w:t>
      </w:r>
      <w:r>
        <w:t>Ask the client to whisper so coworkers cannot understand the details.</w:t>
      </w:r>
    </w:p>
    <w:p>
      <w:pPr>
        <w:keepNext/>
        <w:ind w:left="317" w:hanging="317"/>
      </w:pPr>
      <w:r>
        <w:rPr>
          <w:b/>
        </w:rPr>
        <w:t xml:space="preserve">D. </w:t>
      </w:r>
      <w:r>
        <w:t>Record the session so any interruption can be reviewed later.</w:t>
      </w:r>
    </w:p>
    <w:p>
      <w:pPr>
        <w:spacing w:after="160"/>
      </w:pPr>
      <w:r>
        <w:rPr>
          <w:color w:val="4B4B4B"/>
          <w:sz w:val="18"/>
        </w:rPr>
        <w:t>Answer: ______    Confidence: ☐ 1 Guess  ☐ 2 Low  ☐ 3 Moderate  ☐ 4 High    Review: ☐</w:t>
      </w:r>
    </w:p>
    <w:p>
      <w:pPr>
        <w:keepNext/>
        <w:spacing w:before="140"/>
      </w:pPr>
      <w:r>
        <w:rPr>
          <w:b/>
        </w:rPr>
        <w:t>31. A private-practice LCSW asks current clients to post five-star reviews and offers a fee discount to anyone who does. Which response is MOST consistent with professional ethics?</w:t>
      </w:r>
    </w:p>
    <w:p>
      <w:pPr>
        <w:keepNext/>
        <w:ind w:left="317" w:hanging="317"/>
      </w:pPr>
      <w:r>
        <w:rPr>
          <w:b/>
        </w:rPr>
        <w:t xml:space="preserve">A. </w:t>
      </w:r>
      <w:r>
        <w:t>Continue if clients are told that negative reviews are also acceptable.</w:t>
      </w:r>
    </w:p>
    <w:p>
      <w:pPr>
        <w:keepNext/>
        <w:ind w:left="317" w:hanging="317"/>
      </w:pPr>
      <w:r>
        <w:rPr>
          <w:b/>
        </w:rPr>
        <w:t xml:space="preserve">B. </w:t>
      </w:r>
      <w:r>
        <w:t>Stop soliciting testimonials from current clients and remove the fee incentive because the therapeutic relationship creates vulnerability and undue influence.</w:t>
      </w:r>
    </w:p>
    <w:p>
      <w:pPr>
        <w:keepNext/>
        <w:ind w:left="317" w:hanging="317"/>
      </w:pPr>
      <w:r>
        <w:rPr>
          <w:b/>
        </w:rPr>
        <w:t xml:space="preserve">C. </w:t>
      </w:r>
      <w:r>
        <w:t>Continue because online reviews are advertising rather than clinical activity.</w:t>
      </w:r>
    </w:p>
    <w:p>
      <w:pPr>
        <w:keepNext/>
        <w:ind w:left="317" w:hanging="317"/>
      </w:pPr>
      <w:r>
        <w:rPr>
          <w:b/>
        </w:rPr>
        <w:t xml:space="preserve">D. </w:t>
      </w:r>
      <w:r>
        <w:t>Ask the clients’ family members to post the same testimonials instead.</w:t>
      </w:r>
    </w:p>
    <w:p>
      <w:pPr>
        <w:spacing w:after="160"/>
      </w:pPr>
      <w:r>
        <w:rPr>
          <w:color w:val="4B4B4B"/>
          <w:sz w:val="18"/>
        </w:rPr>
        <w:t>Answer: ______    Confidence: ☐ 1 Guess  ☐ 2 Low  ☐ 3 Moderate  ☐ 4 High    Review: ☐</w:t>
      </w:r>
    </w:p>
    <w:p>
      <w:pPr>
        <w:keepNext/>
        <w:spacing w:before="140"/>
      </w:pPr>
      <w:r>
        <w:rPr>
          <w:b/>
        </w:rPr>
        <w:t>32. An ASW receives nine hours of otherwise qualifying supervision during one week and asks that all nine hours be credited toward licensure. Which statement is accurate?</w:t>
      </w:r>
    </w:p>
    <w:p>
      <w:pPr>
        <w:keepNext/>
        <w:ind w:left="317" w:hanging="317"/>
      </w:pPr>
      <w:r>
        <w:rPr>
          <w:b/>
        </w:rPr>
        <w:t xml:space="preserve">A. </w:t>
      </w:r>
      <w:r>
        <w:t>No more than six hours of individual, triadic, or group supervision may be credited during a single week.</w:t>
      </w:r>
    </w:p>
    <w:p>
      <w:pPr>
        <w:keepNext/>
        <w:ind w:left="317" w:hanging="317"/>
      </w:pPr>
      <w:r>
        <w:rPr>
          <w:b/>
        </w:rPr>
        <w:t xml:space="preserve">B. </w:t>
      </w:r>
      <w:r>
        <w:t>All nine hours are credited because there is no weekly supervision maximum.</w:t>
      </w:r>
    </w:p>
    <w:p>
      <w:pPr>
        <w:keepNext/>
        <w:ind w:left="317" w:hanging="317"/>
      </w:pPr>
      <w:r>
        <w:rPr>
          <w:b/>
        </w:rPr>
        <w:t xml:space="preserve">C. </w:t>
      </w:r>
      <w:r>
        <w:t>Only one hour can be credited, regardless of the number of settings or services.</w:t>
      </w:r>
    </w:p>
    <w:p>
      <w:pPr>
        <w:keepNext/>
        <w:ind w:left="317" w:hanging="317"/>
      </w:pPr>
      <w:r>
        <w:rPr>
          <w:b/>
        </w:rPr>
        <w:t xml:space="preserve">D. </w:t>
      </w:r>
      <w:r>
        <w:t>Exactly two hours must be credited whenever the ASW performs more than 10 clinical hours.</w:t>
      </w:r>
    </w:p>
    <w:p>
      <w:pPr>
        <w:spacing w:after="160"/>
      </w:pPr>
      <w:r>
        <w:rPr>
          <w:color w:val="4B4B4B"/>
          <w:sz w:val="18"/>
        </w:rPr>
        <w:t>Answer: ______    Confidence: ☐ 1 Guess  ☐ 2 Low  ☐ 3 Moderate  ☐ 4 High    Review: ☐</w:t>
      </w:r>
    </w:p>
    <w:p>
      <w:pPr>
        <w:keepNext/>
        <w:spacing w:before="140"/>
      </w:pPr>
      <w:r>
        <w:rPr>
          <w:b/>
        </w:rPr>
        <w:t>33. A client revokes a valid authorization before the LCSW sends the next scheduled progress report. What should the LCSW do?</w:t>
      </w:r>
    </w:p>
    <w:p>
      <w:pPr>
        <w:keepNext/>
        <w:ind w:left="317" w:hanging="317"/>
      </w:pPr>
      <w:r>
        <w:rPr>
          <w:b/>
        </w:rPr>
        <w:t xml:space="preserve">A. </w:t>
      </w:r>
      <w:r>
        <w:t>Continue sending reports until the original expiration date because authorizations cannot be revoked.</w:t>
      </w:r>
    </w:p>
    <w:p>
      <w:pPr>
        <w:keepNext/>
        <w:ind w:left="317" w:hanging="317"/>
      </w:pPr>
      <w:r>
        <w:rPr>
          <w:b/>
        </w:rPr>
        <w:t xml:space="preserve">B. </w:t>
      </w:r>
      <w:r>
        <w:t>Erase every prior lawful disclosure from the recipient’s records.</w:t>
      </w:r>
    </w:p>
    <w:p>
      <w:pPr>
        <w:keepNext/>
        <w:ind w:left="317" w:hanging="317"/>
      </w:pPr>
      <w:r>
        <w:rPr>
          <w:b/>
        </w:rPr>
        <w:t xml:space="preserve">C. </w:t>
      </w:r>
      <w:r>
        <w:t>Stop future disclosures covered by the revoked authorization, document the revocation, and determine whether any separate legal basis requires or permits disclosure.</w:t>
      </w:r>
    </w:p>
    <w:p>
      <w:pPr>
        <w:keepNext/>
        <w:ind w:left="317" w:hanging="317"/>
      </w:pPr>
      <w:r>
        <w:rPr>
          <w:b/>
        </w:rPr>
        <w:t xml:space="preserve">D. </w:t>
      </w:r>
      <w:r>
        <w:t>Send one final complete record before acknowledging the revocation.</w:t>
      </w:r>
    </w:p>
    <w:p>
      <w:pPr>
        <w:spacing w:after="160"/>
      </w:pPr>
      <w:r>
        <w:rPr>
          <w:color w:val="4B4B4B"/>
          <w:sz w:val="18"/>
        </w:rPr>
        <w:t>Answer: ______    Confidence: ☐ 1 Guess  ☐ 2 Low  ☐ 3 Moderate  ☐ 4 High    Review: ☐</w:t>
      </w:r>
    </w:p>
    <w:p>
      <w:pPr>
        <w:keepNext/>
        <w:spacing w:before="140"/>
      </w:pPr>
      <w:r>
        <w:rPr>
          <w:b/>
        </w:rPr>
        <w:t>34. After assessment, an adult client has a specific imminent suicide plan and asks the LCSW not to involve anyone. Which response is BEST?</w:t>
      </w:r>
    </w:p>
    <w:p>
      <w:pPr>
        <w:keepNext/>
        <w:ind w:left="317" w:hanging="317"/>
      </w:pPr>
      <w:r>
        <w:rPr>
          <w:b/>
        </w:rPr>
        <w:t xml:space="preserve">A. </w:t>
      </w:r>
      <w:r>
        <w:t>Honor the request because competent adults control every disclosure, even during imminent danger.</w:t>
      </w:r>
    </w:p>
    <w:p>
      <w:pPr>
        <w:keepNext/>
        <w:ind w:left="317" w:hanging="317"/>
      </w:pPr>
      <w:r>
        <w:rPr>
          <w:b/>
        </w:rPr>
        <w:t xml:space="preserve">B. </w:t>
      </w:r>
      <w:r>
        <w:t>Release the entire treatment record to every family member and employer contact.</w:t>
      </w:r>
    </w:p>
    <w:p>
      <w:pPr>
        <w:keepNext/>
        <w:ind w:left="317" w:hanging="317"/>
      </w:pPr>
      <w:r>
        <w:rPr>
          <w:b/>
        </w:rPr>
        <w:t xml:space="preserve">C. </w:t>
      </w:r>
      <w:r>
        <w:t>End the session and instruct the client to call back after the crisis has passed.</w:t>
      </w:r>
    </w:p>
    <w:p>
      <w:pPr>
        <w:keepNext/>
        <w:ind w:left="317" w:hanging="317"/>
      </w:pPr>
      <w:r>
        <w:rPr>
          <w:b/>
        </w:rPr>
        <w:t xml:space="preserve">D. </w:t>
      </w:r>
      <w:r>
        <w:t>Take necessary protective action and disclose only information reasonably needed for safety, explaining the limits of confidentiality when feasible and documenting the decision.</w:t>
      </w:r>
    </w:p>
    <w:p>
      <w:pPr>
        <w:spacing w:after="160"/>
      </w:pPr>
      <w:r>
        <w:rPr>
          <w:color w:val="4B4B4B"/>
          <w:sz w:val="18"/>
        </w:rPr>
        <w:t>Answer: ______    Confidence: ☐ 1 Guess  ☐ 2 Low  ☐ 3 Moderate  ☐ 4 High    Review: ☐</w:t>
      </w:r>
    </w:p>
    <w:p>
      <w:pPr>
        <w:keepNext/>
        <w:spacing w:before="140"/>
      </w:pPr>
      <w:r>
        <w:rPr>
          <w:b/>
        </w:rPr>
        <w:t>35. An ASW’s regular supervisor becomes suddenly unavailable while the ASW has active high-risk cases and needs weekly supervision. What should occur FIRST?</w:t>
      </w:r>
    </w:p>
    <w:p>
      <w:pPr>
        <w:keepNext/>
        <w:ind w:left="317" w:hanging="317"/>
      </w:pPr>
      <w:r>
        <w:rPr>
          <w:b/>
        </w:rPr>
        <w:t xml:space="preserve">A. </w:t>
      </w:r>
      <w:r>
        <w:t>Continue all work without supervision until the regular supervisor returns.</w:t>
      </w:r>
    </w:p>
    <w:p>
      <w:pPr>
        <w:keepNext/>
        <w:ind w:left="317" w:hanging="317"/>
      </w:pPr>
      <w:r>
        <w:rPr>
          <w:b/>
        </w:rPr>
        <w:t xml:space="preserve">B. </w:t>
      </w:r>
      <w:r>
        <w:t>Ask an unlicensed administrator to sign the weekly log temporarily.</w:t>
      </w:r>
    </w:p>
    <w:p>
      <w:pPr>
        <w:keepNext/>
        <w:ind w:left="317" w:hanging="317"/>
      </w:pPr>
      <w:r>
        <w:rPr>
          <w:b/>
        </w:rPr>
        <w:t xml:space="preserve">C. </w:t>
      </w:r>
      <w:r>
        <w:t>Activate qualified alternative supervision and clinical coverage, protect current clients, and document the temporary arrangement before allowing the supervision gap to continue.</w:t>
      </w:r>
    </w:p>
    <w:p>
      <w:pPr>
        <w:keepNext/>
        <w:ind w:left="317" w:hanging="317"/>
      </w:pPr>
      <w:r>
        <w:rPr>
          <w:b/>
        </w:rPr>
        <w:t xml:space="preserve">D. </w:t>
      </w:r>
      <w:r>
        <w:t>Close every client case immediately without transition planning.</w:t>
      </w:r>
    </w:p>
    <w:p>
      <w:pPr>
        <w:spacing w:after="160"/>
      </w:pPr>
      <w:r>
        <w:rPr>
          <w:color w:val="4B4B4B"/>
          <w:sz w:val="18"/>
        </w:rPr>
        <w:t>Answer: ______    Confidence: ☐ 1 Guess  ☐ 2 Low  ☐ 3 Moderate  ☐ 4 High    Review: ☐</w:t>
      </w:r>
    </w:p>
    <w:p>
      <w:pPr>
        <w:keepNext/>
        <w:spacing w:before="140"/>
      </w:pPr>
      <w:r>
        <w:rPr>
          <w:b/>
        </w:rPr>
        <w:t>36. A client asks the LCSW to delete a documented suicide-risk assessment before sending records to an insurer. Which response is BEST?</w:t>
      </w:r>
    </w:p>
    <w:p>
      <w:pPr>
        <w:keepNext/>
        <w:ind w:left="317" w:hanging="317"/>
      </w:pPr>
      <w:r>
        <w:rPr>
          <w:b/>
        </w:rPr>
        <w:t xml:space="preserve">A. </w:t>
      </w:r>
      <w:r>
        <w:t>Delete the note because the client owns the clinical record.</w:t>
      </w:r>
    </w:p>
    <w:p>
      <w:pPr>
        <w:keepNext/>
        <w:ind w:left="317" w:hanging="317"/>
      </w:pPr>
      <w:r>
        <w:rPr>
          <w:b/>
        </w:rPr>
        <w:t xml:space="preserve">B. </w:t>
      </w:r>
      <w:r>
        <w:t>Maintain an accurate record, analyze the authorization and legal basis for disclosure, and disclose only information that is authorized or required without falsifying or secretly deleting the note.</w:t>
      </w:r>
    </w:p>
    <w:p>
      <w:pPr>
        <w:keepNext/>
        <w:ind w:left="317" w:hanging="317"/>
      </w:pPr>
      <w:r>
        <w:rPr>
          <w:b/>
        </w:rPr>
        <w:t xml:space="preserve">C. </w:t>
      </w:r>
      <w:r>
        <w:t>Send the entire record automatically because an insurer requested it.</w:t>
      </w:r>
    </w:p>
    <w:p>
      <w:pPr>
        <w:keepNext/>
        <w:ind w:left="317" w:hanging="317"/>
      </w:pPr>
      <w:r>
        <w:rPr>
          <w:b/>
        </w:rPr>
        <w:t xml:space="preserve">D. </w:t>
      </w:r>
      <w:r>
        <w:t>Create a second hidden record that contains the risk information but is never disclosed under any circumstances.</w:t>
      </w:r>
    </w:p>
    <w:p>
      <w:pPr>
        <w:spacing w:after="160"/>
      </w:pPr>
      <w:r>
        <w:rPr>
          <w:color w:val="4B4B4B"/>
          <w:sz w:val="18"/>
        </w:rPr>
        <w:t>Answer: ______    Confidence: ☐ 1 Guess  ☐ 2 Low  ☐ 3 Moderate  ☐ 4 High    Review: ☐</w:t>
      </w:r>
    </w:p>
    <w:p>
      <w:pPr>
        <w:keepNext/>
        <w:spacing w:before="140"/>
      </w:pPr>
      <w:r>
        <w:rPr>
          <w:b/>
        </w:rPr>
        <w:t>37. A social-work colleague’s impairment is interfering with practice, the colleague refuses offered help, and client errors continue. What is the LCSW’s professional responsibility?</w:t>
      </w:r>
    </w:p>
    <w:p>
      <w:pPr>
        <w:keepNext/>
        <w:ind w:left="317" w:hanging="317"/>
      </w:pPr>
      <w:r>
        <w:rPr>
          <w:b/>
        </w:rPr>
        <w:t xml:space="preserve">A. </w:t>
      </w:r>
      <w:r>
        <w:t>Maintain silence because professional loyalty overrides client welfare.</w:t>
      </w:r>
    </w:p>
    <w:p>
      <w:pPr>
        <w:keepNext/>
        <w:ind w:left="317" w:hanging="317"/>
      </w:pPr>
      <w:r>
        <w:rPr>
          <w:b/>
        </w:rPr>
        <w:t xml:space="preserve">B. </w:t>
      </w:r>
      <w:r>
        <w:t>Diagnose the colleague publicly so clients can decide whether to complain.</w:t>
      </w:r>
    </w:p>
    <w:p>
      <w:pPr>
        <w:keepNext/>
        <w:ind w:left="317" w:hanging="317"/>
      </w:pPr>
      <w:r>
        <w:rPr>
          <w:b/>
        </w:rPr>
        <w:t xml:space="preserve">C. </w:t>
      </w:r>
      <w:r>
        <w:t>Wait for a catastrophic error before using any formal channel.</w:t>
      </w:r>
    </w:p>
    <w:p>
      <w:pPr>
        <w:keepNext/>
        <w:ind w:left="317" w:hanging="317"/>
      </w:pPr>
      <w:r>
        <w:rPr>
          <w:b/>
        </w:rPr>
        <w:t xml:space="preserve">D. </w:t>
      </w:r>
      <w:r>
        <w:t>Use appropriate supervisory, employer, professional, or regulatory channels and take reasonable steps to protect clients rather than relying only on informal reassurance.</w:t>
      </w:r>
    </w:p>
    <w:p>
      <w:pPr>
        <w:spacing w:after="160"/>
      </w:pPr>
      <w:r>
        <w:rPr>
          <w:color w:val="4B4B4B"/>
          <w:sz w:val="18"/>
        </w:rPr>
        <w:t>Answer: ______    Confidence: ☐ 1 Guess  ☐ 2 Low  ☐ 3 Moderate  ☐ 4 High    Review: ☐</w:t>
      </w:r>
    </w:p>
    <w:p>
      <w:pPr>
        <w:keepNext/>
        <w:spacing w:before="140"/>
      </w:pPr>
      <w:r>
        <w:rPr>
          <w:b/>
        </w:rPr>
        <w:t>38. A detective calls an LCSW and asks for a client’s home address but provides no authorization, warrant, court order, or identified emergency. What should the LCSW do?</w:t>
      </w:r>
    </w:p>
    <w:p>
      <w:pPr>
        <w:keepNext/>
        <w:ind w:left="317" w:hanging="317"/>
      </w:pPr>
      <w:r>
        <w:rPr>
          <w:b/>
        </w:rPr>
        <w:t xml:space="preserve">A. </w:t>
      </w:r>
      <w:r>
        <w:t>Provide the address because law-enforcement requests always override confidentiality.</w:t>
      </w:r>
    </w:p>
    <w:p>
      <w:pPr>
        <w:keepNext/>
        <w:ind w:left="317" w:hanging="317"/>
      </w:pPr>
      <w:r>
        <w:rPr>
          <w:b/>
        </w:rPr>
        <w:t xml:space="preserve">B. </w:t>
      </w:r>
      <w:r>
        <w:t>Destroy the address so it cannot be requested again.</w:t>
      </w:r>
    </w:p>
    <w:p>
      <w:pPr>
        <w:keepNext/>
        <w:ind w:left="317" w:hanging="317"/>
      </w:pPr>
      <w:r>
        <w:rPr>
          <w:b/>
        </w:rPr>
        <w:t xml:space="preserve">C. </w:t>
      </w:r>
      <w:r>
        <w:t>Verify the request and legal authority, seek consultation when needed, and do not disclose unless a valid permission or requirement applies; if disclosure is justified, limit it to the necessary scope.</w:t>
      </w:r>
    </w:p>
    <w:p>
      <w:pPr>
        <w:keepNext/>
        <w:ind w:left="317" w:hanging="317"/>
      </w:pPr>
      <w:r>
        <w:rPr>
          <w:b/>
        </w:rPr>
        <w:t xml:space="preserve">D. </w:t>
      </w:r>
      <w:r>
        <w:t>Give the detective the full record so the detective can determine what is relevant.</w:t>
      </w:r>
    </w:p>
    <w:p>
      <w:pPr>
        <w:spacing w:after="160"/>
      </w:pPr>
      <w:r>
        <w:rPr>
          <w:color w:val="4B4B4B"/>
          <w:sz w:val="18"/>
        </w:rPr>
        <w:t>Answer: ______    Confidence: ☐ 1 Guess  ☐ 2 Low  ☐ 3 Moderate  ☐ 4 High    Review: ☐</w:t>
      </w:r>
    </w:p>
    <w:p>
      <w:pPr>
        <w:keepNext/>
        <w:spacing w:before="140"/>
      </w:pPr>
      <w:r>
        <w:rPr>
          <w:b/>
        </w:rPr>
        <w:t>39. During conjoint treatment, one partner begins to reveal a secret and asks the LCSW never to tell the other partner. What should the LCSW do FIRST?</w:t>
      </w:r>
    </w:p>
    <w:p>
      <w:pPr>
        <w:keepNext/>
        <w:ind w:left="317" w:hanging="317"/>
      </w:pPr>
      <w:r>
        <w:rPr>
          <w:b/>
        </w:rPr>
        <w:t xml:space="preserve">A. </w:t>
      </w:r>
      <w:r>
        <w:t>Promise secrecy immediately because each participant is entitled to a separate confidential relationship.</w:t>
      </w:r>
    </w:p>
    <w:p>
      <w:pPr>
        <w:keepNext/>
        <w:ind w:left="317" w:hanging="317"/>
      </w:pPr>
      <w:r>
        <w:rPr>
          <w:b/>
        </w:rPr>
        <w:t xml:space="preserve">B. </w:t>
      </w:r>
      <w:r>
        <w:t>Tell the other partner everything before assessing the content or the service agreement.</w:t>
      </w:r>
    </w:p>
    <w:p>
      <w:pPr>
        <w:keepNext/>
        <w:ind w:left="317" w:hanging="317"/>
      </w:pPr>
      <w:r>
        <w:rPr>
          <w:b/>
        </w:rPr>
        <w:t xml:space="preserve">C. </w:t>
      </w:r>
      <w:r>
        <w:t>Pause and review the previously explained policy on individual communications, confidentiality, safety exceptions, and how secrets affect the conjoint service before accepting or using the information.</w:t>
      </w:r>
    </w:p>
    <w:p>
      <w:pPr>
        <w:keepNext/>
        <w:ind w:left="317" w:hanging="317"/>
      </w:pPr>
      <w:r>
        <w:rPr>
          <w:b/>
        </w:rPr>
        <w:t xml:space="preserve">D. </w:t>
      </w:r>
      <w:r>
        <w:t>End conjoint treatment automatically whenever one participant requests privacy.</w:t>
      </w:r>
    </w:p>
    <w:p>
      <w:pPr>
        <w:spacing w:after="160"/>
      </w:pPr>
      <w:r>
        <w:rPr>
          <w:color w:val="4B4B4B"/>
          <w:sz w:val="18"/>
        </w:rPr>
        <w:t>Answer: ______    Confidence: ☐ 1 Guess  ☐ 2 Low  ☐ 3 Moderate  ☐ 4 High    Review: ☐</w:t>
      </w:r>
    </w:p>
    <w:p>
      <w:pPr>
        <w:keepNext/>
        <w:spacing w:before="140"/>
      </w:pPr>
      <w:r>
        <w:rPr>
          <w:b/>
        </w:rPr>
        <w:t>40. A 16-year-old who lawfully consented to outpatient mental-health treatment asks to inspect the record of that treatment. What should the LCSW do FIRST?</w:t>
      </w:r>
    </w:p>
    <w:p>
      <w:pPr>
        <w:keepNext/>
        <w:ind w:left="317" w:hanging="317"/>
      </w:pPr>
      <w:r>
        <w:rPr>
          <w:b/>
        </w:rPr>
        <w:t xml:space="preserve">A. </w:t>
      </w:r>
      <w:r>
        <w:t>Determine the minor’s lawful consent and access rights and any applicable exception, verify identity reasonably, and respond within the required access process for records relating to that self-consented care.</w:t>
      </w:r>
    </w:p>
    <w:p>
      <w:pPr>
        <w:keepNext/>
        <w:ind w:left="317" w:hanging="317"/>
      </w:pPr>
      <w:r>
        <w:rPr>
          <w:b/>
        </w:rPr>
        <w:t xml:space="preserve">B. </w:t>
      </w:r>
      <w:r>
        <w:t>Deny the request because no minor may inspect any health record.</w:t>
      </w:r>
    </w:p>
    <w:p>
      <w:pPr>
        <w:keepNext/>
        <w:ind w:left="317" w:hanging="317"/>
      </w:pPr>
      <w:r>
        <w:rPr>
          <w:b/>
        </w:rPr>
        <w:t xml:space="preserve">C. </w:t>
      </w:r>
      <w:r>
        <w:t>Release the record only to the parent because parents always hold exclusive access rights.</w:t>
      </w:r>
    </w:p>
    <w:p>
      <w:pPr>
        <w:keepNext/>
        <w:ind w:left="317" w:hanging="317"/>
      </w:pPr>
      <w:r>
        <w:rPr>
          <w:b/>
        </w:rPr>
        <w:t xml:space="preserve">D. </w:t>
      </w:r>
      <w:r>
        <w:t>Destroy the record to avoid conflict between the minor and parent.</w:t>
      </w:r>
    </w:p>
    <w:p>
      <w:pPr>
        <w:spacing w:after="160"/>
      </w:pPr>
      <w:r>
        <w:rPr>
          <w:color w:val="4B4B4B"/>
          <w:sz w:val="18"/>
        </w:rPr>
        <w:t>Answer: ______    Confidence: ☐ 1 Guess  ☐ 2 Low  ☐ 3 Moderate  ☐ 4 High    Review: ☐</w:t>
      </w:r>
    </w:p>
    <w:p>
      <w:pPr>
        <w:keepNext/>
        <w:spacing w:before="140"/>
      </w:pPr>
      <w:r>
        <w:rPr>
          <w:b/>
        </w:rPr>
        <w:t>41. A graduate observer wants to attend one psychotherapy-group session for training. What should occur FIRST?</w:t>
      </w:r>
    </w:p>
    <w:p>
      <w:pPr>
        <w:keepNext/>
        <w:ind w:left="317" w:hanging="317"/>
      </w:pPr>
      <w:r>
        <w:rPr>
          <w:b/>
        </w:rPr>
        <w:t xml:space="preserve">A. </w:t>
      </w:r>
      <w:r>
        <w:t>Allow attendance because the observer is affiliated with the clinic.</w:t>
      </w:r>
    </w:p>
    <w:p>
      <w:pPr>
        <w:keepNext/>
        <w:ind w:left="317" w:hanging="317"/>
      </w:pPr>
      <w:r>
        <w:rPr>
          <w:b/>
        </w:rPr>
        <w:t xml:space="preserve">B. </w:t>
      </w:r>
      <w:r>
        <w:t>Explain the observer’s role and purpose and obtain informed consent from the affected clients before the observer enters, while preserving the option to decline without penalty.</w:t>
      </w:r>
    </w:p>
    <w:p>
      <w:pPr>
        <w:keepNext/>
        <w:ind w:left="317" w:hanging="317"/>
      </w:pPr>
      <w:r>
        <w:rPr>
          <w:b/>
        </w:rPr>
        <w:t xml:space="preserve">C. </w:t>
      </w:r>
      <w:r>
        <w:t>Ask for consent after the session so the group discussion remains natural.</w:t>
      </w:r>
    </w:p>
    <w:p>
      <w:pPr>
        <w:keepNext/>
        <w:ind w:left="317" w:hanging="317"/>
      </w:pPr>
      <w:r>
        <w:rPr>
          <w:b/>
        </w:rPr>
        <w:t xml:space="preserve">D. </w:t>
      </w:r>
      <w:r>
        <w:t>Tell members that attendance is required to continue receiving services.</w:t>
      </w:r>
    </w:p>
    <w:p>
      <w:pPr>
        <w:spacing w:after="160"/>
      </w:pPr>
      <w:r>
        <w:rPr>
          <w:color w:val="4B4B4B"/>
          <w:sz w:val="18"/>
        </w:rPr>
        <w:t>Answer: ______    Confidence: ☐ 1 Guess  ☐ 2 Low  ☐ 3 Moderate  ☐ 4 High    Review: ☐</w:t>
      </w:r>
    </w:p>
    <w:p>
      <w:pPr>
        <w:keepNext/>
        <w:spacing w:before="140"/>
      </w:pPr>
      <w:r>
        <w:rPr>
          <w:b/>
        </w:rPr>
        <w:t>42. During telehealth, a client reports an active suicide plan but refuses to state the current location. What should the LCSW do FIRST?</w:t>
      </w:r>
    </w:p>
    <w:p>
      <w:pPr>
        <w:keepNext/>
        <w:ind w:left="317" w:hanging="317"/>
      </w:pPr>
      <w:r>
        <w:rPr>
          <w:b/>
        </w:rPr>
        <w:t xml:space="preserve">A. </w:t>
      </w:r>
      <w:r>
        <w:t>End the connection because the location requirement was not followed.</w:t>
      </w:r>
    </w:p>
    <w:p>
      <w:pPr>
        <w:keepNext/>
        <w:ind w:left="317" w:hanging="317"/>
      </w:pPr>
      <w:r>
        <w:rPr>
          <w:b/>
        </w:rPr>
        <w:t xml:space="preserve">B. </w:t>
      </w:r>
      <w:r>
        <w:t>Promise absolute confidentiality so the client will continue talking.</w:t>
      </w:r>
    </w:p>
    <w:p>
      <w:pPr>
        <w:keepNext/>
        <w:ind w:left="317" w:hanging="317"/>
      </w:pPr>
      <w:r>
        <w:rPr>
          <w:b/>
        </w:rPr>
        <w:t xml:space="preserve">C. </w:t>
      </w:r>
      <w:r>
        <w:t>Maintain engagement, attempt to obtain the client’s location and immediate safety information, use available emergency contacts and resources as necessary, and document the response.</w:t>
      </w:r>
    </w:p>
    <w:p>
      <w:pPr>
        <w:keepNext/>
        <w:ind w:left="317" w:hanging="317"/>
      </w:pPr>
      <w:r>
        <w:rPr>
          <w:b/>
        </w:rPr>
        <w:t xml:space="preserve">D. </w:t>
      </w:r>
      <w:r>
        <w:t>Wait until the next session because emergency action is impossible without voluntary location disclosure.</w:t>
      </w:r>
    </w:p>
    <w:p>
      <w:pPr>
        <w:spacing w:after="160"/>
      </w:pPr>
      <w:r>
        <w:rPr>
          <w:color w:val="4B4B4B"/>
          <w:sz w:val="18"/>
        </w:rPr>
        <w:t>Answer: ______    Confidence: ☐ 1 Guess  ☐ 2 Low  ☐ 3 Moderate  ☐ 4 High    Review: ☐</w:t>
      </w:r>
    </w:p>
    <w:p>
      <w:pPr>
        <w:keepNext/>
        <w:spacing w:before="140"/>
      </w:pPr>
      <w:r>
        <w:rPr>
          <w:b/>
        </w:rPr>
        <w:t>43. An LCSW overhears staff discussing identifiable client information in a public elevator. What is the appropriate response?</w:t>
      </w:r>
    </w:p>
    <w:p>
      <w:pPr>
        <w:keepNext/>
        <w:ind w:left="317" w:hanging="317"/>
      </w:pPr>
      <w:r>
        <w:rPr>
          <w:b/>
        </w:rPr>
        <w:t xml:space="preserve">A. </w:t>
      </w:r>
      <w:r>
        <w:t>Join the discussion so the information is clinically accurate.</w:t>
      </w:r>
    </w:p>
    <w:p>
      <w:pPr>
        <w:keepNext/>
        <w:ind w:left="317" w:hanging="317"/>
      </w:pPr>
      <w:r>
        <w:rPr>
          <w:b/>
        </w:rPr>
        <w:t xml:space="preserve">B. </w:t>
      </w:r>
      <w:r>
        <w:t>Ignore it because the speakers work for the same organization.</w:t>
      </w:r>
    </w:p>
    <w:p>
      <w:pPr>
        <w:keepNext/>
        <w:ind w:left="317" w:hanging="317"/>
      </w:pPr>
      <w:r>
        <w:rPr>
          <w:b/>
        </w:rPr>
        <w:t xml:space="preserve">C. </w:t>
      </w:r>
      <w:r>
        <w:t>Post the staff members’ names online to warn the public.</w:t>
      </w:r>
    </w:p>
    <w:p>
      <w:pPr>
        <w:keepNext/>
        <w:ind w:left="317" w:hanging="317"/>
      </w:pPr>
      <w:r>
        <w:rPr>
          <w:b/>
        </w:rPr>
        <w:t xml:space="preserve">D. </w:t>
      </w:r>
      <w:r>
        <w:t>Stop or redirect the disclosure, protect the client information, and address the conduct through appropriate supervisory or organizational channels.</w:t>
      </w:r>
    </w:p>
    <w:p>
      <w:pPr>
        <w:spacing w:after="160"/>
      </w:pPr>
      <w:r>
        <w:rPr>
          <w:color w:val="4B4B4B"/>
          <w:sz w:val="18"/>
        </w:rPr>
        <w:t>Answer: ______    Confidence: ☐ 1 Guess  ☐ 2 Low  ☐ 3 Moderate  ☐ 4 High    Review: ☐</w:t>
      </w:r>
    </w:p>
    <w:p>
      <w:pPr>
        <w:keepNext/>
        <w:spacing w:before="140"/>
      </w:pPr>
      <w:r>
        <w:rPr>
          <w:b/>
        </w:rPr>
        <w:t>44. An MSW degree is awarded May 20. The graduate begins otherwise qualifying work at a county agency on May 27, completes the required fingerprinting, and the Board receives a complete ASW application 70 days after the degree. The registration is later issued. Which statement is accurate about the preregistration work?</w:t>
      </w:r>
    </w:p>
    <w:p>
      <w:pPr>
        <w:keepNext/>
        <w:ind w:left="317" w:hanging="317"/>
      </w:pPr>
      <w:r>
        <w:rPr>
          <w:b/>
        </w:rPr>
        <w:t xml:space="preserve">A. </w:t>
      </w:r>
      <w:r>
        <w:t>The otherwise qualifying hours may be credited under the limited 90-day rule if all statutory conditions are met, but the graduate could not work in private practice before the registration was issued.</w:t>
      </w:r>
    </w:p>
    <w:p>
      <w:pPr>
        <w:keepNext/>
        <w:ind w:left="317" w:hanging="317"/>
      </w:pPr>
      <w:r>
        <w:rPr>
          <w:b/>
        </w:rPr>
        <w:t xml:space="preserve">B. </w:t>
      </w:r>
      <w:r>
        <w:t>None of the agency hours can count because every postdegree hour must occur after the registration number is issued.</w:t>
      </w:r>
    </w:p>
    <w:p>
      <w:pPr>
        <w:keepNext/>
        <w:ind w:left="317" w:hanging="317"/>
      </w:pPr>
      <w:r>
        <w:rPr>
          <w:b/>
        </w:rPr>
        <w:t xml:space="preserve">C. </w:t>
      </w:r>
      <w:r>
        <w:t>All work in any setting, including private practice, automatically counts for 90 days after graduation.</w:t>
      </w:r>
    </w:p>
    <w:p>
      <w:pPr>
        <w:keepNext/>
        <w:ind w:left="317" w:hanging="317"/>
      </w:pPr>
      <w:r>
        <w:rPr>
          <w:b/>
        </w:rPr>
        <w:t xml:space="preserve">D. </w:t>
      </w:r>
      <w:r>
        <w:t>The graduate may advertise as a registered ASW during the 90-day period because the application has been submitted.</w:t>
      </w:r>
    </w:p>
    <w:p>
      <w:pPr>
        <w:spacing w:after="160"/>
      </w:pPr>
      <w:r>
        <w:rPr>
          <w:color w:val="4B4B4B"/>
          <w:sz w:val="18"/>
        </w:rPr>
        <w:t>Answer: ______    Confidence: ☐ 1 Guess  ☐ 2 Low  ☐ 3 Moderate  ☐ 4 High    Review: ☐</w:t>
      </w:r>
    </w:p>
    <w:p>
      <w:pPr>
        <w:keepNext/>
        <w:spacing w:before="140"/>
      </w:pPr>
      <w:r>
        <w:rPr>
          <w:b/>
        </w:rPr>
        <w:t>45. An LCSW plans to charge a variable fee based on session length. What is the BEST practice before treatment begins?</w:t>
      </w:r>
    </w:p>
    <w:p>
      <w:pPr>
        <w:keepNext/>
        <w:ind w:left="317" w:hanging="317"/>
      </w:pPr>
      <w:r>
        <w:rPr>
          <w:b/>
        </w:rPr>
        <w:t xml:space="preserve">A. </w:t>
      </w:r>
      <w:r>
        <w:t>Wait until the first bill because financial matters interfere with rapport.</w:t>
      </w:r>
    </w:p>
    <w:p>
      <w:pPr>
        <w:keepNext/>
        <w:ind w:left="317" w:hanging="317"/>
      </w:pPr>
      <w:r>
        <w:rPr>
          <w:b/>
        </w:rPr>
        <w:t xml:space="preserve">B. </w:t>
      </w:r>
      <w:r>
        <w:t>Charge any amount the market permits without discussing the calculation.</w:t>
      </w:r>
    </w:p>
    <w:p>
      <w:pPr>
        <w:keepNext/>
        <w:ind w:left="317" w:hanging="317"/>
      </w:pPr>
      <w:r>
        <w:rPr>
          <w:b/>
        </w:rPr>
        <w:t xml:space="preserve">C. </w:t>
      </w:r>
      <w:r>
        <w:t>Describe the fee only to the insurer because the client is not responsible for informed financial consent.</w:t>
      </w:r>
    </w:p>
    <w:p>
      <w:pPr>
        <w:keepNext/>
        <w:ind w:left="317" w:hanging="317"/>
      </w:pPr>
      <w:r>
        <w:rPr>
          <w:b/>
        </w:rPr>
        <w:t xml:space="preserve">D. </w:t>
      </w:r>
      <w:r>
        <w:t>Explain the fee or the clear basis for computing it, relevant billing policies, and foreseeable changes before treatment and document the agreement.</w:t>
      </w:r>
    </w:p>
    <w:p>
      <w:pPr>
        <w:spacing w:after="160"/>
      </w:pPr>
      <w:r>
        <w:rPr>
          <w:color w:val="4B4B4B"/>
          <w:sz w:val="18"/>
        </w:rPr>
        <w:t>Answer: ______    Confidence: ☐ 1 Guess  ☐ 2 Low  ☐ 3 Moderate  ☐ 4 High    Review: ☐</w:t>
      </w:r>
    </w:p>
    <w:p>
      <w:pPr>
        <w:keepNext/>
        <w:spacing w:before="140"/>
      </w:pPr>
      <w:r>
        <w:rPr>
          <w:b/>
        </w:rPr>
        <w:t>46. An LCSW with new cognitive symptoms insists on maintaining a full crisis caseload and refuses evaluation. Which response is BEST for a clinical director?</w:t>
      </w:r>
    </w:p>
    <w:p>
      <w:pPr>
        <w:keepNext/>
        <w:ind w:left="317" w:hanging="317"/>
      </w:pPr>
      <w:r>
        <w:rPr>
          <w:b/>
        </w:rPr>
        <w:t xml:space="preserve">A. </w:t>
      </w:r>
      <w:r>
        <w:t>Allow unrestricted practice until a client files a complaint.</w:t>
      </w:r>
    </w:p>
    <w:p>
      <w:pPr>
        <w:keepNext/>
        <w:ind w:left="317" w:hanging="317"/>
      </w:pPr>
      <w:r>
        <w:rPr>
          <w:b/>
        </w:rPr>
        <w:t xml:space="preserve">B. </w:t>
      </w:r>
      <w:r>
        <w:t>Prioritize client welfare by assessing performance, arranging appropriate coverage or restrictions, documenting objective concerns, and using employment, consultation, and impairment procedures while supporting remediation.</w:t>
      </w:r>
    </w:p>
    <w:p>
      <w:pPr>
        <w:keepNext/>
        <w:ind w:left="317" w:hanging="317"/>
      </w:pPr>
      <w:r>
        <w:rPr>
          <w:b/>
        </w:rPr>
        <w:t xml:space="preserve">C. </w:t>
      </w:r>
      <w:r>
        <w:t>Announce the suspected diagnosis to staff and clients before obtaining facts.</w:t>
      </w:r>
    </w:p>
    <w:p>
      <w:pPr>
        <w:keepNext/>
        <w:ind w:left="317" w:hanging="317"/>
      </w:pPr>
      <w:r>
        <w:rPr>
          <w:b/>
        </w:rPr>
        <w:t xml:space="preserve">D. </w:t>
      </w:r>
      <w:r>
        <w:t>Terminate every client relationship immediately without continuity planning.</w:t>
      </w:r>
    </w:p>
    <w:p>
      <w:pPr>
        <w:spacing w:after="160"/>
      </w:pPr>
      <w:r>
        <w:rPr>
          <w:color w:val="4B4B4B"/>
          <w:sz w:val="18"/>
        </w:rPr>
        <w:t>Answer: ______    Confidence: ☐ 1 Guess  ☐ 2 Low  ☐ 3 Moderate  ☐ 4 High    Review: ☐</w:t>
      </w:r>
    </w:p>
    <w:p>
      <w:pPr>
        <w:keepNext/>
        <w:spacing w:before="140"/>
      </w:pPr>
      <w:r>
        <w:rPr>
          <w:b/>
        </w:rPr>
        <w:t>47. A supervisor concludes that future ASW hours will not be signed because of a correctable performance problem. What should occur NEXT?</w:t>
      </w:r>
    </w:p>
    <w:p>
      <w:pPr>
        <w:keepNext/>
        <w:ind w:left="317" w:hanging="317"/>
      </w:pPr>
      <w:r>
        <w:rPr>
          <w:b/>
        </w:rPr>
        <w:t xml:space="preserve">A. </w:t>
      </w:r>
      <w:r>
        <w:t>Retroactively erase all previously signed weekly logs without reviewing the actual hours.</w:t>
      </w:r>
    </w:p>
    <w:p>
      <w:pPr>
        <w:keepNext/>
        <w:ind w:left="317" w:hanging="317"/>
      </w:pPr>
      <w:r>
        <w:rPr>
          <w:b/>
        </w:rPr>
        <w:t xml:space="preserve">B. </w:t>
      </w:r>
      <w:r>
        <w:t>Withhold every explanation so the ASW cannot challenge the supervisor’s judgment.</w:t>
      </w:r>
    </w:p>
    <w:p>
      <w:pPr>
        <w:keepNext/>
        <w:ind w:left="317" w:hanging="317"/>
      </w:pPr>
      <w:r>
        <w:rPr>
          <w:b/>
        </w:rPr>
        <w:t xml:space="preserve">C. </w:t>
      </w:r>
      <w:r>
        <w:t>Give the required prior written notice for future hours, identify the performance basis and expectations, protect current clients, document remediation, and distinguish future-hour decisions from verification of hours already completed.</w:t>
      </w:r>
    </w:p>
    <w:p>
      <w:pPr>
        <w:keepNext/>
        <w:ind w:left="317" w:hanging="317"/>
      </w:pPr>
      <w:r>
        <w:rPr>
          <w:b/>
        </w:rPr>
        <w:t xml:space="preserve">D. </w:t>
      </w:r>
      <w:r>
        <w:t>Continue signing indefinitely because negative evaluation is never permitted.</w:t>
      </w:r>
    </w:p>
    <w:p>
      <w:pPr>
        <w:spacing w:after="160"/>
      </w:pPr>
      <w:r>
        <w:rPr>
          <w:color w:val="4B4B4B"/>
          <w:sz w:val="18"/>
        </w:rPr>
        <w:t>Answer: ______    Confidence: ☐ 1 Guess  ☐ 2 Low  ☐ 3 Moderate  ☐ 4 High    Review: ☐</w:t>
      </w:r>
    </w:p>
    <w:p>
      <w:pPr>
        <w:keepNext/>
        <w:spacing w:before="140"/>
      </w:pPr>
      <w:r>
        <w:rPr>
          <w:b/>
        </w:rPr>
        <w:t>48. An LCSW wants to use an immersive virtual-reality intervention that the clinician has never studied. Which response is MOST appropriate?</w:t>
      </w:r>
    </w:p>
    <w:p>
      <w:pPr>
        <w:keepNext/>
        <w:ind w:left="317" w:hanging="317"/>
      </w:pPr>
      <w:r>
        <w:rPr>
          <w:b/>
        </w:rPr>
        <w:t xml:space="preserve">A. </w:t>
      </w:r>
      <w:r>
        <w:t>Use it immediately because technology companies are responsible for clinical safety.</w:t>
      </w:r>
    </w:p>
    <w:p>
      <w:pPr>
        <w:keepNext/>
        <w:ind w:left="317" w:hanging="317"/>
      </w:pPr>
      <w:r>
        <w:rPr>
          <w:b/>
        </w:rPr>
        <w:t xml:space="preserve">B. </w:t>
      </w:r>
      <w:r>
        <w:t>Ask the client to teach the clinician how the intervention works.</w:t>
      </w:r>
    </w:p>
    <w:p>
      <w:pPr>
        <w:keepNext/>
        <w:ind w:left="317" w:hanging="317"/>
      </w:pPr>
      <w:r>
        <w:rPr>
          <w:b/>
        </w:rPr>
        <w:t xml:space="preserve">C. </w:t>
      </w:r>
      <w:r>
        <w:t>Avoid documenting the intervention until the clinician becomes comfortable with it.</w:t>
      </w:r>
    </w:p>
    <w:p>
      <w:pPr>
        <w:keepNext/>
        <w:ind w:left="317" w:hanging="317"/>
      </w:pPr>
      <w:r>
        <w:rPr>
          <w:b/>
        </w:rPr>
        <w:t xml:space="preserve">D. </w:t>
      </w:r>
      <w:r>
        <w:t>Obtain relevant education and consultation, evaluate evidence and risks, determine client appropriateness and accessibility, and obtain informed consent before using the intervention within demonstrated competence.</w:t>
      </w:r>
    </w:p>
    <w:p>
      <w:pPr>
        <w:spacing w:after="160"/>
      </w:pPr>
      <w:r>
        <w:rPr>
          <w:color w:val="4B4B4B"/>
          <w:sz w:val="18"/>
        </w:rPr>
        <w:t>Answer: ______    Confidence: ☐ 1 Guess  ☐ 2 Low  ☐ 3 Moderate  ☐ 4 High    Review: ☐</w:t>
      </w:r>
    </w:p>
    <w:p>
      <w:pPr>
        <w:keepNext/>
        <w:spacing w:before="140"/>
      </w:pPr>
      <w:r>
        <w:rPr>
          <w:b/>
        </w:rPr>
        <w:t>49. After a thorough assessment, an adult client reports recurring suicidal thoughts but no current intent, plan, means, or inability to maintain safety and asks that family not be contacted. Which response is BEST?</w:t>
      </w:r>
    </w:p>
    <w:p>
      <w:pPr>
        <w:keepNext/>
        <w:ind w:left="317" w:hanging="317"/>
      </w:pPr>
      <w:r>
        <w:rPr>
          <w:b/>
        </w:rPr>
        <w:t xml:space="preserve">A. </w:t>
      </w:r>
      <w:r>
        <w:t>Notify the entire family automatically because any suicidal thought eliminates confidentiality.</w:t>
      </w:r>
    </w:p>
    <w:p>
      <w:pPr>
        <w:keepNext/>
        <w:ind w:left="317" w:hanging="317"/>
      </w:pPr>
      <w:r>
        <w:rPr>
          <w:b/>
        </w:rPr>
        <w:t xml:space="preserve">B. </w:t>
      </w:r>
      <w:r>
        <w:t>Ignore the thoughts because the client denied a current plan.</w:t>
      </w:r>
    </w:p>
    <w:p>
      <w:pPr>
        <w:keepNext/>
        <w:ind w:left="317" w:hanging="317"/>
      </w:pPr>
      <w:r>
        <w:rPr>
          <w:b/>
        </w:rPr>
        <w:t xml:space="preserve">C. </w:t>
      </w:r>
      <w:r>
        <w:t>Continue clinically appropriate assessment and safety planning, discuss supports and follow-up, respect confidentiality absent a sufficient legal or safety basis for disclosure, and document the reasoning.</w:t>
      </w:r>
    </w:p>
    <w:p>
      <w:pPr>
        <w:keepNext/>
        <w:ind w:left="317" w:hanging="317"/>
      </w:pPr>
      <w:r>
        <w:rPr>
          <w:b/>
        </w:rPr>
        <w:t xml:space="preserve">D. </w:t>
      </w:r>
      <w:r>
        <w:t>Terminate treatment because the client declined family involvement.</w:t>
      </w:r>
    </w:p>
    <w:p>
      <w:pPr>
        <w:spacing w:after="160"/>
      </w:pPr>
      <w:r>
        <w:rPr>
          <w:color w:val="4B4B4B"/>
          <w:sz w:val="18"/>
        </w:rPr>
        <w:t>Answer: ______    Confidence: ☐ 1 Guess  ☐ 2 Low  ☐ 3 Moderate  ☐ 4 High    Review: ☐</w:t>
      </w:r>
    </w:p>
    <w:p>
      <w:pPr>
        <w:keepNext/>
        <w:spacing w:before="140"/>
      </w:pPr>
      <w:r>
        <w:rPr>
          <w:b/>
        </w:rPr>
        <w:t>50. A supervisor schedules one two-hour group-supervision meeting for 10 ASWs who are gaining clinical experience. Which response is BEST?</w:t>
      </w:r>
    </w:p>
    <w:p>
      <w:pPr>
        <w:keepNext/>
        <w:ind w:left="317" w:hanging="317"/>
      </w:pPr>
      <w:r>
        <w:rPr>
          <w:b/>
        </w:rPr>
        <w:t xml:space="preserve">A. </w:t>
      </w:r>
      <w:r>
        <w:t>Proceed because the group-size limit applies only to LMFT associates.</w:t>
      </w:r>
    </w:p>
    <w:p>
      <w:pPr>
        <w:keepNext/>
        <w:ind w:left="317" w:hanging="317"/>
      </w:pPr>
      <w:r>
        <w:rPr>
          <w:b/>
        </w:rPr>
        <w:t xml:space="preserve">B. </w:t>
      </w:r>
      <w:r>
        <w:t>Restructure the supervision because a qualifying group-supervision unit is limited to no more than eight supervisees receiving clinical supervision.</w:t>
      </w:r>
    </w:p>
    <w:p>
      <w:pPr>
        <w:keepNext/>
        <w:ind w:left="317" w:hanging="317"/>
      </w:pPr>
      <w:r>
        <w:rPr>
          <w:b/>
        </w:rPr>
        <w:t xml:space="preserve">C. </w:t>
      </w:r>
      <w:r>
        <w:t>Proceed if all 10 ASWs sign a waiver of individual attention.</w:t>
      </w:r>
    </w:p>
    <w:p>
      <w:pPr>
        <w:keepNext/>
        <w:ind w:left="317" w:hanging="317"/>
      </w:pPr>
      <w:r>
        <w:rPr>
          <w:b/>
        </w:rPr>
        <w:t xml:space="preserve">D. </w:t>
      </w:r>
      <w:r>
        <w:t>Count the meeting as individual supervision for the first eight and group supervision for the remaining two.</w:t>
      </w:r>
    </w:p>
    <w:p>
      <w:pPr>
        <w:spacing w:after="160"/>
      </w:pPr>
      <w:r>
        <w:rPr>
          <w:color w:val="4B4B4B"/>
          <w:sz w:val="18"/>
        </w:rPr>
        <w:t>Answer: ______    Confidence: ☐ 1 Guess  ☐ 2 Low  ☐ 3 Moderate  ☐ 4 High    Review: ☐</w:t>
      </w:r>
    </w:p>
    <w:p>
      <w:pPr>
        <w:pStyle w:val="Heading1"/>
      </w:pPr>
      <w:r>
        <w:t>Attempt Completion Record</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17365D"/>
            <w:tcMar>
              <w:top w:w="55" w:type="dxa"/>
              <w:start w:w="65" w:type="dxa"/>
              <w:bottom w:w="55" w:type="dxa"/>
              <w:end w:w="65" w:type="dxa"/>
            </w:tcMar>
            <w:vAlign w:val="center"/>
          </w:tcPr>
          <w:p>
            <w:pPr>
              <w:spacing w:after="0"/>
            </w:pPr>
            <w:r>
              <w:rPr>
                <w:sz w:val="17"/>
              </w:rPr>
            </w:r>
            <w:r>
              <w:rPr>
                <w:b/>
                <w:color w:val="FFFFFF"/>
                <w:sz w:val="17"/>
              </w:rPr>
              <w:t>Field</w:t>
            </w:r>
          </w:p>
        </w:tc>
        <w:tc>
          <w:tcPr>
            <w:tcW w:type="dxa" w:w="5184"/>
            <w:shd w:fill="17365D"/>
            <w:tcMar>
              <w:top w:w="55" w:type="dxa"/>
              <w:start w:w="65" w:type="dxa"/>
              <w:bottom w:w="55" w:type="dxa"/>
              <w:end w:w="65" w:type="dxa"/>
            </w:tcMar>
            <w:vAlign w:val="center"/>
          </w:tcPr>
          <w:p>
            <w:pPr>
              <w:spacing w:after="0"/>
            </w:pPr>
            <w:r>
              <w:rPr>
                <w:sz w:val="17"/>
              </w:rPr>
            </w:r>
            <w:r>
              <w:rPr>
                <w:b/>
                <w:color w:val="FFFFFF"/>
                <w:sz w:val="17"/>
              </w:rPr>
              <w:t>Candidate entry</w:t>
            </w:r>
          </w:p>
        </w:tc>
      </w:tr>
      <w:tr>
        <w:trPr>
          <w:cantSplit/>
        </w:trPr>
        <w:tc>
          <w:tcPr>
            <w:tcW w:type="dxa" w:w="5184"/>
            <w:vAlign w:val="center"/>
            <w:tcMar>
              <w:top w:w="55" w:type="dxa"/>
              <w:start w:w="65" w:type="dxa"/>
              <w:bottom w:w="55" w:type="dxa"/>
              <w:end w:w="65" w:type="dxa"/>
            </w:tcMar>
          </w:tcPr>
          <w:p>
            <w:pPr>
              <w:spacing w:after="0"/>
            </w:pPr>
            <w:r>
              <w:rPr>
                <w:sz w:val="17"/>
              </w:rPr>
              <w:t>Date completed</w:t>
            </w:r>
          </w:p>
        </w:tc>
        <w:tc>
          <w:tcPr>
            <w:tcW w:type="dxa" w:w="5184"/>
            <w:vAlign w:val="center"/>
            <w:tcMar>
              <w:top w:w="55" w:type="dxa"/>
              <w:start w:w="65" w:type="dxa"/>
              <w:bottom w:w="55" w:type="dxa"/>
              <w:end w:w="65" w:type="dxa"/>
            </w:tcMar>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shd w:fill="F2F4F7"/>
          </w:tcPr>
          <w:p>
            <w:pPr>
              <w:spacing w:after="0"/>
            </w:pPr>
            <w:r>
              <w:rPr>
                <w:sz w:val="17"/>
              </w:rPr>
              <w:t>Start time</w:t>
            </w:r>
          </w:p>
        </w:tc>
        <w:tc>
          <w:tcPr>
            <w:tcW w:type="dxa" w:w="5184"/>
            <w:vAlign w:val="center"/>
            <w:tcMar>
              <w:top w:w="55" w:type="dxa"/>
              <w:start w:w="65" w:type="dxa"/>
              <w:bottom w:w="55" w:type="dxa"/>
              <w:end w:w="65" w:type="dxa"/>
            </w:tcMar>
            <w:shd w:fill="F2F4F7"/>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tcPr>
          <w:p>
            <w:pPr>
              <w:spacing w:after="0"/>
            </w:pPr>
            <w:r>
              <w:rPr>
                <w:sz w:val="17"/>
              </w:rPr>
              <w:t>End time</w:t>
            </w:r>
          </w:p>
        </w:tc>
        <w:tc>
          <w:tcPr>
            <w:tcW w:type="dxa" w:w="5184"/>
            <w:vAlign w:val="center"/>
            <w:tcMar>
              <w:top w:w="55" w:type="dxa"/>
              <w:start w:w="65" w:type="dxa"/>
              <w:bottom w:w="55" w:type="dxa"/>
              <w:end w:w="65" w:type="dxa"/>
            </w:tcMar>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shd w:fill="F2F4F7"/>
          </w:tcPr>
          <w:p>
            <w:pPr>
              <w:spacing w:after="0"/>
            </w:pPr>
            <w:r>
              <w:rPr>
                <w:sz w:val="17"/>
              </w:rPr>
              <w:t>Total minutes</w:t>
            </w:r>
          </w:p>
        </w:tc>
        <w:tc>
          <w:tcPr>
            <w:tcW w:type="dxa" w:w="5184"/>
            <w:vAlign w:val="center"/>
            <w:tcMar>
              <w:top w:w="55" w:type="dxa"/>
              <w:start w:w="65" w:type="dxa"/>
              <w:bottom w:w="55" w:type="dxa"/>
              <w:end w:w="65" w:type="dxa"/>
            </w:tcMar>
            <w:shd w:fill="F2F4F7"/>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tcPr>
          <w:p>
            <w:pPr>
              <w:spacing w:after="0"/>
            </w:pPr>
            <w:r>
              <w:rPr>
                <w:sz w:val="17"/>
              </w:rPr>
              <w:t>Practice A score</w:t>
            </w:r>
          </w:p>
        </w:tc>
        <w:tc>
          <w:tcPr>
            <w:tcW w:type="dxa" w:w="5184"/>
            <w:vAlign w:val="center"/>
            <w:tcMar>
              <w:top w:w="55" w:type="dxa"/>
              <w:start w:w="65" w:type="dxa"/>
              <w:bottom w:w="55" w:type="dxa"/>
              <w:end w:w="65" w:type="dxa"/>
            </w:tcMar>
          </w:tcPr>
          <w:p>
            <w:pPr>
              <w:spacing w:after="0"/>
            </w:pPr>
            <w:r>
              <w:rPr>
                <w:sz w:val="17"/>
              </w:rPr>
              <w:t>________ / 50</w:t>
            </w:r>
          </w:p>
        </w:tc>
      </w:tr>
      <w:tr>
        <w:trPr>
          <w:cantSplit/>
        </w:trPr>
        <w:tc>
          <w:tcPr>
            <w:tcW w:type="dxa" w:w="5184"/>
            <w:vAlign w:val="center"/>
            <w:tcMar>
              <w:top w:w="55" w:type="dxa"/>
              <w:start w:w="65" w:type="dxa"/>
              <w:bottom w:w="55" w:type="dxa"/>
              <w:end w:w="65" w:type="dxa"/>
            </w:tcMar>
            <w:shd w:fill="F2F4F7"/>
          </w:tcPr>
          <w:p>
            <w:pPr>
              <w:spacing w:after="0"/>
            </w:pPr>
            <w:r>
              <w:rPr>
                <w:sz w:val="17"/>
              </w:rPr>
              <w:t>Practice B first-attempt score</w:t>
            </w:r>
          </w:p>
        </w:tc>
        <w:tc>
          <w:tcPr>
            <w:tcW w:type="dxa" w:w="5184"/>
            <w:vAlign w:val="center"/>
            <w:tcMar>
              <w:top w:w="55" w:type="dxa"/>
              <w:start w:w="65" w:type="dxa"/>
              <w:bottom w:w="55" w:type="dxa"/>
              <w:end w:w="65" w:type="dxa"/>
            </w:tcMar>
            <w:shd w:fill="F2F4F7"/>
          </w:tcPr>
          <w:p>
            <w:pPr>
              <w:spacing w:after="0"/>
            </w:pPr>
            <w:r>
              <w:rPr>
                <w:sz w:val="17"/>
              </w:rPr>
              <w:t>________ / 50</w:t>
            </w:r>
          </w:p>
        </w:tc>
      </w:tr>
      <w:tr>
        <w:trPr>
          <w:cantSplit/>
        </w:trPr>
        <w:tc>
          <w:tcPr>
            <w:tcW w:type="dxa" w:w="5184"/>
            <w:vAlign w:val="center"/>
            <w:tcMar>
              <w:top w:w="55" w:type="dxa"/>
              <w:start w:w="65" w:type="dxa"/>
              <w:bottom w:w="55" w:type="dxa"/>
              <w:end w:w="65" w:type="dxa"/>
            </w:tcMar>
          </w:tcPr>
          <w:p>
            <w:pPr>
              <w:spacing w:after="0"/>
            </w:pPr>
            <w:r>
              <w:rPr>
                <w:sz w:val="17"/>
              </w:rPr>
              <w:t>Questions marked for review</w:t>
            </w:r>
          </w:p>
        </w:tc>
        <w:tc>
          <w:tcPr>
            <w:tcW w:type="dxa" w:w="5184"/>
            <w:vAlign w:val="center"/>
            <w:tcMar>
              <w:top w:w="55" w:type="dxa"/>
              <w:start w:w="65" w:type="dxa"/>
              <w:bottom w:w="55" w:type="dxa"/>
              <w:end w:w="65" w:type="dxa"/>
            </w:tcMar>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shd w:fill="F2F4F7"/>
          </w:tcPr>
          <w:p>
            <w:pPr>
              <w:spacing w:after="0"/>
            </w:pPr>
            <w:r>
              <w:rPr>
                <w:sz w:val="17"/>
              </w:rPr>
              <w:t>High-confidence incorrect items</w:t>
            </w:r>
          </w:p>
        </w:tc>
        <w:tc>
          <w:tcPr>
            <w:tcW w:type="dxa" w:w="5184"/>
            <w:vAlign w:val="center"/>
            <w:tcMar>
              <w:top w:w="55" w:type="dxa"/>
              <w:start w:w="65" w:type="dxa"/>
              <w:bottom w:w="55" w:type="dxa"/>
              <w:end w:w="65" w:type="dxa"/>
            </w:tcMar>
            <w:shd w:fill="F2F4F7"/>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tcPr>
          <w:p>
            <w:pPr>
              <w:spacing w:after="0"/>
            </w:pPr>
            <w:r>
              <w:rPr>
                <w:sz w:val="17"/>
              </w:rPr>
              <w:t>Low-confidence correct items</w:t>
            </w:r>
          </w:p>
        </w:tc>
        <w:tc>
          <w:tcPr>
            <w:tcW w:type="dxa" w:w="5184"/>
            <w:vAlign w:val="center"/>
            <w:tcMar>
              <w:top w:w="55" w:type="dxa"/>
              <w:start w:w="65" w:type="dxa"/>
              <w:bottom w:w="55" w:type="dxa"/>
              <w:end w:w="65" w:type="dxa"/>
            </w:tcMar>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shd w:fill="F2F4F7"/>
          </w:tcPr>
          <w:p>
            <w:pPr>
              <w:spacing w:after="0"/>
            </w:pPr>
            <w:r>
              <w:rPr>
                <w:sz w:val="17"/>
              </w:rPr>
              <w:t>Primary transfer-remediation priorities</w:t>
            </w:r>
          </w:p>
        </w:tc>
        <w:tc>
          <w:tcPr>
            <w:tcW w:type="dxa" w:w="5184"/>
            <w:vAlign w:val="center"/>
            <w:tcMar>
              <w:top w:w="55" w:type="dxa"/>
              <w:start w:w="65" w:type="dxa"/>
              <w:bottom w:w="55" w:type="dxa"/>
              <w:end w:w="65" w:type="dxa"/>
            </w:tcMar>
            <w:shd w:fill="F2F4F7"/>
          </w:tcPr>
          <w:p>
            <w:pPr>
              <w:spacing w:after="0"/>
            </w:pPr>
            <w:r>
              <w:rPr>
                <w:sz w:val="17"/>
              </w:rPr>
              <w:t>____________________________</w:t>
            </w:r>
          </w:p>
        </w:tc>
      </w:tr>
    </w:tbl>
    <w:p>
      <w:pPr>
        <w:pStyle w:val="Heading1"/>
      </w:pPr>
      <w:r>
        <w:t>Post-Attempt Review Sequence</w:t>
      </w:r>
    </w:p>
    <w:p>
      <w:pPr>
        <w:pStyle w:val="ListNumber"/>
      </w:pPr>
      <w:r>
        <w:t>Score the attempt using the separate controlled key only after the first attempt is preserved.</w:t>
      </w:r>
    </w:p>
    <w:p>
      <w:pPr>
        <w:pStyle w:val="ListNumber"/>
      </w:pPr>
      <w:r>
        <w:t>Read the correct rationale and all three alternative rationales for every missed or low-confidence item.</w:t>
      </w:r>
    </w:p>
    <w:p>
      <w:pPr>
        <w:pStyle w:val="ListNumber"/>
      </w:pPr>
      <w:r>
        <w:t>Use the separate Learner Performance and Remediation Workbook to compare Practice A and Practice B by domain, confidence, construction, and error pattern.</w:t>
      </w:r>
    </w:p>
    <w:p>
      <w:pPr>
        <w:pStyle w:val="ListNumber"/>
      </w:pPr>
      <w:r>
        <w:t>Return to the mapped module or workbook and complete the assigned cards or toolkit exercise.</w:t>
      </w:r>
    </w:p>
    <w:p>
      <w:pPr>
        <w:pStyle w:val="ListNumber"/>
      </w:pPr>
      <w:r>
        <w:t>Restate the governing rule and explain why the strongest distractor fails before delayed reassessment.</w:t>
      </w:r>
    </w:p>
    <w:p>
      <w:pPr>
        <w:pStyle w:val="Heading1"/>
      </w:pPr>
      <w:r>
        <w:t>Assessment Boundary</w:t>
      </w:r>
    </w:p>
    <w:p>
      <w:r>
        <w:rPr>
          <w:b/>
        </w:rPr>
        <w:t xml:space="preserve">This is a CTA exam-preparation instrument, not the official California Law and Ethics Examination. </w:t>
      </w:r>
      <w:r>
        <w:t>No CTA score, band, timing target, or readiness label is the official passing score, a licensing decision, or a guarantee of examination performance.</w:t>
      </w:r>
    </w:p>
    <w:sectPr w:rsidR="00FC693F" w:rsidRPr="0006063C" w:rsidSect="00034616">
      <w:headerReference w:type="default" r:id="rId9"/>
      <w:footerReference w:type="default" r:id="rId10"/>
      <w:pgSz w:w="12240" w:h="15840"/>
      <w:pgMar w:top="749" w:right="936" w:bottom="74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CTA-EP-002 | Practice Examination B Candidate Booklet v1.3 | Exam Preparation Only | No CE Credit | Page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AA6A6"/>
      </w:pBdr>
    </w:pPr>
    <w:r>
      <w:drawing>
        <wp:inline xmlns:a="http://schemas.openxmlformats.org/drawingml/2006/main" xmlns:pic="http://schemas.openxmlformats.org/drawingml/2006/picture">
          <wp:extent cx="1828800" cy="1257905"/>
          <wp:docPr id="1" name="Picture 1" descr="Image: item1.xml"/>
          <wp:cNvGraphicFramePr>
            <a:graphicFrameLocks noChangeAspect="1"/>
          </wp:cNvGraphicFramePr>
          <a:graphic>
            <a:graphicData uri="http://schemas.openxmlformats.org/drawingml/2006/picture">
              <pic:pic>
                <pic:nvPicPr>
                  <pic:cNvPr id="0" name="Primary Horizontal Logo.png"/>
                  <pic:cNvPicPr/>
                </pic:nvPicPr>
                <pic:blipFill>
                  <a:blip r:embed="rId1"/>
                  <a:stretch>
                    <a:fillRect/>
                  </a:stretch>
                </pic:blipFill>
                <pic:spPr>
                  <a:xfrm>
                    <a:off x="0" y="0"/>
                    <a:ext cx="1828800" cy="125790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A6A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Law and Ethics EP Practice Examination B 50-Question Candidate Booklet v1.2</dc:title>
  <dc:subject>Answer-hidden transfer-focused LCSW/ASW California Law and Ethics practice examination</dc:subject>
  <dc:creator>Clinical Training and Supervision Academy</dc:creator>
  <cp:keywords>CTA-EP-002, LCSW, ASW, California Law and Ethics, Practice Examination B, version 1.1</cp:keywords>
  <dc:description>generated by python-docx</dc:description>
  <cp:lastModifiedBy/>
  <cp:revision>1</cp:revision>
  <dcterms:created xsi:type="dcterms:W3CDTF">2013-12-23T23:15:00Z</dcterms:created>
  <dcterms:modified xsi:type="dcterms:W3CDTF">2013-12-23T23:15:00Z</dcterms:modified>
  <cp:category/>
</cp:coreProperties>
</file>