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A6A6"/>
          <w:sz w:val="23"/>
        </w:rPr>
        <w:t>CONTROLLED | CALIFORNIA LAW &amp; ETHICS EXAM PREPARATION</w:t>
      </w:r>
    </w:p>
    <w:p>
      <w:pPr>
        <w:jc w:val="center"/>
      </w:pPr>
      <w:r>
        <w:rPr>
          <w:b/>
          <w:color w:val="17365D"/>
          <w:sz w:val="40"/>
        </w:rPr>
        <w:t>CTA LCSW California Law &amp; Ethics</w:t>
        <w:br/>
        <w:t>Exam Preparation Program</w:t>
      </w:r>
    </w:p>
    <w:p>
      <w:pPr>
        <w:jc w:val="center"/>
      </w:pPr>
      <w:r>
        <w:rPr>
          <w:b/>
          <w:color w:val="17365D"/>
          <w:sz w:val="34"/>
        </w:rPr>
        <w:t>Practice Examination B</w:t>
        <w:br/>
        <w:t>Controlled Answer Key and Detailed Rationales</w:t>
      </w:r>
    </w:p>
    <w:p>
      <w:pPr>
        <w:jc w:val="center"/>
      </w:pPr>
      <w:r>
        <w:rPr>
          <w:b/>
          <w:sz w:val="24"/>
        </w:rPr>
        <w:t>50 Released Questions | 200 Option Rationales</w:t>
      </w:r>
    </w:p>
    <w:p>
      <w:pPr>
        <w:jc w:val="center"/>
      </w:pPr>
      <w:r>
        <w:t>CTA-EP-002 | Version 1.3 | August 7, 2026</w:t>
      </w:r>
    </w:p>
    <w:p>
      <w:pPr>
        <w:jc w:val="center"/>
      </w:pPr>
      <w:r>
        <w:rPr>
          <w:i/>
          <w:color w:val="1AA6A6"/>
        </w:rPr>
        <w:t>Teaching Clinicians How to Think.</w:t>
      </w:r>
    </w:p>
    <w:tbl>
      <w:tblPr>
        <w:tblStyle w:val="TableGrid"/>
        <w:tblW w:type="auto" w:w="0"/>
        <w:jc w:val="center"/>
        <w:tblLook w:firstColumn="1" w:firstRow="1" w:lastColumn="0" w:lastRow="0" w:noHBand="0" w:noVBand="1" w:val="04A0"/>
      </w:tblPr>
      <w:tblGrid>
        <w:gridCol w:w="10454"/>
      </w:tblGrid>
      <w:tr>
        <w:trPr>
          <w:cantSplit/>
          <w:tblHeader/>
        </w:trPr>
        <w:tc>
          <w:tcPr>
            <w:tcW w:type="dxa" w:w="10454"/>
            <w:shd w:fill="EAF7F7"/>
            <w:tcMar>
              <w:top w:w="55" w:type="dxa"/>
              <w:start w:w="65" w:type="dxa"/>
              <w:bottom w:w="55" w:type="dxa"/>
              <w:end w:w="65" w:type="dxa"/>
            </w:tcMar>
            <w:vAlign w:val="center"/>
          </w:tcPr>
          <w:p>
            <w:pPr>
              <w:spacing w:after="0"/>
            </w:pPr>
            <w:r>
              <w:t>DETAILED RATIONALE STUDY EDITION</w:t>
              <w:br/>
              <w:t>Recommended for post-attempt learner review. Keep this printable rationale file accessible from enrollment; do not apply a prerequisite, score, or completion lock. This file contains correct answers, detailed rationales, and internal source/remediation controls.</w:t>
            </w:r>
          </w:p>
        </w:tc>
      </w:tr>
    </w:tbl>
    <w:p>
      <w:pPr>
        <w:pStyle w:val="Heading1"/>
      </w:pPr>
      <w:r>
        <w:t>Document Control</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5227"/>
            <w:shd w:fill="17365D"/>
            <w:tcMar>
              <w:top w:w="55" w:type="dxa"/>
              <w:start w:w="65" w:type="dxa"/>
              <w:bottom w:w="55" w:type="dxa"/>
              <w:end w:w="65" w:type="dxa"/>
            </w:tcMar>
            <w:vAlign w:val="center"/>
          </w:tcPr>
          <w:p>
            <w:pPr>
              <w:spacing w:after="0"/>
            </w:pPr>
            <w:r>
              <w:rPr>
                <w:sz w:val="16"/>
              </w:rPr>
            </w:r>
            <w:r>
              <w:rPr>
                <w:b/>
                <w:color w:val="FFFFFF"/>
                <w:sz w:val="16"/>
              </w:rPr>
              <w:t>Field</w:t>
            </w:r>
          </w:p>
        </w:tc>
        <w:tc>
          <w:tcPr>
            <w:tcW w:type="dxa" w:w="5227"/>
            <w:shd w:fill="17365D"/>
            <w:tcMar>
              <w:top w:w="55" w:type="dxa"/>
              <w:start w:w="65" w:type="dxa"/>
              <w:bottom w:w="55" w:type="dxa"/>
              <w:end w:w="65" w:type="dxa"/>
            </w:tcMar>
            <w:vAlign w:val="center"/>
          </w:tcPr>
          <w:p>
            <w:pPr>
              <w:spacing w:after="0"/>
            </w:pPr>
            <w:r>
              <w:rPr>
                <w:sz w:val="16"/>
              </w:rPr>
            </w:r>
            <w:r>
              <w:rPr>
                <w:b/>
                <w:color w:val="FFFFFF"/>
                <w:sz w:val="16"/>
              </w:rPr>
              <w:t>Controlling entry</w:t>
            </w:r>
          </w:p>
        </w:tc>
      </w:tr>
      <w:tr>
        <w:trPr>
          <w:cantSplit/>
        </w:trPr>
        <w:tc>
          <w:tcPr>
            <w:tcW w:type="dxa" w:w="5227"/>
            <w:vAlign w:val="center"/>
            <w:tcMar>
              <w:top w:w="55" w:type="dxa"/>
              <w:start w:w="65" w:type="dxa"/>
              <w:bottom w:w="55" w:type="dxa"/>
              <w:end w:w="65" w:type="dxa"/>
            </w:tcMar>
          </w:tcPr>
          <w:p>
            <w:pPr>
              <w:spacing w:after="0"/>
            </w:pPr>
            <w:r>
              <w:rPr>
                <w:sz w:val="16"/>
              </w:rPr>
              <w:t>Program</w:t>
            </w:r>
          </w:p>
        </w:tc>
        <w:tc>
          <w:tcPr>
            <w:tcW w:type="dxa" w:w="5227"/>
            <w:vAlign w:val="center"/>
            <w:tcMar>
              <w:top w:w="55" w:type="dxa"/>
              <w:start w:w="65" w:type="dxa"/>
              <w:bottom w:w="55" w:type="dxa"/>
              <w:end w:w="65" w:type="dxa"/>
            </w:tcMar>
          </w:tcPr>
          <w:p>
            <w:pPr>
              <w:spacing w:after="0"/>
            </w:pPr>
            <w:r>
              <w:rPr>
                <w:sz w:val="16"/>
              </w:rPr>
              <w:t>CTA LCSW California Law &amp; Ethics Exam Preparation Program</w:t>
            </w:r>
          </w:p>
        </w:tc>
      </w:tr>
      <w:tr>
        <w:trPr>
          <w:cantSplit/>
        </w:trPr>
        <w:tc>
          <w:tcPr>
            <w:tcW w:type="dxa" w:w="5227"/>
            <w:vAlign w:val="center"/>
            <w:tcMar>
              <w:top w:w="55" w:type="dxa"/>
              <w:start w:w="65" w:type="dxa"/>
              <w:bottom w:w="55" w:type="dxa"/>
              <w:end w:w="65" w:type="dxa"/>
            </w:tcMar>
            <w:shd w:fill="F2F4F7"/>
          </w:tcPr>
          <w:p>
            <w:pPr>
              <w:spacing w:after="0"/>
            </w:pPr>
            <w:r>
              <w:rPr>
                <w:sz w:val="16"/>
              </w:rPr>
              <w:t>Program code</w:t>
            </w:r>
          </w:p>
        </w:tc>
        <w:tc>
          <w:tcPr>
            <w:tcW w:type="dxa" w:w="5227"/>
            <w:vAlign w:val="center"/>
            <w:tcMar>
              <w:top w:w="55" w:type="dxa"/>
              <w:start w:w="65" w:type="dxa"/>
              <w:bottom w:w="55" w:type="dxa"/>
              <w:end w:w="65" w:type="dxa"/>
            </w:tcMar>
            <w:shd w:fill="F2F4F7"/>
          </w:tcPr>
          <w:p>
            <w:pPr>
              <w:spacing w:after="0"/>
            </w:pPr>
            <w:r>
              <w:rPr>
                <w:sz w:val="16"/>
              </w:rPr>
              <w:t>CTA-EP-002</w:t>
            </w:r>
          </w:p>
        </w:tc>
      </w:tr>
      <w:tr>
        <w:trPr>
          <w:cantSplit/>
        </w:trPr>
        <w:tc>
          <w:tcPr>
            <w:tcW w:type="dxa" w:w="5227"/>
            <w:vAlign w:val="center"/>
            <w:tcMar>
              <w:top w:w="55" w:type="dxa"/>
              <w:start w:w="65" w:type="dxa"/>
              <w:bottom w:w="55" w:type="dxa"/>
              <w:end w:w="65" w:type="dxa"/>
            </w:tcMar>
          </w:tcPr>
          <w:p>
            <w:pPr>
              <w:spacing w:after="0"/>
            </w:pPr>
            <w:r>
              <w:rPr>
                <w:sz w:val="16"/>
              </w:rPr>
              <w:t>Component</w:t>
            </w:r>
          </w:p>
        </w:tc>
        <w:tc>
          <w:tcPr>
            <w:tcW w:type="dxa" w:w="5227"/>
            <w:vAlign w:val="center"/>
            <w:tcMar>
              <w:top w:w="55" w:type="dxa"/>
              <w:start w:w="65" w:type="dxa"/>
              <w:bottom w:w="55" w:type="dxa"/>
              <w:end w:w="65" w:type="dxa"/>
            </w:tcMar>
          </w:tcPr>
          <w:p>
            <w:pPr>
              <w:spacing w:after="0"/>
            </w:pPr>
            <w:r>
              <w:rPr>
                <w:sz w:val="16"/>
              </w:rPr>
              <w:t>Practice Examination B - 50-question controlled answer key and detailed rationales</w:t>
            </w:r>
          </w:p>
        </w:tc>
      </w:tr>
      <w:tr>
        <w:trPr>
          <w:cantSplit/>
        </w:trPr>
        <w:tc>
          <w:tcPr>
            <w:tcW w:type="dxa" w:w="5227"/>
            <w:vAlign w:val="center"/>
            <w:tcMar>
              <w:top w:w="55" w:type="dxa"/>
              <w:start w:w="65" w:type="dxa"/>
              <w:bottom w:w="55" w:type="dxa"/>
              <w:end w:w="65" w:type="dxa"/>
            </w:tcMar>
            <w:shd w:fill="F2F4F7"/>
          </w:tcPr>
          <w:p>
            <w:pPr>
              <w:spacing w:after="0"/>
            </w:pPr>
            <w:r>
              <w:rPr>
                <w:sz w:val="16"/>
              </w:rPr>
              <w:t>Item IDs</w:t>
            </w:r>
          </w:p>
        </w:tc>
        <w:tc>
          <w:tcPr>
            <w:tcW w:type="dxa" w:w="5227"/>
            <w:vAlign w:val="center"/>
            <w:tcMar>
              <w:top w:w="55" w:type="dxa"/>
              <w:start w:w="65" w:type="dxa"/>
              <w:bottom w:w="55" w:type="dxa"/>
              <w:end w:w="65" w:type="dxa"/>
            </w:tcMar>
            <w:shd w:fill="F2F4F7"/>
          </w:tcPr>
          <w:p>
            <w:pPr>
              <w:spacing w:after="0"/>
            </w:pPr>
            <w:r>
              <w:rPr>
                <w:sz w:val="16"/>
              </w:rPr>
              <w:t>CTA-EP-002-CUM-B-001 through CTA-EP-002-CUM-B-050</w:t>
            </w:r>
          </w:p>
        </w:tc>
      </w:tr>
      <w:tr>
        <w:trPr>
          <w:cantSplit/>
        </w:trPr>
        <w:tc>
          <w:tcPr>
            <w:tcW w:type="dxa" w:w="5227"/>
            <w:vAlign w:val="center"/>
            <w:tcMar>
              <w:top w:w="55" w:type="dxa"/>
              <w:start w:w="65" w:type="dxa"/>
              <w:bottom w:w="55" w:type="dxa"/>
              <w:end w:w="65" w:type="dxa"/>
            </w:tcMar>
          </w:tcPr>
          <w:p>
            <w:pPr>
              <w:spacing w:after="0"/>
            </w:pPr>
            <w:r>
              <w:rPr>
                <w:sz w:val="16"/>
              </w:rPr>
              <w:t>Release rule</w:t>
            </w:r>
          </w:p>
        </w:tc>
        <w:tc>
          <w:tcPr>
            <w:tcW w:type="dxa" w:w="5227"/>
            <w:vAlign w:val="center"/>
            <w:tcMar>
              <w:top w:w="55" w:type="dxa"/>
              <w:start w:w="65" w:type="dxa"/>
              <w:bottom w:w="55" w:type="dxa"/>
              <w:end w:w="65" w:type="dxa"/>
            </w:tcMar>
          </w:tcPr>
          <w:p>
            <w:pPr>
              <w:spacing w:after="0"/>
            </w:pPr>
            <w:r>
              <w:rPr>
                <w:sz w:val="16"/>
              </w:rPr>
              <w:t>Open from enrollment; recommend post-attempt review for strongest diagnostic value; no technical access lock</w:t>
            </w:r>
          </w:p>
        </w:tc>
      </w:tr>
      <w:tr>
        <w:trPr>
          <w:cantSplit/>
        </w:trPr>
        <w:tc>
          <w:tcPr>
            <w:tcW w:type="dxa" w:w="5227"/>
            <w:vAlign w:val="center"/>
            <w:tcMar>
              <w:top w:w="55" w:type="dxa"/>
              <w:start w:w="65" w:type="dxa"/>
              <w:bottom w:w="55" w:type="dxa"/>
              <w:end w:w="65" w:type="dxa"/>
            </w:tcMar>
            <w:shd w:fill="F2F4F7"/>
          </w:tcPr>
          <w:p>
            <w:pPr>
              <w:spacing w:after="0"/>
            </w:pPr>
            <w:r>
              <w:rPr>
                <w:sz w:val="16"/>
              </w:rPr>
              <w:t>Source review basis</w:t>
            </w:r>
          </w:p>
        </w:tc>
        <w:tc>
          <w:tcPr>
            <w:tcW w:type="dxa" w:w="5227"/>
            <w:vAlign w:val="center"/>
            <w:tcMar>
              <w:top w:w="55" w:type="dxa"/>
              <w:start w:w="65" w:type="dxa"/>
              <w:bottom w:w="55" w:type="dxa"/>
              <w:end w:w="65" w:type="dxa"/>
            </w:tcMar>
            <w:shd w:fill="F2F4F7"/>
          </w:tcPr>
          <w:p>
            <w:pPr>
              <w:spacing w:after="0"/>
            </w:pPr>
            <w:r>
              <w:rPr>
                <w:sz w:val="16"/>
              </w:rPr>
              <w:t>BBS Statutes and Regulations issued January 2026; BBS 2026 telehealth, advertising, supervision, and registration materials; current California codes; NASW Code of Ethics with 2021 revisions; Stage 4C1 source-control records</w:t>
            </w:r>
          </w:p>
        </w:tc>
      </w:tr>
      <w:tr>
        <w:trPr>
          <w:cantSplit/>
        </w:trPr>
        <w:tc>
          <w:tcPr>
            <w:tcW w:type="dxa" w:w="5227"/>
            <w:vAlign w:val="center"/>
            <w:tcMar>
              <w:top w:w="55" w:type="dxa"/>
              <w:start w:w="65" w:type="dxa"/>
              <w:bottom w:w="55" w:type="dxa"/>
              <w:end w:w="65" w:type="dxa"/>
            </w:tcMar>
          </w:tcPr>
          <w:p>
            <w:pPr>
              <w:spacing w:after="0"/>
            </w:pPr>
            <w:r>
              <w:rPr>
                <w:sz w:val="16"/>
              </w:rPr>
              <w:t>Current status</w:t>
            </w:r>
          </w:p>
        </w:tc>
        <w:tc>
          <w:tcPr>
            <w:tcW w:type="dxa" w:w="5227"/>
            <w:vAlign w:val="center"/>
            <w:tcMar>
              <w:top w:w="55" w:type="dxa"/>
              <w:start w:w="65" w:type="dxa"/>
              <w:bottom w:w="55" w:type="dxa"/>
              <w:end w:w="65" w:type="dxa"/>
            </w:tcMar>
          </w:tcPr>
          <w:p>
            <w:pPr>
              <w:spacing w:after="0"/>
            </w:pPr>
            <w:r>
              <w:t>STAGE 5D CURRENTNESS &amp; CONSISTENCY QA COMPLETE; Version 1.3 is the controlling implementation copy. Private staging is authorized; public activation remains blocked pending Stage 5E learner-view testing, defect closure, backup/rollback verification, and owner release approval</w:t>
            </w:r>
          </w:p>
        </w:tc>
      </w:tr>
      <w:tr>
        <w:trPr>
          <w:cantSplit/>
        </w:trPr>
        <w:tc>
          <w:tcPr>
            <w:tcW w:type="dxa" w:w="5227"/>
            <w:vAlign w:val="center"/>
            <w:tcMar>
              <w:top w:w="55" w:type="dxa"/>
              <w:start w:w="65" w:type="dxa"/>
              <w:bottom w:w="55" w:type="dxa"/>
              <w:end w:w="65" w:type="dxa"/>
            </w:tcMar>
            <w:shd w:fill="F2F4F7"/>
          </w:tcPr>
          <w:p>
            <w:pPr>
              <w:spacing w:after="0"/>
            </w:pPr>
            <w:r>
              <w:rPr>
                <w:sz w:val="16"/>
              </w:rPr>
              <w:t>Public release</w:t>
            </w:r>
          </w:p>
        </w:tc>
        <w:tc>
          <w:tcPr>
            <w:tcW w:type="dxa" w:w="5227"/>
            <w:vAlign w:val="center"/>
            <w:tcMar>
              <w:top w:w="55" w:type="dxa"/>
              <w:start w:w="65" w:type="dxa"/>
              <w:bottom w:w="55" w:type="dxa"/>
              <w:end w:w="65" w:type="dxa"/>
            </w:tcMar>
            <w:shd w:fill="F2F4F7"/>
          </w:tcPr>
          <w:p>
            <w:pPr>
              <w:spacing w:after="0"/>
            </w:pPr>
            <w:r>
              <w:t>PRIVATE STAGING ONLY - PUBLIC ACTIVATION PENDING STAGE 5E</w:t>
            </w:r>
          </w:p>
        </w:tc>
      </w:tr>
    </w:tbl>
    <w:p>
      <w:pPr>
        <w:pStyle w:val="Heading1"/>
      </w:pPr>
      <w:r>
        <w:t>Master Answer Key and Profile</w:t>
      </w:r>
    </w:p>
    <w:tbl>
      <w:tblPr>
        <w:tblStyle w:val="TableGrid"/>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val="true"/>
          <w:cantSplit/>
        </w:trPr>
        <w:tc>
          <w:tcPr>
            <w:tcW w:type="dxa" w:w="1493"/>
            <w:shd w:fill="17365D"/>
            <w:tcMar>
              <w:top w:w="55" w:type="dxa"/>
              <w:start w:w="65" w:type="dxa"/>
              <w:bottom w:w="55" w:type="dxa"/>
              <w:end w:w="65" w:type="dxa"/>
            </w:tcMar>
            <w:vAlign w:val="center"/>
          </w:tcPr>
          <w:p>
            <w:pPr>
              <w:spacing w:after="0"/>
            </w:pPr>
            <w:r>
              <w:rPr>
                <w:sz w:val="15"/>
              </w:rPr>
            </w:r>
            <w:r>
              <w:rPr>
                <w:b/>
                <w:color w:val="FFFFFF"/>
                <w:sz w:val="15"/>
              </w:rPr>
              <w:t>Item</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Key</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Domain</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Difficulty</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Type</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Decision</w:t>
            </w:r>
          </w:p>
        </w:tc>
        <w:tc>
          <w:tcPr>
            <w:tcW w:type="dxa" w:w="1493"/>
            <w:shd w:fill="17365D"/>
            <w:tcMar>
              <w:top w:w="55" w:type="dxa"/>
              <w:start w:w="65" w:type="dxa"/>
              <w:bottom w:w="55" w:type="dxa"/>
              <w:end w:w="65" w:type="dxa"/>
            </w:tcMar>
            <w:vAlign w:val="center"/>
          </w:tcPr>
          <w:p>
            <w:pPr>
              <w:spacing w:after="0"/>
            </w:pPr>
            <w:r>
              <w:rPr>
                <w:sz w:val="15"/>
              </w:rPr>
            </w:r>
            <w:r>
              <w:rPr>
                <w:b/>
                <w:color w:val="FFFFFF"/>
                <w:sz w:val="15"/>
              </w:rPr>
              <w:t>Route</w:t>
            </w:r>
          </w:p>
        </w:tc>
      </w:tr>
      <w:tr>
        <w:trPr>
          <w:cantSplit/>
        </w:trPr>
        <w:tc>
          <w:tcPr>
            <w:tcW w:type="dxa" w:w="1493"/>
            <w:vAlign w:val="center"/>
            <w:tcMar>
              <w:top w:w="55" w:type="dxa"/>
              <w:start w:w="65" w:type="dxa"/>
              <w:bottom w:w="55" w:type="dxa"/>
              <w:end w:w="65" w:type="dxa"/>
            </w:tcMar>
          </w:tcPr>
          <w:p>
            <w:pPr>
              <w:spacing w:after="0"/>
            </w:pPr>
            <w:r>
              <w:rPr>
                <w:sz w:val="15"/>
              </w:rPr>
              <w:t>1</w:t>
            </w:r>
          </w:p>
        </w:tc>
        <w:tc>
          <w:tcPr>
            <w:tcW w:type="dxa" w:w="1493"/>
            <w:vAlign w:val="center"/>
            <w:tcMar>
              <w:top w:w="55" w:type="dxa"/>
              <w:start w:w="65" w:type="dxa"/>
              <w:bottom w:w="55" w:type="dxa"/>
              <w:end w:w="65" w:type="dxa"/>
            </w:tcMar>
          </w:tcPr>
          <w:p>
            <w:pPr>
              <w:spacing w:after="0"/>
            </w:pPr>
            <w:r>
              <w:rPr>
                <w:sz w:val="15"/>
              </w:rPr>
              <w:t>B</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Difficult</w:t>
            </w:r>
          </w:p>
        </w:tc>
        <w:tc>
          <w:tcPr>
            <w:tcW w:type="dxa" w:w="1493"/>
            <w:vAlign w:val="center"/>
            <w:tcMar>
              <w:top w:w="55" w:type="dxa"/>
              <w:start w:w="65" w:type="dxa"/>
              <w:bottom w:w="55" w:type="dxa"/>
              <w:end w:w="65" w:type="dxa"/>
            </w:tcMar>
          </w:tcPr>
          <w:p>
            <w:pPr>
              <w:spacing w:after="0"/>
            </w:pPr>
            <w:r>
              <w:rPr>
                <w:sz w:val="15"/>
              </w:rPr>
              <w:t>Foundational</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LS Module</w:t>
            </w:r>
          </w:p>
        </w:tc>
      </w:tr>
      <w:tr>
        <w:trPr>
          <w:cantSplit/>
        </w:trPr>
        <w:tc>
          <w:tcPr>
            <w:tcW w:type="dxa" w:w="1493"/>
            <w:vAlign w:val="center"/>
            <w:tcMar>
              <w:top w:w="55" w:type="dxa"/>
              <w:start w:w="65" w:type="dxa"/>
              <w:bottom w:w="55" w:type="dxa"/>
              <w:end w:w="65" w:type="dxa"/>
            </w:tcMar>
            <w:shd w:fill="F2F4F7"/>
          </w:tcPr>
          <w:p>
            <w:pPr>
              <w:spacing w:after="0"/>
            </w:pPr>
            <w:r>
              <w:rPr>
                <w:sz w:val="15"/>
              </w:rPr>
              <w:t>2</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1C</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WB9</w:t>
            </w:r>
          </w:p>
        </w:tc>
      </w:tr>
      <w:tr>
        <w:trPr>
          <w:cantSplit/>
        </w:trPr>
        <w:tc>
          <w:tcPr>
            <w:tcW w:type="dxa" w:w="1493"/>
            <w:vAlign w:val="center"/>
            <w:tcMar>
              <w:top w:w="55" w:type="dxa"/>
              <w:start w:w="65" w:type="dxa"/>
              <w:bottom w:w="55" w:type="dxa"/>
              <w:end w:w="65" w:type="dxa"/>
            </w:tcMar>
          </w:tcPr>
          <w:p>
            <w:pPr>
              <w:spacing w:after="0"/>
            </w:pPr>
            <w:r>
              <w:rPr>
                <w:sz w:val="15"/>
              </w:rPr>
              <w:t>3</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1C</w:t>
            </w:r>
          </w:p>
        </w:tc>
        <w:tc>
          <w:tcPr>
            <w:tcW w:type="dxa" w:w="1493"/>
            <w:vAlign w:val="center"/>
            <w:tcMar>
              <w:top w:w="55" w:type="dxa"/>
              <w:start w:w="65" w:type="dxa"/>
              <w:bottom w:w="55" w:type="dxa"/>
              <w:end w:w="65" w:type="dxa"/>
            </w:tcMar>
          </w:tcPr>
          <w:p>
            <w:pPr>
              <w:spacing w:after="0"/>
            </w:pPr>
            <w:r>
              <w:rPr>
                <w:sz w:val="15"/>
              </w:rPr>
              <w:t>Difficult</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WB3</w:t>
            </w:r>
          </w:p>
        </w:tc>
      </w:tr>
      <w:tr>
        <w:trPr>
          <w:cantSplit/>
        </w:trPr>
        <w:tc>
          <w:tcPr>
            <w:tcW w:type="dxa" w:w="1493"/>
            <w:vAlign w:val="center"/>
            <w:tcMar>
              <w:top w:w="55" w:type="dxa"/>
              <w:start w:w="65" w:type="dxa"/>
              <w:bottom w:w="55" w:type="dxa"/>
              <w:end w:w="65" w:type="dxa"/>
            </w:tcMar>
            <w:shd w:fill="F2F4F7"/>
          </w:tcPr>
          <w:p>
            <w:pPr>
              <w:spacing w:after="0"/>
            </w:pPr>
            <w:r>
              <w:rPr>
                <w:sz w:val="15"/>
              </w:rPr>
              <w:t>4</w:t>
            </w:r>
          </w:p>
        </w:tc>
        <w:tc>
          <w:tcPr>
            <w:tcW w:type="dxa" w:w="1493"/>
            <w:vAlign w:val="center"/>
            <w:tcMar>
              <w:top w:w="55" w:type="dxa"/>
              <w:start w:w="65" w:type="dxa"/>
              <w:bottom w:w="55" w:type="dxa"/>
              <w:end w:w="65" w:type="dxa"/>
            </w:tcMar>
            <w:shd w:fill="F2F4F7"/>
          </w:tcPr>
          <w:p>
            <w:pPr>
              <w:spacing w:after="0"/>
            </w:pPr>
            <w:r>
              <w:rPr>
                <w:sz w:val="15"/>
              </w:rPr>
              <w:t>C</w:t>
            </w:r>
          </w:p>
        </w:tc>
        <w:tc>
          <w:tcPr>
            <w:tcW w:type="dxa" w:w="1493"/>
            <w:vAlign w:val="center"/>
            <w:tcMar>
              <w:top w:w="55" w:type="dxa"/>
              <w:start w:w="65" w:type="dxa"/>
              <w:bottom w:w="55" w:type="dxa"/>
              <w:end w:w="65" w:type="dxa"/>
            </w:tcMar>
            <w:shd w:fill="F2F4F7"/>
          </w:tcPr>
          <w:p>
            <w:pPr>
              <w:spacing w:after="0"/>
            </w:pPr>
            <w:r>
              <w:rPr>
                <w:sz w:val="15"/>
              </w:rPr>
              <w:t>2A</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WB4</w:t>
            </w:r>
          </w:p>
        </w:tc>
      </w:tr>
      <w:tr>
        <w:trPr>
          <w:cantSplit/>
        </w:trPr>
        <w:tc>
          <w:tcPr>
            <w:tcW w:type="dxa" w:w="1493"/>
            <w:vAlign w:val="center"/>
            <w:tcMar>
              <w:top w:w="55" w:type="dxa"/>
              <w:start w:w="65" w:type="dxa"/>
              <w:bottom w:w="55" w:type="dxa"/>
              <w:end w:w="65" w:type="dxa"/>
            </w:tcMar>
          </w:tcPr>
          <w:p>
            <w:pPr>
              <w:spacing w:after="0"/>
            </w:pPr>
            <w:r>
              <w:rPr>
                <w:sz w:val="15"/>
              </w:rPr>
              <w:t>5</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Foundational</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LS Module</w:t>
            </w:r>
          </w:p>
        </w:tc>
      </w:tr>
      <w:tr>
        <w:trPr>
          <w:cantSplit/>
        </w:trPr>
        <w:tc>
          <w:tcPr>
            <w:tcW w:type="dxa" w:w="1493"/>
            <w:vAlign w:val="center"/>
            <w:tcMar>
              <w:top w:w="55" w:type="dxa"/>
              <w:start w:w="65" w:type="dxa"/>
              <w:bottom w:w="55" w:type="dxa"/>
              <w:end w:w="65" w:type="dxa"/>
            </w:tcMar>
            <w:shd w:fill="F2F4F7"/>
          </w:tcPr>
          <w:p>
            <w:pPr>
              <w:spacing w:after="0"/>
            </w:pPr>
            <w:r>
              <w:rPr>
                <w:sz w:val="15"/>
              </w:rPr>
              <w:t>6</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1A</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WB1</w:t>
            </w:r>
          </w:p>
        </w:tc>
      </w:tr>
      <w:tr>
        <w:trPr>
          <w:cantSplit/>
        </w:trPr>
        <w:tc>
          <w:tcPr>
            <w:tcW w:type="dxa" w:w="1493"/>
            <w:vAlign w:val="center"/>
            <w:tcMar>
              <w:top w:w="55" w:type="dxa"/>
              <w:start w:w="65" w:type="dxa"/>
              <w:bottom w:w="55" w:type="dxa"/>
              <w:end w:w="65" w:type="dxa"/>
            </w:tcMar>
          </w:tcPr>
          <w:p>
            <w:pPr>
              <w:spacing w:after="0"/>
            </w:pPr>
            <w:r>
              <w:rPr>
                <w:sz w:val="15"/>
              </w:rPr>
              <w:t>7</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1C</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WB6</w:t>
            </w:r>
          </w:p>
        </w:tc>
      </w:tr>
      <w:tr>
        <w:trPr>
          <w:cantSplit/>
        </w:trPr>
        <w:tc>
          <w:tcPr>
            <w:tcW w:type="dxa" w:w="1493"/>
            <w:vAlign w:val="center"/>
            <w:tcMar>
              <w:top w:w="55" w:type="dxa"/>
              <w:start w:w="65" w:type="dxa"/>
              <w:bottom w:w="55" w:type="dxa"/>
              <w:end w:w="65" w:type="dxa"/>
            </w:tcMar>
            <w:shd w:fill="F2F4F7"/>
          </w:tcPr>
          <w:p>
            <w:pPr>
              <w:spacing w:after="0"/>
            </w:pPr>
            <w:r>
              <w:rPr>
                <w:sz w:val="15"/>
              </w:rPr>
              <w:t>8</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2B</w:t>
            </w:r>
          </w:p>
        </w:tc>
        <w:tc>
          <w:tcPr>
            <w:tcW w:type="dxa" w:w="1493"/>
            <w:vAlign w:val="center"/>
            <w:tcMar>
              <w:top w:w="55" w:type="dxa"/>
              <w:start w:w="65" w:type="dxa"/>
              <w:bottom w:w="55" w:type="dxa"/>
              <w:end w:w="65" w:type="dxa"/>
            </w:tcMar>
            <w:shd w:fill="F2F4F7"/>
          </w:tcPr>
          <w:p>
            <w:pPr>
              <w:spacing w:after="0"/>
            </w:pPr>
            <w:r>
              <w:rPr>
                <w:sz w:val="15"/>
              </w:rPr>
              <w:t>Easy</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WB1</w:t>
            </w:r>
          </w:p>
        </w:tc>
      </w:tr>
      <w:tr>
        <w:trPr>
          <w:cantSplit/>
        </w:trPr>
        <w:tc>
          <w:tcPr>
            <w:tcW w:type="dxa" w:w="1493"/>
            <w:vAlign w:val="center"/>
            <w:tcMar>
              <w:top w:w="55" w:type="dxa"/>
              <w:start w:w="65" w:type="dxa"/>
              <w:bottom w:w="55" w:type="dxa"/>
              <w:end w:w="65" w:type="dxa"/>
            </w:tcMar>
          </w:tcPr>
          <w:p>
            <w:pPr>
              <w:spacing w:after="0"/>
            </w:pPr>
            <w:r>
              <w:rPr>
                <w:sz w:val="15"/>
              </w:rPr>
              <w:t>9</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Foundational</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WB1</w:t>
            </w:r>
          </w:p>
        </w:tc>
      </w:tr>
      <w:tr>
        <w:trPr>
          <w:cantSplit/>
        </w:trPr>
        <w:tc>
          <w:tcPr>
            <w:tcW w:type="dxa" w:w="1493"/>
            <w:vAlign w:val="center"/>
            <w:tcMar>
              <w:top w:w="55" w:type="dxa"/>
              <w:start w:w="65" w:type="dxa"/>
              <w:bottom w:w="55" w:type="dxa"/>
              <w:end w:w="65" w:type="dxa"/>
            </w:tcMar>
            <w:shd w:fill="F2F4F7"/>
          </w:tcPr>
          <w:p>
            <w:pPr>
              <w:spacing w:after="0"/>
            </w:pPr>
            <w:r>
              <w:rPr>
                <w:sz w:val="15"/>
              </w:rPr>
              <w:t>10</w:t>
            </w:r>
          </w:p>
        </w:tc>
        <w:tc>
          <w:tcPr>
            <w:tcW w:type="dxa" w:w="1493"/>
            <w:vAlign w:val="center"/>
            <w:tcMar>
              <w:top w:w="55" w:type="dxa"/>
              <w:start w:w="65" w:type="dxa"/>
              <w:bottom w:w="55" w:type="dxa"/>
              <w:end w:w="65" w:type="dxa"/>
            </w:tcMar>
            <w:shd w:fill="F2F4F7"/>
          </w:tcPr>
          <w:p>
            <w:pPr>
              <w:spacing w:after="0"/>
            </w:pPr>
            <w:r>
              <w:rPr>
                <w:sz w:val="15"/>
              </w:rPr>
              <w:t>C</w:t>
            </w:r>
          </w:p>
        </w:tc>
        <w:tc>
          <w:tcPr>
            <w:tcW w:type="dxa" w:w="1493"/>
            <w:vAlign w:val="center"/>
            <w:tcMar>
              <w:top w:w="55" w:type="dxa"/>
              <w:start w:w="65" w:type="dxa"/>
              <w:bottom w:w="55" w:type="dxa"/>
              <w:end w:w="65" w:type="dxa"/>
            </w:tcMar>
            <w:shd w:fill="F2F4F7"/>
          </w:tcPr>
          <w:p>
            <w:pPr>
              <w:spacing w:after="0"/>
            </w:pPr>
            <w:r>
              <w:rPr>
                <w:sz w:val="15"/>
              </w:rPr>
              <w:t>2C</w:t>
            </w:r>
          </w:p>
        </w:tc>
        <w:tc>
          <w:tcPr>
            <w:tcW w:type="dxa" w:w="1493"/>
            <w:vAlign w:val="center"/>
            <w:tcMar>
              <w:top w:w="55" w:type="dxa"/>
              <w:start w:w="65" w:type="dxa"/>
              <w:bottom w:w="55" w:type="dxa"/>
              <w:end w:w="65" w:type="dxa"/>
            </w:tcMar>
            <w:shd w:fill="F2F4F7"/>
          </w:tcPr>
          <w:p>
            <w:pPr>
              <w:spacing w:after="0"/>
            </w:pPr>
            <w:r>
              <w:rPr>
                <w:sz w:val="15"/>
              </w:rPr>
              <w:t>Easy</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WB9</w:t>
            </w:r>
          </w:p>
        </w:tc>
      </w:tr>
      <w:tr>
        <w:trPr>
          <w:cantSplit/>
        </w:trPr>
        <w:tc>
          <w:tcPr>
            <w:tcW w:type="dxa" w:w="1493"/>
            <w:vAlign w:val="center"/>
            <w:tcMar>
              <w:top w:w="55" w:type="dxa"/>
              <w:start w:w="65" w:type="dxa"/>
              <w:bottom w:w="55" w:type="dxa"/>
              <w:end w:w="65" w:type="dxa"/>
            </w:tcMar>
          </w:tcPr>
          <w:p>
            <w:pPr>
              <w:spacing w:after="0"/>
            </w:pPr>
            <w:r>
              <w:rPr>
                <w:sz w:val="15"/>
              </w:rPr>
              <w:t>11</w:t>
            </w:r>
          </w:p>
        </w:tc>
        <w:tc>
          <w:tcPr>
            <w:tcW w:type="dxa" w:w="1493"/>
            <w:vAlign w:val="center"/>
            <w:tcMar>
              <w:top w:w="55" w:type="dxa"/>
              <w:start w:w="65" w:type="dxa"/>
              <w:bottom w:w="55" w:type="dxa"/>
              <w:end w:w="65" w:type="dxa"/>
            </w:tcMar>
          </w:tcPr>
          <w:p>
            <w:pPr>
              <w:spacing w:after="0"/>
            </w:pPr>
            <w:r>
              <w:rPr>
                <w:sz w:val="15"/>
              </w:rPr>
              <w:t>B</w:t>
            </w:r>
          </w:p>
        </w:tc>
        <w:tc>
          <w:tcPr>
            <w:tcW w:type="dxa" w:w="1493"/>
            <w:vAlign w:val="center"/>
            <w:tcMar>
              <w:top w:w="55" w:type="dxa"/>
              <w:start w:w="65" w:type="dxa"/>
              <w:bottom w:w="55" w:type="dxa"/>
              <w:end w:w="65" w:type="dxa"/>
            </w:tcMar>
          </w:tcPr>
          <w:p>
            <w:pPr>
              <w:spacing w:after="0"/>
            </w:pPr>
            <w:r>
              <w:rPr>
                <w:sz w:val="15"/>
              </w:rPr>
              <w:t>2A</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LS Module</w:t>
            </w:r>
          </w:p>
        </w:tc>
      </w:tr>
      <w:tr>
        <w:trPr>
          <w:cantSplit/>
        </w:trPr>
        <w:tc>
          <w:tcPr>
            <w:tcW w:type="dxa" w:w="1493"/>
            <w:vAlign w:val="center"/>
            <w:tcMar>
              <w:top w:w="55" w:type="dxa"/>
              <w:start w:w="65" w:type="dxa"/>
              <w:bottom w:w="55" w:type="dxa"/>
              <w:end w:w="65" w:type="dxa"/>
            </w:tcMar>
            <w:shd w:fill="F2F4F7"/>
          </w:tcPr>
          <w:p>
            <w:pPr>
              <w:spacing w:after="0"/>
            </w:pPr>
            <w:r>
              <w:rPr>
                <w:sz w:val="15"/>
              </w:rPr>
              <w:t>12</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2C</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WB7</w:t>
            </w:r>
          </w:p>
        </w:tc>
      </w:tr>
      <w:tr>
        <w:trPr>
          <w:cantSplit/>
        </w:trPr>
        <w:tc>
          <w:tcPr>
            <w:tcW w:type="dxa" w:w="1493"/>
            <w:vAlign w:val="center"/>
            <w:tcMar>
              <w:top w:w="55" w:type="dxa"/>
              <w:start w:w="65" w:type="dxa"/>
              <w:bottom w:w="55" w:type="dxa"/>
              <w:end w:w="65" w:type="dxa"/>
            </w:tcMar>
          </w:tcPr>
          <w:p>
            <w:pPr>
              <w:spacing w:after="0"/>
            </w:pPr>
            <w:r>
              <w:rPr>
                <w:sz w:val="15"/>
              </w:rPr>
              <w:t>13</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Foundational</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WB1</w:t>
            </w:r>
          </w:p>
        </w:tc>
      </w:tr>
      <w:tr>
        <w:trPr>
          <w:cantSplit/>
        </w:trPr>
        <w:tc>
          <w:tcPr>
            <w:tcW w:type="dxa" w:w="1493"/>
            <w:vAlign w:val="center"/>
            <w:tcMar>
              <w:top w:w="55" w:type="dxa"/>
              <w:start w:w="65" w:type="dxa"/>
              <w:bottom w:w="55" w:type="dxa"/>
              <w:end w:w="65" w:type="dxa"/>
            </w:tcMar>
            <w:shd w:fill="F2F4F7"/>
          </w:tcPr>
          <w:p>
            <w:pPr>
              <w:spacing w:after="0"/>
            </w:pPr>
            <w:r>
              <w:rPr>
                <w:sz w:val="15"/>
              </w:rPr>
              <w:t>14</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2A</w:t>
            </w:r>
          </w:p>
        </w:tc>
        <w:tc>
          <w:tcPr>
            <w:tcW w:type="dxa" w:w="1493"/>
            <w:vAlign w:val="center"/>
            <w:tcMar>
              <w:top w:w="55" w:type="dxa"/>
              <w:start w:w="65" w:type="dxa"/>
              <w:bottom w:w="55" w:type="dxa"/>
              <w:end w:w="65" w:type="dxa"/>
            </w:tcMar>
            <w:shd w:fill="F2F4F7"/>
          </w:tcPr>
          <w:p>
            <w:pPr>
              <w:spacing w:after="0"/>
            </w:pPr>
            <w:r>
              <w:rPr>
                <w:sz w:val="15"/>
              </w:rPr>
              <w:t>Easy</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WB7</w:t>
            </w:r>
          </w:p>
        </w:tc>
      </w:tr>
      <w:tr>
        <w:trPr>
          <w:cantSplit/>
        </w:trPr>
        <w:tc>
          <w:tcPr>
            <w:tcW w:type="dxa" w:w="1493"/>
            <w:vAlign w:val="center"/>
            <w:tcMar>
              <w:top w:w="55" w:type="dxa"/>
              <w:start w:w="65" w:type="dxa"/>
              <w:bottom w:w="55" w:type="dxa"/>
              <w:end w:w="65" w:type="dxa"/>
            </w:tcMar>
          </w:tcPr>
          <w:p>
            <w:pPr>
              <w:spacing w:after="0"/>
            </w:pPr>
            <w:r>
              <w:rPr>
                <w:sz w:val="15"/>
              </w:rPr>
              <w:t>15</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WB6</w:t>
            </w:r>
          </w:p>
        </w:tc>
      </w:tr>
      <w:tr>
        <w:trPr>
          <w:cantSplit/>
        </w:trPr>
        <w:tc>
          <w:tcPr>
            <w:tcW w:type="dxa" w:w="1493"/>
            <w:vAlign w:val="center"/>
            <w:tcMar>
              <w:top w:w="55" w:type="dxa"/>
              <w:start w:w="65" w:type="dxa"/>
              <w:bottom w:w="55" w:type="dxa"/>
              <w:end w:w="65" w:type="dxa"/>
            </w:tcMar>
            <w:shd w:fill="F2F4F7"/>
          </w:tcPr>
          <w:p>
            <w:pPr>
              <w:spacing w:after="0"/>
            </w:pPr>
            <w:r>
              <w:rPr>
                <w:sz w:val="15"/>
              </w:rPr>
              <w:t>16</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1B</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WB8</w:t>
            </w:r>
          </w:p>
        </w:tc>
      </w:tr>
      <w:tr>
        <w:trPr>
          <w:cantSplit/>
        </w:trPr>
        <w:tc>
          <w:tcPr>
            <w:tcW w:type="dxa" w:w="1493"/>
            <w:vAlign w:val="center"/>
            <w:tcMar>
              <w:top w:w="55" w:type="dxa"/>
              <w:start w:w="65" w:type="dxa"/>
              <w:bottom w:w="55" w:type="dxa"/>
              <w:end w:w="65" w:type="dxa"/>
            </w:tcMar>
          </w:tcPr>
          <w:p>
            <w:pPr>
              <w:spacing w:after="0"/>
            </w:pPr>
            <w:r>
              <w:rPr>
                <w:sz w:val="15"/>
              </w:rPr>
              <w:t>17</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WB5</w:t>
            </w:r>
          </w:p>
        </w:tc>
      </w:tr>
      <w:tr>
        <w:trPr>
          <w:cantSplit/>
        </w:trPr>
        <w:tc>
          <w:tcPr>
            <w:tcW w:type="dxa" w:w="1493"/>
            <w:vAlign w:val="center"/>
            <w:tcMar>
              <w:top w:w="55" w:type="dxa"/>
              <w:start w:w="65" w:type="dxa"/>
              <w:bottom w:w="55" w:type="dxa"/>
              <w:end w:w="65" w:type="dxa"/>
            </w:tcMar>
            <w:shd w:fill="F2F4F7"/>
          </w:tcPr>
          <w:p>
            <w:pPr>
              <w:spacing w:after="0"/>
            </w:pPr>
            <w:r>
              <w:rPr>
                <w:sz w:val="15"/>
              </w:rPr>
              <w:t>18</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2A</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Foundational</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WB6</w:t>
            </w:r>
          </w:p>
        </w:tc>
      </w:tr>
      <w:tr>
        <w:trPr>
          <w:cantSplit/>
        </w:trPr>
        <w:tc>
          <w:tcPr>
            <w:tcW w:type="dxa" w:w="1493"/>
            <w:vAlign w:val="center"/>
            <w:tcMar>
              <w:top w:w="55" w:type="dxa"/>
              <w:start w:w="65" w:type="dxa"/>
              <w:bottom w:w="55" w:type="dxa"/>
              <w:end w:w="65" w:type="dxa"/>
            </w:tcMar>
          </w:tcPr>
          <w:p>
            <w:pPr>
              <w:spacing w:after="0"/>
            </w:pPr>
            <w:r>
              <w:rPr>
                <w:sz w:val="15"/>
              </w:rPr>
              <w:t>19</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Foundational</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WB2</w:t>
            </w:r>
          </w:p>
        </w:tc>
      </w:tr>
      <w:tr>
        <w:trPr>
          <w:cantSplit/>
        </w:trPr>
        <w:tc>
          <w:tcPr>
            <w:tcW w:type="dxa" w:w="1493"/>
            <w:vAlign w:val="center"/>
            <w:tcMar>
              <w:top w:w="55" w:type="dxa"/>
              <w:start w:w="65" w:type="dxa"/>
              <w:bottom w:w="55" w:type="dxa"/>
              <w:end w:w="65" w:type="dxa"/>
            </w:tcMar>
            <w:shd w:fill="F2F4F7"/>
          </w:tcPr>
          <w:p>
            <w:pPr>
              <w:spacing w:after="0"/>
            </w:pPr>
            <w:r>
              <w:rPr>
                <w:sz w:val="15"/>
              </w:rPr>
              <w:t>20</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1A</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WB2</w:t>
            </w:r>
          </w:p>
        </w:tc>
      </w:tr>
      <w:tr>
        <w:trPr>
          <w:cantSplit/>
        </w:trPr>
        <w:tc>
          <w:tcPr>
            <w:tcW w:type="dxa" w:w="1493"/>
            <w:vAlign w:val="center"/>
            <w:tcMar>
              <w:top w:w="55" w:type="dxa"/>
              <w:start w:w="65" w:type="dxa"/>
              <w:bottom w:w="55" w:type="dxa"/>
              <w:end w:w="65" w:type="dxa"/>
            </w:tcMar>
          </w:tcPr>
          <w:p>
            <w:pPr>
              <w:spacing w:after="0"/>
            </w:pPr>
            <w:r>
              <w:rPr>
                <w:sz w:val="15"/>
              </w:rPr>
              <w:t>21</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1B</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WB9</w:t>
            </w:r>
          </w:p>
        </w:tc>
      </w:tr>
      <w:tr>
        <w:trPr>
          <w:cantSplit/>
        </w:trPr>
        <w:tc>
          <w:tcPr>
            <w:tcW w:type="dxa" w:w="1493"/>
            <w:vAlign w:val="center"/>
            <w:tcMar>
              <w:top w:w="55" w:type="dxa"/>
              <w:start w:w="65" w:type="dxa"/>
              <w:bottom w:w="55" w:type="dxa"/>
              <w:end w:w="65" w:type="dxa"/>
            </w:tcMar>
            <w:shd w:fill="F2F4F7"/>
          </w:tcPr>
          <w:p>
            <w:pPr>
              <w:spacing w:after="0"/>
            </w:pPr>
            <w:r>
              <w:rPr>
                <w:sz w:val="15"/>
              </w:rPr>
              <w:t>22</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2B</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WB7</w:t>
            </w:r>
          </w:p>
        </w:tc>
      </w:tr>
      <w:tr>
        <w:trPr>
          <w:cantSplit/>
        </w:trPr>
        <w:tc>
          <w:tcPr>
            <w:tcW w:type="dxa" w:w="1493"/>
            <w:vAlign w:val="center"/>
            <w:tcMar>
              <w:top w:w="55" w:type="dxa"/>
              <w:start w:w="65" w:type="dxa"/>
              <w:bottom w:w="55" w:type="dxa"/>
              <w:end w:w="65" w:type="dxa"/>
            </w:tcMar>
          </w:tcPr>
          <w:p>
            <w:pPr>
              <w:spacing w:after="0"/>
            </w:pPr>
            <w:r>
              <w:rPr>
                <w:sz w:val="15"/>
              </w:rPr>
              <w:t>23</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1A</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WB2</w:t>
            </w:r>
          </w:p>
        </w:tc>
      </w:tr>
      <w:tr>
        <w:trPr>
          <w:cantSplit/>
        </w:trPr>
        <w:tc>
          <w:tcPr>
            <w:tcW w:type="dxa" w:w="1493"/>
            <w:vAlign w:val="center"/>
            <w:tcMar>
              <w:top w:w="55" w:type="dxa"/>
              <w:start w:w="65" w:type="dxa"/>
              <w:bottom w:w="55" w:type="dxa"/>
              <w:end w:w="65" w:type="dxa"/>
            </w:tcMar>
            <w:shd w:fill="F2F4F7"/>
          </w:tcPr>
          <w:p>
            <w:pPr>
              <w:spacing w:after="0"/>
            </w:pPr>
            <w:r>
              <w:rPr>
                <w:sz w:val="15"/>
              </w:rPr>
              <w:t>24</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2A</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Foundational</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WB3</w:t>
            </w:r>
          </w:p>
        </w:tc>
      </w:tr>
      <w:tr>
        <w:trPr>
          <w:cantSplit/>
        </w:trPr>
        <w:tc>
          <w:tcPr>
            <w:tcW w:type="dxa" w:w="1493"/>
            <w:vAlign w:val="center"/>
            <w:tcMar>
              <w:top w:w="55" w:type="dxa"/>
              <w:start w:w="65" w:type="dxa"/>
              <w:bottom w:w="55" w:type="dxa"/>
              <w:end w:w="65" w:type="dxa"/>
            </w:tcMar>
          </w:tcPr>
          <w:p>
            <w:pPr>
              <w:spacing w:after="0"/>
            </w:pPr>
            <w:r>
              <w:rPr>
                <w:sz w:val="15"/>
              </w:rPr>
              <w:t>25</w:t>
            </w:r>
          </w:p>
        </w:tc>
        <w:tc>
          <w:tcPr>
            <w:tcW w:type="dxa" w:w="1493"/>
            <w:vAlign w:val="center"/>
            <w:tcMar>
              <w:top w:w="55" w:type="dxa"/>
              <w:start w:w="65" w:type="dxa"/>
              <w:bottom w:w="55" w:type="dxa"/>
              <w:end w:w="65" w:type="dxa"/>
            </w:tcMar>
          </w:tcPr>
          <w:p>
            <w:pPr>
              <w:spacing w:after="0"/>
            </w:pPr>
            <w:r>
              <w:rPr>
                <w:sz w:val="15"/>
              </w:rPr>
              <w:t>B</w:t>
            </w:r>
          </w:p>
        </w:tc>
        <w:tc>
          <w:tcPr>
            <w:tcW w:type="dxa" w:w="1493"/>
            <w:vAlign w:val="center"/>
            <w:tcMar>
              <w:top w:w="55" w:type="dxa"/>
              <w:start w:w="65" w:type="dxa"/>
              <w:bottom w:w="55" w:type="dxa"/>
              <w:end w:w="65" w:type="dxa"/>
            </w:tcMar>
          </w:tcPr>
          <w:p>
            <w:pPr>
              <w:spacing w:after="0"/>
            </w:pPr>
            <w:r>
              <w:rPr>
                <w:sz w:val="15"/>
              </w:rPr>
              <w:t>1C</w:t>
            </w:r>
          </w:p>
        </w:tc>
        <w:tc>
          <w:tcPr>
            <w:tcW w:type="dxa" w:w="1493"/>
            <w:vAlign w:val="center"/>
            <w:tcMar>
              <w:top w:w="55" w:type="dxa"/>
              <w:start w:w="65" w:type="dxa"/>
              <w:bottom w:w="55" w:type="dxa"/>
              <w:end w:w="65" w:type="dxa"/>
            </w:tcMar>
          </w:tcPr>
          <w:p>
            <w:pPr>
              <w:spacing w:after="0"/>
            </w:pPr>
            <w:r>
              <w:rPr>
                <w:sz w:val="15"/>
              </w:rPr>
              <w:t>Difficult</w:t>
            </w:r>
          </w:p>
        </w:tc>
        <w:tc>
          <w:tcPr>
            <w:tcW w:type="dxa" w:w="1493"/>
            <w:vAlign w:val="center"/>
            <w:tcMar>
              <w:top w:w="55" w:type="dxa"/>
              <w:start w:w="65" w:type="dxa"/>
              <w:bottom w:w="55" w:type="dxa"/>
              <w:end w:w="65" w:type="dxa"/>
            </w:tcMar>
          </w:tcPr>
          <w:p>
            <w:pPr>
              <w:spacing w:after="0"/>
            </w:pPr>
            <w:r>
              <w:rPr>
                <w:sz w:val="15"/>
              </w:rPr>
              <w:t>Foundational</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WB9</w:t>
            </w:r>
          </w:p>
        </w:tc>
      </w:tr>
      <w:tr>
        <w:trPr>
          <w:cantSplit/>
        </w:trPr>
        <w:tc>
          <w:tcPr>
            <w:tcW w:type="dxa" w:w="1493"/>
            <w:vAlign w:val="center"/>
            <w:tcMar>
              <w:top w:w="55" w:type="dxa"/>
              <w:start w:w="65" w:type="dxa"/>
              <w:bottom w:w="55" w:type="dxa"/>
              <w:end w:w="65" w:type="dxa"/>
            </w:tcMar>
            <w:shd w:fill="F2F4F7"/>
          </w:tcPr>
          <w:p>
            <w:pPr>
              <w:spacing w:after="0"/>
            </w:pPr>
            <w:r>
              <w:rPr>
                <w:sz w:val="15"/>
              </w:rPr>
              <w:t>26</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2B</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WB7</w:t>
            </w:r>
          </w:p>
        </w:tc>
      </w:tr>
      <w:tr>
        <w:trPr>
          <w:cantSplit/>
        </w:trPr>
        <w:tc>
          <w:tcPr>
            <w:tcW w:type="dxa" w:w="1493"/>
            <w:vAlign w:val="center"/>
            <w:tcMar>
              <w:top w:w="55" w:type="dxa"/>
              <w:start w:w="65" w:type="dxa"/>
              <w:bottom w:w="55" w:type="dxa"/>
              <w:end w:w="65" w:type="dxa"/>
            </w:tcMar>
          </w:tcPr>
          <w:p>
            <w:pPr>
              <w:spacing w:after="0"/>
            </w:pPr>
            <w:r>
              <w:rPr>
                <w:sz w:val="15"/>
              </w:rPr>
              <w:t>27</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2A</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WB2</w:t>
            </w:r>
          </w:p>
        </w:tc>
      </w:tr>
      <w:tr>
        <w:trPr>
          <w:cantSplit/>
        </w:trPr>
        <w:tc>
          <w:tcPr>
            <w:tcW w:type="dxa" w:w="1493"/>
            <w:vAlign w:val="center"/>
            <w:tcMar>
              <w:top w:w="55" w:type="dxa"/>
              <w:start w:w="65" w:type="dxa"/>
              <w:bottom w:w="55" w:type="dxa"/>
              <w:end w:w="65" w:type="dxa"/>
            </w:tcMar>
            <w:shd w:fill="F2F4F7"/>
          </w:tcPr>
          <w:p>
            <w:pPr>
              <w:spacing w:after="0"/>
            </w:pPr>
            <w:r>
              <w:rPr>
                <w:sz w:val="15"/>
              </w:rPr>
              <w:t>28</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2A</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WB4</w:t>
            </w:r>
          </w:p>
        </w:tc>
      </w:tr>
      <w:tr>
        <w:trPr>
          <w:cantSplit/>
        </w:trPr>
        <w:tc>
          <w:tcPr>
            <w:tcW w:type="dxa" w:w="1493"/>
            <w:vAlign w:val="center"/>
            <w:tcMar>
              <w:top w:w="55" w:type="dxa"/>
              <w:start w:w="65" w:type="dxa"/>
              <w:bottom w:w="55" w:type="dxa"/>
              <w:end w:w="65" w:type="dxa"/>
            </w:tcMar>
          </w:tcPr>
          <w:p>
            <w:pPr>
              <w:spacing w:after="0"/>
            </w:pPr>
            <w:r>
              <w:rPr>
                <w:sz w:val="15"/>
              </w:rPr>
              <w:t>29</w:t>
            </w:r>
          </w:p>
        </w:tc>
        <w:tc>
          <w:tcPr>
            <w:tcW w:type="dxa" w:w="1493"/>
            <w:vAlign w:val="center"/>
            <w:tcMar>
              <w:top w:w="55" w:type="dxa"/>
              <w:start w:w="65" w:type="dxa"/>
              <w:bottom w:w="55" w:type="dxa"/>
              <w:end w:w="65" w:type="dxa"/>
            </w:tcMar>
          </w:tcPr>
          <w:p>
            <w:pPr>
              <w:spacing w:after="0"/>
            </w:pPr>
            <w:r>
              <w:rPr>
                <w:sz w:val="15"/>
              </w:rPr>
              <w:t>A</w:t>
            </w:r>
          </w:p>
        </w:tc>
        <w:tc>
          <w:tcPr>
            <w:tcW w:type="dxa" w:w="1493"/>
            <w:vAlign w:val="center"/>
            <w:tcMar>
              <w:top w:w="55" w:type="dxa"/>
              <w:start w:w="65" w:type="dxa"/>
              <w:bottom w:w="55" w:type="dxa"/>
              <w:end w:w="65" w:type="dxa"/>
            </w:tcMar>
          </w:tcPr>
          <w:p>
            <w:pPr>
              <w:spacing w:after="0"/>
            </w:pPr>
            <w:r>
              <w:rPr>
                <w:sz w:val="15"/>
              </w:rPr>
              <w:t>1B</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WB5</w:t>
            </w:r>
          </w:p>
        </w:tc>
      </w:tr>
      <w:tr>
        <w:trPr>
          <w:cantSplit/>
        </w:trPr>
        <w:tc>
          <w:tcPr>
            <w:tcW w:type="dxa" w:w="1493"/>
            <w:vAlign w:val="center"/>
            <w:tcMar>
              <w:top w:w="55" w:type="dxa"/>
              <w:start w:w="65" w:type="dxa"/>
              <w:bottom w:w="55" w:type="dxa"/>
              <w:end w:w="65" w:type="dxa"/>
            </w:tcMar>
            <w:shd w:fill="F2F4F7"/>
          </w:tcPr>
          <w:p>
            <w:pPr>
              <w:spacing w:after="0"/>
            </w:pPr>
            <w:r>
              <w:rPr>
                <w:sz w:val="15"/>
              </w:rPr>
              <w:t>30</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1A</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WB2</w:t>
            </w:r>
          </w:p>
        </w:tc>
      </w:tr>
      <w:tr>
        <w:trPr>
          <w:cantSplit/>
        </w:trPr>
        <w:tc>
          <w:tcPr>
            <w:tcW w:type="dxa" w:w="1493"/>
            <w:vAlign w:val="center"/>
            <w:tcMar>
              <w:top w:w="55" w:type="dxa"/>
              <w:start w:w="65" w:type="dxa"/>
              <w:bottom w:w="55" w:type="dxa"/>
              <w:end w:w="65" w:type="dxa"/>
            </w:tcMar>
          </w:tcPr>
          <w:p>
            <w:pPr>
              <w:spacing w:after="0"/>
            </w:pPr>
            <w:r>
              <w:rPr>
                <w:sz w:val="15"/>
              </w:rPr>
              <w:t>31</w:t>
            </w:r>
          </w:p>
        </w:tc>
        <w:tc>
          <w:tcPr>
            <w:tcW w:type="dxa" w:w="1493"/>
            <w:vAlign w:val="center"/>
            <w:tcMar>
              <w:top w:w="55" w:type="dxa"/>
              <w:start w:w="65" w:type="dxa"/>
              <w:bottom w:w="55" w:type="dxa"/>
              <w:end w:w="65" w:type="dxa"/>
            </w:tcMar>
          </w:tcPr>
          <w:p>
            <w:pPr>
              <w:spacing w:after="0"/>
            </w:pPr>
            <w:r>
              <w:rPr>
                <w:sz w:val="15"/>
              </w:rPr>
              <w:t>B</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WB6</w:t>
            </w:r>
          </w:p>
        </w:tc>
      </w:tr>
      <w:tr>
        <w:trPr>
          <w:cantSplit/>
        </w:trPr>
        <w:tc>
          <w:tcPr>
            <w:tcW w:type="dxa" w:w="1493"/>
            <w:vAlign w:val="center"/>
            <w:tcMar>
              <w:top w:w="55" w:type="dxa"/>
              <w:start w:w="65" w:type="dxa"/>
              <w:bottom w:w="55" w:type="dxa"/>
              <w:end w:w="65" w:type="dxa"/>
            </w:tcMar>
            <w:shd w:fill="F2F4F7"/>
          </w:tcPr>
          <w:p>
            <w:pPr>
              <w:spacing w:after="0"/>
            </w:pPr>
            <w:r>
              <w:rPr>
                <w:sz w:val="15"/>
              </w:rPr>
              <w:t>32</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1C</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WB3</w:t>
            </w:r>
          </w:p>
        </w:tc>
      </w:tr>
      <w:tr>
        <w:trPr>
          <w:cantSplit/>
        </w:trPr>
        <w:tc>
          <w:tcPr>
            <w:tcW w:type="dxa" w:w="1493"/>
            <w:vAlign w:val="center"/>
            <w:tcMar>
              <w:top w:w="55" w:type="dxa"/>
              <w:start w:w="65" w:type="dxa"/>
              <w:bottom w:w="55" w:type="dxa"/>
              <w:end w:w="65" w:type="dxa"/>
            </w:tcMar>
          </w:tcPr>
          <w:p>
            <w:pPr>
              <w:spacing w:after="0"/>
            </w:pPr>
            <w:r>
              <w:rPr>
                <w:sz w:val="15"/>
              </w:rPr>
              <w:t>33</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1A</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WB8</w:t>
            </w:r>
          </w:p>
        </w:tc>
      </w:tr>
      <w:tr>
        <w:trPr>
          <w:cantSplit/>
        </w:trPr>
        <w:tc>
          <w:tcPr>
            <w:tcW w:type="dxa" w:w="1493"/>
            <w:vAlign w:val="center"/>
            <w:tcMar>
              <w:top w:w="55" w:type="dxa"/>
              <w:start w:w="65" w:type="dxa"/>
              <w:bottom w:w="55" w:type="dxa"/>
              <w:end w:w="65" w:type="dxa"/>
            </w:tcMar>
            <w:shd w:fill="F2F4F7"/>
          </w:tcPr>
          <w:p>
            <w:pPr>
              <w:spacing w:after="0"/>
            </w:pPr>
            <w:r>
              <w:rPr>
                <w:sz w:val="15"/>
              </w:rPr>
              <w:t>34</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1B</w:t>
            </w:r>
          </w:p>
        </w:tc>
        <w:tc>
          <w:tcPr>
            <w:tcW w:type="dxa" w:w="1493"/>
            <w:vAlign w:val="center"/>
            <w:tcMar>
              <w:top w:w="55" w:type="dxa"/>
              <w:start w:w="65" w:type="dxa"/>
              <w:bottom w:w="55" w:type="dxa"/>
              <w:end w:w="65" w:type="dxa"/>
            </w:tcMar>
            <w:shd w:fill="F2F4F7"/>
          </w:tcPr>
          <w:p>
            <w:pPr>
              <w:spacing w:after="0"/>
            </w:pPr>
            <w:r>
              <w:rPr>
                <w:sz w:val="15"/>
              </w:rPr>
              <w:t>Easy</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WB5</w:t>
            </w:r>
          </w:p>
        </w:tc>
      </w:tr>
      <w:tr>
        <w:trPr>
          <w:cantSplit/>
        </w:trPr>
        <w:tc>
          <w:tcPr>
            <w:tcW w:type="dxa" w:w="1493"/>
            <w:vAlign w:val="center"/>
            <w:tcMar>
              <w:top w:w="55" w:type="dxa"/>
              <w:start w:w="65" w:type="dxa"/>
              <w:bottom w:w="55" w:type="dxa"/>
              <w:end w:w="65" w:type="dxa"/>
            </w:tcMar>
          </w:tcPr>
          <w:p>
            <w:pPr>
              <w:spacing w:after="0"/>
            </w:pPr>
            <w:r>
              <w:rPr>
                <w:sz w:val="15"/>
              </w:rPr>
              <w:t>35</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Difficult</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WB4</w:t>
            </w:r>
          </w:p>
        </w:tc>
      </w:tr>
      <w:tr>
        <w:trPr>
          <w:cantSplit/>
        </w:trPr>
        <w:tc>
          <w:tcPr>
            <w:tcW w:type="dxa" w:w="1493"/>
            <w:vAlign w:val="center"/>
            <w:tcMar>
              <w:top w:w="55" w:type="dxa"/>
              <w:start w:w="65" w:type="dxa"/>
              <w:bottom w:w="55" w:type="dxa"/>
              <w:end w:w="65" w:type="dxa"/>
            </w:tcMar>
            <w:shd w:fill="F2F4F7"/>
          </w:tcPr>
          <w:p>
            <w:pPr>
              <w:spacing w:after="0"/>
            </w:pPr>
            <w:r>
              <w:rPr>
                <w:sz w:val="15"/>
              </w:rPr>
              <w:t>36</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1B</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WB9</w:t>
            </w:r>
          </w:p>
        </w:tc>
      </w:tr>
      <w:tr>
        <w:trPr>
          <w:cantSplit/>
        </w:trPr>
        <w:tc>
          <w:tcPr>
            <w:tcW w:type="dxa" w:w="1493"/>
            <w:vAlign w:val="center"/>
            <w:tcMar>
              <w:top w:w="55" w:type="dxa"/>
              <w:start w:w="65" w:type="dxa"/>
              <w:bottom w:w="55" w:type="dxa"/>
              <w:end w:w="65" w:type="dxa"/>
            </w:tcMar>
          </w:tcPr>
          <w:p>
            <w:pPr>
              <w:spacing w:after="0"/>
            </w:pPr>
            <w:r>
              <w:rPr>
                <w:sz w:val="15"/>
              </w:rPr>
              <w:t>37</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Difficult</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WB4</w:t>
            </w:r>
          </w:p>
        </w:tc>
      </w:tr>
      <w:tr>
        <w:trPr>
          <w:cantSplit/>
        </w:trPr>
        <w:tc>
          <w:tcPr>
            <w:tcW w:type="dxa" w:w="1493"/>
            <w:vAlign w:val="center"/>
            <w:tcMar>
              <w:top w:w="55" w:type="dxa"/>
              <w:start w:w="65" w:type="dxa"/>
              <w:bottom w:w="55" w:type="dxa"/>
              <w:end w:w="65" w:type="dxa"/>
            </w:tcMar>
            <w:shd w:fill="F2F4F7"/>
          </w:tcPr>
          <w:p>
            <w:pPr>
              <w:spacing w:after="0"/>
            </w:pPr>
            <w:r>
              <w:rPr>
                <w:sz w:val="15"/>
              </w:rPr>
              <w:t>38</w:t>
            </w:r>
          </w:p>
        </w:tc>
        <w:tc>
          <w:tcPr>
            <w:tcW w:type="dxa" w:w="1493"/>
            <w:vAlign w:val="center"/>
            <w:tcMar>
              <w:top w:w="55" w:type="dxa"/>
              <w:start w:w="65" w:type="dxa"/>
              <w:bottom w:w="55" w:type="dxa"/>
              <w:end w:w="65" w:type="dxa"/>
            </w:tcMar>
            <w:shd w:fill="F2F4F7"/>
          </w:tcPr>
          <w:p>
            <w:pPr>
              <w:spacing w:after="0"/>
            </w:pPr>
            <w:r>
              <w:rPr>
                <w:sz w:val="15"/>
              </w:rPr>
              <w:t>C</w:t>
            </w:r>
          </w:p>
        </w:tc>
        <w:tc>
          <w:tcPr>
            <w:tcW w:type="dxa" w:w="1493"/>
            <w:vAlign w:val="center"/>
            <w:tcMar>
              <w:top w:w="55" w:type="dxa"/>
              <w:start w:w="65" w:type="dxa"/>
              <w:bottom w:w="55" w:type="dxa"/>
              <w:end w:w="65" w:type="dxa"/>
            </w:tcMar>
            <w:shd w:fill="F2F4F7"/>
          </w:tcPr>
          <w:p>
            <w:pPr>
              <w:spacing w:after="0"/>
            </w:pPr>
            <w:r>
              <w:rPr>
                <w:sz w:val="15"/>
              </w:rPr>
              <w:t>1B</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WB8</w:t>
            </w:r>
          </w:p>
        </w:tc>
      </w:tr>
      <w:tr>
        <w:trPr>
          <w:cantSplit/>
        </w:trPr>
        <w:tc>
          <w:tcPr>
            <w:tcW w:type="dxa" w:w="1493"/>
            <w:vAlign w:val="center"/>
            <w:tcMar>
              <w:top w:w="55" w:type="dxa"/>
              <w:start w:w="65" w:type="dxa"/>
              <w:bottom w:w="55" w:type="dxa"/>
              <w:end w:w="65" w:type="dxa"/>
            </w:tcMar>
          </w:tcPr>
          <w:p>
            <w:pPr>
              <w:spacing w:after="0"/>
            </w:pPr>
            <w:r>
              <w:rPr>
                <w:sz w:val="15"/>
              </w:rPr>
              <w:t>39</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1A</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WB1</w:t>
            </w:r>
          </w:p>
        </w:tc>
      </w:tr>
      <w:tr>
        <w:trPr>
          <w:cantSplit/>
        </w:trPr>
        <w:tc>
          <w:tcPr>
            <w:tcW w:type="dxa" w:w="1493"/>
            <w:vAlign w:val="center"/>
            <w:tcMar>
              <w:top w:w="55" w:type="dxa"/>
              <w:start w:w="65" w:type="dxa"/>
              <w:bottom w:w="55" w:type="dxa"/>
              <w:end w:w="65" w:type="dxa"/>
            </w:tcMar>
            <w:shd w:fill="F2F4F7"/>
          </w:tcPr>
          <w:p>
            <w:pPr>
              <w:spacing w:after="0"/>
            </w:pPr>
            <w:r>
              <w:rPr>
                <w:sz w:val="15"/>
              </w:rPr>
              <w:t>40</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1A</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WB8</w:t>
            </w:r>
          </w:p>
        </w:tc>
      </w:tr>
      <w:tr>
        <w:trPr>
          <w:cantSplit/>
        </w:trPr>
        <w:tc>
          <w:tcPr>
            <w:tcW w:type="dxa" w:w="1493"/>
            <w:vAlign w:val="center"/>
            <w:tcMar>
              <w:top w:w="55" w:type="dxa"/>
              <w:start w:w="65" w:type="dxa"/>
              <w:bottom w:w="55" w:type="dxa"/>
              <w:end w:w="65" w:type="dxa"/>
            </w:tcMar>
          </w:tcPr>
          <w:p>
            <w:pPr>
              <w:spacing w:after="0"/>
            </w:pPr>
            <w:r>
              <w:rPr>
                <w:sz w:val="15"/>
              </w:rPr>
              <w:t>41</w:t>
            </w:r>
          </w:p>
        </w:tc>
        <w:tc>
          <w:tcPr>
            <w:tcW w:type="dxa" w:w="1493"/>
            <w:vAlign w:val="center"/>
            <w:tcMar>
              <w:top w:w="55" w:type="dxa"/>
              <w:start w:w="65" w:type="dxa"/>
              <w:bottom w:w="55" w:type="dxa"/>
              <w:end w:w="65" w:type="dxa"/>
            </w:tcMar>
          </w:tcPr>
          <w:p>
            <w:pPr>
              <w:spacing w:after="0"/>
            </w:pPr>
            <w:r>
              <w:rPr>
                <w:sz w:val="15"/>
              </w:rPr>
              <w:t>B</w:t>
            </w:r>
          </w:p>
        </w:tc>
        <w:tc>
          <w:tcPr>
            <w:tcW w:type="dxa" w:w="1493"/>
            <w:vAlign w:val="center"/>
            <w:tcMar>
              <w:top w:w="55" w:type="dxa"/>
              <w:start w:w="65" w:type="dxa"/>
              <w:bottom w:w="55" w:type="dxa"/>
              <w:end w:w="65" w:type="dxa"/>
            </w:tcMar>
          </w:tcPr>
          <w:p>
            <w:pPr>
              <w:spacing w:after="0"/>
            </w:pPr>
            <w:r>
              <w:rPr>
                <w:sz w:val="15"/>
              </w:rPr>
              <w:t>1A</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WB1</w:t>
            </w:r>
          </w:p>
        </w:tc>
      </w:tr>
      <w:tr>
        <w:trPr>
          <w:cantSplit/>
        </w:trPr>
        <w:tc>
          <w:tcPr>
            <w:tcW w:type="dxa" w:w="1493"/>
            <w:vAlign w:val="center"/>
            <w:tcMar>
              <w:top w:w="55" w:type="dxa"/>
              <w:start w:w="65" w:type="dxa"/>
              <w:bottom w:w="55" w:type="dxa"/>
              <w:end w:w="65" w:type="dxa"/>
            </w:tcMar>
            <w:shd w:fill="F2F4F7"/>
          </w:tcPr>
          <w:p>
            <w:pPr>
              <w:spacing w:after="0"/>
            </w:pPr>
            <w:r>
              <w:rPr>
                <w:sz w:val="15"/>
              </w:rPr>
              <w:t>42</w:t>
            </w:r>
          </w:p>
        </w:tc>
        <w:tc>
          <w:tcPr>
            <w:tcW w:type="dxa" w:w="1493"/>
            <w:vAlign w:val="center"/>
            <w:tcMar>
              <w:top w:w="55" w:type="dxa"/>
              <w:start w:w="65" w:type="dxa"/>
              <w:bottom w:w="55" w:type="dxa"/>
              <w:end w:w="65" w:type="dxa"/>
            </w:tcMar>
            <w:shd w:fill="F2F4F7"/>
          </w:tcPr>
          <w:p>
            <w:pPr>
              <w:spacing w:after="0"/>
            </w:pPr>
            <w:r>
              <w:rPr>
                <w:sz w:val="15"/>
              </w:rPr>
              <w:t>C</w:t>
            </w:r>
          </w:p>
        </w:tc>
        <w:tc>
          <w:tcPr>
            <w:tcW w:type="dxa" w:w="1493"/>
            <w:vAlign w:val="center"/>
            <w:tcMar>
              <w:top w:w="55" w:type="dxa"/>
              <w:start w:w="65" w:type="dxa"/>
              <w:bottom w:w="55" w:type="dxa"/>
              <w:end w:w="65" w:type="dxa"/>
            </w:tcMar>
            <w:shd w:fill="F2F4F7"/>
          </w:tcPr>
          <w:p>
            <w:pPr>
              <w:spacing w:after="0"/>
            </w:pPr>
            <w:r>
              <w:rPr>
                <w:sz w:val="15"/>
              </w:rPr>
              <w:t>1B</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Sequence</w:t>
            </w:r>
          </w:p>
        </w:tc>
        <w:tc>
          <w:tcPr>
            <w:tcW w:type="dxa" w:w="1493"/>
            <w:vAlign w:val="center"/>
            <w:tcMar>
              <w:top w:w="55" w:type="dxa"/>
              <w:start w:w="65" w:type="dxa"/>
              <w:bottom w:w="55" w:type="dxa"/>
              <w:end w:w="65" w:type="dxa"/>
            </w:tcMar>
            <w:shd w:fill="F2F4F7"/>
          </w:tcPr>
          <w:p>
            <w:pPr>
              <w:spacing w:after="0"/>
            </w:pPr>
            <w:r>
              <w:rPr>
                <w:sz w:val="15"/>
              </w:rPr>
              <w:t>WB5</w:t>
            </w:r>
          </w:p>
        </w:tc>
      </w:tr>
      <w:tr>
        <w:trPr>
          <w:cantSplit/>
        </w:trPr>
        <w:tc>
          <w:tcPr>
            <w:tcW w:type="dxa" w:w="1493"/>
            <w:vAlign w:val="center"/>
            <w:tcMar>
              <w:top w:w="55" w:type="dxa"/>
              <w:start w:w="65" w:type="dxa"/>
              <w:bottom w:w="55" w:type="dxa"/>
              <w:end w:w="65" w:type="dxa"/>
            </w:tcMar>
          </w:tcPr>
          <w:p>
            <w:pPr>
              <w:spacing w:after="0"/>
            </w:pPr>
            <w:r>
              <w:rPr>
                <w:sz w:val="15"/>
              </w:rPr>
              <w:t>43</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2B</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Direct</w:t>
            </w:r>
          </w:p>
        </w:tc>
        <w:tc>
          <w:tcPr>
            <w:tcW w:type="dxa" w:w="1493"/>
            <w:vAlign w:val="center"/>
            <w:tcMar>
              <w:top w:w="55" w:type="dxa"/>
              <w:start w:w="65" w:type="dxa"/>
              <w:bottom w:w="55" w:type="dxa"/>
              <w:end w:w="65" w:type="dxa"/>
            </w:tcMar>
          </w:tcPr>
          <w:p>
            <w:pPr>
              <w:spacing w:after="0"/>
            </w:pPr>
            <w:r>
              <w:rPr>
                <w:sz w:val="15"/>
              </w:rPr>
              <w:t>WB8</w:t>
            </w:r>
          </w:p>
        </w:tc>
      </w:tr>
      <w:tr>
        <w:trPr>
          <w:cantSplit/>
        </w:trPr>
        <w:tc>
          <w:tcPr>
            <w:tcW w:type="dxa" w:w="1493"/>
            <w:vAlign w:val="center"/>
            <w:tcMar>
              <w:top w:w="55" w:type="dxa"/>
              <w:start w:w="65" w:type="dxa"/>
              <w:bottom w:w="55" w:type="dxa"/>
              <w:end w:w="65" w:type="dxa"/>
            </w:tcMar>
            <w:shd w:fill="F2F4F7"/>
          </w:tcPr>
          <w:p>
            <w:pPr>
              <w:spacing w:after="0"/>
            </w:pPr>
            <w:r>
              <w:rPr>
                <w:sz w:val="15"/>
              </w:rPr>
              <w:t>44</w:t>
            </w:r>
          </w:p>
        </w:tc>
        <w:tc>
          <w:tcPr>
            <w:tcW w:type="dxa" w:w="1493"/>
            <w:vAlign w:val="center"/>
            <w:tcMar>
              <w:top w:w="55" w:type="dxa"/>
              <w:start w:w="65" w:type="dxa"/>
              <w:bottom w:w="55" w:type="dxa"/>
              <w:end w:w="65" w:type="dxa"/>
            </w:tcMar>
            <w:shd w:fill="F2F4F7"/>
          </w:tcPr>
          <w:p>
            <w:pPr>
              <w:spacing w:after="0"/>
            </w:pPr>
            <w:r>
              <w:rPr>
                <w:sz w:val="15"/>
              </w:rPr>
              <w:t>A</w:t>
            </w:r>
          </w:p>
        </w:tc>
        <w:tc>
          <w:tcPr>
            <w:tcW w:type="dxa" w:w="1493"/>
            <w:vAlign w:val="center"/>
            <w:tcMar>
              <w:top w:w="55" w:type="dxa"/>
              <w:start w:w="65" w:type="dxa"/>
              <w:bottom w:w="55" w:type="dxa"/>
              <w:end w:w="65" w:type="dxa"/>
            </w:tcMar>
            <w:shd w:fill="F2F4F7"/>
          </w:tcPr>
          <w:p>
            <w:pPr>
              <w:spacing w:after="0"/>
            </w:pPr>
            <w:r>
              <w:rPr>
                <w:sz w:val="15"/>
              </w:rPr>
              <w:t>1C</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Direct</w:t>
            </w:r>
          </w:p>
        </w:tc>
        <w:tc>
          <w:tcPr>
            <w:tcW w:type="dxa" w:w="1493"/>
            <w:vAlign w:val="center"/>
            <w:tcMar>
              <w:top w:w="55" w:type="dxa"/>
              <w:start w:w="65" w:type="dxa"/>
              <w:bottom w:w="55" w:type="dxa"/>
              <w:end w:w="65" w:type="dxa"/>
            </w:tcMar>
            <w:shd w:fill="F2F4F7"/>
          </w:tcPr>
          <w:p>
            <w:pPr>
              <w:spacing w:after="0"/>
            </w:pPr>
            <w:r>
              <w:rPr>
                <w:sz w:val="15"/>
              </w:rPr>
              <w:t>LS Module</w:t>
            </w:r>
          </w:p>
        </w:tc>
      </w:tr>
      <w:tr>
        <w:trPr>
          <w:cantSplit/>
        </w:trPr>
        <w:tc>
          <w:tcPr>
            <w:tcW w:type="dxa" w:w="1493"/>
            <w:vAlign w:val="center"/>
            <w:tcMar>
              <w:top w:w="55" w:type="dxa"/>
              <w:start w:w="65" w:type="dxa"/>
              <w:bottom w:w="55" w:type="dxa"/>
              <w:end w:w="65" w:type="dxa"/>
            </w:tcMar>
          </w:tcPr>
          <w:p>
            <w:pPr>
              <w:spacing w:after="0"/>
            </w:pPr>
            <w:r>
              <w:rPr>
                <w:sz w:val="15"/>
              </w:rPr>
              <w:t>45</w:t>
            </w:r>
          </w:p>
        </w:tc>
        <w:tc>
          <w:tcPr>
            <w:tcW w:type="dxa" w:w="1493"/>
            <w:vAlign w:val="center"/>
            <w:tcMar>
              <w:top w:w="55" w:type="dxa"/>
              <w:start w:w="65" w:type="dxa"/>
              <w:bottom w:w="55" w:type="dxa"/>
              <w:end w:w="65" w:type="dxa"/>
            </w:tcMar>
          </w:tcPr>
          <w:p>
            <w:pPr>
              <w:spacing w:after="0"/>
            </w:pPr>
            <w:r>
              <w:rPr>
                <w:sz w:val="15"/>
              </w:rPr>
              <w:t>D</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Applied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WB6</w:t>
            </w:r>
          </w:p>
        </w:tc>
      </w:tr>
      <w:tr>
        <w:trPr>
          <w:cantSplit/>
        </w:trPr>
        <w:tc>
          <w:tcPr>
            <w:tcW w:type="dxa" w:w="1493"/>
            <w:vAlign w:val="center"/>
            <w:tcMar>
              <w:top w:w="55" w:type="dxa"/>
              <w:start w:w="65" w:type="dxa"/>
              <w:bottom w:w="55" w:type="dxa"/>
              <w:end w:w="65" w:type="dxa"/>
            </w:tcMar>
            <w:shd w:fill="F2F4F7"/>
          </w:tcPr>
          <w:p>
            <w:pPr>
              <w:spacing w:after="0"/>
            </w:pPr>
            <w:r>
              <w:rPr>
                <w:sz w:val="15"/>
              </w:rPr>
              <w:t>46</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2B</w:t>
            </w:r>
          </w:p>
        </w:tc>
        <w:tc>
          <w:tcPr>
            <w:tcW w:type="dxa" w:w="1493"/>
            <w:vAlign w:val="center"/>
            <w:tcMar>
              <w:top w:w="55" w:type="dxa"/>
              <w:start w:w="65" w:type="dxa"/>
              <w:bottom w:w="55" w:type="dxa"/>
              <w:end w:w="65" w:type="dxa"/>
            </w:tcMar>
            <w:shd w:fill="F2F4F7"/>
          </w:tcPr>
          <w:p>
            <w:pPr>
              <w:spacing w:after="0"/>
            </w:pPr>
            <w:r>
              <w:rPr>
                <w:sz w:val="15"/>
              </w:rPr>
              <w:t>Difficult</w:t>
            </w:r>
          </w:p>
        </w:tc>
        <w:tc>
          <w:tcPr>
            <w:tcW w:type="dxa" w:w="1493"/>
            <w:vAlign w:val="center"/>
            <w:tcMar>
              <w:top w:w="55" w:type="dxa"/>
              <w:start w:w="65" w:type="dxa"/>
              <w:bottom w:w="55" w:type="dxa"/>
              <w:end w:w="65" w:type="dxa"/>
            </w:tcMar>
            <w:shd w:fill="F2F4F7"/>
          </w:tcPr>
          <w:p>
            <w:pPr>
              <w:spacing w:after="0"/>
            </w:pPr>
            <w:r>
              <w:rPr>
                <w:sz w:val="15"/>
              </w:rPr>
              <w:t>Integrated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WB4</w:t>
            </w:r>
          </w:p>
        </w:tc>
      </w:tr>
      <w:tr>
        <w:trPr>
          <w:cantSplit/>
        </w:trPr>
        <w:tc>
          <w:tcPr>
            <w:tcW w:type="dxa" w:w="1493"/>
            <w:vAlign w:val="center"/>
            <w:tcMar>
              <w:top w:w="55" w:type="dxa"/>
              <w:start w:w="65" w:type="dxa"/>
              <w:bottom w:w="55" w:type="dxa"/>
              <w:end w:w="65" w:type="dxa"/>
            </w:tcMar>
          </w:tcPr>
          <w:p>
            <w:pPr>
              <w:spacing w:after="0"/>
            </w:pPr>
            <w:r>
              <w:rPr>
                <w:sz w:val="15"/>
              </w:rPr>
              <w:t>47</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2C</w:t>
            </w:r>
          </w:p>
        </w:tc>
        <w:tc>
          <w:tcPr>
            <w:tcW w:type="dxa" w:w="1493"/>
            <w:vAlign w:val="center"/>
            <w:tcMar>
              <w:top w:w="55" w:type="dxa"/>
              <w:start w:w="65" w:type="dxa"/>
              <w:bottom w:w="55" w:type="dxa"/>
              <w:end w:w="65" w:type="dxa"/>
            </w:tcMar>
          </w:tcPr>
          <w:p>
            <w:pPr>
              <w:spacing w:after="0"/>
            </w:pPr>
            <w:r>
              <w:rPr>
                <w:sz w:val="15"/>
              </w:rPr>
              <w:t>Moderate</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Sequence</w:t>
            </w:r>
          </w:p>
        </w:tc>
        <w:tc>
          <w:tcPr>
            <w:tcW w:type="dxa" w:w="1493"/>
            <w:vAlign w:val="center"/>
            <w:tcMar>
              <w:top w:w="55" w:type="dxa"/>
              <w:start w:w="65" w:type="dxa"/>
              <w:bottom w:w="55" w:type="dxa"/>
              <w:end w:w="65" w:type="dxa"/>
            </w:tcMar>
          </w:tcPr>
          <w:p>
            <w:pPr>
              <w:spacing w:after="0"/>
            </w:pPr>
            <w:r>
              <w:rPr>
                <w:sz w:val="15"/>
              </w:rPr>
              <w:t>WB3</w:t>
            </w:r>
          </w:p>
        </w:tc>
      </w:tr>
      <w:tr>
        <w:trPr>
          <w:cantSplit/>
        </w:trPr>
        <w:tc>
          <w:tcPr>
            <w:tcW w:type="dxa" w:w="1493"/>
            <w:vAlign w:val="center"/>
            <w:tcMar>
              <w:top w:w="55" w:type="dxa"/>
              <w:start w:w="65" w:type="dxa"/>
              <w:bottom w:w="55" w:type="dxa"/>
              <w:end w:w="65" w:type="dxa"/>
            </w:tcMar>
            <w:shd w:fill="F2F4F7"/>
          </w:tcPr>
          <w:p>
            <w:pPr>
              <w:spacing w:after="0"/>
            </w:pPr>
            <w:r>
              <w:rPr>
                <w:sz w:val="15"/>
              </w:rPr>
              <w:t>48</w:t>
            </w:r>
          </w:p>
        </w:tc>
        <w:tc>
          <w:tcPr>
            <w:tcW w:type="dxa" w:w="1493"/>
            <w:vAlign w:val="center"/>
            <w:tcMar>
              <w:top w:w="55" w:type="dxa"/>
              <w:start w:w="65" w:type="dxa"/>
              <w:bottom w:w="55" w:type="dxa"/>
              <w:end w:w="65" w:type="dxa"/>
            </w:tcMar>
            <w:shd w:fill="F2F4F7"/>
          </w:tcPr>
          <w:p>
            <w:pPr>
              <w:spacing w:after="0"/>
            </w:pPr>
            <w:r>
              <w:rPr>
                <w:sz w:val="15"/>
              </w:rPr>
              <w:t>D</w:t>
            </w:r>
          </w:p>
        </w:tc>
        <w:tc>
          <w:tcPr>
            <w:tcW w:type="dxa" w:w="1493"/>
            <w:vAlign w:val="center"/>
            <w:tcMar>
              <w:top w:w="55" w:type="dxa"/>
              <w:start w:w="65" w:type="dxa"/>
              <w:bottom w:w="55" w:type="dxa"/>
              <w:end w:w="65" w:type="dxa"/>
            </w:tcMar>
            <w:shd w:fill="F2F4F7"/>
          </w:tcPr>
          <w:p>
            <w:pPr>
              <w:spacing w:after="0"/>
            </w:pPr>
            <w:r>
              <w:rPr>
                <w:sz w:val="15"/>
              </w:rPr>
              <w:t>2A</w:t>
            </w:r>
          </w:p>
        </w:tc>
        <w:tc>
          <w:tcPr>
            <w:tcW w:type="dxa" w:w="1493"/>
            <w:vAlign w:val="center"/>
            <w:tcMar>
              <w:top w:w="55" w:type="dxa"/>
              <w:start w:w="65" w:type="dxa"/>
              <w:bottom w:w="55" w:type="dxa"/>
              <w:end w:w="65" w:type="dxa"/>
            </w:tcMar>
            <w:shd w:fill="F2F4F7"/>
          </w:tcPr>
          <w:p>
            <w:pPr>
              <w:spacing w:after="0"/>
            </w:pPr>
            <w:r>
              <w:rPr>
                <w:sz w:val="15"/>
              </w:rPr>
              <w:t>Moderate</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WB2</w:t>
            </w:r>
          </w:p>
        </w:tc>
      </w:tr>
      <w:tr>
        <w:trPr>
          <w:cantSplit/>
        </w:trPr>
        <w:tc>
          <w:tcPr>
            <w:tcW w:type="dxa" w:w="1493"/>
            <w:vAlign w:val="center"/>
            <w:tcMar>
              <w:top w:w="55" w:type="dxa"/>
              <w:start w:w="65" w:type="dxa"/>
              <w:bottom w:w="55" w:type="dxa"/>
              <w:end w:w="65" w:type="dxa"/>
            </w:tcMar>
          </w:tcPr>
          <w:p>
            <w:pPr>
              <w:spacing w:after="0"/>
            </w:pPr>
            <w:r>
              <w:rPr>
                <w:sz w:val="15"/>
              </w:rPr>
              <w:t>49</w:t>
            </w:r>
          </w:p>
        </w:tc>
        <w:tc>
          <w:tcPr>
            <w:tcW w:type="dxa" w:w="1493"/>
            <w:vAlign w:val="center"/>
            <w:tcMar>
              <w:top w:w="55" w:type="dxa"/>
              <w:start w:w="65" w:type="dxa"/>
              <w:bottom w:w="55" w:type="dxa"/>
              <w:end w:w="65" w:type="dxa"/>
            </w:tcMar>
          </w:tcPr>
          <w:p>
            <w:pPr>
              <w:spacing w:after="0"/>
            </w:pPr>
            <w:r>
              <w:rPr>
                <w:sz w:val="15"/>
              </w:rPr>
              <w:t>C</w:t>
            </w:r>
          </w:p>
        </w:tc>
        <w:tc>
          <w:tcPr>
            <w:tcW w:type="dxa" w:w="1493"/>
            <w:vAlign w:val="center"/>
            <w:tcMar>
              <w:top w:w="55" w:type="dxa"/>
              <w:start w:w="65" w:type="dxa"/>
              <w:bottom w:w="55" w:type="dxa"/>
              <w:end w:w="65" w:type="dxa"/>
            </w:tcMar>
          </w:tcPr>
          <w:p>
            <w:pPr>
              <w:spacing w:after="0"/>
            </w:pPr>
            <w:r>
              <w:rPr>
                <w:sz w:val="15"/>
              </w:rPr>
              <w:t>1B</w:t>
            </w:r>
          </w:p>
        </w:tc>
        <w:tc>
          <w:tcPr>
            <w:tcW w:type="dxa" w:w="1493"/>
            <w:vAlign w:val="center"/>
            <w:tcMar>
              <w:top w:w="55" w:type="dxa"/>
              <w:start w:w="65" w:type="dxa"/>
              <w:bottom w:w="55" w:type="dxa"/>
              <w:end w:w="65" w:type="dxa"/>
            </w:tcMar>
          </w:tcPr>
          <w:p>
            <w:pPr>
              <w:spacing w:after="0"/>
            </w:pPr>
            <w:r>
              <w:rPr>
                <w:sz w:val="15"/>
              </w:rPr>
              <w:t>Easy</w:t>
            </w:r>
          </w:p>
        </w:tc>
        <w:tc>
          <w:tcPr>
            <w:tcW w:type="dxa" w:w="1493"/>
            <w:vAlign w:val="center"/>
            <w:tcMar>
              <w:top w:w="55" w:type="dxa"/>
              <w:start w:w="65" w:type="dxa"/>
              <w:bottom w:w="55" w:type="dxa"/>
              <w:end w:w="65" w:type="dxa"/>
            </w:tcMar>
          </w:tcPr>
          <w:p>
            <w:pPr>
              <w:spacing w:after="0"/>
            </w:pPr>
            <w:r>
              <w:rPr>
                <w:sz w:val="15"/>
              </w:rPr>
              <w:t>Integrated</w:t>
            </w:r>
          </w:p>
        </w:tc>
        <w:tc>
          <w:tcPr>
            <w:tcW w:type="dxa" w:w="1493"/>
            <w:vAlign w:val="center"/>
            <w:tcMar>
              <w:top w:w="55" w:type="dxa"/>
              <w:start w:w="65" w:type="dxa"/>
              <w:bottom w:w="55" w:type="dxa"/>
              <w:end w:w="65" w:type="dxa"/>
            </w:tcMar>
          </w:tcPr>
          <w:p>
            <w:pPr>
              <w:spacing w:after="0"/>
            </w:pPr>
            <w:r>
              <w:rPr>
                <w:sz w:val="15"/>
              </w:rPr>
              <w:t>BEST/MOST</w:t>
            </w:r>
          </w:p>
        </w:tc>
        <w:tc>
          <w:tcPr>
            <w:tcW w:type="dxa" w:w="1493"/>
            <w:vAlign w:val="center"/>
            <w:tcMar>
              <w:top w:w="55" w:type="dxa"/>
              <w:start w:w="65" w:type="dxa"/>
              <w:bottom w:w="55" w:type="dxa"/>
              <w:end w:w="65" w:type="dxa"/>
            </w:tcMar>
          </w:tcPr>
          <w:p>
            <w:pPr>
              <w:spacing w:after="0"/>
            </w:pPr>
            <w:r>
              <w:rPr>
                <w:sz w:val="15"/>
              </w:rPr>
              <w:t>WB5</w:t>
            </w:r>
          </w:p>
        </w:tc>
      </w:tr>
      <w:tr>
        <w:trPr>
          <w:cantSplit/>
        </w:trPr>
        <w:tc>
          <w:tcPr>
            <w:tcW w:type="dxa" w:w="1493"/>
            <w:vAlign w:val="center"/>
            <w:tcMar>
              <w:top w:w="55" w:type="dxa"/>
              <w:start w:w="65" w:type="dxa"/>
              <w:bottom w:w="55" w:type="dxa"/>
              <w:end w:w="65" w:type="dxa"/>
            </w:tcMar>
            <w:shd w:fill="F2F4F7"/>
          </w:tcPr>
          <w:p>
            <w:pPr>
              <w:spacing w:after="0"/>
            </w:pPr>
            <w:r>
              <w:rPr>
                <w:sz w:val="15"/>
              </w:rPr>
              <w:t>50</w:t>
            </w:r>
          </w:p>
        </w:tc>
        <w:tc>
          <w:tcPr>
            <w:tcW w:type="dxa" w:w="1493"/>
            <w:vAlign w:val="center"/>
            <w:tcMar>
              <w:top w:w="55" w:type="dxa"/>
              <w:start w:w="65" w:type="dxa"/>
              <w:bottom w:w="55" w:type="dxa"/>
              <w:end w:w="65" w:type="dxa"/>
            </w:tcMar>
            <w:shd w:fill="F2F4F7"/>
          </w:tcPr>
          <w:p>
            <w:pPr>
              <w:spacing w:after="0"/>
            </w:pPr>
            <w:r>
              <w:rPr>
                <w:sz w:val="15"/>
              </w:rPr>
              <w:t>B</w:t>
            </w:r>
          </w:p>
        </w:tc>
        <w:tc>
          <w:tcPr>
            <w:tcW w:type="dxa" w:w="1493"/>
            <w:vAlign w:val="center"/>
            <w:tcMar>
              <w:top w:w="55" w:type="dxa"/>
              <w:start w:w="65" w:type="dxa"/>
              <w:bottom w:w="55" w:type="dxa"/>
              <w:end w:w="65" w:type="dxa"/>
            </w:tcMar>
            <w:shd w:fill="F2F4F7"/>
          </w:tcPr>
          <w:p>
            <w:pPr>
              <w:spacing w:after="0"/>
            </w:pPr>
            <w:r>
              <w:rPr>
                <w:sz w:val="15"/>
              </w:rPr>
              <w:t>2C</w:t>
            </w:r>
          </w:p>
        </w:tc>
        <w:tc>
          <w:tcPr>
            <w:tcW w:type="dxa" w:w="1493"/>
            <w:vAlign w:val="center"/>
            <w:tcMar>
              <w:top w:w="55" w:type="dxa"/>
              <w:start w:w="65" w:type="dxa"/>
              <w:bottom w:w="55" w:type="dxa"/>
              <w:end w:w="65" w:type="dxa"/>
            </w:tcMar>
            <w:shd w:fill="F2F4F7"/>
          </w:tcPr>
          <w:p>
            <w:pPr>
              <w:spacing w:after="0"/>
            </w:pPr>
            <w:r>
              <w:rPr>
                <w:sz w:val="15"/>
              </w:rPr>
              <w:t>Easy</w:t>
            </w:r>
          </w:p>
        </w:tc>
        <w:tc>
          <w:tcPr>
            <w:tcW w:type="dxa" w:w="1493"/>
            <w:vAlign w:val="center"/>
            <w:tcMar>
              <w:top w:w="55" w:type="dxa"/>
              <w:start w:w="65" w:type="dxa"/>
              <w:bottom w:w="55" w:type="dxa"/>
              <w:end w:w="65" w:type="dxa"/>
            </w:tcMar>
            <w:shd w:fill="F2F4F7"/>
          </w:tcPr>
          <w:p>
            <w:pPr>
              <w:spacing w:after="0"/>
            </w:pPr>
            <w:r>
              <w:rPr>
                <w:sz w:val="15"/>
              </w:rPr>
              <w:t>Applied</w:t>
            </w:r>
          </w:p>
        </w:tc>
        <w:tc>
          <w:tcPr>
            <w:tcW w:type="dxa" w:w="1493"/>
            <w:vAlign w:val="center"/>
            <w:tcMar>
              <w:top w:w="55" w:type="dxa"/>
              <w:start w:w="65" w:type="dxa"/>
              <w:bottom w:w="55" w:type="dxa"/>
              <w:end w:w="65" w:type="dxa"/>
            </w:tcMar>
            <w:shd w:fill="F2F4F7"/>
          </w:tcPr>
          <w:p>
            <w:pPr>
              <w:spacing w:after="0"/>
            </w:pPr>
            <w:r>
              <w:rPr>
                <w:sz w:val="15"/>
              </w:rPr>
              <w:t>BEST/MOST</w:t>
            </w:r>
          </w:p>
        </w:tc>
        <w:tc>
          <w:tcPr>
            <w:tcW w:type="dxa" w:w="1493"/>
            <w:vAlign w:val="center"/>
            <w:tcMar>
              <w:top w:w="55" w:type="dxa"/>
              <w:start w:w="65" w:type="dxa"/>
              <w:bottom w:w="55" w:type="dxa"/>
              <w:end w:w="65" w:type="dxa"/>
            </w:tcMar>
            <w:shd w:fill="F2F4F7"/>
          </w:tcPr>
          <w:p>
            <w:pPr>
              <w:spacing w:after="0"/>
            </w:pPr>
            <w:r>
              <w:rPr>
                <w:sz w:val="15"/>
              </w:rPr>
              <w:t>WB3</w:t>
            </w:r>
          </w:p>
        </w:tc>
      </w:tr>
    </w:tbl>
    <w:p>
      <w:r>
        <w:rPr>
          <w:b/>
        </w:rPr>
        <w:t xml:space="preserve">Answer balance: </w:t>
      </w:r>
      <w:r>
        <w:t>A12 / B12 / C13 / D13</w:t>
      </w:r>
      <w:r>
        <w:rPr>
          <w:b/>
        </w:rPr>
        <w:t xml:space="preserve">    Difficulty: </w:t>
      </w:r>
      <w:r>
        <w:t>Easy 12 / Moderate 25 / Difficult 13</w:t>
      </w:r>
    </w:p>
    <w:p>
      <w:pPr>
        <w:pStyle w:val="Heading1"/>
        <w:pageBreakBefore/>
        <w:spacing w:before="0" w:after="40" w:line="230" w:lineRule="auto"/>
      </w:pPr>
      <w:r>
        <w:rPr>
          <w:sz w:val="28"/>
        </w:rPr>
        <w:t>Item 1 - Controlled Rationale</w:t>
      </w:r>
    </w:p>
    <w:p>
      <w:pPr>
        <w:spacing w:before="0" w:after="20" w:line="230" w:lineRule="auto"/>
      </w:pPr>
      <w:r>
        <w:rPr>
          <w:b/>
          <w:sz w:val="18"/>
        </w:rPr>
        <w:t xml:space="preserve">Item ID: </w:t>
      </w:r>
      <w:r>
        <w:rPr>
          <w:sz w:val="18"/>
        </w:rPr>
        <w:t>CTA-EP-002-CUM-B-001</w:t>
      </w:r>
    </w:p>
    <w:p>
      <w:pPr>
        <w:spacing w:before="0" w:after="20" w:line="230" w:lineRule="auto"/>
      </w:pPr>
      <w:r>
        <w:rPr>
          <w:b/>
          <w:sz w:val="18"/>
        </w:rPr>
        <w:t xml:space="preserve">Stem: </w:t>
      </w:r>
      <w:r>
        <w:rPr>
          <w:sz w:val="18"/>
        </w:rPr>
        <w:t>A group practice drafts this website bio: “Jordan Lee, ASW, trauma therapist,” followed by the registration number and employer name. The bio omits the complete registered title and does not state that services are provided under licensed supervision. What change is required before publication after April 1, 2026?</w:t>
      </w:r>
    </w:p>
    <w:p>
      <w:pPr>
        <w:spacing w:before="0" w:after="20" w:line="230" w:lineRule="auto"/>
      </w:pPr>
      <w:r>
        <w:rPr>
          <w:b/>
          <w:color w:val="1AA6A6"/>
          <w:sz w:val="18"/>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Option</w:t>
            </w:r>
          </w:p>
        </w:tc>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Answer choice</w:t>
            </w:r>
          </w:p>
        </w:tc>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Detailed rationale</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A</w:t>
            </w:r>
          </w:p>
        </w:tc>
        <w:tc>
          <w:tcPr>
            <w:tcW w:type="dxa" w:w="3485"/>
            <w:vAlign w:val="center"/>
            <w:tcMar>
              <w:top w:w="12" w:type="dxa"/>
              <w:start w:w="28" w:type="dxa"/>
              <w:bottom w:w="12" w:type="dxa"/>
              <w:end w:w="28" w:type="dxa"/>
            </w:tcMar>
          </w:tcPr>
          <w:p>
            <w:pPr>
              <w:spacing w:after="0" w:before="0" w:line="226" w:lineRule="auto"/>
            </w:pPr>
            <w:r>
              <w:rPr>
                <w:sz w:val="14"/>
              </w:rPr>
              <w:t>No change is required because the registration number and employer name are already present.</w:t>
            </w:r>
          </w:p>
        </w:tc>
        <w:tc>
          <w:tcPr>
            <w:tcW w:type="dxa" w:w="3485"/>
            <w:vAlign w:val="center"/>
            <w:tcMar>
              <w:top w:w="12" w:type="dxa"/>
              <w:start w:w="28" w:type="dxa"/>
              <w:bottom w:w="12" w:type="dxa"/>
              <w:end w:w="28" w:type="dxa"/>
            </w:tcMar>
          </w:tcPr>
          <w:p>
            <w:pPr>
              <w:spacing w:after="0" w:before="0" w:line="226" w:lineRule="auto"/>
            </w:pPr>
            <w:r>
              <w:rPr>
                <w:sz w:val="14"/>
              </w:rPr>
              <w:t>Incorrect. The registration number and employer name do not replace the complete title and licensed-supervision notice required after April 1, 2026.</w:t>
            </w:r>
          </w:p>
        </w:tc>
      </w:tr>
      <w:tr>
        <w:trPr>
          <w:cantSplit/>
        </w:trPr>
        <w:tc>
          <w:tcPr>
            <w:tcW w:type="dxa" w:w="3485"/>
            <w:shd w:fill="EAF7F7"/>
            <w:vAlign w:val="center"/>
            <w:tcMar>
              <w:top w:w="12" w:type="dxa"/>
              <w:start w:w="28" w:type="dxa"/>
              <w:bottom w:w="12" w:type="dxa"/>
              <w:end w:w="28" w:type="dxa"/>
            </w:tcMar>
          </w:tcPr>
          <w:p>
            <w:pPr>
              <w:spacing w:after="0" w:before="0" w:line="226" w:lineRule="auto"/>
              <w:jc w:val="center"/>
            </w:pPr>
            <w:r>
              <w:rPr>
                <w:sz w:val="14"/>
              </w:rPr>
              <w:t>B</w:t>
            </w:r>
          </w:p>
        </w:tc>
        <w:tc>
          <w:tcPr>
            <w:tcW w:type="dxa" w:w="3485"/>
            <w:shd w:fill="EAF7F7"/>
            <w:vAlign w:val="center"/>
            <w:tcMar>
              <w:top w:w="12" w:type="dxa"/>
              <w:start w:w="28" w:type="dxa"/>
              <w:bottom w:w="12" w:type="dxa"/>
              <w:end w:w="28" w:type="dxa"/>
            </w:tcMar>
          </w:tcPr>
          <w:p>
            <w:pPr>
              <w:spacing w:after="0" w:before="0" w:line="226" w:lineRule="auto"/>
            </w:pPr>
            <w:r>
              <w:rPr>
                <w:sz w:val="14"/>
              </w:rPr>
              <w:t>Add the complete title “Registered Associate Clinical Social Worker” and a statement that services are provided under the supervision of a licensed person; “ASW” may remain only when the complete title also appears.</w:t>
            </w:r>
          </w:p>
        </w:tc>
        <w:tc>
          <w:tcPr>
            <w:tcW w:type="dxa" w:w="3485"/>
            <w:shd w:fill="EAF7F7"/>
            <w:vAlign w:val="center"/>
            <w:tcMar>
              <w:top w:w="12" w:type="dxa"/>
              <w:start w:w="28" w:type="dxa"/>
              <w:bottom w:w="12" w:type="dxa"/>
              <w:end w:w="28" w:type="dxa"/>
            </w:tcMar>
          </w:tcPr>
          <w:p>
            <w:pPr>
              <w:spacing w:after="0" w:before="0" w:line="226" w:lineRule="auto"/>
            </w:pPr>
            <w:r>
              <w:rPr>
                <w:sz w:val="14"/>
              </w:rPr>
              <w:t>Correct. This revision supplies the missing full title and supervision statement while allowing the abbreviation only alongside the complete title.</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C</w:t>
            </w:r>
          </w:p>
        </w:tc>
        <w:tc>
          <w:tcPr>
            <w:tcW w:type="dxa" w:w="3485"/>
            <w:vAlign w:val="center"/>
            <w:tcMar>
              <w:top w:w="12" w:type="dxa"/>
              <w:start w:w="28" w:type="dxa"/>
              <w:bottom w:w="12" w:type="dxa"/>
              <w:end w:w="28" w:type="dxa"/>
            </w:tcMar>
          </w:tcPr>
          <w:p>
            <w:pPr>
              <w:spacing w:after="0" w:before="0" w:line="226" w:lineRule="auto"/>
            </w:pPr>
            <w:r>
              <w:rPr>
                <w:sz w:val="14"/>
              </w:rPr>
              <w:t>Replace “ASW” with “ACSW” and omit the supervision statement because the employer owns the website.</w:t>
            </w:r>
          </w:p>
        </w:tc>
        <w:tc>
          <w:tcPr>
            <w:tcW w:type="dxa" w:w="3485"/>
            <w:vAlign w:val="center"/>
            <w:tcMar>
              <w:top w:w="12" w:type="dxa"/>
              <w:start w:w="28" w:type="dxa"/>
              <w:bottom w:w="12" w:type="dxa"/>
              <w:end w:w="28" w:type="dxa"/>
            </w:tcMar>
          </w:tcPr>
          <w:p>
            <w:pPr>
              <w:spacing w:after="0" w:before="0" w:line="226" w:lineRule="auto"/>
            </w:pPr>
            <w:r>
              <w:rPr>
                <w:sz w:val="14"/>
              </w:rPr>
              <w:t>Incorrect. ACSW is not the California registration title, and employer ownership does not eliminate the required supervision disclosure.</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D</w:t>
            </w:r>
          </w:p>
        </w:tc>
        <w:tc>
          <w:tcPr>
            <w:tcW w:type="dxa" w:w="3485"/>
            <w:vAlign w:val="center"/>
            <w:tcMar>
              <w:top w:w="12" w:type="dxa"/>
              <w:start w:w="28" w:type="dxa"/>
              <w:bottom w:w="12" w:type="dxa"/>
              <w:end w:w="28" w:type="dxa"/>
            </w:tcMar>
          </w:tcPr>
          <w:p>
            <w:pPr>
              <w:spacing w:after="0" w:before="0" w:line="226" w:lineRule="auto"/>
            </w:pPr>
            <w:r>
              <w:rPr>
                <w:sz w:val="14"/>
              </w:rPr>
              <w:t>Add only the supervisor’s license number because the practice, rather than the associate, controls the advertisement.</w:t>
            </w:r>
          </w:p>
        </w:tc>
        <w:tc>
          <w:tcPr>
            <w:tcW w:type="dxa" w:w="3485"/>
            <w:vAlign w:val="center"/>
            <w:tcMar>
              <w:top w:w="12" w:type="dxa"/>
              <w:start w:w="28" w:type="dxa"/>
              <w:bottom w:w="12" w:type="dxa"/>
              <w:end w:w="28" w:type="dxa"/>
            </w:tcMar>
          </w:tcPr>
          <w:p>
            <w:pPr>
              <w:spacing w:after="0" w:before="0" w:line="226" w:lineRule="auto"/>
            </w:pPr>
            <w:r>
              <w:rPr>
                <w:sz w:val="14"/>
              </w:rPr>
              <w:t>Incorrect. A supervisor license number alone does not correct the missing associate title and licensed-supervision notice.</w:t>
            </w:r>
          </w:p>
        </w:tc>
      </w:tr>
    </w:tbl>
    <w:p>
      <w:pPr>
        <w:pStyle w:val="Heading2"/>
        <w:spacing w:before="40" w:after="0" w:line="230" w:lineRule="auto"/>
      </w:pPr>
      <w:r>
        <w:rPr>
          <w:sz w:val="22"/>
        </w:rPr>
        <w:t>Why the Key Controls</w:t>
      </w:r>
    </w:p>
    <w:p>
      <w:pPr>
        <w:spacing w:before="0" w:after="20" w:line="230" w:lineRule="auto"/>
      </w:pPr>
      <w:r>
        <w:rPr>
          <w:sz w:val="18"/>
        </w:rPr>
        <w:t>The revised bio must use the complete California associate title and state that services are provided under licensed supervision. The abbreviation ASW may appear only when the complete title also appears; the registration number and employer name do not cure those omissions.</w:t>
      </w:r>
    </w:p>
    <w:p>
      <w:pPr>
        <w:pStyle w:val="Heading2"/>
        <w:spacing w:before="40" w:after="0" w:line="230" w:lineRule="auto"/>
      </w:pPr>
      <w:r>
        <w:rPr>
          <w:sz w:val="22"/>
        </w:rPr>
        <w:t>CTA Exam Strategy</w:t>
      </w:r>
    </w:p>
    <w:p>
      <w:pPr>
        <w:spacing w:before="0" w:after="20" w:line="230" w:lineRule="auto"/>
      </w:pPr>
      <w:r>
        <w:rPr>
          <w:sz w:val="18"/>
        </w:rPr>
        <w:t>Advertising questions require exact status language. Check the full title, registration number, employer or volunteer entity, and supervision statement rather than relying on an abbreviation or employer control.</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8" w:type="dxa"/>
              <w:start w:w="25" w:type="dxa"/>
              <w:bottom w:w="8" w:type="dxa"/>
              <w:end w:w="25" w:type="dxa"/>
            </w:tcMar>
          </w:tcPr>
          <w:p>
            <w:pPr>
              <w:spacing w:after="0" w:before="0" w:line="226" w:lineRule="auto"/>
            </w:pPr>
            <w:r>
              <w:rPr>
                <w:sz w:val="14"/>
              </w:rPr>
              <w:t>Primary concept</w:t>
            </w:r>
          </w:p>
        </w:tc>
        <w:tc>
          <w:tcPr>
            <w:tcW w:type="dxa" w:w="5227"/>
            <w:vAlign w:val="center"/>
            <w:tcMar>
              <w:top w:w="8" w:type="dxa"/>
              <w:start w:w="25" w:type="dxa"/>
              <w:bottom w:w="8" w:type="dxa"/>
              <w:end w:w="25" w:type="dxa"/>
            </w:tcMar>
          </w:tcPr>
          <w:p>
            <w:pPr>
              <w:spacing w:after="0" w:before="0" w:line="226" w:lineRule="auto"/>
            </w:pPr>
            <w:r>
              <w:rPr>
                <w:sz w:val="14"/>
              </w:rPr>
              <w:t>Correcting incomplete ASW website advertising after April 1, 2026</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Official domain</w:t>
            </w:r>
          </w:p>
        </w:tc>
        <w:tc>
          <w:tcPr>
            <w:tcW w:type="dxa" w:w="5227"/>
            <w:shd w:fill="F2F4F7"/>
            <w:vAlign w:val="center"/>
            <w:tcMar>
              <w:top w:w="8" w:type="dxa"/>
              <w:start w:w="25" w:type="dxa"/>
              <w:bottom w:w="8" w:type="dxa"/>
              <w:end w:w="25" w:type="dxa"/>
            </w:tcMar>
          </w:tcPr>
          <w:p>
            <w:pPr>
              <w:spacing w:after="0" w:before="0" w:line="226" w:lineRule="auto"/>
            </w:pPr>
            <w:r>
              <w:rPr>
                <w:sz w:val="14"/>
              </w:rPr>
              <w:t>2B</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Difficulty / construction</w:t>
            </w:r>
          </w:p>
        </w:tc>
        <w:tc>
          <w:tcPr>
            <w:tcW w:type="dxa" w:w="5227"/>
            <w:vAlign w:val="center"/>
            <w:tcMar>
              <w:top w:w="8" w:type="dxa"/>
              <w:start w:w="25" w:type="dxa"/>
              <w:bottom w:w="8" w:type="dxa"/>
              <w:end w:w="25" w:type="dxa"/>
            </w:tcMar>
          </w:tcPr>
          <w:p>
            <w:pPr>
              <w:spacing w:after="0" w:before="0" w:line="226" w:lineRule="auto"/>
            </w:pPr>
            <w:r>
              <w:rPr>
                <w:sz w:val="14"/>
              </w:rPr>
              <w:t>Difficult / Foundational / BEST/MOST</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Primary remediation route</w:t>
            </w:r>
          </w:p>
        </w:tc>
        <w:tc>
          <w:tcPr>
            <w:tcW w:type="dxa" w:w="5227"/>
            <w:shd w:fill="F2F4F7"/>
            <w:vAlign w:val="center"/>
            <w:tcMar>
              <w:top w:w="8" w:type="dxa"/>
              <w:start w:w="25" w:type="dxa"/>
              <w:bottom w:w="8" w:type="dxa"/>
              <w:end w:w="25" w:type="dxa"/>
            </w:tcMar>
          </w:tcPr>
          <w:p>
            <w:pPr>
              <w:spacing w:after="0" w:before="0" w:line="226" w:lineRule="auto"/>
            </w:pPr>
            <w:r>
              <w:rPr>
                <w:sz w:val="14"/>
              </w:rPr>
              <w:t>LCSW/ASW License-Specific Module</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Error-log category</w:t>
            </w:r>
          </w:p>
        </w:tc>
        <w:tc>
          <w:tcPr>
            <w:tcW w:type="dxa" w:w="5227"/>
            <w:vAlign w:val="center"/>
            <w:tcMar>
              <w:top w:w="8" w:type="dxa"/>
              <w:start w:w="25" w:type="dxa"/>
              <w:bottom w:w="8" w:type="dxa"/>
              <w:end w:w="25" w:type="dxa"/>
            </w:tcMar>
          </w:tcPr>
          <w:p>
            <w:pPr>
              <w:spacing w:after="0" w:before="0" w:line="226" w:lineRule="auto"/>
            </w:pPr>
            <w:r>
              <w:rPr>
                <w:sz w:val="14"/>
              </w:rPr>
              <w:t>ASW-ADVERTISING</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Primary source control</w:t>
            </w:r>
          </w:p>
        </w:tc>
        <w:tc>
          <w:tcPr>
            <w:tcW w:type="dxa" w:w="5227"/>
            <w:shd w:fill="F2F4F7"/>
            <w:vAlign w:val="center"/>
            <w:tcMar>
              <w:top w:w="8" w:type="dxa"/>
              <w:start w:w="25" w:type="dxa"/>
              <w:bottom w:w="8" w:type="dxa"/>
              <w:end w:w="25" w:type="dxa"/>
            </w:tcMar>
          </w:tcPr>
          <w:p>
            <w:pPr>
              <w:spacing w:after="0" w:before="0" w:line="226" w:lineRule="auto"/>
            </w:pPr>
            <w:r>
              <w:rPr>
                <w:sz w:val="14"/>
              </w:rPr>
              <w:t>BBS Advertising Requirements Fact Sheet revised 03/2026, effective 04/01/2026; BPC 4992.2 and 4992.3(g),(q)</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Currency control</w:t>
            </w:r>
          </w:p>
        </w:tc>
        <w:tc>
          <w:tcPr>
            <w:tcW w:type="dxa" w:w="5227"/>
            <w:vAlign w:val="center"/>
            <w:tcMar>
              <w:top w:w="8" w:type="dxa"/>
              <w:start w:w="25" w:type="dxa"/>
              <w:bottom w:w="8" w:type="dxa"/>
              <w:end w:w="25" w:type="dxa"/>
            </w:tcMar>
          </w:tcPr>
          <w:p>
            <w:pPr>
              <w:spacing w:after="0" w:before="0" w:line="226" w:lineRule="auto"/>
            </w:pPr>
            <w:r>
              <w:rPr>
                <w:sz w:val="14"/>
              </w:rPr>
              <w:t>Recheck current California statutes and regulations, BBS Law Changes and forms, and the current NASW Code before LMS lock and within 30 days of public release.</w:t>
            </w:r>
          </w:p>
        </w:tc>
      </w:tr>
    </w:tbl>
    <w:p>
      <w:pPr>
        <w:pStyle w:val="Heading1"/>
        <w:pageBreakBefore/>
      </w:pPr>
      <w:r>
        <w:t>Item 2 - Controlled Rationale</w:t>
      </w:r>
    </w:p>
    <w:p>
      <w:r>
        <w:rPr>
          <w:b/>
        </w:rPr>
        <w:t xml:space="preserve">Item ID: </w:t>
      </w:r>
      <w:r>
        <w:t>CTA-EP-002-CUM-B-002</w:t>
      </w:r>
    </w:p>
    <w:p>
      <w:r>
        <w:rPr>
          <w:b/>
        </w:rPr>
        <w:t xml:space="preserve">Stem: </w:t>
      </w:r>
      <w:r>
        <w:t>An adult client submits a written request to inspect the treatment record, but the signature does not match the signature on file. What should the LCSW do FIRST?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Use a reasonable, nondiscriminatory identity-verification process and then arrange legally required access within the applicable time frame, subject to any valid exception.</w:t>
            </w:r>
          </w:p>
        </w:tc>
        <w:tc>
          <w:tcPr>
            <w:tcW w:type="dxa" w:w="3485"/>
            <w:shd w:fill="EAF7F7"/>
            <w:vAlign w:val="center"/>
            <w:tcMar>
              <w:top w:w="55" w:type="dxa"/>
              <w:start w:w="65" w:type="dxa"/>
              <w:bottom w:w="55" w:type="dxa"/>
              <w:end w:w="65" w:type="dxa"/>
            </w:tcMar>
          </w:tcPr>
          <w:p>
            <w:pPr>
              <w:spacing w:after="0"/>
            </w:pPr>
            <w:r>
              <w:rPr>
                <w:sz w:val="16"/>
              </w:rPr>
              <w:t>Correct. This response protects confidentiality through reasonable verification while preserving the client’s lawful access rights and deadline.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Deny the request permanently because any signature difference proves fraud.</w:t>
            </w:r>
          </w:p>
        </w:tc>
        <w:tc>
          <w:tcPr>
            <w:tcW w:type="dxa" w:w="3485"/>
            <w:vAlign w:val="center"/>
            <w:tcMar>
              <w:top w:w="55" w:type="dxa"/>
              <w:start w:w="65" w:type="dxa"/>
              <w:bottom w:w="55" w:type="dxa"/>
              <w:end w:w="65" w:type="dxa"/>
            </w:tcMar>
          </w:tcPr>
          <w:p>
            <w:pPr>
              <w:spacing w:after="0"/>
            </w:pPr>
            <w:r>
              <w:rPr>
                <w:sz w:val="16"/>
              </w:rPr>
              <w:t>Incorrect. A signature difference may have an innocent explanation and does not prove fraud or authorize permanent denial.</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Send the complete record to the address in the chart without verifying who made the request.</w:t>
            </w:r>
          </w:p>
        </w:tc>
        <w:tc>
          <w:tcPr>
            <w:tcW w:type="dxa" w:w="3485"/>
            <w:vAlign w:val="center"/>
            <w:tcMar>
              <w:top w:w="55" w:type="dxa"/>
              <w:start w:w="65" w:type="dxa"/>
              <w:bottom w:w="55" w:type="dxa"/>
              <w:end w:w="65" w:type="dxa"/>
            </w:tcMar>
          </w:tcPr>
          <w:p>
            <w:pPr>
              <w:spacing w:after="0"/>
            </w:pPr>
            <w:r>
              <w:rPr>
                <w:sz w:val="16"/>
              </w:rPr>
              <w:t>Incorrect. Sending a complete record without verifying the requester risks disclosure to the wrong person.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Require a notarized court order because clients may not inspect psychotherapy records directly.</w:t>
            </w:r>
          </w:p>
        </w:tc>
        <w:tc>
          <w:tcPr>
            <w:tcW w:type="dxa" w:w="3485"/>
            <w:vAlign w:val="center"/>
            <w:tcMar>
              <w:top w:w="55" w:type="dxa"/>
              <w:start w:w="65" w:type="dxa"/>
              <w:bottom w:w="55" w:type="dxa"/>
              <w:end w:w="65" w:type="dxa"/>
            </w:tcMar>
          </w:tcPr>
          <w:p>
            <w:pPr>
              <w:spacing w:after="0"/>
            </w:pPr>
            <w:r>
              <w:rPr>
                <w:sz w:val="16"/>
              </w:rPr>
              <w:t>Incorrect. A competent adult generally may request direct inspection without first obtaining a notarized court order.</w:t>
            </w:r>
          </w:p>
        </w:tc>
      </w:tr>
    </w:tbl>
    <w:p>
      <w:pPr>
        <w:pStyle w:val="Heading2"/>
      </w:pPr>
      <w:r>
        <w:t>Why the Key Controls</w:t>
      </w:r>
    </w:p>
    <w:p>
      <w:r>
        <w:t>A signature discrepancy calls for reasonable identity verification, not automatic denial or unsafe release. Once identity is verified, the LCSW must provide inspection through the applicable statutory process and deadline unless a valid exception applies.</w:t>
      </w:r>
    </w:p>
    <w:p>
      <w:pPr>
        <w:pStyle w:val="Heading2"/>
      </w:pPr>
      <w:r>
        <w:t>CTA Exam Strategy</w:t>
      </w:r>
    </w:p>
    <w:p>
      <w:r>
        <w:t>For a questionable records request, verify identity proportionately, then apply the correct inspection or copying process and deadline.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Timely response to a patient request to inspect records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RECORD-ACCESS-IDENTITY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Health and Safety Code 123110(a),(f); BPC 4992.3(z)</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3 - Controlled Rationale</w:t>
      </w:r>
    </w:p>
    <w:p>
      <w:r>
        <w:rPr>
          <w:b/>
        </w:rPr>
        <w:t xml:space="preserve">Item ID: </w:t>
      </w:r>
      <w:r>
        <w:t>CTA-EP-002-CUM-B-003</w:t>
      </w:r>
    </w:p>
    <w:p>
      <w:r>
        <w:rPr>
          <w:b/>
        </w:rPr>
        <w:t xml:space="preserve">Stem: </w:t>
      </w:r>
      <w:r>
        <w:t>A supervisor learns that an ASW has been assigned to administer and interpret a specialized cognitive assessment the ASW has never been trained to use. What should the supervisor do FIRST?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Pause the unsupported assignment and determine whether appropriate training, direct oversight, consultation, or referral can bring the work within the ASW’s competence and lawful role.</w:t>
            </w:r>
          </w:p>
        </w:tc>
        <w:tc>
          <w:tcPr>
            <w:tcW w:type="dxa" w:w="3485"/>
            <w:shd w:fill="EAF7F7"/>
            <w:vAlign w:val="center"/>
            <w:tcMar>
              <w:top w:w="55" w:type="dxa"/>
              <w:start w:w="65" w:type="dxa"/>
              <w:bottom w:w="55" w:type="dxa"/>
              <w:end w:w="65" w:type="dxa"/>
            </w:tcMar>
          </w:tcPr>
          <w:p>
            <w:pPr>
              <w:spacing w:after="0"/>
            </w:pPr>
            <w:r>
              <w:rPr>
                <w:sz w:val="16"/>
              </w:rPr>
              <w:t>Correct. This choice contains the competence risk before client harm and identifies lawful ways to repair or redirect the assignment.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Allow the ASW to complete one assessment so the supervisor can evaluate the results afterward.</w:t>
            </w:r>
          </w:p>
        </w:tc>
        <w:tc>
          <w:tcPr>
            <w:tcW w:type="dxa" w:w="3485"/>
            <w:vAlign w:val="center"/>
            <w:tcMar>
              <w:top w:w="55" w:type="dxa"/>
              <w:start w:w="65" w:type="dxa"/>
              <w:bottom w:w="55" w:type="dxa"/>
              <w:end w:w="65" w:type="dxa"/>
            </w:tcMar>
          </w:tcPr>
          <w:p>
            <w:pPr>
              <w:spacing w:after="0"/>
            </w:pPr>
            <w:r>
              <w:rPr>
                <w:sz w:val="16"/>
              </w:rPr>
              <w:t>Incorrect. Allowing an untrained assessment first exposes the client and the validity of the results to avoidable risk.</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Have the ASW obtain a client waiver acknowledging limited experience.</w:t>
            </w:r>
          </w:p>
        </w:tc>
        <w:tc>
          <w:tcPr>
            <w:tcW w:type="dxa" w:w="3485"/>
            <w:vAlign w:val="center"/>
            <w:tcMar>
              <w:top w:w="55" w:type="dxa"/>
              <w:start w:w="65" w:type="dxa"/>
              <w:bottom w:w="55" w:type="dxa"/>
              <w:end w:w="65" w:type="dxa"/>
            </w:tcMar>
          </w:tcPr>
          <w:p>
            <w:pPr>
              <w:spacing w:after="0"/>
            </w:pPr>
            <w:r>
              <w:rPr>
                <w:sz w:val="16"/>
              </w:rPr>
              <w:t>Incorrect. A client waiver cannot create clinician competence or make an invalid assessment reliable.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Permit the work because the supervisor’s competence automatically extends to the supervisee.</w:t>
            </w:r>
          </w:p>
        </w:tc>
        <w:tc>
          <w:tcPr>
            <w:tcW w:type="dxa" w:w="3485"/>
            <w:vAlign w:val="center"/>
            <w:tcMar>
              <w:top w:w="55" w:type="dxa"/>
              <w:start w:w="65" w:type="dxa"/>
              <w:bottom w:w="55" w:type="dxa"/>
              <w:end w:w="65" w:type="dxa"/>
            </w:tcMar>
          </w:tcPr>
          <w:p>
            <w:pPr>
              <w:spacing w:after="0"/>
            </w:pPr>
            <w:r>
              <w:rPr>
                <w:sz w:val="16"/>
              </w:rPr>
              <w:t>Incorrect. A supervisor’s competence does not automatically transfer to the supervisee.</w:t>
            </w:r>
          </w:p>
        </w:tc>
      </w:tr>
    </w:tbl>
    <w:p>
      <w:pPr>
        <w:pStyle w:val="Heading2"/>
      </w:pPr>
      <w:r>
        <w:t>Why the Key Controls</w:t>
      </w:r>
    </w:p>
    <w:p>
      <w:r>
        <w:t>The supervisor must prevent practice beyond the ASW’s demonstrated competence. The unsupported assignment should be paused while the supervisor determines whether training, direct oversight, consultation, or referral can make the service lawful and clinically sound.</w:t>
      </w:r>
    </w:p>
    <w:p>
      <w:pPr>
        <w:pStyle w:val="Heading2"/>
      </w:pPr>
      <w:r>
        <w:t>CTA Exam Strategy</w:t>
      </w:r>
    </w:p>
    <w:p>
      <w:r>
        <w:t>When a supervisee lacks competence, pause the service first; training, oversight, consultation, or referral come before independent performance.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Supervisor duty when an ASW lacks competence for an assigned service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WB3 - Professional Competence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SUPERVISEE-COMPETENCE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4992.3(m),(t),(u); NASW Code 1.04 and 3.01</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4 - Controlled Rationale</w:t>
      </w:r>
    </w:p>
    <w:p>
      <w:r>
        <w:rPr>
          <w:b/>
        </w:rPr>
        <w:t xml:space="preserve">Item ID: </w:t>
      </w:r>
      <w:r>
        <w:t>CTA-EP-002-CUM-B-004</w:t>
      </w:r>
    </w:p>
    <w:p>
      <w:r>
        <w:rPr>
          <w:b/>
        </w:rPr>
        <w:t xml:space="preserve">Stem: </w:t>
      </w:r>
      <w:r>
        <w:t>An LCSW supervisor observes that an ASW smells strongly of alcohol, is slurring words, and has a high-risk client waiting.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Allow the ASW to conduct the session while the supervisor watches through a one-way mirror.</w:t>
            </w:r>
          </w:p>
        </w:tc>
        <w:tc>
          <w:tcPr>
            <w:tcW w:type="dxa" w:w="3485"/>
            <w:vAlign w:val="center"/>
            <w:tcMar>
              <w:top w:w="55" w:type="dxa"/>
              <w:start w:w="65" w:type="dxa"/>
              <w:bottom w:w="55" w:type="dxa"/>
              <w:end w:w="65" w:type="dxa"/>
            </w:tcMar>
          </w:tcPr>
          <w:p>
            <w:pPr>
              <w:spacing w:after="0"/>
            </w:pPr>
            <w:r>
              <w:rPr>
                <w:sz w:val="16"/>
              </w:rPr>
              <w:t>Incorrect. Observation through a mirror does not make an apparently impaired clinician safe to provide high-risk care.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waiting client to decide whether the ASW appears capable of practicing.</w:t>
            </w:r>
          </w:p>
        </w:tc>
        <w:tc>
          <w:tcPr>
            <w:tcW w:type="dxa" w:w="3485"/>
            <w:vAlign w:val="center"/>
            <w:tcMar>
              <w:top w:w="55" w:type="dxa"/>
              <w:start w:w="65" w:type="dxa"/>
              <w:bottom w:w="55" w:type="dxa"/>
              <w:end w:w="65" w:type="dxa"/>
            </w:tcMar>
          </w:tcPr>
          <w:p>
            <w:pPr>
              <w:spacing w:after="0"/>
            </w:pPr>
            <w:r>
              <w:rPr>
                <w:sz w:val="16"/>
              </w:rPr>
              <w:t>Incorrect. A client should not be asked to evaluate whether a clinician is fit to practice.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Remove the ASW from client care, arrange qualified coverage and immediate safety review, document objective observations, and activate appropriate employment, supervision, and impairment procedures.</w:t>
            </w:r>
          </w:p>
        </w:tc>
        <w:tc>
          <w:tcPr>
            <w:tcW w:type="dxa" w:w="3485"/>
            <w:shd w:fill="EAF7F7"/>
            <w:vAlign w:val="center"/>
            <w:tcMar>
              <w:top w:w="55" w:type="dxa"/>
              <w:start w:w="65" w:type="dxa"/>
              <w:bottom w:w="55" w:type="dxa"/>
              <w:end w:w="65" w:type="dxa"/>
            </w:tcMar>
          </w:tcPr>
          <w:p>
            <w:pPr>
              <w:spacing w:after="0"/>
            </w:pPr>
            <w:r>
              <w:rPr>
                <w:sz w:val="16"/>
              </w:rPr>
              <w:t>Correct. This response protects the client, preserves objective evidence, and uses the appropriate organizational and supervisory process.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Send the ASW home without arranging coverage or documenting the client-safety issue.</w:t>
            </w:r>
          </w:p>
        </w:tc>
        <w:tc>
          <w:tcPr>
            <w:tcW w:type="dxa" w:w="3485"/>
            <w:vAlign w:val="center"/>
            <w:tcMar>
              <w:top w:w="55" w:type="dxa"/>
              <w:start w:w="65" w:type="dxa"/>
              <w:bottom w:w="55" w:type="dxa"/>
              <w:end w:w="65" w:type="dxa"/>
            </w:tcMar>
          </w:tcPr>
          <w:p>
            <w:pPr>
              <w:spacing w:after="0"/>
            </w:pPr>
            <w:r>
              <w:rPr>
                <w:sz w:val="16"/>
              </w:rPr>
              <w:t>Incorrect. Sending the ASW home without coverage, safety review, or documentation leaves the client and organization unprotected.</w:t>
            </w:r>
          </w:p>
        </w:tc>
      </w:tr>
    </w:tbl>
    <w:p>
      <w:pPr>
        <w:pStyle w:val="Heading2"/>
      </w:pPr>
      <w:r>
        <w:t>Why the Key Controls</w:t>
      </w:r>
    </w:p>
    <w:p>
      <w:r>
        <w:t>Objective signs of acute impairment and a waiting high-risk client require immediate removal from client care, qualified coverage, safety review, documentation of observed facts, and activation of appropriate supervision, employment, and impairment procedures.</w:t>
      </w:r>
    </w:p>
    <w:p>
      <w:pPr>
        <w:pStyle w:val="Heading2"/>
      </w:pPr>
      <w:r>
        <w:t>CTA Exam Strategy</w:t>
      </w:r>
    </w:p>
    <w:p>
      <w:r>
        <w:t>In acute impairment scenarios, protect the client first, document objective observations, arrange coverage, and then activate the formal process.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Immediate supervisory response to apparent impairment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WB4 - Professional Impairment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ACUTE-IMPAIRMENT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4992.3(c)-(e),(s),(u); NASW Code 3.01 and 4.05</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spacing w:before="0" w:after="40" w:line="230" w:lineRule="auto"/>
      </w:pPr>
      <w:r>
        <w:rPr>
          <w:sz w:val="28"/>
        </w:rPr>
        <w:t>Item 5 - Controlled Rationale</w:t>
      </w:r>
    </w:p>
    <w:p>
      <w:pPr>
        <w:spacing w:before="0" w:after="20" w:line="230" w:lineRule="auto"/>
      </w:pPr>
      <w:r>
        <w:rPr>
          <w:b/>
          <w:sz w:val="18"/>
        </w:rPr>
        <w:t xml:space="preserve">Item ID: </w:t>
      </w:r>
      <w:r>
        <w:rPr>
          <w:sz w:val="18"/>
        </w:rPr>
        <w:t>CTA-EP-002-CUM-B-005</w:t>
      </w:r>
    </w:p>
    <w:p>
      <w:pPr>
        <w:spacing w:before="0" w:after="20" w:line="230" w:lineRule="auto"/>
      </w:pPr>
      <w:r>
        <w:rPr>
          <w:b/>
          <w:sz w:val="18"/>
        </w:rPr>
        <w:t xml:space="preserve">Stem: </w:t>
      </w:r>
      <w:r>
        <w:rPr>
          <w:sz w:val="18"/>
        </w:rPr>
        <w:t>Which statement BEST describes the recurring California Law and Ethics obligations of an ASW who has not yet passed the examination?</w:t>
      </w:r>
    </w:p>
    <w:p>
      <w:pPr>
        <w:spacing w:before="0" w:after="20" w:line="230" w:lineRule="auto"/>
      </w:pPr>
      <w:r>
        <w:rPr>
          <w:b/>
          <w:color w:val="1AA6A6"/>
          <w:sz w:val="18"/>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Option</w:t>
            </w:r>
          </w:p>
        </w:tc>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Answer choice</w:t>
            </w:r>
          </w:p>
        </w:tc>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Detailed rationale</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A</w:t>
            </w:r>
          </w:p>
        </w:tc>
        <w:tc>
          <w:tcPr>
            <w:tcW w:type="dxa" w:w="3485"/>
            <w:vAlign w:val="center"/>
            <w:tcMar>
              <w:top w:w="12" w:type="dxa"/>
              <w:start w:w="28" w:type="dxa"/>
              <w:bottom w:w="12" w:type="dxa"/>
              <w:end w:w="28" w:type="dxa"/>
            </w:tcMar>
          </w:tcPr>
          <w:p>
            <w:pPr>
              <w:spacing w:after="0" w:before="0" w:line="226" w:lineRule="auto"/>
            </w:pPr>
            <w:r>
              <w:rPr>
                <w:sz w:val="14"/>
              </w:rPr>
              <w:t>The examination is optional until the ASW applies for the clinical examination.</w:t>
            </w:r>
          </w:p>
        </w:tc>
        <w:tc>
          <w:tcPr>
            <w:tcW w:type="dxa" w:w="3485"/>
            <w:vAlign w:val="center"/>
            <w:tcMar>
              <w:top w:w="12" w:type="dxa"/>
              <w:start w:w="28" w:type="dxa"/>
              <w:bottom w:w="12" w:type="dxa"/>
              <w:end w:w="28" w:type="dxa"/>
            </w:tcMar>
          </w:tcPr>
          <w:p>
            <w:pPr>
              <w:spacing w:after="0" w:before="0" w:line="226" w:lineRule="auto"/>
            </w:pPr>
            <w:r>
              <w:rPr>
                <w:sz w:val="14"/>
              </w:rPr>
              <w:t>Incorrect. The examination obligation begins during the associate pathway rather than only when applying for the clinical examination.</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B</w:t>
            </w:r>
          </w:p>
        </w:tc>
        <w:tc>
          <w:tcPr>
            <w:tcW w:type="dxa" w:w="3485"/>
            <w:vAlign w:val="center"/>
            <w:tcMar>
              <w:top w:w="12" w:type="dxa"/>
              <w:start w:w="28" w:type="dxa"/>
              <w:bottom w:w="12" w:type="dxa"/>
              <w:end w:w="28" w:type="dxa"/>
            </w:tcMar>
          </w:tcPr>
          <w:p>
            <w:pPr>
              <w:spacing w:after="0" w:before="0" w:line="226" w:lineRule="auto"/>
            </w:pPr>
            <w:r>
              <w:rPr>
                <w:sz w:val="14"/>
              </w:rPr>
              <w:t>The ASW must pass the examination every year in order to keep the same registration active.</w:t>
            </w:r>
          </w:p>
        </w:tc>
        <w:tc>
          <w:tcPr>
            <w:tcW w:type="dxa" w:w="3485"/>
            <w:vAlign w:val="center"/>
            <w:tcMar>
              <w:top w:w="12" w:type="dxa"/>
              <w:start w:w="28" w:type="dxa"/>
              <w:bottom w:w="12" w:type="dxa"/>
              <w:end w:w="28" w:type="dxa"/>
            </w:tcMar>
          </w:tcPr>
          <w:p>
            <w:pPr>
              <w:spacing w:after="0" w:before="0" w:line="226" w:lineRule="auto"/>
            </w:pPr>
            <w:r>
              <w:rPr>
                <w:sz w:val="14"/>
              </w:rPr>
              <w:t>Incorrect. The ASW is not required to pass the examination every year; the recurring requirement is to attempt it as required until passage.</w:t>
            </w:r>
          </w:p>
        </w:tc>
      </w:tr>
      <w:tr>
        <w:trPr>
          <w:cantSplit/>
        </w:trPr>
        <w:tc>
          <w:tcPr>
            <w:tcW w:type="dxa" w:w="3485"/>
            <w:shd w:fill="EAF7F7"/>
            <w:vAlign w:val="center"/>
            <w:tcMar>
              <w:top w:w="12" w:type="dxa"/>
              <w:start w:w="28" w:type="dxa"/>
              <w:bottom w:w="12" w:type="dxa"/>
              <w:end w:w="28" w:type="dxa"/>
            </w:tcMar>
          </w:tcPr>
          <w:p>
            <w:pPr>
              <w:spacing w:after="0" w:before="0" w:line="226" w:lineRule="auto"/>
              <w:jc w:val="center"/>
            </w:pPr>
            <w:r>
              <w:rPr>
                <w:sz w:val="14"/>
              </w:rPr>
              <w:t>C</w:t>
            </w:r>
          </w:p>
        </w:tc>
        <w:tc>
          <w:tcPr>
            <w:tcW w:type="dxa" w:w="3485"/>
            <w:shd w:fill="EAF7F7"/>
            <w:vAlign w:val="center"/>
            <w:tcMar>
              <w:top w:w="12" w:type="dxa"/>
              <w:start w:w="28" w:type="dxa"/>
              <w:bottom w:w="12" w:type="dxa"/>
              <w:end w:w="28" w:type="dxa"/>
            </w:tcMar>
          </w:tcPr>
          <w:p>
            <w:pPr>
              <w:spacing w:after="0" w:before="0" w:line="226" w:lineRule="auto"/>
            </w:pPr>
            <w:r>
              <w:rPr>
                <w:sz w:val="14"/>
              </w:rPr>
              <w:t>The ASW renews the registration annually, completes the required California law-and-ethics education for the renewal cycle, and attempts the examination as required each cycle until it is passed; passing is required for a subsequent registration.</w:t>
            </w:r>
          </w:p>
        </w:tc>
        <w:tc>
          <w:tcPr>
            <w:tcW w:type="dxa" w:w="3485"/>
            <w:shd w:fill="EAF7F7"/>
            <w:vAlign w:val="center"/>
            <w:tcMar>
              <w:top w:w="12" w:type="dxa"/>
              <w:start w:w="28" w:type="dxa"/>
              <w:bottom w:w="12" w:type="dxa"/>
              <w:end w:w="28" w:type="dxa"/>
            </w:tcMar>
          </w:tcPr>
          <w:p>
            <w:pPr>
              <w:spacing w:after="0" w:before="0" w:line="226" w:lineRule="auto"/>
            </w:pPr>
            <w:r>
              <w:rPr>
                <w:sz w:val="14"/>
              </w:rPr>
              <w:t>Correct. This choice accurately distinguishes annual renewal, education, repeated attempts, and the passage requirement for a subsequent registration.</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D</w:t>
            </w:r>
          </w:p>
        </w:tc>
        <w:tc>
          <w:tcPr>
            <w:tcW w:type="dxa" w:w="3485"/>
            <w:vAlign w:val="center"/>
            <w:tcMar>
              <w:top w:w="12" w:type="dxa"/>
              <w:start w:w="28" w:type="dxa"/>
              <w:bottom w:w="12" w:type="dxa"/>
              <w:end w:w="28" w:type="dxa"/>
            </w:tcMar>
          </w:tcPr>
          <w:p>
            <w:pPr>
              <w:spacing w:after="0" w:before="0" w:line="226" w:lineRule="auto"/>
            </w:pPr>
            <w:r>
              <w:rPr>
                <w:sz w:val="14"/>
              </w:rPr>
              <w:t>A supervisor may waive the examination attempt when the ASW has completed enough supervised hours.</w:t>
            </w:r>
          </w:p>
        </w:tc>
        <w:tc>
          <w:tcPr>
            <w:tcW w:type="dxa" w:w="3485"/>
            <w:vAlign w:val="center"/>
            <w:tcMar>
              <w:top w:w="12" w:type="dxa"/>
              <w:start w:w="28" w:type="dxa"/>
              <w:bottom w:w="12" w:type="dxa"/>
              <w:end w:w="28" w:type="dxa"/>
            </w:tcMar>
          </w:tcPr>
          <w:p>
            <w:pPr>
              <w:spacing w:after="0" w:before="0" w:line="226" w:lineRule="auto"/>
            </w:pPr>
            <w:r>
              <w:rPr>
                <w:sz w:val="14"/>
              </w:rPr>
              <w:t>Incorrect. A supervisor cannot waive a statutory or regulatory examination obligation based on accumulated hours.</w:t>
            </w:r>
          </w:p>
        </w:tc>
      </w:tr>
    </w:tbl>
    <w:p>
      <w:pPr>
        <w:pStyle w:val="Heading2"/>
        <w:spacing w:before="40" w:after="0" w:line="230" w:lineRule="auto"/>
      </w:pPr>
      <w:r>
        <w:rPr>
          <w:sz w:val="22"/>
        </w:rPr>
        <w:t>Why the Key Controls</w:t>
      </w:r>
    </w:p>
    <w:p>
      <w:pPr>
        <w:spacing w:before="0" w:after="20" w:line="230" w:lineRule="auto"/>
      </w:pPr>
      <w:r>
        <w:rPr>
          <w:sz w:val="18"/>
        </w:rPr>
        <w:t>Until the California Law and Ethics examination is passed, an ASW has recurring renewal-cycle obligations. These include annual registration renewal, required law-and-ethics education for the cycle, and examination attempts as required; passage is necessary before a subsequent registration may be issued.</w:t>
      </w:r>
    </w:p>
    <w:p>
      <w:pPr>
        <w:pStyle w:val="Heading2"/>
        <w:spacing w:before="40" w:after="0" w:line="230" w:lineRule="auto"/>
      </w:pPr>
      <w:r>
        <w:rPr>
          <w:sz w:val="22"/>
        </w:rPr>
        <w:t>CTA Exam Strategy</w:t>
      </w:r>
    </w:p>
    <w:p>
      <w:pPr>
        <w:spacing w:before="0" w:after="20" w:line="230" w:lineRule="auto"/>
      </w:pPr>
      <w:r>
        <w:rPr>
          <w:sz w:val="18"/>
        </w:rPr>
        <w:t>Separate recurring duties from the passage point: renew, complete required education, attempt until passed, and pass before a subsequent registration.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8" w:type="dxa"/>
              <w:start w:w="25" w:type="dxa"/>
              <w:bottom w:w="8" w:type="dxa"/>
              <w:end w:w="25" w:type="dxa"/>
            </w:tcMar>
          </w:tcPr>
          <w:p>
            <w:pPr>
              <w:spacing w:after="0" w:before="0" w:line="226" w:lineRule="auto"/>
            </w:pPr>
            <w:r>
              <w:rPr>
                <w:sz w:val="14"/>
              </w:rPr>
              <w:t>Primary concept</w:t>
            </w:r>
          </w:p>
        </w:tc>
        <w:tc>
          <w:tcPr>
            <w:tcW w:type="dxa" w:w="5227"/>
            <w:vAlign w:val="center"/>
            <w:tcMar>
              <w:top w:w="8" w:type="dxa"/>
              <w:start w:w="25" w:type="dxa"/>
              <w:bottom w:w="8" w:type="dxa"/>
              <w:end w:w="25" w:type="dxa"/>
            </w:tcMar>
          </w:tcPr>
          <w:p>
            <w:pPr>
              <w:spacing w:after="0" w:before="0" w:line="226" w:lineRule="auto"/>
            </w:pPr>
            <w:r>
              <w:rPr>
                <w:sz w:val="14"/>
              </w:rPr>
              <w:t>ASW annual renewal and California Law and Ethics examination responsibilities</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Official domain</w:t>
            </w:r>
          </w:p>
        </w:tc>
        <w:tc>
          <w:tcPr>
            <w:tcW w:type="dxa" w:w="5227"/>
            <w:shd w:fill="F2F4F7"/>
            <w:vAlign w:val="center"/>
            <w:tcMar>
              <w:top w:w="8" w:type="dxa"/>
              <w:start w:w="25" w:type="dxa"/>
              <w:bottom w:w="8" w:type="dxa"/>
              <w:end w:w="25" w:type="dxa"/>
            </w:tcMar>
          </w:tcPr>
          <w:p>
            <w:pPr>
              <w:spacing w:after="0" w:before="0" w:line="226" w:lineRule="auto"/>
            </w:pPr>
            <w:r>
              <w:rPr>
                <w:sz w:val="14"/>
              </w:rPr>
              <w:t>2C</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Difficulty / construction</w:t>
            </w:r>
          </w:p>
        </w:tc>
        <w:tc>
          <w:tcPr>
            <w:tcW w:type="dxa" w:w="5227"/>
            <w:vAlign w:val="center"/>
            <w:tcMar>
              <w:top w:w="8" w:type="dxa"/>
              <w:start w:w="25" w:type="dxa"/>
              <w:bottom w:w="8" w:type="dxa"/>
              <w:end w:w="25" w:type="dxa"/>
            </w:tcMar>
          </w:tcPr>
          <w:p>
            <w:pPr>
              <w:spacing w:after="0" w:before="0" w:line="226" w:lineRule="auto"/>
            </w:pPr>
            <w:r>
              <w:rPr>
                <w:sz w:val="14"/>
              </w:rPr>
              <w:t>Moderate / Foundational / BEST/MOST</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Primary remediation route</w:t>
            </w:r>
          </w:p>
        </w:tc>
        <w:tc>
          <w:tcPr>
            <w:tcW w:type="dxa" w:w="5227"/>
            <w:shd w:fill="F2F4F7"/>
            <w:vAlign w:val="center"/>
            <w:tcMar>
              <w:top w:w="8" w:type="dxa"/>
              <w:start w:w="25" w:type="dxa"/>
              <w:bottom w:w="8" w:type="dxa"/>
              <w:end w:w="25" w:type="dxa"/>
            </w:tcMar>
          </w:tcPr>
          <w:p>
            <w:pPr>
              <w:spacing w:after="0" w:before="0" w:line="226" w:lineRule="auto"/>
            </w:pPr>
            <w:r>
              <w:rPr>
                <w:sz w:val="14"/>
              </w:rPr>
              <w:t>LCSW/ASW License-Specific Module</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Error-log category</w:t>
            </w:r>
          </w:p>
        </w:tc>
        <w:tc>
          <w:tcPr>
            <w:tcW w:type="dxa" w:w="5227"/>
            <w:vAlign w:val="center"/>
            <w:tcMar>
              <w:top w:w="8" w:type="dxa"/>
              <w:start w:w="25" w:type="dxa"/>
              <w:bottom w:w="8" w:type="dxa"/>
              <w:end w:w="25" w:type="dxa"/>
            </w:tcMar>
          </w:tcPr>
          <w:p>
            <w:pPr>
              <w:spacing w:after="0" w:before="0" w:line="226" w:lineRule="auto"/>
            </w:pPr>
            <w:r>
              <w:rPr>
                <w:sz w:val="14"/>
              </w:rPr>
              <w:t>ASW-LAW-ETHICS-CYCLE</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Primary source control</w:t>
            </w:r>
          </w:p>
        </w:tc>
        <w:tc>
          <w:tcPr>
            <w:tcW w:type="dxa" w:w="5227"/>
            <w:shd w:fill="F2F4F7"/>
            <w:vAlign w:val="center"/>
            <w:tcMar>
              <w:top w:w="8" w:type="dxa"/>
              <w:start w:w="25" w:type="dxa"/>
              <w:bottom w:w="8" w:type="dxa"/>
              <w:end w:w="25" w:type="dxa"/>
            </w:tcMar>
          </w:tcPr>
          <w:p>
            <w:pPr>
              <w:spacing w:after="0" w:before="0" w:line="226" w:lineRule="auto"/>
            </w:pPr>
            <w:r>
              <w:rPr>
                <w:sz w:val="14"/>
              </w:rPr>
              <w:t>BBS Manage License/Registration guidance; BPC 4992.09; 16 CCR 1877.2 and 1877.3</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Currency control</w:t>
            </w:r>
          </w:p>
        </w:tc>
        <w:tc>
          <w:tcPr>
            <w:tcW w:type="dxa" w:w="5227"/>
            <w:vAlign w:val="center"/>
            <w:tcMar>
              <w:top w:w="8" w:type="dxa"/>
              <w:start w:w="25" w:type="dxa"/>
              <w:bottom w:w="8" w:type="dxa"/>
              <w:end w:w="25" w:type="dxa"/>
            </w:tcMar>
          </w:tcPr>
          <w:p>
            <w:pPr>
              <w:spacing w:after="0" w:before="0" w:line="226" w:lineRule="auto"/>
            </w:pPr>
            <w:r>
              <w:rPr>
                <w:sz w:val="14"/>
              </w:rPr>
              <w:t>Recheck current California statutes and regulations, BBS Law Changes and forms, and the current NASW Code before LMS lock and within 30 days of public release.</w:t>
            </w:r>
          </w:p>
        </w:tc>
      </w:tr>
    </w:tbl>
    <w:p>
      <w:pPr>
        <w:pStyle w:val="Heading1"/>
        <w:pageBreakBefore/>
      </w:pPr>
      <w:r>
        <w:t>Item 6 - Controlled Rationale</w:t>
      </w:r>
    </w:p>
    <w:p>
      <w:r>
        <w:rPr>
          <w:b/>
        </w:rPr>
        <w:t xml:space="preserve">Item ID: </w:t>
      </w:r>
      <w:r>
        <w:t>CTA-EP-002-CUM-B-006</w:t>
      </w:r>
    </w:p>
    <w:p>
      <w:r>
        <w:rPr>
          <w:b/>
        </w:rPr>
        <w:t xml:space="preserve">Stem: </w:t>
      </w:r>
      <w:r>
        <w:t>Before beginning an outpatient psychotherapy group, what should the LCSW explain about confidentiality?</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Confidentiality is identical to individual therapy because every member becomes a licensed provider.</w:t>
            </w:r>
          </w:p>
        </w:tc>
        <w:tc>
          <w:tcPr>
            <w:tcW w:type="dxa" w:w="3485"/>
            <w:vAlign w:val="center"/>
            <w:tcMar>
              <w:top w:w="55" w:type="dxa"/>
              <w:start w:w="65" w:type="dxa"/>
              <w:bottom w:w="55" w:type="dxa"/>
              <w:end w:w="65" w:type="dxa"/>
            </w:tcMar>
          </w:tcPr>
          <w:p>
            <w:pPr>
              <w:spacing w:after="0"/>
            </w:pPr>
            <w:r>
              <w:rPr>
                <w:sz w:val="16"/>
              </w:rPr>
              <w:t>Incorrect. Group members do not become licensed providers, and confidentiality risk differs from individual treatment.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Members may freely discuss sessions outside the group as long as they omit diagnoses.</w:t>
            </w:r>
          </w:p>
        </w:tc>
        <w:tc>
          <w:tcPr>
            <w:tcW w:type="dxa" w:w="3485"/>
            <w:vAlign w:val="center"/>
            <w:tcMar>
              <w:top w:w="55" w:type="dxa"/>
              <w:start w:w="65" w:type="dxa"/>
              <w:bottom w:w="55" w:type="dxa"/>
              <w:end w:w="65" w:type="dxa"/>
            </w:tcMar>
          </w:tcPr>
          <w:p>
            <w:pPr>
              <w:spacing w:after="0"/>
            </w:pPr>
            <w:r>
              <w:rPr>
                <w:sz w:val="16"/>
              </w:rPr>
              <w:t>Incorrect. Omitting a diagnosis does not make outside discussion of identifiable group content acceptable.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 signed group rule creates absolute legal privilege among all members in every later proceeding.</w:t>
            </w:r>
          </w:p>
        </w:tc>
        <w:tc>
          <w:tcPr>
            <w:tcW w:type="dxa" w:w="3485"/>
            <w:vAlign w:val="center"/>
            <w:tcMar>
              <w:top w:w="55" w:type="dxa"/>
              <w:start w:w="65" w:type="dxa"/>
              <w:bottom w:w="55" w:type="dxa"/>
              <w:end w:w="65" w:type="dxa"/>
            </w:tcMar>
          </w:tcPr>
          <w:p>
            <w:pPr>
              <w:spacing w:after="0"/>
            </w:pPr>
            <w:r>
              <w:rPr>
                <w:sz w:val="16"/>
              </w:rPr>
              <w:t>Incorrect. A group agreement cannot create absolute privilege in every later legal proceeding.</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The clinician’s confidentiality duties, applicable legal limits, group expectations, and the fact that the clinician cannot guarantee that other members will keep information confidential.</w:t>
            </w:r>
          </w:p>
        </w:tc>
        <w:tc>
          <w:tcPr>
            <w:tcW w:type="dxa" w:w="3485"/>
            <w:shd w:fill="EAF7F7"/>
            <w:vAlign w:val="center"/>
            <w:tcMar>
              <w:top w:w="55" w:type="dxa"/>
              <w:start w:w="65" w:type="dxa"/>
              <w:bottom w:w="55" w:type="dxa"/>
              <w:end w:w="65" w:type="dxa"/>
            </w:tcMar>
          </w:tcPr>
          <w:p>
            <w:pPr>
              <w:spacing w:after="0"/>
            </w:pPr>
            <w:r>
              <w:rPr>
                <w:sz w:val="16"/>
              </w:rPr>
              <w:t>Correct. This answer accurately states the clinician’s duties, legal limits, group expectations, and the inability to guarantee member behavior.</w:t>
            </w:r>
          </w:p>
        </w:tc>
      </w:tr>
    </w:tbl>
    <w:p>
      <w:pPr>
        <w:pStyle w:val="Heading2"/>
      </w:pPr>
      <w:r>
        <w:t>Why the Key Controls</w:t>
      </w:r>
    </w:p>
    <w:p>
      <w:r>
        <w:t>Group psychotherapy requires informed explanation of the clinician’s duties and legal limits, the group’s confidentiality expectations, and the practical limitation that the clinician cannot guarantee every member will keep information private.</w:t>
      </w:r>
    </w:p>
    <w:p>
      <w:pPr>
        <w:pStyle w:val="Heading2"/>
      </w:pPr>
      <w:r>
        <w:t>CTA Exam Strategy</w:t>
      </w:r>
    </w:p>
    <w:p>
      <w:r>
        <w:t>Group confidentiality questions test both the clinician’s enforceable duties and the limits of control over other members.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Confidentiality limits in group psychotherapy</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GROUP-CONFIDENTIALITY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1.03, 1.07, and 1.08; applicable California confidentiality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7 - Controlled Rationale</w:t>
      </w:r>
    </w:p>
    <w:p>
      <w:r>
        <w:rPr>
          <w:b/>
        </w:rPr>
        <w:t xml:space="preserve">Item ID: </w:t>
      </w:r>
      <w:r>
        <w:t>CTA-EP-002-CUM-B-007</w:t>
      </w:r>
    </w:p>
    <w:p>
      <w:r>
        <w:rPr>
          <w:b/>
        </w:rPr>
        <w:t xml:space="preserve">Stem: </w:t>
      </w:r>
      <w:r>
        <w:t>An online marketing company offers to list an LCSW at no charge but bills $75 each time a visitor becomes a paying psychotherapy client. What should the LCSW do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Accept the arrangement if the fee is disclosed in the client’s informed-consent form.</w:t>
            </w:r>
          </w:p>
        </w:tc>
        <w:tc>
          <w:tcPr>
            <w:tcW w:type="dxa" w:w="3485"/>
            <w:vAlign w:val="center"/>
            <w:tcMar>
              <w:top w:w="55" w:type="dxa"/>
              <w:start w:w="65" w:type="dxa"/>
              <w:bottom w:w="55" w:type="dxa"/>
              <w:end w:w="65" w:type="dxa"/>
            </w:tcMar>
          </w:tcPr>
          <w:p>
            <w:pPr>
              <w:spacing w:after="0"/>
            </w:pPr>
            <w:r>
              <w:rPr>
                <w:sz w:val="16"/>
              </w:rPr>
              <w:t>Incorrect. Disclosure does not transform prohibited referral compensation into a lawful arrangement.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Accept it because the company receives no clinical information about the referred person.</w:t>
            </w:r>
          </w:p>
        </w:tc>
        <w:tc>
          <w:tcPr>
            <w:tcW w:type="dxa" w:w="3485"/>
            <w:vAlign w:val="center"/>
            <w:tcMar>
              <w:top w:w="55" w:type="dxa"/>
              <w:start w:w="65" w:type="dxa"/>
              <w:bottom w:w="55" w:type="dxa"/>
              <w:end w:w="65" w:type="dxa"/>
            </w:tcMar>
          </w:tcPr>
          <w:p>
            <w:pPr>
              <w:spacing w:after="0"/>
            </w:pPr>
            <w:r>
              <w:rPr>
                <w:sz w:val="16"/>
              </w:rPr>
              <w:t>Incorrect. The absence of clinical information does not change the contingent per-client payment structure.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Accept it if the LCSW donates an equal amount to a client-assistance fund.</w:t>
            </w:r>
          </w:p>
        </w:tc>
        <w:tc>
          <w:tcPr>
            <w:tcW w:type="dxa" w:w="3485"/>
            <w:vAlign w:val="center"/>
            <w:tcMar>
              <w:top w:w="55" w:type="dxa"/>
              <w:start w:w="65" w:type="dxa"/>
              <w:bottom w:w="55" w:type="dxa"/>
              <w:end w:w="65" w:type="dxa"/>
            </w:tcMar>
          </w:tcPr>
          <w:p>
            <w:pPr>
              <w:spacing w:after="0"/>
            </w:pPr>
            <w:r>
              <w:rPr>
                <w:sz w:val="16"/>
              </w:rPr>
              <w:t>Incorrect. Donating an equivalent amount does not change the nature of the payment received for a referral.</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Decline compensation tied to a client referral and use only a lawful fixed advertising or professional-service fee that is not contingent on a person becoming a client.</w:t>
            </w:r>
          </w:p>
        </w:tc>
        <w:tc>
          <w:tcPr>
            <w:tcW w:type="dxa" w:w="3485"/>
            <w:shd w:fill="EAF7F7"/>
            <w:vAlign w:val="center"/>
            <w:tcMar>
              <w:top w:w="55" w:type="dxa"/>
              <w:start w:w="65" w:type="dxa"/>
              <w:bottom w:w="55" w:type="dxa"/>
              <w:end w:w="65" w:type="dxa"/>
            </w:tcMar>
          </w:tcPr>
          <w:p>
            <w:pPr>
              <w:spacing w:after="0"/>
            </w:pPr>
            <w:r>
              <w:rPr>
                <w:sz w:val="16"/>
              </w:rPr>
              <w:t>Correct. This response separates permissible fixed advertising or professional-service compensation from payment contingent on sending or acquiring a client.</w:t>
            </w:r>
          </w:p>
        </w:tc>
      </w:tr>
    </w:tbl>
    <w:p>
      <w:pPr>
        <w:pStyle w:val="Heading2"/>
      </w:pPr>
      <w:r>
        <w:t>Why the Key Controls</w:t>
      </w:r>
    </w:p>
    <w:p>
      <w:r>
        <w:t>A fee payable only when a person becomes a psychotherapy client is compensation for a professional referral. The LCSW should decline the contingent arrangement and use a lawful fixed advertising or professional-services fee that is not tied to conversion into a client.</w:t>
      </w:r>
    </w:p>
    <w:p>
      <w:pPr>
        <w:pStyle w:val="Heading2"/>
      </w:pPr>
      <w:r>
        <w:t>CTA Exam Strategy</w:t>
      </w:r>
    </w:p>
    <w:p>
      <w:r>
        <w:t>Referral-fee questions turn on what triggers payment. A fixed market-rate service may be permissible; payment because a person becomes a client is not.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Contingent online marketing fee as prohibited referral compensation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REFERRAL-COMPENSATION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4992.3(p); NASW Code 4.04</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8 - Controlled Rationale</w:t>
      </w:r>
    </w:p>
    <w:p>
      <w:r>
        <w:rPr>
          <w:b/>
        </w:rPr>
        <w:t xml:space="preserve">Item ID: </w:t>
      </w:r>
      <w:r>
        <w:t>CTA-EP-002-CUM-B-008</w:t>
      </w:r>
    </w:p>
    <w:p>
      <w:r>
        <w:rPr>
          <w:b/>
        </w:rPr>
        <w:t xml:space="preserve">Stem: </w:t>
      </w:r>
      <w:r>
        <w:t>An adult client asks to bring a sibling into the next session for support. Which response is appropriate?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Refuse because only legal guardians may attend an adult client’s session.</w:t>
            </w:r>
          </w:p>
        </w:tc>
        <w:tc>
          <w:tcPr>
            <w:tcW w:type="dxa" w:w="3485"/>
            <w:vAlign w:val="center"/>
            <w:tcMar>
              <w:top w:w="55" w:type="dxa"/>
              <w:start w:w="65" w:type="dxa"/>
              <w:bottom w:w="55" w:type="dxa"/>
              <w:end w:w="65" w:type="dxa"/>
            </w:tcMar>
          </w:tcPr>
          <w:p>
            <w:pPr>
              <w:spacing w:after="0"/>
            </w:pPr>
            <w:r>
              <w:rPr>
                <w:sz w:val="16"/>
              </w:rPr>
              <w:t>Incorrect. An adult may invite a support person who is not a legal guardian when the arrangement is clinically appropriate and authorized.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Allow attendance without discussion because the client scheduled the appointment.</w:t>
            </w:r>
          </w:p>
        </w:tc>
        <w:tc>
          <w:tcPr>
            <w:tcW w:type="dxa" w:w="3485"/>
            <w:vAlign w:val="center"/>
            <w:tcMar>
              <w:top w:w="55" w:type="dxa"/>
              <w:start w:w="65" w:type="dxa"/>
              <w:bottom w:w="55" w:type="dxa"/>
              <w:end w:w="65" w:type="dxa"/>
            </w:tcMar>
          </w:tcPr>
          <w:p>
            <w:pPr>
              <w:spacing w:after="0"/>
            </w:pPr>
            <w:r>
              <w:rPr>
                <w:sz w:val="16"/>
              </w:rPr>
              <w:t>Incorrect. Attendance without prior discussion can create confidentiality and role confusion.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Treat the sibling as a second client automatically and create a joint record without explanation.</w:t>
            </w:r>
          </w:p>
        </w:tc>
        <w:tc>
          <w:tcPr>
            <w:tcW w:type="dxa" w:w="3485"/>
            <w:vAlign w:val="center"/>
            <w:tcMar>
              <w:top w:w="55" w:type="dxa"/>
              <w:start w:w="65" w:type="dxa"/>
              <w:bottom w:w="55" w:type="dxa"/>
              <w:end w:w="65" w:type="dxa"/>
            </w:tcMar>
          </w:tcPr>
          <w:p>
            <w:pPr>
              <w:spacing w:after="0"/>
            </w:pPr>
            <w:r>
              <w:rPr>
                <w:sz w:val="16"/>
              </w:rPr>
              <w:t>Incorrect. A support person does not automatically become a treatment client or require a joint record.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Discuss the client’s goals, obtain informed authorization, clarify the sibling’s role and confidentiality expectations, and revisit consent if the role changes.</w:t>
            </w:r>
          </w:p>
        </w:tc>
        <w:tc>
          <w:tcPr>
            <w:tcW w:type="dxa" w:w="3485"/>
            <w:shd w:fill="EAF7F7"/>
            <w:vAlign w:val="center"/>
            <w:tcMar>
              <w:top w:w="55" w:type="dxa"/>
              <w:start w:w="65" w:type="dxa"/>
              <w:bottom w:w="55" w:type="dxa"/>
              <w:end w:w="65" w:type="dxa"/>
            </w:tcMar>
          </w:tcPr>
          <w:p>
            <w:pPr>
              <w:spacing w:after="0"/>
            </w:pPr>
            <w:r>
              <w:rPr>
                <w:sz w:val="16"/>
              </w:rPr>
              <w:t>Correct. This response preserves client choice while clarifying authorization, role, confidentiality, and later changes.</w:t>
            </w:r>
          </w:p>
        </w:tc>
      </w:tr>
    </w:tbl>
    <w:p>
      <w:pPr>
        <w:pStyle w:val="Heading2"/>
      </w:pPr>
      <w:r>
        <w:t>Why the Key Controls</w:t>
      </w:r>
    </w:p>
    <w:p>
      <w:r>
        <w:t>An adult client may invite a support person, but the clinician should clarify the client’s purpose, obtain informed authorization, define the support person’s role and confidentiality expectations, and revisit consent if the relationship changes.</w:t>
      </w:r>
    </w:p>
    <w:p>
      <w:pPr>
        <w:pStyle w:val="Heading2"/>
      </w:pPr>
      <w:r>
        <w:t>CTA Exam Strategy</w:t>
      </w:r>
    </w:p>
    <w:p>
      <w:r>
        <w:t>For support-person questions, clarify purpose, authorization, role, confidentiality, and whether the person is or is not a client.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Inviting a support person into an adult client session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SUPPORT-PERSON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1.03, 1.06, and 1.07; applicable California confidentiality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9 - Controlled Rationale</w:t>
      </w:r>
    </w:p>
    <w:p>
      <w:r>
        <w:rPr>
          <w:b/>
        </w:rPr>
        <w:t xml:space="preserve">Item ID: </w:t>
      </w:r>
      <w:r>
        <w:t>CTA-EP-002-CUM-B-009</w:t>
      </w:r>
    </w:p>
    <w:p>
      <w:r>
        <w:rPr>
          <w:b/>
        </w:rPr>
        <w:t xml:space="preserve">Stem: </w:t>
      </w:r>
      <w:r>
        <w:t>Which practice is MOST important when initiating family or conjoint services?</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Designate the person who pays as the only client in every case.</w:t>
            </w:r>
          </w:p>
        </w:tc>
        <w:tc>
          <w:tcPr>
            <w:tcW w:type="dxa" w:w="3485"/>
            <w:vAlign w:val="center"/>
            <w:tcMar>
              <w:top w:w="55" w:type="dxa"/>
              <w:start w:w="65" w:type="dxa"/>
              <w:bottom w:w="55" w:type="dxa"/>
              <w:end w:w="65" w:type="dxa"/>
            </w:tcMar>
          </w:tcPr>
          <w:p>
            <w:pPr>
              <w:spacing w:after="0"/>
            </w:pPr>
            <w:r>
              <w:rPr>
                <w:sz w:val="16"/>
              </w:rPr>
              <w:t>Incorrect. The payer is not automatically the sole client and may have no treatment or access rights.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Promise each participant that every individual statement will remain secret from all other participants.</w:t>
            </w:r>
          </w:p>
        </w:tc>
        <w:tc>
          <w:tcPr>
            <w:tcW w:type="dxa" w:w="3485"/>
            <w:vAlign w:val="center"/>
            <w:tcMar>
              <w:top w:w="55" w:type="dxa"/>
              <w:start w:w="65" w:type="dxa"/>
              <w:bottom w:w="55" w:type="dxa"/>
              <w:end w:w="65" w:type="dxa"/>
            </w:tcMar>
          </w:tcPr>
          <w:p>
            <w:pPr>
              <w:spacing w:after="0"/>
            </w:pPr>
            <w:r>
              <w:rPr>
                <w:sz w:val="16"/>
              </w:rPr>
              <w:t>Incorrect. Absolute secrecy between participants may conflict with the disclosed treatment model and cannot be promised universally.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Clarify who the client or clients are and explain the policies governing confidentiality, individual communications, records, access, and later requests from family members.</w:t>
            </w:r>
          </w:p>
        </w:tc>
        <w:tc>
          <w:tcPr>
            <w:tcW w:type="dxa" w:w="3485"/>
            <w:shd w:fill="EAF7F7"/>
            <w:vAlign w:val="center"/>
            <w:tcMar>
              <w:top w:w="55" w:type="dxa"/>
              <w:start w:w="65" w:type="dxa"/>
              <w:bottom w:w="55" w:type="dxa"/>
              <w:end w:w="65" w:type="dxa"/>
            </w:tcMar>
          </w:tcPr>
          <w:p>
            <w:pPr>
              <w:spacing w:after="0"/>
            </w:pPr>
            <w:r>
              <w:rPr>
                <w:sz w:val="16"/>
              </w:rPr>
              <w:t>Correct. This choice addresses the core role, confidentiality, record, and access questions before predictable conflicts arise.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Avoid documenting the client identity so the clinician can change it later without discussion.</w:t>
            </w:r>
          </w:p>
        </w:tc>
        <w:tc>
          <w:tcPr>
            <w:tcW w:type="dxa" w:w="3485"/>
            <w:vAlign w:val="center"/>
            <w:tcMar>
              <w:top w:w="55" w:type="dxa"/>
              <w:start w:w="65" w:type="dxa"/>
              <w:bottom w:w="55" w:type="dxa"/>
              <w:end w:w="65" w:type="dxa"/>
            </w:tcMar>
          </w:tcPr>
          <w:p>
            <w:pPr>
              <w:spacing w:after="0"/>
            </w:pPr>
            <w:r>
              <w:rPr>
                <w:sz w:val="16"/>
              </w:rPr>
              <w:t>Incorrect. Avoiding documentation increases ambiguity and permits unannounced changes in duties.</w:t>
            </w:r>
          </w:p>
        </w:tc>
      </w:tr>
    </w:tbl>
    <w:p>
      <w:pPr>
        <w:pStyle w:val="Heading2"/>
      </w:pPr>
      <w:r>
        <w:t>Why the Key Controls</w:t>
      </w:r>
    </w:p>
    <w:p>
      <w:r>
        <w:t>Family and conjoint services require explicit identification of the client or clients and advance policies for confidentiality, individual communications, records, access, and later requests. Payment alone does not define client status.</w:t>
      </w:r>
    </w:p>
    <w:p>
      <w:pPr>
        <w:pStyle w:val="Heading2"/>
      </w:pPr>
      <w:r>
        <w:t>CTA Exam Strategy</w:t>
      </w:r>
    </w:p>
    <w:p>
      <w:r>
        <w:t>In multi-client services, define the client, the information policy, the record, and access rules before treatment develops.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Identifying the client in family and conjoint services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Foundational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FAMILY-CLIENT-IDENTITY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1.03, 1.06, 1.07, and 1.08</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10 - Controlled Rationale</w:t>
      </w:r>
    </w:p>
    <w:p>
      <w:r>
        <w:rPr>
          <w:b/>
        </w:rPr>
        <w:t xml:space="preserve">Item ID: </w:t>
      </w:r>
      <w:r>
        <w:t>CTA-EP-002-CUM-B-010</w:t>
      </w:r>
    </w:p>
    <w:p>
      <w:r>
        <w:rPr>
          <w:b/>
        </w:rPr>
        <w:t xml:space="preserve">Stem: </w:t>
      </w:r>
      <w:r>
        <w:t>A client misses two appointments after losing access to transportation. Which progress-note entry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“Client is manipulative and clearly does not value treatment.”</w:t>
            </w:r>
          </w:p>
        </w:tc>
        <w:tc>
          <w:tcPr>
            <w:tcW w:type="dxa" w:w="3485"/>
            <w:vAlign w:val="center"/>
            <w:tcMar>
              <w:top w:w="55" w:type="dxa"/>
              <w:start w:w="65" w:type="dxa"/>
              <w:bottom w:w="55" w:type="dxa"/>
              <w:end w:w="65" w:type="dxa"/>
            </w:tcMar>
          </w:tcPr>
          <w:p>
            <w:pPr>
              <w:spacing w:after="0"/>
            </w:pPr>
            <w:r>
              <w:rPr>
                <w:sz w:val="16"/>
              </w:rPr>
              <w:t>Incorrect. Manipulative and does not value treatment are unsupported, stigmatizing conclusions rather than objective clinical documentation.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“No-show. Case closed,” without documenting outreach or the known access barrier.</w:t>
            </w:r>
          </w:p>
        </w:tc>
        <w:tc>
          <w:tcPr>
            <w:tcW w:type="dxa" w:w="3485"/>
            <w:vAlign w:val="center"/>
            <w:tcMar>
              <w:top w:w="55" w:type="dxa"/>
              <w:start w:w="65" w:type="dxa"/>
              <w:bottom w:w="55" w:type="dxa"/>
              <w:end w:w="65" w:type="dxa"/>
            </w:tcMar>
          </w:tcPr>
          <w:p>
            <w:pPr>
              <w:spacing w:after="0"/>
            </w:pPr>
            <w:r>
              <w:rPr>
                <w:sz w:val="16"/>
              </w:rPr>
              <w:t>Incorrect. Closing the case without documenting outreach, context, risk, and continuity is incomplete.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Document the missed contacts, the transportation barrier reported by the client, relevant clinical impact, outreach, options offered, and the follow-up plan without labeling the client as unmotivated.</w:t>
            </w:r>
          </w:p>
        </w:tc>
        <w:tc>
          <w:tcPr>
            <w:tcW w:type="dxa" w:w="3485"/>
            <w:shd w:fill="EAF7F7"/>
            <w:vAlign w:val="center"/>
            <w:tcMar>
              <w:top w:w="55" w:type="dxa"/>
              <w:start w:w="65" w:type="dxa"/>
              <w:bottom w:w="55" w:type="dxa"/>
              <w:end w:w="65" w:type="dxa"/>
            </w:tcMar>
          </w:tcPr>
          <w:p>
            <w:pPr>
              <w:spacing w:after="0"/>
            </w:pPr>
            <w:r>
              <w:rPr>
                <w:sz w:val="16"/>
              </w:rPr>
              <w:t>Correct. This entry records observable facts, person-in-environment context, clinical response, and the follow-up plan.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Delete the appointments from the schedule so the record does not reflect attendance problems.</w:t>
            </w:r>
          </w:p>
        </w:tc>
        <w:tc>
          <w:tcPr>
            <w:tcW w:type="dxa" w:w="3485"/>
            <w:vAlign w:val="center"/>
            <w:tcMar>
              <w:top w:w="55" w:type="dxa"/>
              <w:start w:w="65" w:type="dxa"/>
              <w:bottom w:w="55" w:type="dxa"/>
              <w:end w:w="65" w:type="dxa"/>
            </w:tcMar>
          </w:tcPr>
          <w:p>
            <w:pPr>
              <w:spacing w:after="0"/>
            </w:pPr>
            <w:r>
              <w:rPr>
                <w:sz w:val="16"/>
              </w:rPr>
              <w:t>Incorrect. Deleting scheduling evidence falsifies or obscures the record.</w:t>
            </w:r>
          </w:p>
        </w:tc>
      </w:tr>
    </w:tbl>
    <w:p>
      <w:pPr>
        <w:pStyle w:val="Heading2"/>
      </w:pPr>
      <w:r>
        <w:t>Why the Key Controls</w:t>
      </w:r>
    </w:p>
    <w:p>
      <w:r>
        <w:t>Clinical records should be factual, relevant, respectful, and useful for continuity. The note should describe the missed contacts, reported transportation barrier, clinical impact, outreach, options, and plan without unsupported character judgments.</w:t>
      </w:r>
    </w:p>
    <w:p>
      <w:pPr>
        <w:pStyle w:val="Heading2"/>
      </w:pPr>
      <w:r>
        <w:t>CTA Exam Strategy</w:t>
      </w:r>
    </w:p>
    <w:p>
      <w:r>
        <w:t>Choose documentation that records facts, context, clinical significance, action, and plan—without moral labels or concealed events.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Objective and clinically sound documentation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OBJECTIVE-DOCUMENTATION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4992.3(w); NASW Code 1.12 and 3.04</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11 - Controlled Rationale</w:t>
      </w:r>
    </w:p>
    <w:p>
      <w:r>
        <w:rPr>
          <w:b/>
        </w:rPr>
        <w:t xml:space="preserve">Item ID: </w:t>
      </w:r>
      <w:r>
        <w:t>CTA-EP-002-CUM-B-011</w:t>
      </w:r>
    </w:p>
    <w:p>
      <w:r>
        <w:rPr>
          <w:b/>
        </w:rPr>
        <w:t xml:space="preserve">Stem: </w:t>
      </w:r>
      <w:r>
        <w:t>An unlicensed person employed to perform limited social-work functions meets a client for the first time. Which disclosure is required before performing those functions?</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The person may use “LCSW candidate” if the employer has approved the job title.</w:t>
            </w:r>
          </w:p>
        </w:tc>
        <w:tc>
          <w:tcPr>
            <w:tcW w:type="dxa" w:w="3485"/>
            <w:vAlign w:val="center"/>
            <w:tcMar>
              <w:top w:w="55" w:type="dxa"/>
              <w:start w:w="65" w:type="dxa"/>
              <w:bottom w:w="55" w:type="dxa"/>
              <w:end w:w="65" w:type="dxa"/>
            </w:tcMar>
          </w:tcPr>
          <w:p>
            <w:pPr>
              <w:spacing w:after="0"/>
            </w:pPr>
            <w:r>
              <w:rPr>
                <w:sz w:val="16"/>
              </w:rPr>
              <w:t>Incorrect. LCSW candidate is misleading because the person is not licensed and the title is not a substitute for the required disclosure.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The person informs the client that the person is not a licensed clinical social worker and is working under the supervision of an authorized licensed professional.</w:t>
            </w:r>
          </w:p>
        </w:tc>
        <w:tc>
          <w:tcPr>
            <w:tcW w:type="dxa" w:w="3485"/>
            <w:shd w:fill="EAF7F7"/>
            <w:vAlign w:val="center"/>
            <w:tcMar>
              <w:top w:w="55" w:type="dxa"/>
              <w:start w:w="65" w:type="dxa"/>
              <w:bottom w:w="55" w:type="dxa"/>
              <w:end w:w="65" w:type="dxa"/>
            </w:tcMar>
          </w:tcPr>
          <w:p>
            <w:pPr>
              <w:spacing w:after="0"/>
            </w:pPr>
            <w:r>
              <w:rPr>
                <w:sz w:val="16"/>
              </w:rPr>
              <w:t>Correct. This choice accurately discloses unlicensed status and supervised practice before services are performed.</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No disclosure is needed when the client was referred by a government agency.</w:t>
            </w:r>
          </w:p>
        </w:tc>
        <w:tc>
          <w:tcPr>
            <w:tcW w:type="dxa" w:w="3485"/>
            <w:vAlign w:val="center"/>
            <w:tcMar>
              <w:top w:w="55" w:type="dxa"/>
              <w:start w:w="65" w:type="dxa"/>
              <w:bottom w:w="55" w:type="dxa"/>
              <w:end w:w="65" w:type="dxa"/>
            </w:tcMar>
          </w:tcPr>
          <w:p>
            <w:pPr>
              <w:spacing w:after="0"/>
            </w:pPr>
            <w:r>
              <w:rPr>
                <w:sz w:val="16"/>
              </w:rPr>
              <w:t>Incorrect. A government referral does not eliminate the client’s right to know the provider’s status.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The person must state only the supervisor’s name; the person’s own unlicensed status is confidential employment information.</w:t>
            </w:r>
          </w:p>
        </w:tc>
        <w:tc>
          <w:tcPr>
            <w:tcW w:type="dxa" w:w="3485"/>
            <w:vAlign w:val="center"/>
            <w:tcMar>
              <w:top w:w="55" w:type="dxa"/>
              <w:start w:w="65" w:type="dxa"/>
              <w:bottom w:w="55" w:type="dxa"/>
              <w:end w:w="65" w:type="dxa"/>
            </w:tcMar>
          </w:tcPr>
          <w:p>
            <w:pPr>
              <w:spacing w:after="0"/>
            </w:pPr>
            <w:r>
              <w:rPr>
                <w:sz w:val="16"/>
              </w:rPr>
              <w:t>Incorrect. The worker’s own unlicensed status is material to informed service participation and is not confidential employment information.</w:t>
            </w:r>
          </w:p>
        </w:tc>
      </w:tr>
    </w:tbl>
    <w:p>
      <w:pPr>
        <w:pStyle w:val="Heading2"/>
      </w:pPr>
      <w:r>
        <w:t>Why the Key Controls</w:t>
      </w:r>
    </w:p>
    <w:p>
      <w:r>
        <w:t>Before performing limited social-work functions, an unlicensed person must tell the client that the person is not an LCSW and is working under authorized licensed supervision. A job title or referral source cannot replace that disclosure.</w:t>
      </w:r>
    </w:p>
    <w:p>
      <w:pPr>
        <w:pStyle w:val="Heading2"/>
      </w:pPr>
      <w:r>
        <w:t>CTA Exam Strategy</w:t>
      </w:r>
    </w:p>
    <w:p>
      <w:r>
        <w:t>Status-disclosure questions ask what the client must know about the worker, not merely the supervisor or employer.</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Required disclosure by an unlicensed social-work assistant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LCSW/ASW License-Specific Module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UNLICENSED-STATUS-DISCLOSURE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16 CCR 1880; BPC 4996.15</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spacing w:before="0" w:after="40" w:line="230" w:lineRule="auto"/>
      </w:pPr>
      <w:r>
        <w:rPr>
          <w:sz w:val="28"/>
        </w:rPr>
        <w:t>Item 12 - Controlled Rationale</w:t>
      </w:r>
    </w:p>
    <w:p>
      <w:pPr>
        <w:spacing w:before="0" w:after="20" w:line="230" w:lineRule="auto"/>
      </w:pPr>
      <w:r>
        <w:rPr>
          <w:b/>
          <w:sz w:val="18"/>
        </w:rPr>
        <w:t xml:space="preserve">Item ID: </w:t>
      </w:r>
      <w:r>
        <w:rPr>
          <w:sz w:val="18"/>
        </w:rPr>
        <w:t>CTA-EP-002-CUM-B-012</w:t>
      </w:r>
    </w:p>
    <w:p>
      <w:pPr>
        <w:spacing w:before="0" w:after="20" w:line="230" w:lineRule="auto"/>
      </w:pPr>
      <w:r>
        <w:rPr>
          <w:b/>
          <w:sz w:val="18"/>
        </w:rPr>
        <w:t xml:space="preserve">Stem: </w:t>
      </w:r>
      <w:r>
        <w:rPr>
          <w:sz w:val="18"/>
        </w:rPr>
        <w:t>A clinic accepts new-client requests only through an English-only telephone line open weekdays from 9:00 a.m. to 4:00 p.m. A Deaf client who uses relay service and works those hours cannot complete intake, and similar complaints have occurred. What should the LCSW do?</w:t>
      </w:r>
    </w:p>
    <w:p>
      <w:pPr>
        <w:spacing w:before="0" w:after="20" w:line="230" w:lineRule="auto"/>
      </w:pPr>
      <w:r>
        <w:rPr>
          <w:b/>
          <w:color w:val="1AA6A6"/>
          <w:sz w:val="18"/>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Option</w:t>
            </w:r>
          </w:p>
        </w:tc>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Answer choice</w:t>
            </w:r>
          </w:p>
        </w:tc>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Detailed rationale</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A</w:t>
            </w:r>
          </w:p>
        </w:tc>
        <w:tc>
          <w:tcPr>
            <w:tcW w:type="dxa" w:w="3485"/>
            <w:vAlign w:val="center"/>
            <w:tcMar>
              <w:top w:w="12" w:type="dxa"/>
              <w:start w:w="28" w:type="dxa"/>
              <w:bottom w:w="12" w:type="dxa"/>
              <w:end w:w="28" w:type="dxa"/>
            </w:tcMar>
          </w:tcPr>
          <w:p>
            <w:pPr>
              <w:spacing w:after="0" w:before="0" w:line="226" w:lineRule="auto"/>
            </w:pPr>
            <w:r>
              <w:rPr>
                <w:sz w:val="14"/>
              </w:rPr>
              <w:t>Require the client to use the same telephone process because identical rules are always equitable.</w:t>
            </w:r>
          </w:p>
        </w:tc>
        <w:tc>
          <w:tcPr>
            <w:tcW w:type="dxa" w:w="3485"/>
            <w:vAlign w:val="center"/>
            <w:tcMar>
              <w:top w:w="12" w:type="dxa"/>
              <w:start w:w="28" w:type="dxa"/>
              <w:bottom w:w="12" w:type="dxa"/>
              <w:end w:w="28" w:type="dxa"/>
            </w:tcMar>
          </w:tcPr>
          <w:p>
            <w:pPr>
              <w:spacing w:after="0" w:before="0" w:line="226" w:lineRule="auto"/>
            </w:pPr>
            <w:r>
              <w:rPr>
                <w:sz w:val="14"/>
              </w:rPr>
              <w:t>Incorrect. Identical procedures can produce unequal access when the process is not usable by people with communication or scheduling barriers.</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B</w:t>
            </w:r>
          </w:p>
        </w:tc>
        <w:tc>
          <w:tcPr>
            <w:tcW w:type="dxa" w:w="3485"/>
            <w:vAlign w:val="center"/>
            <w:tcMar>
              <w:top w:w="12" w:type="dxa"/>
              <w:start w:w="28" w:type="dxa"/>
              <w:bottom w:w="12" w:type="dxa"/>
              <w:end w:w="28" w:type="dxa"/>
            </w:tcMar>
          </w:tcPr>
          <w:p>
            <w:pPr>
              <w:spacing w:after="0" w:before="0" w:line="226" w:lineRule="auto"/>
            </w:pPr>
            <w:r>
              <w:rPr>
                <w:sz w:val="14"/>
              </w:rPr>
              <w:t>Tell the client to have a family member call and answer the intake questions.</w:t>
            </w:r>
          </w:p>
        </w:tc>
        <w:tc>
          <w:tcPr>
            <w:tcW w:type="dxa" w:w="3485"/>
            <w:vAlign w:val="center"/>
            <w:tcMar>
              <w:top w:w="12" w:type="dxa"/>
              <w:start w:w="28" w:type="dxa"/>
              <w:bottom w:w="12" w:type="dxa"/>
              <w:end w:w="28" w:type="dxa"/>
            </w:tcMar>
          </w:tcPr>
          <w:p>
            <w:pPr>
              <w:spacing w:after="0" w:before="0" w:line="226" w:lineRule="auto"/>
            </w:pPr>
            <w:r>
              <w:rPr>
                <w:sz w:val="14"/>
              </w:rPr>
              <w:t>Incorrect. Requiring family involvement can compromise autonomy, privacy, accuracy, and effective communication.</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C</w:t>
            </w:r>
          </w:p>
        </w:tc>
        <w:tc>
          <w:tcPr>
            <w:tcW w:type="dxa" w:w="3485"/>
            <w:vAlign w:val="center"/>
            <w:tcMar>
              <w:top w:w="12" w:type="dxa"/>
              <w:start w:w="28" w:type="dxa"/>
              <w:bottom w:w="12" w:type="dxa"/>
              <w:end w:w="28" w:type="dxa"/>
            </w:tcMar>
          </w:tcPr>
          <w:p>
            <w:pPr>
              <w:spacing w:after="0" w:before="0" w:line="226" w:lineRule="auto"/>
            </w:pPr>
            <w:r>
              <w:rPr>
                <w:sz w:val="14"/>
              </w:rPr>
              <w:t>Refer the client elsewhere and close the complaint because intake access is an administrative matter.</w:t>
            </w:r>
          </w:p>
        </w:tc>
        <w:tc>
          <w:tcPr>
            <w:tcW w:type="dxa" w:w="3485"/>
            <w:vAlign w:val="center"/>
            <w:tcMar>
              <w:top w:w="12" w:type="dxa"/>
              <w:start w:w="28" w:type="dxa"/>
              <w:bottom w:w="12" w:type="dxa"/>
              <w:end w:w="28" w:type="dxa"/>
            </w:tcMar>
          </w:tcPr>
          <w:p>
            <w:pPr>
              <w:spacing w:after="0" w:before="0" w:line="226" w:lineRule="auto"/>
            </w:pPr>
            <w:r>
              <w:rPr>
                <w:sz w:val="14"/>
              </w:rPr>
              <w:t>Incorrect. Automatic referral shifts the burden and ignores the clinic’s responsibility to evaluate and repair its own access system.</w:t>
            </w:r>
          </w:p>
        </w:tc>
      </w:tr>
      <w:tr>
        <w:trPr>
          <w:cantSplit/>
        </w:trPr>
        <w:tc>
          <w:tcPr>
            <w:tcW w:type="dxa" w:w="3485"/>
            <w:shd w:fill="EAF7F7"/>
            <w:vAlign w:val="center"/>
            <w:tcMar>
              <w:top w:w="12" w:type="dxa"/>
              <w:start w:w="28" w:type="dxa"/>
              <w:bottom w:w="12" w:type="dxa"/>
              <w:end w:w="28" w:type="dxa"/>
            </w:tcMar>
          </w:tcPr>
          <w:p>
            <w:pPr>
              <w:spacing w:after="0" w:before="0" w:line="226" w:lineRule="auto"/>
              <w:jc w:val="center"/>
            </w:pPr>
            <w:r>
              <w:rPr>
                <w:sz w:val="14"/>
              </w:rPr>
              <w:t>D</w:t>
            </w:r>
          </w:p>
        </w:tc>
        <w:tc>
          <w:tcPr>
            <w:tcW w:type="dxa" w:w="3485"/>
            <w:shd w:fill="EAF7F7"/>
            <w:vAlign w:val="center"/>
            <w:tcMar>
              <w:top w:w="12" w:type="dxa"/>
              <w:start w:w="28" w:type="dxa"/>
              <w:bottom w:w="12" w:type="dxa"/>
              <w:end w:w="28" w:type="dxa"/>
            </w:tcMar>
          </w:tcPr>
          <w:p>
            <w:pPr>
              <w:spacing w:after="0" w:before="0" w:line="226" w:lineRule="auto"/>
            </w:pPr>
            <w:r>
              <w:rPr>
                <w:sz w:val="14"/>
              </w:rPr>
              <w:t>Arrange an effective accessible intake option now, document the recurring barrier, and use leadership or compliance channels to add accessible communication and scheduling methods.</w:t>
            </w:r>
          </w:p>
        </w:tc>
        <w:tc>
          <w:tcPr>
            <w:tcW w:type="dxa" w:w="3485"/>
            <w:shd w:fill="EAF7F7"/>
            <w:vAlign w:val="center"/>
            <w:tcMar>
              <w:top w:w="12" w:type="dxa"/>
              <w:start w:w="28" w:type="dxa"/>
              <w:bottom w:w="12" w:type="dxa"/>
              <w:end w:w="28" w:type="dxa"/>
            </w:tcMar>
          </w:tcPr>
          <w:p>
            <w:pPr>
              <w:spacing w:after="0" w:before="0" w:line="226" w:lineRule="auto"/>
            </w:pPr>
            <w:r>
              <w:rPr>
                <w:sz w:val="14"/>
              </w:rPr>
              <w:t>Correct. This response combines immediate accommodation with documented systems-level repair and appropriate organizational escalation.</w:t>
            </w:r>
          </w:p>
        </w:tc>
      </w:tr>
    </w:tbl>
    <w:p>
      <w:pPr>
        <w:pStyle w:val="Heading2"/>
        <w:spacing w:before="40" w:after="0" w:line="230" w:lineRule="auto"/>
      </w:pPr>
      <w:r>
        <w:rPr>
          <w:sz w:val="22"/>
        </w:rPr>
        <w:t>Why the Key Controls</w:t>
      </w:r>
    </w:p>
    <w:p>
      <w:pPr>
        <w:spacing w:before="0" w:after="20" w:line="230" w:lineRule="auto"/>
      </w:pPr>
      <w:r>
        <w:rPr>
          <w:sz w:val="18"/>
        </w:rPr>
        <w:t>The clinic’s only intake method creates predictable communication and scheduling barriers. The LCSW should arrange effective access for the current client, document the recurring pattern, and pursue organizational changes through leadership or compliance channels.</w:t>
      </w:r>
    </w:p>
    <w:p>
      <w:pPr>
        <w:pStyle w:val="Heading2"/>
        <w:spacing w:before="40" w:after="0" w:line="230" w:lineRule="auto"/>
      </w:pPr>
      <w:r>
        <w:rPr>
          <w:sz w:val="22"/>
        </w:rPr>
        <w:t>CTA Exam Strategy</w:t>
      </w:r>
    </w:p>
    <w:p>
      <w:pPr>
        <w:spacing w:before="0" w:after="20" w:line="230" w:lineRule="auto"/>
      </w:pPr>
      <w:r>
        <w:rPr>
          <w:sz w:val="18"/>
        </w:rPr>
        <w:t>When the same intake barrier affects multiple people, address the individual need and the organizational design failure.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8" w:type="dxa"/>
              <w:start w:w="25" w:type="dxa"/>
              <w:bottom w:w="8" w:type="dxa"/>
              <w:end w:w="25" w:type="dxa"/>
            </w:tcMar>
          </w:tcPr>
          <w:p>
            <w:pPr>
              <w:spacing w:after="0" w:before="0" w:line="226" w:lineRule="auto"/>
            </w:pPr>
            <w:r>
              <w:rPr>
                <w:sz w:val="14"/>
              </w:rPr>
              <w:t>Primary concept</w:t>
            </w:r>
          </w:p>
        </w:tc>
        <w:tc>
          <w:tcPr>
            <w:tcW w:type="dxa" w:w="5227"/>
            <w:vAlign w:val="center"/>
            <w:tcMar>
              <w:top w:w="8" w:type="dxa"/>
              <w:start w:w="25" w:type="dxa"/>
              <w:bottom w:w="8" w:type="dxa"/>
              <w:end w:w="25" w:type="dxa"/>
            </w:tcMar>
          </w:tcPr>
          <w:p>
            <w:pPr>
              <w:spacing w:after="0" w:before="0" w:line="226" w:lineRule="auto"/>
            </w:pPr>
            <w:r>
              <w:rPr>
                <w:sz w:val="14"/>
              </w:rPr>
              <w:t>Organizational repair of an inaccessible intake channel</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Official domain</w:t>
            </w:r>
          </w:p>
        </w:tc>
        <w:tc>
          <w:tcPr>
            <w:tcW w:type="dxa" w:w="5227"/>
            <w:shd w:fill="F2F4F7"/>
            <w:vAlign w:val="center"/>
            <w:tcMar>
              <w:top w:w="8" w:type="dxa"/>
              <w:start w:w="25" w:type="dxa"/>
              <w:bottom w:w="8" w:type="dxa"/>
              <w:end w:w="25" w:type="dxa"/>
            </w:tcMar>
          </w:tcPr>
          <w:p>
            <w:pPr>
              <w:spacing w:after="0" w:before="0" w:line="226" w:lineRule="auto"/>
            </w:pPr>
            <w:r>
              <w:rPr>
                <w:sz w:val="14"/>
              </w:rPr>
              <w:t>2C</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Difficulty / construction</w:t>
            </w:r>
          </w:p>
        </w:tc>
        <w:tc>
          <w:tcPr>
            <w:tcW w:type="dxa" w:w="5227"/>
            <w:vAlign w:val="center"/>
            <w:tcMar>
              <w:top w:w="8" w:type="dxa"/>
              <w:start w:w="25" w:type="dxa"/>
              <w:bottom w:w="8" w:type="dxa"/>
              <w:end w:w="25" w:type="dxa"/>
            </w:tcMar>
          </w:tcPr>
          <w:p>
            <w:pPr>
              <w:spacing w:after="0" w:before="0" w:line="226" w:lineRule="auto"/>
            </w:pPr>
            <w:r>
              <w:rPr>
                <w:sz w:val="14"/>
              </w:rPr>
              <w:t>Moderate / Applied / Direct</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Primary remediation route</w:t>
            </w:r>
          </w:p>
        </w:tc>
        <w:tc>
          <w:tcPr>
            <w:tcW w:type="dxa" w:w="5227"/>
            <w:shd w:fill="F2F4F7"/>
            <w:vAlign w:val="center"/>
            <w:tcMar>
              <w:top w:w="8" w:type="dxa"/>
              <w:start w:w="25" w:type="dxa"/>
              <w:bottom w:w="8" w:type="dxa"/>
              <w:end w:w="25" w:type="dxa"/>
            </w:tcMar>
          </w:tcPr>
          <w:p>
            <w:pPr>
              <w:spacing w:after="0" w:before="0" w:line="226" w:lineRule="auto"/>
            </w:pPr>
            <w:r>
              <w:rPr>
                <w:sz w:val="14"/>
              </w:rPr>
              <w:t>WB7 - Cultural Humility, Bias, and Diverse Populations</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Error-log category</w:t>
            </w:r>
          </w:p>
        </w:tc>
        <w:tc>
          <w:tcPr>
            <w:tcW w:type="dxa" w:w="5227"/>
            <w:vAlign w:val="center"/>
            <w:tcMar>
              <w:top w:w="8" w:type="dxa"/>
              <w:start w:w="25" w:type="dxa"/>
              <w:bottom w:w="8" w:type="dxa"/>
              <w:end w:w="25" w:type="dxa"/>
            </w:tcMar>
          </w:tcPr>
          <w:p>
            <w:pPr>
              <w:spacing w:after="0" w:before="0" w:line="226" w:lineRule="auto"/>
            </w:pPr>
            <w:r>
              <w:rPr>
                <w:sz w:val="14"/>
              </w:rPr>
              <w:t>ORGANIZATIONAL-ACCESS</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Primary source control</w:t>
            </w:r>
          </w:p>
        </w:tc>
        <w:tc>
          <w:tcPr>
            <w:tcW w:type="dxa" w:w="5227"/>
            <w:shd w:fill="F2F4F7"/>
            <w:vAlign w:val="center"/>
            <w:tcMar>
              <w:top w:w="8" w:type="dxa"/>
              <w:start w:w="25" w:type="dxa"/>
              <w:bottom w:w="8" w:type="dxa"/>
              <w:end w:w="25" w:type="dxa"/>
            </w:tcMar>
          </w:tcPr>
          <w:p>
            <w:pPr>
              <w:spacing w:after="0" w:before="0" w:line="226" w:lineRule="auto"/>
            </w:pPr>
            <w:r>
              <w:rPr>
                <w:sz w:val="14"/>
              </w:rPr>
              <w:t>NASW Code 3.07, 3.09, 4.02, and 6.04; ADA effective-communication principles and applicable California access law</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Currency control</w:t>
            </w:r>
          </w:p>
        </w:tc>
        <w:tc>
          <w:tcPr>
            <w:tcW w:type="dxa" w:w="5227"/>
            <w:vAlign w:val="center"/>
            <w:tcMar>
              <w:top w:w="8" w:type="dxa"/>
              <w:start w:w="25" w:type="dxa"/>
              <w:bottom w:w="8" w:type="dxa"/>
              <w:end w:w="25" w:type="dxa"/>
            </w:tcMar>
          </w:tcPr>
          <w:p>
            <w:pPr>
              <w:spacing w:after="0" w:before="0" w:line="226" w:lineRule="auto"/>
            </w:pPr>
            <w:r>
              <w:rPr>
                <w:sz w:val="14"/>
              </w:rPr>
              <w:t>Recheck current California statutes and regulations, BBS Law Changes and forms, and the current NASW Code before LMS lock and within 30 days of public release.</w:t>
            </w:r>
          </w:p>
        </w:tc>
      </w:tr>
    </w:tbl>
    <w:p>
      <w:pPr>
        <w:pStyle w:val="Heading1"/>
        <w:pageBreakBefore/>
      </w:pPr>
      <w:r>
        <w:t>Item 13 - Controlled Rationale</w:t>
      </w:r>
    </w:p>
    <w:p>
      <w:r>
        <w:rPr>
          <w:b/>
        </w:rPr>
        <w:t xml:space="preserve">Item ID: </w:t>
      </w:r>
      <w:r>
        <w:t>CTA-EP-002-CUM-B-013</w:t>
      </w:r>
    </w:p>
    <w:p>
      <w:r>
        <w:rPr>
          <w:b/>
        </w:rPr>
        <w:t xml:space="preserve">Stem: </w:t>
      </w:r>
      <w:r>
        <w:t>Which informed-consent element is MOST important before a client enters group psychotherapy?</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 promise that no member will ever disclose anything heard in the group.</w:t>
            </w:r>
          </w:p>
        </w:tc>
        <w:tc>
          <w:tcPr>
            <w:tcW w:type="dxa" w:w="3485"/>
            <w:vAlign w:val="center"/>
            <w:tcMar>
              <w:top w:w="55" w:type="dxa"/>
              <w:start w:w="65" w:type="dxa"/>
              <w:bottom w:w="55" w:type="dxa"/>
              <w:end w:w="65" w:type="dxa"/>
            </w:tcMar>
          </w:tcPr>
          <w:p>
            <w:pPr>
              <w:spacing w:after="0"/>
            </w:pPr>
            <w:r>
              <w:rPr>
                <w:sz w:val="16"/>
              </w:rPr>
              <w:t>Incorrect. A clinician cannot guarantee that no member will ever disclose group information.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An agreement that the clinician may change the group purpose without notice.</w:t>
            </w:r>
          </w:p>
        </w:tc>
        <w:tc>
          <w:tcPr>
            <w:tcW w:type="dxa" w:w="3485"/>
            <w:vAlign w:val="center"/>
            <w:tcMar>
              <w:top w:w="55" w:type="dxa"/>
              <w:start w:w="65" w:type="dxa"/>
              <w:bottom w:w="55" w:type="dxa"/>
              <w:end w:w="65" w:type="dxa"/>
            </w:tcMar>
          </w:tcPr>
          <w:p>
            <w:pPr>
              <w:spacing w:after="0"/>
            </w:pPr>
            <w:r>
              <w:rPr>
                <w:sz w:val="16"/>
              </w:rPr>
              <w:t>Incorrect. Material changes in group purpose require renewed explanation rather than a unilateral advance waiver.</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 waiver stating that the clinician has no responsibility for screening or group safety.</w:t>
            </w:r>
          </w:p>
        </w:tc>
        <w:tc>
          <w:tcPr>
            <w:tcW w:type="dxa" w:w="3485"/>
            <w:vAlign w:val="center"/>
            <w:tcMar>
              <w:top w:w="55" w:type="dxa"/>
              <w:start w:w="65" w:type="dxa"/>
              <w:bottom w:w="55" w:type="dxa"/>
              <w:end w:w="65" w:type="dxa"/>
            </w:tcMar>
          </w:tcPr>
          <w:p>
            <w:pPr>
              <w:spacing w:after="0"/>
            </w:pPr>
            <w:r>
              <w:rPr>
                <w:sz w:val="16"/>
              </w:rPr>
              <w:t>Incorrect. A clinician cannot disclaim screening, safety, or professional responsibilities through consent language.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 clear explanation of the group purpose, expected participation, foreseeable risks and benefits, confidentiality limits, member responsibilities, alternatives, and the right to ask questions or withdraw.</w:t>
            </w:r>
          </w:p>
        </w:tc>
        <w:tc>
          <w:tcPr>
            <w:tcW w:type="dxa" w:w="3485"/>
            <w:shd w:fill="EAF7F7"/>
            <w:vAlign w:val="center"/>
            <w:tcMar>
              <w:top w:w="55" w:type="dxa"/>
              <w:start w:w="65" w:type="dxa"/>
              <w:bottom w:w="55" w:type="dxa"/>
              <w:end w:w="65" w:type="dxa"/>
            </w:tcMar>
          </w:tcPr>
          <w:p>
            <w:pPr>
              <w:spacing w:after="0"/>
            </w:pPr>
            <w:r>
              <w:rPr>
                <w:sz w:val="16"/>
              </w:rPr>
              <w:t>Correct. This choice supplies the information needed for a meaningful decision about group participation.</w:t>
            </w:r>
          </w:p>
        </w:tc>
      </w:tr>
    </w:tbl>
    <w:p>
      <w:pPr>
        <w:pStyle w:val="Heading2"/>
      </w:pPr>
      <w:r>
        <w:t>Why the Key Controls</w:t>
      </w:r>
    </w:p>
    <w:p>
      <w:r>
        <w:t>Group informed consent should explain the group’s purpose and participation expectations, foreseeable risks and benefits, confidentiality limits, member responsibilities, alternatives, questions, and withdrawal rights. It cannot promise member behavior or disclaim clinician responsibility.</w:t>
      </w:r>
    </w:p>
    <w:p>
      <w:pPr>
        <w:pStyle w:val="Heading2"/>
      </w:pPr>
      <w:r>
        <w:t>CTA Exam Strategy</w:t>
      </w:r>
    </w:p>
    <w:p>
      <w:r>
        <w:t>Select the option that supports informed choice through purpose, expectations, risks, limits, alternatives, and the ability to ask questions or withdraw.</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Informed consent for group services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GROUP-INFORMED-CONSENT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1.03, 1.07, and 1.08</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14 - Controlled Rationale</w:t>
      </w:r>
    </w:p>
    <w:p>
      <w:r>
        <w:rPr>
          <w:b/>
        </w:rPr>
        <w:t xml:space="preserve">Item ID: </w:t>
      </w:r>
      <w:r>
        <w:t>CTA-EP-002-CUM-B-014</w:t>
      </w:r>
    </w:p>
    <w:p>
      <w:r>
        <w:rPr>
          <w:b/>
        </w:rPr>
        <w:t xml:space="preserve">Stem: </w:t>
      </w:r>
      <w:r>
        <w:t>A clinician interprets a client’s limited eye contact as resistance, but the client explains that direct eye contact with authority figures is considered disrespectful in the client’s family. What should the clinician do?</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Maintain the resistance formulation because clinical observation is more objective than the client’s explanation.</w:t>
            </w:r>
          </w:p>
        </w:tc>
        <w:tc>
          <w:tcPr>
            <w:tcW w:type="dxa" w:w="3485"/>
            <w:vAlign w:val="center"/>
            <w:tcMar>
              <w:top w:w="55" w:type="dxa"/>
              <w:start w:w="65" w:type="dxa"/>
              <w:bottom w:w="55" w:type="dxa"/>
              <w:end w:w="65" w:type="dxa"/>
            </w:tcMar>
          </w:tcPr>
          <w:p>
            <w:pPr>
              <w:spacing w:after="0"/>
            </w:pPr>
            <w:r>
              <w:rPr>
                <w:sz w:val="16"/>
              </w:rPr>
              <w:t>Incorrect. Clinical observation does not become objective merely because it ignores the client’s meaning and cultural context.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Reassess the interpretation with the client, consider cultural meaning and the therapeutic context, and avoid treating the behavior as pathology without additional evidence.</w:t>
            </w:r>
          </w:p>
        </w:tc>
        <w:tc>
          <w:tcPr>
            <w:tcW w:type="dxa" w:w="3485"/>
            <w:shd w:fill="EAF7F7"/>
            <w:vAlign w:val="center"/>
            <w:tcMar>
              <w:top w:w="55" w:type="dxa"/>
              <w:start w:w="65" w:type="dxa"/>
              <w:bottom w:w="55" w:type="dxa"/>
              <w:end w:w="65" w:type="dxa"/>
            </w:tcMar>
          </w:tcPr>
          <w:p>
            <w:pPr>
              <w:spacing w:after="0"/>
            </w:pPr>
            <w:r>
              <w:rPr>
                <w:sz w:val="16"/>
              </w:rPr>
              <w:t>Correct. Reassessment with the client avoids stereotype and permits a more accurate formulation.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Stop asking about culture because cultural discussion makes assessment less neutral.</w:t>
            </w:r>
          </w:p>
        </w:tc>
        <w:tc>
          <w:tcPr>
            <w:tcW w:type="dxa" w:w="3485"/>
            <w:vAlign w:val="center"/>
            <w:tcMar>
              <w:top w:w="55" w:type="dxa"/>
              <w:start w:w="65" w:type="dxa"/>
              <w:bottom w:w="55" w:type="dxa"/>
              <w:end w:w="65" w:type="dxa"/>
            </w:tcMar>
          </w:tcPr>
          <w:p>
            <w:pPr>
              <w:spacing w:after="0"/>
            </w:pPr>
            <w:r>
              <w:rPr>
                <w:sz w:val="16"/>
              </w:rPr>
              <w:t>Incorrect. Avoiding culture hides rather than removes bias.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Require direct eye contact as a treatment goal before exploring the client’s meaning.</w:t>
            </w:r>
          </w:p>
        </w:tc>
        <w:tc>
          <w:tcPr>
            <w:tcW w:type="dxa" w:w="3485"/>
            <w:vAlign w:val="center"/>
            <w:tcMar>
              <w:top w:w="55" w:type="dxa"/>
              <w:start w:w="65" w:type="dxa"/>
              <w:bottom w:w="55" w:type="dxa"/>
              <w:end w:w="65" w:type="dxa"/>
            </w:tcMar>
          </w:tcPr>
          <w:p>
            <w:pPr>
              <w:spacing w:after="0"/>
            </w:pPr>
            <w:r>
              <w:rPr>
                <w:sz w:val="16"/>
              </w:rPr>
              <w:t>Incorrect. Requiring eye contact before understanding its meaning imposes the clinician’s norm as treatment.</w:t>
            </w:r>
          </w:p>
        </w:tc>
      </w:tr>
    </w:tbl>
    <w:p>
      <w:pPr>
        <w:pStyle w:val="Heading2"/>
      </w:pPr>
      <w:r>
        <w:t>Why the Key Controls</w:t>
      </w:r>
    </w:p>
    <w:p>
      <w:r>
        <w:t>Cultural humility requires the clinician to test an interpretation with the client and context. Limited eye contact should not be labeled resistance when the client provides a plausible cultural meaning and no additional evidence supports pathology.</w:t>
      </w:r>
    </w:p>
    <w:p>
      <w:pPr>
        <w:pStyle w:val="Heading2"/>
      </w:pPr>
      <w:r>
        <w:t>CTA Exam Strategy</w:t>
      </w:r>
    </w:p>
    <w:p>
      <w:r>
        <w:t>When a behavior has a culturally plausible meaning, ask, reassess, and seek evidence before pathologizing it.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Cultural meaning before pathologizing behavior</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Integrated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CULTURAL-MEANING</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1.04, 1.05, and 4.02</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15 - Controlled Rationale</w:t>
      </w:r>
    </w:p>
    <w:p>
      <w:r>
        <w:rPr>
          <w:b/>
        </w:rPr>
        <w:t xml:space="preserve">Item ID: </w:t>
      </w:r>
      <w:r>
        <w:t>CTA-EP-002-CUM-B-015</w:t>
      </w:r>
    </w:p>
    <w:p>
      <w:r>
        <w:rPr>
          <w:b/>
        </w:rPr>
        <w:t xml:space="preserve">Stem: </w:t>
      </w:r>
      <w:r>
        <w:t>A client who cannot pay the fee offers weekly bookkeeping services to the LCSW in exchange for psychotherapy.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Avoid the bartering arrangement because it creates conflict, exploitation, confidentiality, and boundary risks; discuss fair fees, alternatives, and continuity options with the client.</w:t>
            </w:r>
          </w:p>
        </w:tc>
        <w:tc>
          <w:tcPr>
            <w:tcW w:type="dxa" w:w="3485"/>
            <w:shd w:fill="EAF7F7"/>
            <w:vAlign w:val="center"/>
            <w:tcMar>
              <w:top w:w="55" w:type="dxa"/>
              <w:start w:w="65" w:type="dxa"/>
              <w:bottom w:w="55" w:type="dxa"/>
              <w:end w:w="65" w:type="dxa"/>
            </w:tcMar>
          </w:tcPr>
          <w:p>
            <w:pPr>
              <w:spacing w:after="0"/>
            </w:pPr>
            <w:r>
              <w:rPr>
                <w:sz w:val="16"/>
              </w:rPr>
              <w:t>Correct. This response identifies the conflict and protects the client through transparent financial and continuity planning.</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Accept because the exchange has equal market value.</w:t>
            </w:r>
          </w:p>
        </w:tc>
        <w:tc>
          <w:tcPr>
            <w:tcW w:type="dxa" w:w="3485"/>
            <w:vAlign w:val="center"/>
            <w:tcMar>
              <w:top w:w="55" w:type="dxa"/>
              <w:start w:w="65" w:type="dxa"/>
              <w:bottom w:w="55" w:type="dxa"/>
              <w:end w:w="65" w:type="dxa"/>
            </w:tcMar>
          </w:tcPr>
          <w:p>
            <w:pPr>
              <w:spacing w:after="0"/>
            </w:pPr>
            <w:r>
              <w:rPr>
                <w:sz w:val="16"/>
              </w:rPr>
              <w:t>Incorrect. Equal market value does not remove power, confidentiality, exploitation, or treatment conflicts.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Accept if the client signs a form stating that no conflict can arise.</w:t>
            </w:r>
          </w:p>
        </w:tc>
        <w:tc>
          <w:tcPr>
            <w:tcW w:type="dxa" w:w="3485"/>
            <w:vAlign w:val="center"/>
            <w:tcMar>
              <w:top w:w="55" w:type="dxa"/>
              <w:start w:w="65" w:type="dxa"/>
              <w:bottom w:w="55" w:type="dxa"/>
              <w:end w:w="65" w:type="dxa"/>
            </w:tcMar>
          </w:tcPr>
          <w:p>
            <w:pPr>
              <w:spacing w:after="0"/>
            </w:pPr>
            <w:r>
              <w:rPr>
                <w:sz w:val="16"/>
              </w:rPr>
              <w:t>Incorrect. A signed form cannot guarantee that a conflict will not arise or cure the multiple relationship.</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End treatment immediately without discussing affordable alternatives or clinical consequences.</w:t>
            </w:r>
          </w:p>
        </w:tc>
        <w:tc>
          <w:tcPr>
            <w:tcW w:type="dxa" w:w="3485"/>
            <w:vAlign w:val="center"/>
            <w:tcMar>
              <w:top w:w="55" w:type="dxa"/>
              <w:start w:w="65" w:type="dxa"/>
              <w:bottom w:w="55" w:type="dxa"/>
              <w:end w:w="65" w:type="dxa"/>
            </w:tcMar>
          </w:tcPr>
          <w:p>
            <w:pPr>
              <w:spacing w:after="0"/>
            </w:pPr>
            <w:r>
              <w:rPr>
                <w:sz w:val="16"/>
              </w:rPr>
              <w:t>Incorrect. Immediate termination without alternatives may harm the client and is not the necessary first response.</w:t>
            </w:r>
          </w:p>
        </w:tc>
      </w:tr>
    </w:tbl>
    <w:p>
      <w:pPr>
        <w:pStyle w:val="Heading2"/>
      </w:pPr>
      <w:r>
        <w:t>Why the Key Controls</w:t>
      </w:r>
    </w:p>
    <w:p>
      <w:r>
        <w:t>Bartering with a current client for bookkeeping creates intertwined financial, confidentiality, boundary, and exploitation risks. The LCSW should avoid the exchange and discuss fair fees, alternatives, and continuity rather than end care abruptly.</w:t>
      </w:r>
    </w:p>
    <w:p>
      <w:pPr>
        <w:pStyle w:val="Heading2"/>
      </w:pPr>
      <w:r>
        <w:t>CTA Exam Strategy</w:t>
      </w:r>
    </w:p>
    <w:p>
      <w:r>
        <w:t>Barter questions test power and role conflict, not merely equal value; choose transparent alternatives and continuity.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Bartering and payment for services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BARTERING</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1.13(a),(b); BPC 4992.3(o)</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16 - Controlled Rationale</w:t>
      </w:r>
    </w:p>
    <w:p>
      <w:r>
        <w:rPr>
          <w:b/>
        </w:rPr>
        <w:t xml:space="preserve">Item ID: </w:t>
      </w:r>
      <w:r>
        <w:t>CTA-EP-002-CUM-B-016</w:t>
      </w:r>
    </w:p>
    <w:p>
      <w:r>
        <w:rPr>
          <w:b/>
        </w:rPr>
        <w:t xml:space="preserve">Stem: </w:t>
      </w:r>
      <w:r>
        <w:t>A client angrily says, “Someone at that company is going to pay,” but identifies no person, plan, means, or intended act.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Notify every employee at the company immediately because any angry statement triggers a duty to warn.</w:t>
            </w:r>
          </w:p>
        </w:tc>
        <w:tc>
          <w:tcPr>
            <w:tcW w:type="dxa" w:w="3485"/>
            <w:vAlign w:val="center"/>
            <w:tcMar>
              <w:top w:w="55" w:type="dxa"/>
              <w:start w:w="65" w:type="dxa"/>
              <w:bottom w:w="55" w:type="dxa"/>
              <w:end w:w="65" w:type="dxa"/>
            </w:tcMar>
          </w:tcPr>
          <w:p>
            <w:pPr>
              <w:spacing w:after="0"/>
            </w:pPr>
            <w:r>
              <w:rPr>
                <w:sz w:val="16"/>
              </w:rPr>
              <w:t>Incorrect. A vague angry statement does not automatically justify warning an entire company.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Conduct and document a focused violence-risk assessment, clarify the statement and possible targets, seek consultation as needed, and reassess legal protective duties if a serious threat toward a reasonably identifiable victim emerges.</w:t>
            </w:r>
          </w:p>
        </w:tc>
        <w:tc>
          <w:tcPr>
            <w:tcW w:type="dxa" w:w="3485"/>
            <w:shd w:fill="EAF7F7"/>
            <w:vAlign w:val="center"/>
            <w:tcMar>
              <w:top w:w="55" w:type="dxa"/>
              <w:start w:w="65" w:type="dxa"/>
              <w:bottom w:w="55" w:type="dxa"/>
              <w:end w:w="65" w:type="dxa"/>
            </w:tcMar>
          </w:tcPr>
          <w:p>
            <w:pPr>
              <w:spacing w:after="0"/>
            </w:pPr>
            <w:r>
              <w:rPr>
                <w:sz w:val="16"/>
              </w:rPr>
              <w:t>Correct. This response gathers the facts needed to determine risk and whether a legal protective duty develops.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Ignore the statement because a duty to protect can never arise without a named victim.</w:t>
            </w:r>
          </w:p>
        </w:tc>
        <w:tc>
          <w:tcPr>
            <w:tcW w:type="dxa" w:w="3485"/>
            <w:vAlign w:val="center"/>
            <w:tcMar>
              <w:top w:w="55" w:type="dxa"/>
              <w:start w:w="65" w:type="dxa"/>
              <w:bottom w:w="55" w:type="dxa"/>
              <w:end w:w="65" w:type="dxa"/>
            </w:tcMar>
          </w:tcPr>
          <w:p>
            <w:pPr>
              <w:spacing w:after="0"/>
            </w:pPr>
            <w:r>
              <w:rPr>
                <w:sz w:val="16"/>
              </w:rPr>
              <w:t>Incorrect. The absence of a named victim does not justify ignoring a potentially escalating threat.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Terminate the client immediately so the clinician is no longer responsible for assessing the threat.</w:t>
            </w:r>
          </w:p>
        </w:tc>
        <w:tc>
          <w:tcPr>
            <w:tcW w:type="dxa" w:w="3485"/>
            <w:vAlign w:val="center"/>
            <w:tcMar>
              <w:top w:w="55" w:type="dxa"/>
              <w:start w:w="65" w:type="dxa"/>
              <w:bottom w:w="55" w:type="dxa"/>
              <w:end w:w="65" w:type="dxa"/>
            </w:tcMar>
          </w:tcPr>
          <w:p>
            <w:pPr>
              <w:spacing w:after="0"/>
            </w:pPr>
            <w:r>
              <w:rPr>
                <w:sz w:val="16"/>
              </w:rPr>
              <w:t>Incorrect. Termination does not remove the responsibility to assess risk and can increase danger.</w:t>
            </w:r>
          </w:p>
        </w:tc>
      </w:tr>
    </w:tbl>
    <w:p>
      <w:pPr>
        <w:pStyle w:val="Heading2"/>
      </w:pPr>
      <w:r>
        <w:t>Why the Key Controls</w:t>
      </w:r>
    </w:p>
    <w:p>
      <w:r>
        <w:t>An angry but nonspecific statement requires focused violence-risk assessment and clarification. The clinician should identify possible targets, plan, means, intent, and escalation, consult as needed, and reassess protective duties if a serious threat toward a reasonably identifiable victim emerges.</w:t>
      </w:r>
    </w:p>
    <w:p>
      <w:pPr>
        <w:pStyle w:val="Heading2"/>
      </w:pPr>
      <w:r>
        <w:t>CTA Exam Strategy</w:t>
      </w:r>
    </w:p>
    <w:p>
      <w:r>
        <w:t>When a threat is vague, assess and clarify first; do not automatically warn everyone or ignore the statement.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Serious-threat assessment when no victim is yet identifiable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VIOLENCE-RISK-ASSESSMENT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Civil Code 43.92; NASW Code 1.01 and 1.07</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17 - Controlled Rationale</w:t>
      </w:r>
    </w:p>
    <w:p>
      <w:r>
        <w:rPr>
          <w:b/>
        </w:rPr>
        <w:t xml:space="preserve">Item ID: </w:t>
      </w:r>
      <w:r>
        <w:t>CTA-EP-002-CUM-B-017</w:t>
      </w:r>
    </w:p>
    <w:p>
      <w:r>
        <w:rPr>
          <w:b/>
        </w:rPr>
        <w:t xml:space="preserve">Stem: </w:t>
      </w:r>
      <w:r>
        <w:t>A client has stopped paying an overdue balance. Under which conditions may a fee-for-service LCSW ethically consider termination for nonpayment?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Whenever the balance is seven days overdue, regardless of risk or continuity.</w:t>
            </w:r>
          </w:p>
        </w:tc>
        <w:tc>
          <w:tcPr>
            <w:tcW w:type="dxa" w:w="3485"/>
            <w:vAlign w:val="center"/>
            <w:tcMar>
              <w:top w:w="55" w:type="dxa"/>
              <w:start w:w="65" w:type="dxa"/>
              <w:bottom w:w="55" w:type="dxa"/>
              <w:end w:w="65" w:type="dxa"/>
            </w:tcMar>
          </w:tcPr>
          <w:p>
            <w:pPr>
              <w:spacing w:after="0"/>
            </w:pPr>
            <w:r>
              <w:rPr>
                <w:sz w:val="16"/>
              </w:rPr>
              <w:t>Incorrect. A fixed seven-day rule ignores risk, clinical consequences, notice, and continuity.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Only after the LCSW publicly posts the unpaid balance to encourage payment.</w:t>
            </w:r>
          </w:p>
        </w:tc>
        <w:tc>
          <w:tcPr>
            <w:tcW w:type="dxa" w:w="3485"/>
            <w:vAlign w:val="center"/>
            <w:tcMar>
              <w:top w:w="55" w:type="dxa"/>
              <w:start w:w="65" w:type="dxa"/>
              <w:bottom w:w="55" w:type="dxa"/>
              <w:end w:w="65" w:type="dxa"/>
            </w:tcMar>
          </w:tcPr>
          <w:p>
            <w:pPr>
              <w:spacing w:after="0"/>
            </w:pPr>
            <w:r>
              <w:rPr>
                <w:sz w:val="16"/>
              </w:rPr>
              <w:t>Incorrect. Publicly posting a debt violates privacy and professionalism.</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The financial arrangement was clear, the client does not pose imminent danger, the clinical and practical consequences have been discussed, and reasonable notice and continuity options are provided.</w:t>
            </w:r>
          </w:p>
        </w:tc>
        <w:tc>
          <w:tcPr>
            <w:tcW w:type="dxa" w:w="3485"/>
            <w:shd w:fill="EAF7F7"/>
            <w:vAlign w:val="center"/>
            <w:tcMar>
              <w:top w:w="55" w:type="dxa"/>
              <w:start w:w="65" w:type="dxa"/>
              <w:bottom w:w="55" w:type="dxa"/>
              <w:end w:w="65" w:type="dxa"/>
            </w:tcMar>
          </w:tcPr>
          <w:p>
            <w:pPr>
              <w:spacing w:after="0"/>
            </w:pPr>
            <w:r>
              <w:rPr>
                <w:sz w:val="16"/>
              </w:rPr>
              <w:t>Correct. This choice includes the financial, safety, notice, and continuity conditions needed for ethical consideration of termination.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Never; a social worker must provide indefinite services without payment in every circumstance.</w:t>
            </w:r>
          </w:p>
        </w:tc>
        <w:tc>
          <w:tcPr>
            <w:tcW w:type="dxa" w:w="3485"/>
            <w:vAlign w:val="center"/>
            <w:tcMar>
              <w:top w:w="55" w:type="dxa"/>
              <w:start w:w="65" w:type="dxa"/>
              <w:bottom w:w="55" w:type="dxa"/>
              <w:end w:w="65" w:type="dxa"/>
            </w:tcMar>
          </w:tcPr>
          <w:p>
            <w:pPr>
              <w:spacing w:after="0"/>
            </w:pPr>
            <w:r>
              <w:rPr>
                <w:sz w:val="16"/>
              </w:rPr>
              <w:t>Incorrect. Social workers are not required to provide indefinite unpaid services in every circumstance.</w:t>
            </w:r>
          </w:p>
        </w:tc>
      </w:tr>
    </w:tbl>
    <w:p>
      <w:pPr>
        <w:pStyle w:val="Heading2"/>
      </w:pPr>
      <w:r>
        <w:t>Why the Key Controls</w:t>
      </w:r>
    </w:p>
    <w:p>
      <w:r>
        <w:t>Ethical termination for nonpayment requires a clear financial arrangement, absence of imminent danger, discussion of clinical and practical consequences, reasonable notice, and continuity or referral options. Nonpayment alone does not authorize abrupt abandonment.</w:t>
      </w:r>
    </w:p>
    <w:p>
      <w:pPr>
        <w:pStyle w:val="Heading2"/>
      </w:pPr>
      <w:r>
        <w:t>CTA Exam Strategy</w:t>
      </w:r>
    </w:p>
    <w:p>
      <w:r>
        <w:t>For nonpayment termination, look for clear terms, no imminent danger, discussion, reasonable notice, and continuity—not abandonment or public pressure.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Ethical termination for nonpayment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NONPAYMENT-TERMINATION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1.13(c) and 1.15</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18 - Controlled Rationale</w:t>
      </w:r>
    </w:p>
    <w:p>
      <w:r>
        <w:rPr>
          <w:b/>
        </w:rPr>
        <w:t xml:space="preserve">Item ID: </w:t>
      </w:r>
      <w:r>
        <w:t>CTA-EP-002-CUM-B-018</w:t>
      </w:r>
    </w:p>
    <w:p>
      <w:r>
        <w:rPr>
          <w:b/>
        </w:rPr>
        <w:t xml:space="preserve">Stem: </w:t>
      </w:r>
      <w:r>
        <w:t>A former psychotherapy client contacts the LCSW 25 months after termination and proposes a sexual relationship. What should the LCSW do FIRST?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Recognize that the two-year California disciplinary prohibition is not an ethical permission point; evaluate enduring power and harm concerns under the NASW standard and decline the relationship when client welfare may be affected.</w:t>
            </w:r>
          </w:p>
        </w:tc>
        <w:tc>
          <w:tcPr>
            <w:tcW w:type="dxa" w:w="3485"/>
            <w:shd w:fill="EAF7F7"/>
            <w:vAlign w:val="center"/>
            <w:tcMar>
              <w:top w:w="55" w:type="dxa"/>
              <w:start w:w="65" w:type="dxa"/>
              <w:bottom w:w="55" w:type="dxa"/>
              <w:end w:w="65" w:type="dxa"/>
            </w:tcMar>
          </w:tcPr>
          <w:p>
            <w:pPr>
              <w:spacing w:after="0"/>
            </w:pPr>
            <w:r>
              <w:rPr>
                <w:sz w:val="16"/>
              </w:rPr>
              <w:t>Correct. This answer distinguishes the legal minimum period from the continuing ethical prohibition and harm analysis.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Accept because the California two-year period has ended and no ethical analysis remains.</w:t>
            </w:r>
          </w:p>
        </w:tc>
        <w:tc>
          <w:tcPr>
            <w:tcW w:type="dxa" w:w="3485"/>
            <w:vAlign w:val="center"/>
            <w:tcMar>
              <w:top w:w="55" w:type="dxa"/>
              <w:start w:w="65" w:type="dxa"/>
              <w:bottom w:w="55" w:type="dxa"/>
              <w:end w:w="65" w:type="dxa"/>
            </w:tcMar>
          </w:tcPr>
          <w:p>
            <w:pPr>
              <w:spacing w:after="0"/>
            </w:pPr>
            <w:r>
              <w:rPr>
                <w:sz w:val="16"/>
              </w:rPr>
              <w:t>Incorrect. The expiration of a legal period does not erase ethical power, exploitation, or client-welfare concerns.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the former client to sign a waiver stating that therapy no longer affects the relationship.</w:t>
            </w:r>
          </w:p>
        </w:tc>
        <w:tc>
          <w:tcPr>
            <w:tcW w:type="dxa" w:w="3485"/>
            <w:vAlign w:val="center"/>
            <w:tcMar>
              <w:top w:w="55" w:type="dxa"/>
              <w:start w:w="65" w:type="dxa"/>
              <w:bottom w:w="55" w:type="dxa"/>
              <w:end w:w="65" w:type="dxa"/>
            </w:tcMar>
          </w:tcPr>
          <w:p>
            <w:pPr>
              <w:spacing w:after="0"/>
            </w:pPr>
            <w:r>
              <w:rPr>
                <w:sz w:val="16"/>
              </w:rPr>
              <w:t>Incorrect. A waiver cannot neutralize the influence created by psychotherapy.</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Resume one session of therapy and then begin the relationship after a new termination date.</w:t>
            </w:r>
          </w:p>
        </w:tc>
        <w:tc>
          <w:tcPr>
            <w:tcW w:type="dxa" w:w="3485"/>
            <w:vAlign w:val="center"/>
            <w:tcMar>
              <w:top w:w="55" w:type="dxa"/>
              <w:start w:w="65" w:type="dxa"/>
              <w:bottom w:w="55" w:type="dxa"/>
              <w:end w:w="65" w:type="dxa"/>
            </w:tcMar>
          </w:tcPr>
          <w:p>
            <w:pPr>
              <w:spacing w:after="0"/>
            </w:pPr>
            <w:r>
              <w:rPr>
                <w:sz w:val="16"/>
              </w:rPr>
              <w:t>Incorrect. Briefly resuming treatment and resetting termination does not cure exploitation or ethical concerns.</w:t>
            </w:r>
          </w:p>
        </w:tc>
      </w:tr>
    </w:tbl>
    <w:p>
      <w:pPr>
        <w:pStyle w:val="Heading2"/>
      </w:pPr>
      <w:r>
        <w:t>Why the Key Controls</w:t>
      </w:r>
    </w:p>
    <w:p>
      <w:r>
        <w:t>The end of California’s two-year disciplinary prohibition is not an ethical permission point. The LCSW must still evaluate the enduring power imbalance, exploitation risk, and potential harm under the stricter ethical standard and decline when client welfare may be affected.</w:t>
      </w:r>
    </w:p>
    <w:p>
      <w:pPr>
        <w:pStyle w:val="Heading2"/>
      </w:pPr>
      <w:r>
        <w:t>CTA Exam Strategy</w:t>
      </w:r>
    </w:p>
    <w:p>
      <w:r>
        <w:t>When law and ethics differ, satisfy the stricter client-protective standard rather than treating a legal minimum as permission.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Former-client sexual relationship: law and ethics are not identical</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Foundational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FORMER-CLIENT-SEXUAL-RELATIONSHIP</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4992.3(l); NASW Code 1.09(c) and 1.06</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19 - Controlled Rationale</w:t>
      </w:r>
    </w:p>
    <w:p>
      <w:r>
        <w:rPr>
          <w:b/>
        </w:rPr>
        <w:t xml:space="preserve">Item ID: </w:t>
      </w:r>
      <w:r>
        <w:t>CTA-EP-002-CUM-B-019</w:t>
      </w:r>
    </w:p>
    <w:p>
      <w:r>
        <w:rPr>
          <w:b/>
        </w:rPr>
        <w:t xml:space="preserve">Stem: </w:t>
      </w:r>
      <w:r>
        <w:t>When initiating telehealth with a California client, what emergency-planning action must the LCSW document?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 guarantee that emergency services will respond within a specified number of minutes.</w:t>
            </w:r>
          </w:p>
        </w:tc>
        <w:tc>
          <w:tcPr>
            <w:tcW w:type="dxa" w:w="3485"/>
            <w:vAlign w:val="center"/>
            <w:tcMar>
              <w:top w:w="55" w:type="dxa"/>
              <w:start w:w="65" w:type="dxa"/>
              <w:bottom w:w="55" w:type="dxa"/>
              <w:end w:w="65" w:type="dxa"/>
            </w:tcMar>
          </w:tcPr>
          <w:p>
            <w:pPr>
              <w:spacing w:after="0"/>
            </w:pPr>
            <w:r>
              <w:rPr>
                <w:sz w:val="16"/>
              </w:rPr>
              <w:t>Incorrect. The clinician cannot guarantee how quickly an outside emergency service will respond.</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The client’s agreement that emergency resources will never be contacted.</w:t>
            </w:r>
          </w:p>
        </w:tc>
        <w:tc>
          <w:tcPr>
            <w:tcW w:type="dxa" w:w="3485"/>
            <w:vAlign w:val="center"/>
            <w:tcMar>
              <w:top w:w="55" w:type="dxa"/>
              <w:start w:w="65" w:type="dxa"/>
              <w:bottom w:w="55" w:type="dxa"/>
              <w:end w:w="65" w:type="dxa"/>
            </w:tcMar>
          </w:tcPr>
          <w:p>
            <w:pPr>
              <w:spacing w:after="0"/>
            </w:pPr>
            <w:r>
              <w:rPr>
                <w:sz w:val="16"/>
              </w:rPr>
              <w:t>Incorrect. A client agreement cannot eliminate the need for lawful emergency planning and protective action.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Reasonable efforts to identify contact information for relevant emergency resources in the client’s geographic area.</w:t>
            </w:r>
          </w:p>
        </w:tc>
        <w:tc>
          <w:tcPr>
            <w:tcW w:type="dxa" w:w="3485"/>
            <w:shd w:fill="EAF7F7"/>
            <w:vAlign w:val="center"/>
            <w:tcMar>
              <w:top w:w="55" w:type="dxa"/>
              <w:start w:w="65" w:type="dxa"/>
              <w:bottom w:w="55" w:type="dxa"/>
              <w:end w:w="65" w:type="dxa"/>
            </w:tcMar>
          </w:tcPr>
          <w:p>
            <w:pPr>
              <w:spacing w:after="0"/>
            </w:pPr>
            <w:r>
              <w:rPr>
                <w:sz w:val="16"/>
              </w:rPr>
              <w:t>Correct. This is the required geographic emergency-resource planning and documentation step.</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 copy of every hospital policy in the county where the clinician is located.</w:t>
            </w:r>
          </w:p>
        </w:tc>
        <w:tc>
          <w:tcPr>
            <w:tcW w:type="dxa" w:w="3485"/>
            <w:vAlign w:val="center"/>
            <w:tcMar>
              <w:top w:w="55" w:type="dxa"/>
              <w:start w:w="65" w:type="dxa"/>
              <w:bottom w:w="55" w:type="dxa"/>
              <w:end w:w="65" w:type="dxa"/>
            </w:tcMar>
          </w:tcPr>
          <w:p>
            <w:pPr>
              <w:spacing w:after="0"/>
            </w:pPr>
            <w:r>
              <w:rPr>
                <w:sz w:val="16"/>
              </w:rPr>
              <w:t>Incorrect. The requirement concerns relevant local contact information, not every hospital policy in the clinician’s county.</w:t>
            </w:r>
          </w:p>
        </w:tc>
      </w:tr>
    </w:tbl>
    <w:p>
      <w:pPr>
        <w:pStyle w:val="Heading2"/>
      </w:pPr>
      <w:r>
        <w:t>Why the Key Controls</w:t>
      </w:r>
    </w:p>
    <w:p>
      <w:r>
        <w:t>At telehealth initiation, the LCSW must document reasonable efforts to identify relevant emergency resources in the client’s geographic area. The clinician cannot guarantee response times or require the client to waive emergency contact.</w:t>
      </w:r>
    </w:p>
    <w:p>
      <w:pPr>
        <w:pStyle w:val="Heading2"/>
      </w:pPr>
      <w:r>
        <w:t>CTA Exam Strategy</w:t>
      </w:r>
    </w:p>
    <w:p>
      <w:r>
        <w:t>Telehealth initiation questions often test location-specific emergency-resource planning and documentation, not guarantees or waivers.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Telehealth emergency-resource planning at initiation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Foundational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TELEHEALTH-EMERGENCY-RESOURCES</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16 CCR 1815.5(c)(4)</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20 - Controlled Rationale</w:t>
      </w:r>
    </w:p>
    <w:p>
      <w:r>
        <w:rPr>
          <w:b/>
        </w:rPr>
        <w:t xml:space="preserve">Item ID: </w:t>
      </w:r>
      <w:r>
        <w:t>CTA-EP-002-CUM-B-020</w:t>
      </w:r>
    </w:p>
    <w:p>
      <w:r>
        <w:rPr>
          <w:b/>
        </w:rPr>
        <w:t xml:space="preserve">Stem: </w:t>
      </w:r>
      <w:r>
        <w:t>A client asks the LCSW to conduct detailed clinical exchanges through ordinary unencrypted text messages. What is the appropriate response?</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Agree because client preference transfers all privacy responsibility to the client.</w:t>
            </w:r>
          </w:p>
        </w:tc>
        <w:tc>
          <w:tcPr>
            <w:tcW w:type="dxa" w:w="3485"/>
            <w:vAlign w:val="center"/>
            <w:tcMar>
              <w:top w:w="55" w:type="dxa"/>
              <w:start w:w="65" w:type="dxa"/>
              <w:bottom w:w="55" w:type="dxa"/>
              <w:end w:w="65" w:type="dxa"/>
            </w:tcMar>
          </w:tcPr>
          <w:p>
            <w:pPr>
              <w:spacing w:after="0"/>
            </w:pPr>
            <w:r>
              <w:rPr>
                <w:sz w:val="16"/>
              </w:rPr>
              <w:t>Incorrect. Client preference does not transfer the clinician’s privacy, security, competence, and documentation responsibilities.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Explain the privacy, security, availability, and emergency-response limits; offer safer alternatives; obtain informed agreement consistent with applicable law and policy; and minimize sensitive content.</w:t>
            </w:r>
          </w:p>
        </w:tc>
        <w:tc>
          <w:tcPr>
            <w:tcW w:type="dxa" w:w="3485"/>
            <w:shd w:fill="EAF7F7"/>
            <w:vAlign w:val="center"/>
            <w:tcMar>
              <w:top w:w="55" w:type="dxa"/>
              <w:start w:w="65" w:type="dxa"/>
              <w:bottom w:w="55" w:type="dxa"/>
              <w:end w:w="65" w:type="dxa"/>
            </w:tcMar>
          </w:tcPr>
          <w:p>
            <w:pPr>
              <w:spacing w:after="0"/>
            </w:pPr>
            <w:r>
              <w:rPr>
                <w:sz w:val="16"/>
              </w:rPr>
              <w:t>Correct. This response supports informed choice while reducing privacy and emergency-response risk.</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Send detailed information first and discuss the risks at the next appointment.</w:t>
            </w:r>
          </w:p>
        </w:tc>
        <w:tc>
          <w:tcPr>
            <w:tcW w:type="dxa" w:w="3485"/>
            <w:vAlign w:val="center"/>
            <w:tcMar>
              <w:top w:w="55" w:type="dxa"/>
              <w:start w:w="65" w:type="dxa"/>
              <w:bottom w:w="55" w:type="dxa"/>
              <w:end w:w="65" w:type="dxa"/>
            </w:tcMar>
          </w:tcPr>
          <w:p>
            <w:pPr>
              <w:spacing w:after="0"/>
            </w:pPr>
            <w:r>
              <w:rPr>
                <w:sz w:val="16"/>
              </w:rPr>
              <w:t>Incorrect. Risks and alternatives should be discussed before sensitive information is sent.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Refuse every electronic communication, including scheduling, because ethics prohibits all texting.</w:t>
            </w:r>
          </w:p>
        </w:tc>
        <w:tc>
          <w:tcPr>
            <w:tcW w:type="dxa" w:w="3485"/>
            <w:vAlign w:val="center"/>
            <w:tcMar>
              <w:top w:w="55" w:type="dxa"/>
              <w:start w:w="65" w:type="dxa"/>
              <w:bottom w:w="55" w:type="dxa"/>
              <w:end w:w="65" w:type="dxa"/>
            </w:tcMar>
          </w:tcPr>
          <w:p>
            <w:pPr>
              <w:spacing w:after="0"/>
            </w:pPr>
            <w:r>
              <w:rPr>
                <w:sz w:val="16"/>
              </w:rPr>
              <w:t>Incorrect. Ethics does not prohibit every electronic communication; the method and content must be managed appropriately.</w:t>
            </w:r>
          </w:p>
        </w:tc>
      </w:tr>
    </w:tbl>
    <w:p>
      <w:pPr>
        <w:pStyle w:val="Heading2"/>
      </w:pPr>
      <w:r>
        <w:t>Why the Key Controls</w:t>
      </w:r>
    </w:p>
    <w:p>
      <w:r>
        <w:t>Detailed clinical texting requires an informed discussion of privacy, security, availability, documentation, and emergency-response limits. The LCSW should offer safer alternatives, follow applicable law and policy, and minimize sensitive content rather than transfer all risk to the client.</w:t>
      </w:r>
    </w:p>
    <w:p>
      <w:pPr>
        <w:pStyle w:val="Heading2"/>
      </w:pPr>
      <w:r>
        <w:t>CTA Exam Strategy</w:t>
      </w:r>
    </w:p>
    <w:p>
      <w:r>
        <w:t>Electronic-communication questions call for informed limits, safer alternatives, minimum sensitive content, and clear emergency expectations.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Risks and limits of clinical text messaging</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CLINICAL-TEXTING</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1.03(e), 1.04, and 1.07(m); applicable CMIA and HIPAA requirements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21 - Controlled Rationale</w:t>
      </w:r>
    </w:p>
    <w:p>
      <w:r>
        <w:rPr>
          <w:b/>
        </w:rPr>
        <w:t xml:space="preserve">Item ID: </w:t>
      </w:r>
      <w:r>
        <w:t>CTA-EP-002-CUM-B-021</w:t>
      </w:r>
    </w:p>
    <w:p>
      <w:r>
        <w:rPr>
          <w:b/>
        </w:rPr>
        <w:t xml:space="preserve">Stem: </w:t>
      </w:r>
      <w:r>
        <w:t>During a telehealth session, an LCSW realizes that a voice-activated smart speaker in the office has been recording and uploading parts of the session to a linked consumer account.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r>
              <w:t>Stop and secure the recording function, preserve the known facts, notify appropriate privacy or compliance personnel, assess access and notification duties, document the response, and prevent recurrence.</w:t>
            </w:r>
          </w:p>
        </w:tc>
        <w:tc>
          <w:tcPr>
            <w:tcW w:type="dxa" w:w="3485"/>
            <w:shd w:fill="EAF7F7"/>
            <w:vAlign w:val="center"/>
            <w:tcMar>
              <w:top w:w="55" w:type="dxa"/>
              <w:start w:w="65" w:type="dxa"/>
              <w:bottom w:w="55" w:type="dxa"/>
              <w:end w:w="65" w:type="dxa"/>
            </w:tcMar>
          </w:tcPr>
          <w:p>
            <w:r>
              <w:t>Correct. This choice contains the active recording, preserves reliable incident facts, triggers appropriate privacy review, addresses possible notification duties, and reduces recurrence risk.</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r>
              <w:t>Continue the session because the client consented to telehealth generally.</w:t>
            </w:r>
          </w:p>
        </w:tc>
        <w:tc>
          <w:tcPr>
            <w:tcW w:type="dxa" w:w="3485"/>
            <w:vAlign w:val="center"/>
            <w:tcMar>
              <w:top w:w="55" w:type="dxa"/>
              <w:start w:w="65" w:type="dxa"/>
              <w:bottom w:w="55" w:type="dxa"/>
              <w:end w:w="65" w:type="dxa"/>
            </w:tcMar>
          </w:tcPr>
          <w:p>
            <w:r>
              <w:t>Incorrect. General telehealth consent does not authorize an undisclosed consumer device to record or upload psychotherapy content.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r>
              <w:t>Delete the consumer application and omit the event from records if no one confirms listening.</w:t>
            </w:r>
          </w:p>
        </w:tc>
        <w:tc>
          <w:tcPr>
            <w:tcW w:type="dxa" w:w="3485"/>
            <w:vAlign w:val="center"/>
            <w:tcMar>
              <w:top w:w="55" w:type="dxa"/>
              <w:start w:w="65" w:type="dxa"/>
              <w:bottom w:w="55" w:type="dxa"/>
              <w:end w:w="65" w:type="dxa"/>
            </w:tcMar>
          </w:tcPr>
          <w:p>
            <w:r>
              <w:t>Incorrect. Deleting an application and omitting the event can destroy evidence, prevent required review, and undermine accurate documentation.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r>
              <w:t>Ask the client to waive any privacy concern so the device may remain active.</w:t>
            </w:r>
          </w:p>
        </w:tc>
        <w:tc>
          <w:tcPr>
            <w:tcW w:type="dxa" w:w="3485"/>
            <w:vAlign w:val="center"/>
            <w:tcMar>
              <w:top w:w="55" w:type="dxa"/>
              <w:start w:w="65" w:type="dxa"/>
              <w:bottom w:w="55" w:type="dxa"/>
              <w:end w:w="65" w:type="dxa"/>
            </w:tcMar>
          </w:tcPr>
          <w:p>
            <w:r>
              <w:t>Incorrect. A retroactive waiver does not cure an unauthorized recording or remove the clinician’s incident-response responsibilities.</w:t>
            </w:r>
          </w:p>
        </w:tc>
      </w:tr>
    </w:tbl>
    <w:p>
      <w:pPr>
        <w:pStyle w:val="Heading2"/>
      </w:pPr>
      <w:r>
        <w:t>Why the Key Controls</w:t>
      </w:r>
    </w:p>
    <w:p>
      <w:r>
        <w:t>An unexpected smart-device recording and upload is a privacy incident. The LCSW should contain the exposure, preserve the facts, involve the appropriate privacy or compliance process, assess legal and client-notification duties, document the response, and prevent recurrence.</w:t>
      </w:r>
    </w:p>
    <w:p>
      <w:pPr>
        <w:pStyle w:val="Heading2"/>
      </w:pPr>
      <w:r>
        <w:t>CTA Exam Strategy</w:t>
      </w:r>
    </w:p>
    <w:p>
      <w:r>
        <w:t>For a privacy-incident BEST question, choose the complete sequence: contain, preserve facts, notify the right internal resource, assess duties, document, and repair the system.</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r>
              <w:t>Response to an unintended smart-device recording and upload</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r>
              <w:t>SMART-DEVICE-PRIVACY-INCIDENT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4992.3(k),(w); NASW Code 1.07 and 3.04; applicable California privacy and breach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22 - Controlled Rationale</w:t>
      </w:r>
    </w:p>
    <w:p>
      <w:r>
        <w:rPr>
          <w:b/>
        </w:rPr>
        <w:t xml:space="preserve">Item ID: </w:t>
      </w:r>
      <w:r>
        <w:t>CTA-EP-002-CUM-B-022</w:t>
      </w:r>
    </w:p>
    <w:p>
      <w:r>
        <w:rPr>
          <w:b/>
        </w:rPr>
        <w:t xml:space="preserve">Stem: </w:t>
      </w:r>
      <w:r>
        <w:t>A client reports being denied a community service because of a protected characteristic and asks the LCSW for help. What should the LCSW do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File a public complaint in the client’s name without discussing the risks or the client’s preference.</w:t>
            </w:r>
          </w:p>
        </w:tc>
        <w:tc>
          <w:tcPr>
            <w:tcW w:type="dxa" w:w="3485"/>
            <w:vAlign w:val="center"/>
            <w:tcMar>
              <w:top w:w="55" w:type="dxa"/>
              <w:start w:w="65" w:type="dxa"/>
              <w:bottom w:w="55" w:type="dxa"/>
              <w:end w:w="65" w:type="dxa"/>
            </w:tcMar>
          </w:tcPr>
          <w:p>
            <w:pPr>
              <w:spacing w:after="0"/>
            </w:pPr>
            <w:r>
              <w:rPr>
                <w:sz w:val="16"/>
              </w:rPr>
              <w:t>Incorrect. Filing in the client’s name without discussing goals, risks, and consent overrides self-determination.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Assess the client’s immediate needs and goals, document the reported facts, explain available advocacy or complaint options, and obtain the client’s direction before sharing identifying information.</w:t>
            </w:r>
          </w:p>
        </w:tc>
        <w:tc>
          <w:tcPr>
            <w:tcW w:type="dxa" w:w="3485"/>
            <w:shd w:fill="EAF7F7"/>
            <w:vAlign w:val="center"/>
            <w:tcMar>
              <w:top w:w="55" w:type="dxa"/>
              <w:start w:w="65" w:type="dxa"/>
              <w:bottom w:w="55" w:type="dxa"/>
              <w:end w:w="65" w:type="dxa"/>
            </w:tcMar>
          </w:tcPr>
          <w:p>
            <w:pPr>
              <w:spacing w:after="0"/>
            </w:pPr>
            <w:r>
              <w:rPr>
                <w:sz w:val="16"/>
              </w:rPr>
              <w:t>Correct. This response centers immediate needs, informed advocacy choices, documentation, and confidentiality.</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Tell the client that discrimination is outside the scope of social work.</w:t>
            </w:r>
          </w:p>
        </w:tc>
        <w:tc>
          <w:tcPr>
            <w:tcW w:type="dxa" w:w="3485"/>
            <w:vAlign w:val="center"/>
            <w:tcMar>
              <w:top w:w="55" w:type="dxa"/>
              <w:start w:w="65" w:type="dxa"/>
              <w:bottom w:w="55" w:type="dxa"/>
              <w:end w:w="65" w:type="dxa"/>
            </w:tcMar>
          </w:tcPr>
          <w:p>
            <w:pPr>
              <w:spacing w:after="0"/>
            </w:pPr>
            <w:r>
              <w:rPr>
                <w:sz w:val="16"/>
              </w:rPr>
              <w:t>Incorrect. Addressing discrimination and access is within social-work ethical responsibilities.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Contact the service provider and disclose the full treatment record to prove the client needs assistance.</w:t>
            </w:r>
          </w:p>
        </w:tc>
        <w:tc>
          <w:tcPr>
            <w:tcW w:type="dxa" w:w="3485"/>
            <w:vAlign w:val="center"/>
            <w:tcMar>
              <w:top w:w="55" w:type="dxa"/>
              <w:start w:w="65" w:type="dxa"/>
              <w:bottom w:w="55" w:type="dxa"/>
              <w:end w:w="65" w:type="dxa"/>
            </w:tcMar>
          </w:tcPr>
          <w:p>
            <w:pPr>
              <w:spacing w:after="0"/>
            </w:pPr>
            <w:r>
              <w:rPr>
                <w:sz w:val="16"/>
              </w:rPr>
              <w:t>Incorrect. A full treatment record is not necessary to begin advocacy and would be an excessive disclosure.</w:t>
            </w:r>
          </w:p>
        </w:tc>
      </w:tr>
    </w:tbl>
    <w:p>
      <w:pPr>
        <w:pStyle w:val="Heading2"/>
      </w:pPr>
      <w:r>
        <w:t>Why the Key Controls</w:t>
      </w:r>
    </w:p>
    <w:p>
      <w:r>
        <w:t>Advocacy should begin with the client’s immediate needs, goals, and informed direction. The LCSW may explain options and document reported facts but should not file publicly or disclose identifying treatment information without appropriate client authorization or another lawful basis.</w:t>
      </w:r>
    </w:p>
    <w:p>
      <w:pPr>
        <w:pStyle w:val="Heading2"/>
      </w:pPr>
      <w:r>
        <w:t>CTA Exam Strategy</w:t>
      </w:r>
    </w:p>
    <w:p>
      <w:r>
        <w:t>Client-directed advocacy starts with needs, goals, options, consent, and minimum necessary information.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Client-directed response to reported discrimination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DISCRIMINATION-ADVOCACY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1.02, 1.03, 4.02, and 6.04; applicable California civil-rights protections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23 - Controlled Rationale</w:t>
      </w:r>
    </w:p>
    <w:p>
      <w:r>
        <w:rPr>
          <w:b/>
        </w:rPr>
        <w:t xml:space="preserve">Item ID: </w:t>
      </w:r>
      <w:r>
        <w:t>CTA-EP-002-CUM-B-023</w:t>
      </w:r>
    </w:p>
    <w:p>
      <w:r>
        <w:rPr>
          <w:b/>
        </w:rPr>
        <w:t xml:space="preserve">Stem: </w:t>
      </w:r>
      <w:r>
        <w:t>During a telehealth session with a minor, the clinician notices that a parent has entered the room and is listening off camera.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Pause sensitive discussion, identify who is present, review the consent and confidentiality arrangement, assess privacy and safety, and decide with the minor how to proceed within applicable law.</w:t>
            </w:r>
          </w:p>
        </w:tc>
        <w:tc>
          <w:tcPr>
            <w:tcW w:type="dxa" w:w="3485"/>
            <w:shd w:fill="EAF7F7"/>
            <w:vAlign w:val="center"/>
            <w:tcMar>
              <w:top w:w="55" w:type="dxa"/>
              <w:start w:w="65" w:type="dxa"/>
              <w:bottom w:w="55" w:type="dxa"/>
              <w:end w:w="65" w:type="dxa"/>
            </w:tcMar>
          </w:tcPr>
          <w:p>
            <w:pPr>
              <w:spacing w:after="0"/>
            </w:pPr>
            <w:r>
              <w:rPr>
                <w:sz w:val="16"/>
              </w:rPr>
              <w:t>Correct. This response protects privacy and safety while recognizing that parent participation depends on law and the established arrangement.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Continue because a parent may always listen to every minor session without discussion.</w:t>
            </w:r>
          </w:p>
        </w:tc>
        <w:tc>
          <w:tcPr>
            <w:tcW w:type="dxa" w:w="3485"/>
            <w:vAlign w:val="center"/>
            <w:tcMar>
              <w:top w:w="55" w:type="dxa"/>
              <w:start w:w="65" w:type="dxa"/>
              <w:bottom w:w="55" w:type="dxa"/>
              <w:end w:w="65" w:type="dxa"/>
            </w:tcMar>
          </w:tcPr>
          <w:p>
            <w:pPr>
              <w:spacing w:after="0"/>
            </w:pPr>
            <w:r>
              <w:rPr>
                <w:sz w:val="16"/>
              </w:rPr>
              <w:t>Incorrect. A parent does not automatically have an unrestricted right to listen to every session in every minor-consent circumstance.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End treatment permanently because any interruption makes telehealth unethical.</w:t>
            </w:r>
          </w:p>
        </w:tc>
        <w:tc>
          <w:tcPr>
            <w:tcW w:type="dxa" w:w="3485"/>
            <w:vAlign w:val="center"/>
            <w:tcMar>
              <w:top w:w="55" w:type="dxa"/>
              <w:start w:w="65" w:type="dxa"/>
              <w:bottom w:w="55" w:type="dxa"/>
              <w:end w:w="65" w:type="dxa"/>
            </w:tcMar>
          </w:tcPr>
          <w:p>
            <w:pPr>
              <w:spacing w:after="0"/>
            </w:pPr>
            <w:r>
              <w:rPr>
                <w:sz w:val="16"/>
              </w:rPr>
              <w:t>Incorrect. One interruption does not require permanent termination when privacy can be assessed and repaired.</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minor to conceal the session from the parent at all future appointments.</w:t>
            </w:r>
          </w:p>
        </w:tc>
        <w:tc>
          <w:tcPr>
            <w:tcW w:type="dxa" w:w="3485"/>
            <w:vAlign w:val="center"/>
            <w:tcMar>
              <w:top w:w="55" w:type="dxa"/>
              <w:start w:w="65" w:type="dxa"/>
              <w:bottom w:w="55" w:type="dxa"/>
              <w:end w:w="65" w:type="dxa"/>
            </w:tcMar>
          </w:tcPr>
          <w:p>
            <w:pPr>
              <w:spacing w:after="0"/>
            </w:pPr>
            <w:r>
              <w:rPr>
                <w:sz w:val="16"/>
              </w:rPr>
              <w:t>Incorrect. Encouraging concealment can increase risk and undermines lawful, transparent treatment planning.</w:t>
            </w:r>
          </w:p>
        </w:tc>
      </w:tr>
    </w:tbl>
    <w:p>
      <w:pPr>
        <w:pStyle w:val="Heading2"/>
      </w:pPr>
      <w:r>
        <w:t>Why the Key Controls</w:t>
      </w:r>
    </w:p>
    <w:p>
      <w:r>
        <w:t>When another person enters a minor’s telehealth environment, the clinician should pause sensitive discussion, identify participants, review consent and confidentiality, assess privacy and safety, and decide how to proceed within the minor’s legal rights and the treatment arrangement.</w:t>
      </w:r>
    </w:p>
    <w:p>
      <w:pPr>
        <w:pStyle w:val="Heading2"/>
      </w:pPr>
      <w:r>
        <w:t>CTA Exam Strategy</w:t>
      </w:r>
    </w:p>
    <w:p>
      <w:r>
        <w:t>When an unseen participant appears, pause, identify, review the arrangement, and assess privacy and safety before continuing sensitive work.</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Privacy and participant identity during telehealth with a minor</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TELEHEALTH-PARTICIPANT-IDENTITY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16 CCR 1815.5(d); NASW Code 1.03 and 1.07</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24 - Controlled Rationale</w:t>
      </w:r>
    </w:p>
    <w:p>
      <w:r>
        <w:rPr>
          <w:b/>
        </w:rPr>
        <w:t xml:space="preserve">Item ID: </w:t>
      </w:r>
      <w:r>
        <w:t>CTA-EP-002-CUM-B-024</w:t>
      </w:r>
    </w:p>
    <w:p>
      <w:r>
        <w:rPr>
          <w:b/>
        </w:rPr>
        <w:t xml:space="preserve">Stem: </w:t>
      </w:r>
      <w:r>
        <w:t>Which supervisory arrangement presents the clearest legal barrier to crediting an ASW’s experience?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The supervisor is the ASW’s spouse or relative by blood or marriage, or has a personal, professional, or business relationship that undermines supervisory authority or effectiveness.</w:t>
            </w:r>
          </w:p>
        </w:tc>
        <w:tc>
          <w:tcPr>
            <w:tcW w:type="dxa" w:w="3485"/>
            <w:shd w:fill="EAF7F7"/>
            <w:vAlign w:val="center"/>
            <w:tcMar>
              <w:top w:w="55" w:type="dxa"/>
              <w:start w:w="65" w:type="dxa"/>
              <w:bottom w:w="55" w:type="dxa"/>
              <w:end w:w="65" w:type="dxa"/>
            </w:tcMar>
          </w:tcPr>
          <w:p>
            <w:pPr>
              <w:spacing w:after="0"/>
            </w:pPr>
            <w:r>
              <w:rPr>
                <w:sz w:val="16"/>
              </w:rPr>
              <w:t>Correct. This choice states the prohibited or disqualifying relationship rule that can invalidate the supervision arrangement.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The supervisor and ASW work in different departments of the same large organization.</w:t>
            </w:r>
          </w:p>
        </w:tc>
        <w:tc>
          <w:tcPr>
            <w:tcW w:type="dxa" w:w="3485"/>
            <w:vAlign w:val="center"/>
            <w:tcMar>
              <w:top w:w="55" w:type="dxa"/>
              <w:start w:w="65" w:type="dxa"/>
              <w:bottom w:w="55" w:type="dxa"/>
              <w:end w:w="65" w:type="dxa"/>
            </w:tcMar>
          </w:tcPr>
          <w:p>
            <w:pPr>
              <w:spacing w:after="0"/>
            </w:pPr>
            <w:r>
              <w:rPr>
                <w:sz w:val="16"/>
              </w:rPr>
              <w:t>Incorrect. Working in different departments of one organization is not itself a legal disqualification.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The supervisor uses both individual and group supervision during the same month.</w:t>
            </w:r>
          </w:p>
        </w:tc>
        <w:tc>
          <w:tcPr>
            <w:tcW w:type="dxa" w:w="3485"/>
            <w:vAlign w:val="center"/>
            <w:tcMar>
              <w:top w:w="55" w:type="dxa"/>
              <w:start w:w="65" w:type="dxa"/>
              <w:bottom w:w="55" w:type="dxa"/>
              <w:end w:w="65" w:type="dxa"/>
            </w:tcMar>
          </w:tcPr>
          <w:p>
            <w:pPr>
              <w:spacing w:after="0"/>
            </w:pPr>
            <w:r>
              <w:rPr>
                <w:sz w:val="16"/>
              </w:rPr>
              <w:t>Incorrect. Using individual and group supervision in the same month can be lawful when all requirements are met.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The supervisor consults another qualified clinician about a complex case.</w:t>
            </w:r>
          </w:p>
        </w:tc>
        <w:tc>
          <w:tcPr>
            <w:tcW w:type="dxa" w:w="3485"/>
            <w:vAlign w:val="center"/>
            <w:tcMar>
              <w:top w:w="55" w:type="dxa"/>
              <w:start w:w="65" w:type="dxa"/>
              <w:bottom w:w="55" w:type="dxa"/>
              <w:end w:w="65" w:type="dxa"/>
            </w:tcMar>
          </w:tcPr>
          <w:p>
            <w:pPr>
              <w:spacing w:after="0"/>
            </w:pPr>
            <w:r>
              <w:rPr>
                <w:sz w:val="16"/>
              </w:rPr>
              <w:t>Incorrect. Appropriate consultation can support competent supervision and is not a disqualifying relationship.</w:t>
            </w:r>
          </w:p>
        </w:tc>
      </w:tr>
    </w:tbl>
    <w:p>
      <w:pPr>
        <w:pStyle w:val="Heading2"/>
      </w:pPr>
      <w:r>
        <w:t>Why the Key Controls</w:t>
      </w:r>
    </w:p>
    <w:p>
      <w:r>
        <w:t>A spouse, relative, or relationship that undermines supervisory authority or effectiveness is a clear legal barrier to qualifying ASW supervision. Ordinary organizational separation, mixed formats, and consultation do not automatically disqualify a supervisor.</w:t>
      </w:r>
    </w:p>
    <w:p>
      <w:pPr>
        <w:pStyle w:val="Heading2"/>
      </w:pPr>
      <w:r>
        <w:t>CTA Exam Strategy</w:t>
      </w:r>
    </w:p>
    <w:p>
      <w:r>
        <w:t>Supervisor-qualification questions test license, experience, training, competence, and relationship integrity—not routine organizational facts.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Disqualifying supervisory relationships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Foundational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WB3 - Professional Competence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DISQUALIFYING-SUPERVISION-RELATIONSHIP</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4996.23.2(e); NASW Code 3.01</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25 - Controlled Rationale</w:t>
      </w:r>
    </w:p>
    <w:p>
      <w:r>
        <w:rPr>
          <w:b/>
        </w:rPr>
        <w:t xml:space="preserve">Item ID: </w:t>
      </w:r>
      <w:r>
        <w:t>CTA-EP-002-CUM-B-025</w:t>
      </w:r>
    </w:p>
    <w:p>
      <w:r>
        <w:rPr>
          <w:b/>
        </w:rPr>
        <w:t xml:space="preserve">Stem: </w:t>
      </w:r>
      <w:r>
        <w:t>Which action is most clearly inconsistent with California professional-conduct rules governing tests and licensing examinations?</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Teaching general legal and ethical concepts using original practice questions.</w:t>
            </w:r>
          </w:p>
        </w:tc>
        <w:tc>
          <w:tcPr>
            <w:tcW w:type="dxa" w:w="3485"/>
            <w:vAlign w:val="center"/>
            <w:tcMar>
              <w:top w:w="55" w:type="dxa"/>
              <w:start w:w="65" w:type="dxa"/>
              <w:bottom w:w="55" w:type="dxa"/>
              <w:end w:w="65" w:type="dxa"/>
            </w:tcMar>
          </w:tcPr>
          <w:p>
            <w:pPr>
              <w:spacing w:after="0"/>
            </w:pPr>
            <w:r>
              <w:rPr>
                <w:sz w:val="16"/>
              </w:rPr>
              <w:t>Incorrect. Original practice questions that teach public legal and ethical concepts do not compromise a protected examination.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Publishing recalled licensing-examination questions or protected assessment items in a public study group in a way that compromises test security or validity.</w:t>
            </w:r>
          </w:p>
        </w:tc>
        <w:tc>
          <w:tcPr>
            <w:tcW w:type="dxa" w:w="3485"/>
            <w:shd w:fill="EAF7F7"/>
            <w:vAlign w:val="center"/>
            <w:tcMar>
              <w:top w:w="55" w:type="dxa"/>
              <w:start w:w="65" w:type="dxa"/>
              <w:bottom w:w="55" w:type="dxa"/>
              <w:end w:w="65" w:type="dxa"/>
            </w:tcMar>
          </w:tcPr>
          <w:p>
            <w:pPr>
              <w:spacing w:after="0"/>
            </w:pPr>
            <w:r>
              <w:rPr>
                <w:sz w:val="16"/>
              </w:rPr>
              <w:t>Correct. Public dissemination of recalled or protected items threatens test security and validity.</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Discussing publicly available BBS candidate-handbook instructions.</w:t>
            </w:r>
          </w:p>
        </w:tc>
        <w:tc>
          <w:tcPr>
            <w:tcW w:type="dxa" w:w="3485"/>
            <w:vAlign w:val="center"/>
            <w:tcMar>
              <w:top w:w="55" w:type="dxa"/>
              <w:start w:w="65" w:type="dxa"/>
              <w:bottom w:w="55" w:type="dxa"/>
              <w:end w:w="65" w:type="dxa"/>
            </w:tcMar>
          </w:tcPr>
          <w:p>
            <w:pPr>
              <w:spacing w:after="0"/>
            </w:pPr>
            <w:r>
              <w:rPr>
                <w:sz w:val="16"/>
              </w:rPr>
              <w:t>Incorrect. Publicly available candidate-handbook instructions may be discussed accurately.</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Explaining why an original hypothetical has one best answer.</w:t>
            </w:r>
          </w:p>
        </w:tc>
        <w:tc>
          <w:tcPr>
            <w:tcW w:type="dxa" w:w="3485"/>
            <w:vAlign w:val="center"/>
            <w:tcMar>
              <w:top w:w="55" w:type="dxa"/>
              <w:start w:w="65" w:type="dxa"/>
              <w:bottom w:w="55" w:type="dxa"/>
              <w:end w:w="65" w:type="dxa"/>
            </w:tcMar>
          </w:tcPr>
          <w:p>
            <w:pPr>
              <w:spacing w:after="0"/>
            </w:pPr>
            <w:r>
              <w:rPr>
                <w:sz w:val="16"/>
              </w:rPr>
              <w:t>Incorrect. Explaining the reasoning in an original hypothetical is legitimate education.</w:t>
            </w:r>
          </w:p>
        </w:tc>
      </w:tr>
    </w:tbl>
    <w:p>
      <w:pPr>
        <w:pStyle w:val="Heading2"/>
      </w:pPr>
      <w:r>
        <w:t>Why the Key Controls</w:t>
      </w:r>
    </w:p>
    <w:p>
      <w:r>
        <w:t>Publishing recalled licensing-examination questions or protected assessment items compromises security and validity and is inconsistent with professional-conduct rules. Teaching concepts with original items and discussing public candidate information are permissible educational activities.</w:t>
      </w:r>
    </w:p>
    <w:p>
      <w:pPr>
        <w:pStyle w:val="Heading2"/>
      </w:pPr>
      <w:r>
        <w:t>CTA Exam Strategy</w:t>
      </w:r>
    </w:p>
    <w:p>
      <w:r>
        <w:t>Distinguish original education and public information from recalled or protected examination content.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Protecting examination and assessment security</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Foundational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EXAM-SECURITY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4992.3(r),(ac); 16 CCR 1877.1</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26 - Controlled Rationale</w:t>
      </w:r>
    </w:p>
    <w:p>
      <w:r>
        <w:rPr>
          <w:b/>
        </w:rPr>
        <w:t xml:space="preserve">Item ID: </w:t>
      </w:r>
      <w:r>
        <w:t>CTA-EP-002-CUM-B-026</w:t>
      </w:r>
    </w:p>
    <w:p>
      <w:r>
        <w:rPr>
          <w:b/>
        </w:rPr>
        <w:t xml:space="preserve">Stem: </w:t>
      </w:r>
      <w:r>
        <w:t>An LCSW reviews a colleague’s note that describes a client as “lazy and attention-seeking” without supporting observations. What should the LCSW do?</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Leave the note unchanged because clinicians may document any private impression.</w:t>
            </w:r>
          </w:p>
        </w:tc>
        <w:tc>
          <w:tcPr>
            <w:tcW w:type="dxa" w:w="3485"/>
            <w:vAlign w:val="center"/>
            <w:tcMar>
              <w:top w:w="55" w:type="dxa"/>
              <w:start w:w="65" w:type="dxa"/>
              <w:bottom w:w="55" w:type="dxa"/>
              <w:end w:w="65" w:type="dxa"/>
            </w:tcMar>
          </w:tcPr>
          <w:p>
            <w:pPr>
              <w:spacing w:after="0"/>
            </w:pPr>
            <w:r>
              <w:rPr>
                <w:sz w:val="16"/>
              </w:rPr>
              <w:t>Incorrect. Private impressions in a clinical record still must be relevant, factual, respectful, and professionally supportable.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Delete the note secretly so the original author cannot be identified.</w:t>
            </w:r>
          </w:p>
        </w:tc>
        <w:tc>
          <w:tcPr>
            <w:tcW w:type="dxa" w:w="3485"/>
            <w:vAlign w:val="center"/>
            <w:tcMar>
              <w:top w:w="55" w:type="dxa"/>
              <w:start w:w="65" w:type="dxa"/>
              <w:bottom w:w="55" w:type="dxa"/>
              <w:end w:w="65" w:type="dxa"/>
            </w:tcMar>
          </w:tcPr>
          <w:p>
            <w:pPr>
              <w:spacing w:after="0"/>
            </w:pPr>
            <w:r>
              <w:rPr>
                <w:sz w:val="16"/>
              </w:rPr>
              <w:t>Incorrect. Secret deletion compromises record integrity and accountability.</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Add a diagnosis solely to make the language sound more clinical.</w:t>
            </w:r>
          </w:p>
        </w:tc>
        <w:tc>
          <w:tcPr>
            <w:tcW w:type="dxa" w:w="3485"/>
            <w:vAlign w:val="center"/>
            <w:tcMar>
              <w:top w:w="55" w:type="dxa"/>
              <w:start w:w="65" w:type="dxa"/>
              <w:bottom w:w="55" w:type="dxa"/>
              <w:end w:w="65" w:type="dxa"/>
            </w:tcMar>
          </w:tcPr>
          <w:p>
            <w:pPr>
              <w:spacing w:after="0"/>
            </w:pPr>
            <w:r>
              <w:rPr>
                <w:sz w:val="16"/>
              </w:rPr>
              <w:t>Incorrect. Adding an unsupported diagnosis does not make stigmatizing language clinically valid.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Address the derogatory and unsupported language, encourage an accurate factual correction or addendum, and use appropriate supervisory or organizational channels if the problem continues.</w:t>
            </w:r>
          </w:p>
        </w:tc>
        <w:tc>
          <w:tcPr>
            <w:tcW w:type="dxa" w:w="3485"/>
            <w:shd w:fill="EAF7F7"/>
            <w:vAlign w:val="center"/>
            <w:tcMar>
              <w:top w:w="55" w:type="dxa"/>
              <w:start w:w="65" w:type="dxa"/>
              <w:bottom w:w="55" w:type="dxa"/>
              <w:end w:w="65" w:type="dxa"/>
            </w:tcMar>
          </w:tcPr>
          <w:p>
            <w:pPr>
              <w:spacing w:after="0"/>
            </w:pPr>
            <w:r>
              <w:rPr>
                <w:sz w:val="16"/>
              </w:rPr>
              <w:t>Correct. This response repairs the record transparently and addresses the professional conduct problem.</w:t>
            </w:r>
          </w:p>
        </w:tc>
      </w:tr>
    </w:tbl>
    <w:p>
      <w:pPr>
        <w:pStyle w:val="Heading2"/>
      </w:pPr>
      <w:r>
        <w:t>Why the Key Controls</w:t>
      </w:r>
    </w:p>
    <w:p>
      <w:r>
        <w:t>Derogatory and unsupported language should be corrected through an accurate addendum or other transparent record process and addressed through supervision or organizational channels when needed. The original record should not be secretly deleted or disguised with a diagnosis.</w:t>
      </w:r>
    </w:p>
    <w:p>
      <w:pPr>
        <w:pStyle w:val="Heading2"/>
      </w:pPr>
      <w:r>
        <w:t>CTA Exam Strategy</w:t>
      </w:r>
    </w:p>
    <w:p>
      <w:r>
        <w:t>Record-language questions favor factual correction, transparent addenda, and appropriate supervision—not secret deletion or diagnostic camouflage.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Respectful and accurate language in client records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WB7 - Cultural Humility, Bias, and Diverse Populations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DEROGATORY-RECORD-LANGUAGE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1.12, 3.04, and 4.02; BPC 4992.3(w)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27 - Controlled Rationale</w:t>
      </w:r>
    </w:p>
    <w:p>
      <w:r>
        <w:rPr>
          <w:b/>
        </w:rPr>
        <w:t xml:space="preserve">Item ID: </w:t>
      </w:r>
      <w:r>
        <w:t>CTA-EP-002-CUM-B-027</w:t>
      </w:r>
    </w:p>
    <w:p>
      <w:r>
        <w:rPr>
          <w:b/>
        </w:rPr>
        <w:t xml:space="preserve">Stem: </w:t>
      </w:r>
      <w:r>
        <w:t>An LCSW wants to activate a new artificial-intelligence transcription tool during sessions. What should occur FIRST?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Begin using the tool secretly so clients are not influenced by the technology.</w:t>
            </w:r>
          </w:p>
        </w:tc>
        <w:tc>
          <w:tcPr>
            <w:tcW w:type="dxa" w:w="3485"/>
            <w:vAlign w:val="center"/>
            <w:tcMar>
              <w:top w:w="55" w:type="dxa"/>
              <w:start w:w="65" w:type="dxa"/>
              <w:bottom w:w="55" w:type="dxa"/>
              <w:end w:w="65" w:type="dxa"/>
            </w:tcMar>
          </w:tcPr>
          <w:p>
            <w:pPr>
              <w:spacing w:after="0"/>
            </w:pPr>
            <w:r>
              <w:rPr>
                <w:sz w:val="16"/>
              </w:rPr>
              <w:t>Incorrect. Secret use prevents informed participation and obscures privacy and documentation risks.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Rely on the vendor’s advertising as proof that the tool is legally compliant and clinically accurate.</w:t>
            </w:r>
          </w:p>
        </w:tc>
        <w:tc>
          <w:tcPr>
            <w:tcW w:type="dxa" w:w="3485"/>
            <w:vAlign w:val="center"/>
            <w:tcMar>
              <w:top w:w="55" w:type="dxa"/>
              <w:start w:w="65" w:type="dxa"/>
              <w:bottom w:w="55" w:type="dxa"/>
              <w:end w:w="65" w:type="dxa"/>
            </w:tcMar>
          </w:tcPr>
          <w:p>
            <w:pPr>
              <w:spacing w:after="0"/>
            </w:pPr>
            <w:r>
              <w:rPr>
                <w:sz w:val="16"/>
              </w:rPr>
              <w:t>Incorrect. Vendor advertising is not independent proof of legal compliance, accuracy, or clinical suitability.</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Allow the tool to create final records without clinician review because automation reduces bias.</w:t>
            </w:r>
          </w:p>
        </w:tc>
        <w:tc>
          <w:tcPr>
            <w:tcW w:type="dxa" w:w="3485"/>
            <w:vAlign w:val="center"/>
            <w:tcMar>
              <w:top w:w="55" w:type="dxa"/>
              <w:start w:w="65" w:type="dxa"/>
              <w:bottom w:w="55" w:type="dxa"/>
              <w:end w:w="65" w:type="dxa"/>
            </w:tcMar>
          </w:tcPr>
          <w:p>
            <w:pPr>
              <w:spacing w:after="0"/>
            </w:pPr>
            <w:r>
              <w:rPr>
                <w:sz w:val="16"/>
              </w:rPr>
              <w:t>Incorrect. Automated output can contain errors or bias and requires clinician review before becoming a final record.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Assess competence, accuracy limits, data collection and storage, privacy and security, legal and organizational requirements, client notice or consent, alternatives, and a plan for human review before use.</w:t>
            </w:r>
          </w:p>
        </w:tc>
        <w:tc>
          <w:tcPr>
            <w:tcW w:type="dxa" w:w="3485"/>
            <w:shd w:fill="EAF7F7"/>
            <w:vAlign w:val="center"/>
            <w:tcMar>
              <w:top w:w="55" w:type="dxa"/>
              <w:start w:w="65" w:type="dxa"/>
              <w:bottom w:w="55" w:type="dxa"/>
              <w:end w:w="65" w:type="dxa"/>
            </w:tcMar>
          </w:tcPr>
          <w:p>
            <w:pPr>
              <w:spacing w:after="0"/>
            </w:pPr>
            <w:r>
              <w:rPr>
                <w:sz w:val="16"/>
              </w:rPr>
              <w:t>Correct. This choice addresses competence, privacy, consent, alternatives, and human accountability before deployment.</w:t>
            </w:r>
          </w:p>
        </w:tc>
      </w:tr>
    </w:tbl>
    <w:p>
      <w:pPr>
        <w:pStyle w:val="Heading2"/>
      </w:pPr>
      <w:r>
        <w:t>Why the Key Controls</w:t>
      </w:r>
    </w:p>
    <w:p>
      <w:r>
        <w:t>Before using AI transcription, the LCSW must assess competence, accuracy limits, data practices, privacy and security, legal and organizational requirements, client notice or consent, alternatives, and human review. Vendor claims and automation do not replace clinical accountability.</w:t>
      </w:r>
    </w:p>
    <w:p>
      <w:pPr>
        <w:pStyle w:val="Heading2"/>
      </w:pPr>
      <w:r>
        <w:t>CTA Exam Strategy</w:t>
      </w:r>
    </w:p>
    <w:p>
      <w:r>
        <w:t>For new clinical technology, evaluate evidence, data flow, law, policy, consent, alternatives, and human review before use.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Competence and privacy review before using AI transcription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AI-TRANSCRIPTION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1.03, 1.04, and 1.07; applicable CMIA, HIPAA, and organizational requirements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28 - Controlled Rationale</w:t>
      </w:r>
    </w:p>
    <w:p>
      <w:r>
        <w:rPr>
          <w:b/>
        </w:rPr>
        <w:t xml:space="preserve">Item ID: </w:t>
      </w:r>
      <w:r>
        <w:t>CTA-EP-002-CUM-B-028</w:t>
      </w:r>
    </w:p>
    <w:p>
      <w:r>
        <w:rPr>
          <w:b/>
        </w:rPr>
        <w:t xml:space="preserve">Stem: </w:t>
      </w:r>
      <w:r>
        <w:t>A supervisor discovers that an ASW copied risk-assessment findings from another client’s record and represented them as having been completed. What is the appropriate response?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Ask the ASW to replace the copied material without leaving any trace of the correction.</w:t>
            </w:r>
          </w:p>
        </w:tc>
        <w:tc>
          <w:tcPr>
            <w:tcW w:type="dxa" w:w="3485"/>
            <w:vAlign w:val="center"/>
            <w:tcMar>
              <w:top w:w="55" w:type="dxa"/>
              <w:start w:w="65" w:type="dxa"/>
              <w:bottom w:w="55" w:type="dxa"/>
              <w:end w:w="65" w:type="dxa"/>
            </w:tcMar>
          </w:tcPr>
          <w:p>
            <w:pPr>
              <w:spacing w:after="0"/>
            </w:pPr>
            <w:r>
              <w:rPr>
                <w:sz w:val="16"/>
              </w:rPr>
              <w:t>Incorrect. Replacing copied content without a trace conceals falsification and damages record integrity.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Ignore the conduct if the current client has not yet been harmed.</w:t>
            </w:r>
          </w:p>
        </w:tc>
        <w:tc>
          <w:tcPr>
            <w:tcW w:type="dxa" w:w="3485"/>
            <w:vAlign w:val="center"/>
            <w:tcMar>
              <w:top w:w="55" w:type="dxa"/>
              <w:start w:w="65" w:type="dxa"/>
              <w:bottom w:w="55" w:type="dxa"/>
              <w:end w:w="65" w:type="dxa"/>
            </w:tcMar>
          </w:tcPr>
          <w:p>
            <w:pPr>
              <w:spacing w:after="0"/>
            </w:pPr>
            <w:r>
              <w:rPr>
                <w:sz w:val="16"/>
              </w:rPr>
              <w:t>Incorrect. Lack of known harm does not eliminate the serious safety and integrity risk.</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Terminate the ASW immediately without reviewing client safety, records, or continuity needs.</w:t>
            </w:r>
          </w:p>
        </w:tc>
        <w:tc>
          <w:tcPr>
            <w:tcW w:type="dxa" w:w="3485"/>
            <w:vAlign w:val="center"/>
            <w:tcMar>
              <w:top w:w="55" w:type="dxa"/>
              <w:start w:w="65" w:type="dxa"/>
              <w:bottom w:w="55" w:type="dxa"/>
              <w:end w:w="65" w:type="dxa"/>
            </w:tcMar>
          </w:tcPr>
          <w:p>
            <w:pPr>
              <w:spacing w:after="0"/>
            </w:pPr>
            <w:r>
              <w:rPr>
                <w:sz w:val="16"/>
              </w:rPr>
              <w:t>Incorrect. Immediate termination without first protecting clients, preserving records, and planning continuity may create additional harm.</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Protect affected clients, restrict or supervise current duties as needed, preserve and correct records transparently, investigate the extent of the conduct, document the response, and use required organizational or regulatory channels.</w:t>
            </w:r>
          </w:p>
        </w:tc>
        <w:tc>
          <w:tcPr>
            <w:tcW w:type="dxa" w:w="3485"/>
            <w:shd w:fill="EAF7F7"/>
            <w:vAlign w:val="center"/>
            <w:tcMar>
              <w:top w:w="55" w:type="dxa"/>
              <w:start w:w="65" w:type="dxa"/>
              <w:bottom w:w="55" w:type="dxa"/>
              <w:end w:w="65" w:type="dxa"/>
            </w:tcMar>
          </w:tcPr>
          <w:p>
            <w:pPr>
              <w:spacing w:after="0"/>
            </w:pPr>
            <w:r>
              <w:rPr>
                <w:sz w:val="16"/>
              </w:rPr>
              <w:t>Correct. This response addresses safety, records, investigation, accountability, and continuity in the proper sequence.</w:t>
            </w:r>
          </w:p>
        </w:tc>
      </w:tr>
    </w:tbl>
    <w:p>
      <w:pPr>
        <w:pStyle w:val="Heading2"/>
      </w:pPr>
      <w:r>
        <w:t>Why the Key Controls</w:t>
      </w:r>
    </w:p>
    <w:p>
      <w:r>
        <w:t>Falsified risk documentation requires immediate client protection, appropriate restriction or supervision, preservation and transparent correction of records, investigation of scope, documentation, and use of required organizational or regulatory channels.</w:t>
      </w:r>
    </w:p>
    <w:p>
      <w:pPr>
        <w:pStyle w:val="Heading2"/>
      </w:pPr>
      <w:r>
        <w:t>CTA Exam Strategy</w:t>
      </w:r>
    </w:p>
    <w:p>
      <w:r>
        <w:t>For falsified records, protect, preserve, correct transparently, investigate, document, and escalate—never conceal or ignore.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Supervisor response to falsified clinical documentation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Integrated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WB4 - Professional Impairment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FALSIFIED-DOCUMENTATION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4992.3(k),(s),(u),(w); NASW Code 3.01, 3.04, and 4.04</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29 - Controlled Rationale</w:t>
      </w:r>
    </w:p>
    <w:p>
      <w:r>
        <w:rPr>
          <w:b/>
        </w:rPr>
        <w:t xml:space="preserve">Item ID: </w:t>
      </w:r>
      <w:r>
        <w:t>CTA-EP-002-CUM-B-029</w:t>
      </w:r>
    </w:p>
    <w:p>
      <w:r>
        <w:rPr>
          <w:b/>
        </w:rPr>
        <w:t xml:space="preserve">Stem: </w:t>
      </w:r>
      <w:r>
        <w:t>A client sends an after-hours message stating, “I took a bottle of pills and I am getting sleepy.” What should the LCSW do FIRST?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Activate the established emergency response, attempt immediate contact and location verification, mobilize emergency resources or an authorized support as necessary, and document the actions.</w:t>
            </w:r>
          </w:p>
        </w:tc>
        <w:tc>
          <w:tcPr>
            <w:tcW w:type="dxa" w:w="3485"/>
            <w:shd w:fill="EAF7F7"/>
            <w:vAlign w:val="center"/>
            <w:tcMar>
              <w:top w:w="55" w:type="dxa"/>
              <w:start w:w="65" w:type="dxa"/>
              <w:bottom w:w="55" w:type="dxa"/>
              <w:end w:w="65" w:type="dxa"/>
            </w:tcMar>
          </w:tcPr>
          <w:p>
            <w:pPr>
              <w:spacing w:after="0"/>
            </w:pPr>
            <w:r>
              <w:rPr>
                <w:sz w:val="16"/>
              </w:rPr>
              <w:t>Correct. This response prioritizes immediate lifesaving action, location, resources, and documentation.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Wait until business hours because the client used messaging instead of the emergency number.</w:t>
            </w:r>
          </w:p>
        </w:tc>
        <w:tc>
          <w:tcPr>
            <w:tcW w:type="dxa" w:w="3485"/>
            <w:vAlign w:val="center"/>
            <w:tcMar>
              <w:top w:w="55" w:type="dxa"/>
              <w:start w:w="65" w:type="dxa"/>
              <w:bottom w:w="55" w:type="dxa"/>
              <w:end w:w="65" w:type="dxa"/>
            </w:tcMar>
          </w:tcPr>
          <w:p>
            <w:pPr>
              <w:spacing w:after="0"/>
            </w:pPr>
            <w:r>
              <w:rPr>
                <w:sz w:val="16"/>
              </w:rPr>
              <w:t>Incorrect. Use of a messaging channel does not justify waiting when the message reports a potentially lethal ingestion.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Send a worksheet about coping skills and ask the client to reply the next day.</w:t>
            </w:r>
          </w:p>
        </w:tc>
        <w:tc>
          <w:tcPr>
            <w:tcW w:type="dxa" w:w="3485"/>
            <w:vAlign w:val="center"/>
            <w:tcMar>
              <w:top w:w="55" w:type="dxa"/>
              <w:start w:w="65" w:type="dxa"/>
              <w:bottom w:w="55" w:type="dxa"/>
              <w:end w:w="65" w:type="dxa"/>
            </w:tcMar>
          </w:tcPr>
          <w:p>
            <w:pPr>
              <w:spacing w:after="0"/>
            </w:pPr>
            <w:r>
              <w:rPr>
                <w:sz w:val="16"/>
              </w:rPr>
              <w:t>Incorrect. A worksheet and delayed reply are not proportionate to an overdose emergency.</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Post the message in a professional forum to ask whether it sounds serious.</w:t>
            </w:r>
          </w:p>
        </w:tc>
        <w:tc>
          <w:tcPr>
            <w:tcW w:type="dxa" w:w="3485"/>
            <w:vAlign w:val="center"/>
            <w:tcMar>
              <w:top w:w="55" w:type="dxa"/>
              <w:start w:w="65" w:type="dxa"/>
              <w:bottom w:w="55" w:type="dxa"/>
              <w:end w:w="65" w:type="dxa"/>
            </w:tcMar>
          </w:tcPr>
          <w:p>
            <w:pPr>
              <w:spacing w:after="0"/>
            </w:pPr>
            <w:r>
              <w:rPr>
                <w:sz w:val="16"/>
              </w:rPr>
              <w:t>Incorrect. Posting client information in a forum delays care and risks confidentiality.</w:t>
            </w:r>
          </w:p>
        </w:tc>
      </w:tr>
    </w:tbl>
    <w:p>
      <w:pPr>
        <w:pStyle w:val="Heading2"/>
      </w:pPr>
      <w:r>
        <w:t>Why the Key Controls</w:t>
      </w:r>
    </w:p>
    <w:p>
      <w:r>
        <w:t>A reported overdose is an acute medical emergency. The LCSW should activate the established emergency response, attempt immediate contact and location verification, mobilize emergency services or an authorized support as necessary, and document actions.</w:t>
      </w:r>
    </w:p>
    <w:p>
      <w:pPr>
        <w:pStyle w:val="Heading2"/>
      </w:pPr>
      <w:r>
        <w:t>CTA Exam Strategy</w:t>
      </w:r>
    </w:p>
    <w:p>
      <w:r>
        <w:t>Overdose statements require emergency activation first, not education, delay, or public consultation.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Emergency response to a reported overdose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OVERDOSE-EMERGENCY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1.01, 1.07, and 1.15; applicable emergency and confidentiality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30 - Controlled Rationale</w:t>
      </w:r>
    </w:p>
    <w:p>
      <w:r>
        <w:rPr>
          <w:b/>
        </w:rPr>
        <w:t xml:space="preserve">Item ID: </w:t>
      </w:r>
      <w:r>
        <w:t>CTA-EP-002-CUM-B-030</w:t>
      </w:r>
    </w:p>
    <w:p>
      <w:r>
        <w:rPr>
          <w:b/>
        </w:rPr>
        <w:t xml:space="preserve">Stem: </w:t>
      </w:r>
      <w:r>
        <w:t>A client joins a trauma-focused telehealth session from a parked car while coworkers are standing nearby. Which response is BEST?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Assess immediate safety and privacy, help the client move to an appropriate private setting or select a safer alternative, and avoid proceeding with sensitive work when confidentiality and appropriateness cannot be protected.</w:t>
            </w:r>
          </w:p>
        </w:tc>
        <w:tc>
          <w:tcPr>
            <w:tcW w:type="dxa" w:w="3485"/>
            <w:shd w:fill="EAF7F7"/>
            <w:vAlign w:val="center"/>
            <w:tcMar>
              <w:top w:w="55" w:type="dxa"/>
              <w:start w:w="65" w:type="dxa"/>
              <w:bottom w:w="55" w:type="dxa"/>
              <w:end w:w="65" w:type="dxa"/>
            </w:tcMar>
          </w:tcPr>
          <w:p>
            <w:pPr>
              <w:spacing w:after="0"/>
            </w:pPr>
            <w:r>
              <w:rPr>
                <w:sz w:val="16"/>
              </w:rPr>
              <w:t>Correct. This response protects confidentiality, clinical appropriateness, and continuity without blaming the client.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Continue because the client chose the location and therefore accepted all confidentiality risk.</w:t>
            </w:r>
          </w:p>
        </w:tc>
        <w:tc>
          <w:tcPr>
            <w:tcW w:type="dxa" w:w="3485"/>
            <w:vAlign w:val="center"/>
            <w:tcMar>
              <w:top w:w="55" w:type="dxa"/>
              <w:start w:w="65" w:type="dxa"/>
              <w:bottom w:w="55" w:type="dxa"/>
              <w:end w:w="65" w:type="dxa"/>
            </w:tcMar>
          </w:tcPr>
          <w:p>
            <w:pPr>
              <w:spacing w:after="0"/>
            </w:pPr>
            <w:r>
              <w:rPr>
                <w:sz w:val="16"/>
              </w:rPr>
              <w:t>Incorrect. Client choice of location does not transfer the clinician’s duty to assess telehealth privacy and appropriateness.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the client to whisper so coworkers cannot understand the details.</w:t>
            </w:r>
          </w:p>
        </w:tc>
        <w:tc>
          <w:tcPr>
            <w:tcW w:type="dxa" w:w="3485"/>
            <w:vAlign w:val="center"/>
            <w:tcMar>
              <w:top w:w="55" w:type="dxa"/>
              <w:start w:w="65" w:type="dxa"/>
              <w:bottom w:w="55" w:type="dxa"/>
              <w:end w:w="65" w:type="dxa"/>
            </w:tcMar>
          </w:tcPr>
          <w:p>
            <w:pPr>
              <w:spacing w:after="0"/>
            </w:pPr>
            <w:r>
              <w:rPr>
                <w:sz w:val="16"/>
              </w:rPr>
              <w:t>Incorrect. Whispering does not reliably protect sensitive information from nearby coworkers.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Record the session so any interruption can be reviewed later.</w:t>
            </w:r>
          </w:p>
        </w:tc>
        <w:tc>
          <w:tcPr>
            <w:tcW w:type="dxa" w:w="3485"/>
            <w:vAlign w:val="center"/>
            <w:tcMar>
              <w:top w:w="55" w:type="dxa"/>
              <w:start w:w="65" w:type="dxa"/>
              <w:bottom w:w="55" w:type="dxa"/>
              <w:end w:w="65" w:type="dxa"/>
            </w:tcMar>
          </w:tcPr>
          <w:p>
            <w:pPr>
              <w:spacing w:after="0"/>
            </w:pPr>
            <w:r>
              <w:rPr>
                <w:sz w:val="16"/>
              </w:rPr>
              <w:t>Incorrect. Recording adds privacy risk and does not solve the lack of a confidential setting.</w:t>
            </w:r>
          </w:p>
        </w:tc>
      </w:tr>
    </w:tbl>
    <w:p>
      <w:pPr>
        <w:pStyle w:val="Heading2"/>
      </w:pPr>
      <w:r>
        <w:t>Why the Key Controls</w:t>
      </w:r>
    </w:p>
    <w:p>
      <w:r>
        <w:t>Sensitive trauma work should not proceed when privacy and appropriateness cannot be protected. The LCSW should assess safety and privacy, help the client relocate or choose a safer alternative, and document the decision.</w:t>
      </w:r>
    </w:p>
    <w:p>
      <w:pPr>
        <w:pStyle w:val="Heading2"/>
      </w:pPr>
      <w:r>
        <w:t>CTA Exam Strategy</w:t>
      </w:r>
    </w:p>
    <w:p>
      <w:r>
        <w:t>If privacy is inadequate for sensitive telehealth work, pause and adapt the setting or intervention rather than proceed by waiver or improvisation.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Telehealth privacy in a public or shared location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TELEHEALTH-PUBLIC-SETTING</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16 CCR 1815.5(d)(2),(3); NASW Code 1.03 and 1.07</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31 - Controlled Rationale</w:t>
      </w:r>
    </w:p>
    <w:p>
      <w:r>
        <w:rPr>
          <w:b/>
        </w:rPr>
        <w:t xml:space="preserve">Item ID: </w:t>
      </w:r>
      <w:r>
        <w:t>CTA-EP-002-CUM-B-031</w:t>
      </w:r>
    </w:p>
    <w:p>
      <w:r>
        <w:rPr>
          <w:b/>
        </w:rPr>
        <w:t xml:space="preserve">Stem: </w:t>
      </w:r>
      <w:r>
        <w:t>A private-practice LCSW asks current clients to post five-star reviews and offers a fee discount to anyone who does. Which response is MOST consistent with professional ethics?</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Continue if clients are told that negative reviews are also acceptable.</w:t>
            </w:r>
          </w:p>
        </w:tc>
        <w:tc>
          <w:tcPr>
            <w:tcW w:type="dxa" w:w="3485"/>
            <w:vAlign w:val="center"/>
            <w:tcMar>
              <w:top w:w="55" w:type="dxa"/>
              <w:start w:w="65" w:type="dxa"/>
              <w:bottom w:w="55" w:type="dxa"/>
              <w:end w:w="65" w:type="dxa"/>
            </w:tcMar>
          </w:tcPr>
          <w:p>
            <w:pPr>
              <w:spacing w:after="0"/>
            </w:pPr>
            <w:r>
              <w:rPr>
                <w:sz w:val="16"/>
              </w:rPr>
              <w:t>Incorrect. Telling clients they may post negative reviews does not remove therapeutic pressure or the financial incentive.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Stop soliciting testimonials from current clients and remove the fee incentive because the therapeutic relationship creates vulnerability and undue influence.</w:t>
            </w:r>
          </w:p>
        </w:tc>
        <w:tc>
          <w:tcPr>
            <w:tcW w:type="dxa" w:w="3485"/>
            <w:shd w:fill="EAF7F7"/>
            <w:vAlign w:val="center"/>
            <w:tcMar>
              <w:top w:w="55" w:type="dxa"/>
              <w:start w:w="65" w:type="dxa"/>
              <w:bottom w:w="55" w:type="dxa"/>
              <w:end w:w="65" w:type="dxa"/>
            </w:tcMar>
          </w:tcPr>
          <w:p>
            <w:pPr>
              <w:spacing w:after="0"/>
            </w:pPr>
            <w:r>
              <w:rPr>
                <w:sz w:val="16"/>
              </w:rPr>
              <w:t>Correct. This choice ends both the testimonial solicitation and the inducement that magnifies undue influence.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Continue because online reviews are advertising rather than clinical activity.</w:t>
            </w:r>
          </w:p>
        </w:tc>
        <w:tc>
          <w:tcPr>
            <w:tcW w:type="dxa" w:w="3485"/>
            <w:vAlign w:val="center"/>
            <w:tcMar>
              <w:top w:w="55" w:type="dxa"/>
              <w:start w:w="65" w:type="dxa"/>
              <w:bottom w:w="55" w:type="dxa"/>
              <w:end w:w="65" w:type="dxa"/>
            </w:tcMar>
          </w:tcPr>
          <w:p>
            <w:pPr>
              <w:spacing w:after="0"/>
            </w:pPr>
            <w:r>
              <w:rPr>
                <w:sz w:val="16"/>
              </w:rPr>
              <w:t>Incorrect. Advertising activity remains subject to professional ethics and the vulnerabilities of current clients.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Ask the clients’ family members to post the same testimonials instead.</w:t>
            </w:r>
          </w:p>
        </w:tc>
        <w:tc>
          <w:tcPr>
            <w:tcW w:type="dxa" w:w="3485"/>
            <w:vAlign w:val="center"/>
            <w:tcMar>
              <w:top w:w="55" w:type="dxa"/>
              <w:start w:w="65" w:type="dxa"/>
              <w:bottom w:w="55" w:type="dxa"/>
              <w:end w:w="65" w:type="dxa"/>
            </w:tcMar>
          </w:tcPr>
          <w:p>
            <w:pPr>
              <w:spacing w:after="0"/>
            </w:pPr>
            <w:r>
              <w:rPr>
                <w:sz w:val="16"/>
              </w:rPr>
              <w:t>Incorrect. Asking family members to provide the same promotional content can still exploit the client relationship and confidentiality.</w:t>
            </w:r>
          </w:p>
        </w:tc>
      </w:tr>
    </w:tbl>
    <w:p>
      <w:pPr>
        <w:pStyle w:val="Heading2"/>
      </w:pPr>
      <w:r>
        <w:t>Why the Key Controls</w:t>
      </w:r>
    </w:p>
    <w:p>
      <w:r>
        <w:t>Soliciting testimonials from current clients, especially in exchange for a fee discount, exploits the power of the treatment relationship and creates undue influence. The request and incentive should stop.</w:t>
      </w:r>
    </w:p>
    <w:p>
      <w:pPr>
        <w:pStyle w:val="Heading2"/>
      </w:pPr>
      <w:r>
        <w:t>CTA Exam Strategy</w:t>
      </w:r>
    </w:p>
    <w:p>
      <w:r>
        <w:t>Current-client testimonial questions turn on vulnerability and undue influence; incentives make the conflict even stronger.</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Solicitation of client testimonials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CLIENT-TESTIMONIALS</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4.07(b); BPC 4992.3(q)</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32 - Controlled Rationale</w:t>
      </w:r>
    </w:p>
    <w:p>
      <w:r>
        <w:rPr>
          <w:b/>
        </w:rPr>
        <w:t xml:space="preserve">Item ID: </w:t>
      </w:r>
      <w:r>
        <w:t>CTA-EP-002-CUM-B-032</w:t>
      </w:r>
    </w:p>
    <w:p>
      <w:r>
        <w:rPr>
          <w:b/>
        </w:rPr>
        <w:t xml:space="preserve">Stem: </w:t>
      </w:r>
      <w:r>
        <w:t>An ASW receives nine hours of otherwise qualifying supervision during one week and asks that all nine hours be credited toward licensure. Which statement is accurate?</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No more than six hours of individual, triadic, or group supervision may be credited during a single week.</w:t>
            </w:r>
          </w:p>
        </w:tc>
        <w:tc>
          <w:tcPr>
            <w:tcW w:type="dxa" w:w="3485"/>
            <w:shd w:fill="EAF7F7"/>
            <w:vAlign w:val="center"/>
            <w:tcMar>
              <w:top w:w="55" w:type="dxa"/>
              <w:start w:w="65" w:type="dxa"/>
              <w:bottom w:w="55" w:type="dxa"/>
              <w:end w:w="65" w:type="dxa"/>
            </w:tcMar>
          </w:tcPr>
          <w:p>
            <w:pPr>
              <w:spacing w:after="0"/>
            </w:pPr>
            <w:r>
              <w:rPr>
                <w:sz w:val="16"/>
              </w:rPr>
              <w:t>Correct. This is the statutory weekly maximum for credited supervision hours.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All nine hours are credited because there is no weekly supervision maximum.</w:t>
            </w:r>
          </w:p>
        </w:tc>
        <w:tc>
          <w:tcPr>
            <w:tcW w:type="dxa" w:w="3485"/>
            <w:vAlign w:val="center"/>
            <w:tcMar>
              <w:top w:w="55" w:type="dxa"/>
              <w:start w:w="65" w:type="dxa"/>
              <w:bottom w:w="55" w:type="dxa"/>
              <w:end w:w="65" w:type="dxa"/>
            </w:tcMar>
          </w:tcPr>
          <w:p>
            <w:pPr>
              <w:spacing w:after="0"/>
            </w:pPr>
            <w:r>
              <w:rPr>
                <w:sz w:val="16"/>
              </w:rPr>
              <w:t>Incorrect. California imposes a weekly maximum, so all nine hours cannot be credited.</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Only one hour can be credited, regardless of the number of settings or services.</w:t>
            </w:r>
          </w:p>
        </w:tc>
        <w:tc>
          <w:tcPr>
            <w:tcW w:type="dxa" w:w="3485"/>
            <w:vAlign w:val="center"/>
            <w:tcMar>
              <w:top w:w="55" w:type="dxa"/>
              <w:start w:w="65" w:type="dxa"/>
              <w:bottom w:w="55" w:type="dxa"/>
              <w:end w:w="65" w:type="dxa"/>
            </w:tcMar>
          </w:tcPr>
          <w:p>
            <w:pPr>
              <w:spacing w:after="0"/>
            </w:pPr>
            <w:r>
              <w:rPr>
                <w:sz w:val="16"/>
              </w:rPr>
              <w:t>Incorrect. One hour is a common minimum unit in some circumstances, not the universal weekly maximum.</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Exactly two hours must be credited whenever the ASW performs more than 10 clinical hours.</w:t>
            </w:r>
          </w:p>
        </w:tc>
        <w:tc>
          <w:tcPr>
            <w:tcW w:type="dxa" w:w="3485"/>
            <w:vAlign w:val="center"/>
            <w:tcMar>
              <w:top w:w="55" w:type="dxa"/>
              <w:start w:w="65" w:type="dxa"/>
              <w:bottom w:w="55" w:type="dxa"/>
              <w:end w:w="65" w:type="dxa"/>
            </w:tcMar>
          </w:tcPr>
          <w:p>
            <w:pPr>
              <w:spacing w:after="0"/>
            </w:pPr>
            <w:r>
              <w:rPr>
                <w:sz w:val="16"/>
              </w:rPr>
              <w:t>Incorrect. The rule requiring two units after more than ten clinical hours does not define the maximum creditable supervision hours.</w:t>
            </w:r>
          </w:p>
        </w:tc>
      </w:tr>
    </w:tbl>
    <w:p>
      <w:pPr>
        <w:pStyle w:val="Heading2"/>
      </w:pPr>
      <w:r>
        <w:t>Why the Key Controls</w:t>
      </w:r>
    </w:p>
    <w:p>
      <w:r>
        <w:t>California limits the amount of otherwise qualifying individual, triadic, or group supervision that may be credited in one week to six hours. Additional supervision may be clinically useful but does not increase the licensure credit beyond the cap.</w:t>
      </w:r>
    </w:p>
    <w:p>
      <w:pPr>
        <w:pStyle w:val="Heading2"/>
      </w:pPr>
      <w:r>
        <w:t>CTA Exam Strategy</w:t>
      </w:r>
    </w:p>
    <w:p>
      <w:r>
        <w:t>Separate weekly minimum units from the six-hour cap on credited supervision.</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Maximum supervision hours credited in one week</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WB3 - Professional Competence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SUPERVISION-WEEKLY-MAXIMUM</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4996.23(d)(6)</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33 - Controlled Rationale</w:t>
      </w:r>
    </w:p>
    <w:p>
      <w:r>
        <w:rPr>
          <w:b/>
        </w:rPr>
        <w:t xml:space="preserve">Item ID: </w:t>
      </w:r>
      <w:r>
        <w:t>CTA-EP-002-CUM-B-033</w:t>
      </w:r>
    </w:p>
    <w:p>
      <w:r>
        <w:rPr>
          <w:b/>
        </w:rPr>
        <w:t xml:space="preserve">Stem: </w:t>
      </w:r>
      <w:r>
        <w:t>A client revokes a valid authorization before the LCSW sends the next scheduled progress report. What should the LCSW do?</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Continue sending reports until the original expiration date because authorizations cannot be revoked.</w:t>
            </w:r>
          </w:p>
        </w:tc>
        <w:tc>
          <w:tcPr>
            <w:tcW w:type="dxa" w:w="3485"/>
            <w:vAlign w:val="center"/>
            <w:tcMar>
              <w:top w:w="55" w:type="dxa"/>
              <w:start w:w="65" w:type="dxa"/>
              <w:bottom w:w="55" w:type="dxa"/>
              <w:end w:w="65" w:type="dxa"/>
            </w:tcMar>
          </w:tcPr>
          <w:p>
            <w:pPr>
              <w:spacing w:after="0"/>
            </w:pPr>
            <w:r>
              <w:rPr>
                <w:sz w:val="16"/>
              </w:rPr>
              <w:t>Incorrect. A valid authorization can generally be revoked for future use before its stated expiration.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Erase every prior lawful disclosure from the recipient’s records.</w:t>
            </w:r>
          </w:p>
        </w:tc>
        <w:tc>
          <w:tcPr>
            <w:tcW w:type="dxa" w:w="3485"/>
            <w:vAlign w:val="center"/>
            <w:tcMar>
              <w:top w:w="55" w:type="dxa"/>
              <w:start w:w="65" w:type="dxa"/>
              <w:bottom w:w="55" w:type="dxa"/>
              <w:end w:w="65" w:type="dxa"/>
            </w:tcMar>
          </w:tcPr>
          <w:p>
            <w:pPr>
              <w:spacing w:after="0"/>
            </w:pPr>
            <w:r>
              <w:rPr>
                <w:sz w:val="16"/>
              </w:rPr>
              <w:t>Incorrect. Revocation does not require or empower the LCSW to erase information already lawfully received by another party.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Stop future disclosures covered by the revoked authorization, document the revocation, and determine whether any separate legal basis requires or permits disclosure.</w:t>
            </w:r>
          </w:p>
        </w:tc>
        <w:tc>
          <w:tcPr>
            <w:tcW w:type="dxa" w:w="3485"/>
            <w:shd w:fill="EAF7F7"/>
            <w:vAlign w:val="center"/>
            <w:tcMar>
              <w:top w:w="55" w:type="dxa"/>
              <w:start w:w="65" w:type="dxa"/>
              <w:bottom w:w="55" w:type="dxa"/>
              <w:end w:w="65" w:type="dxa"/>
            </w:tcMar>
          </w:tcPr>
          <w:p>
            <w:pPr>
              <w:spacing w:after="0"/>
            </w:pPr>
            <w:r>
              <w:rPr>
                <w:sz w:val="16"/>
              </w:rPr>
              <w:t>Correct. This response stops authorization-based future disclosures while preserving analysis of any independent legal basis.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Send one final complete record before acknowledging the revocation.</w:t>
            </w:r>
          </w:p>
        </w:tc>
        <w:tc>
          <w:tcPr>
            <w:tcW w:type="dxa" w:w="3485"/>
            <w:vAlign w:val="center"/>
            <w:tcMar>
              <w:top w:w="55" w:type="dxa"/>
              <w:start w:w="65" w:type="dxa"/>
              <w:bottom w:w="55" w:type="dxa"/>
              <w:end w:w="65" w:type="dxa"/>
            </w:tcMar>
          </w:tcPr>
          <w:p>
            <w:pPr>
              <w:spacing w:after="0"/>
            </w:pPr>
            <w:r>
              <w:rPr>
                <w:sz w:val="16"/>
              </w:rPr>
              <w:t>Incorrect. Sending one more complete record after revocation disregards the client’s withdrawal and exceeds necessity.</w:t>
            </w:r>
          </w:p>
        </w:tc>
      </w:tr>
    </w:tbl>
    <w:p>
      <w:pPr>
        <w:pStyle w:val="Heading2"/>
      </w:pPr>
      <w:r>
        <w:t>Why the Key Controls</w:t>
      </w:r>
    </w:p>
    <w:p>
      <w:r>
        <w:t>Revocation stops future disclosures that depend on the authorization. The LCSW should document the revocation and determine whether a separate legal permission or requirement applies; prior lawful disclosures are not erased retroactively.</w:t>
      </w:r>
    </w:p>
    <w:p>
      <w:pPr>
        <w:pStyle w:val="Heading2"/>
      </w:pPr>
      <w:r>
        <w:t>CTA Exam Strategy</w:t>
      </w:r>
    </w:p>
    <w:p>
      <w:r>
        <w:t>Revocation is prospective: stop future authorization-based disclosure, document it, and check for any independent legal authority.</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Revocation of an authorization for future disclosure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AUTHORIZATION-REVOCATION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1.07; applicable California authorization and confidentiality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34 - Controlled Rationale</w:t>
      </w:r>
    </w:p>
    <w:p>
      <w:r>
        <w:rPr>
          <w:b/>
        </w:rPr>
        <w:t xml:space="preserve">Item ID: </w:t>
      </w:r>
      <w:r>
        <w:t>CTA-EP-002-CUM-B-034</w:t>
      </w:r>
    </w:p>
    <w:p>
      <w:r>
        <w:rPr>
          <w:b/>
        </w:rPr>
        <w:t xml:space="preserve">Stem: </w:t>
      </w:r>
      <w:r>
        <w:t>After assessment, an adult client has a specific imminent suicide plan and asks the LCSW not to involve anyone. Which response is BEST?</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Honor the request because competent adults control every disclosure, even during imminent danger.</w:t>
            </w:r>
          </w:p>
        </w:tc>
        <w:tc>
          <w:tcPr>
            <w:tcW w:type="dxa" w:w="3485"/>
            <w:vAlign w:val="center"/>
            <w:tcMar>
              <w:top w:w="55" w:type="dxa"/>
              <w:start w:w="65" w:type="dxa"/>
              <w:bottom w:w="55" w:type="dxa"/>
              <w:end w:w="65" w:type="dxa"/>
            </w:tcMar>
          </w:tcPr>
          <w:p>
            <w:pPr>
              <w:spacing w:after="0"/>
            </w:pPr>
            <w:r>
              <w:rPr>
                <w:sz w:val="16"/>
              </w:rPr>
              <w:t>Incorrect. Self-determination and confidentiality are not absolute when immediate danger requires protective action.</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Release the entire treatment record to every family member and employer contact.</w:t>
            </w:r>
          </w:p>
        </w:tc>
        <w:tc>
          <w:tcPr>
            <w:tcW w:type="dxa" w:w="3485"/>
            <w:vAlign w:val="center"/>
            <w:tcMar>
              <w:top w:w="55" w:type="dxa"/>
              <w:start w:w="65" w:type="dxa"/>
              <w:bottom w:w="55" w:type="dxa"/>
              <w:end w:w="65" w:type="dxa"/>
            </w:tcMar>
          </w:tcPr>
          <w:p>
            <w:pPr>
              <w:spacing w:after="0"/>
            </w:pPr>
            <w:r>
              <w:rPr>
                <w:sz w:val="16"/>
              </w:rPr>
              <w:t>Incorrect. Imminent risk does not authorize indiscriminate release of the entire record to every contact.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End the session and instruct the client to call back after the crisis has passed.</w:t>
            </w:r>
          </w:p>
        </w:tc>
        <w:tc>
          <w:tcPr>
            <w:tcW w:type="dxa" w:w="3485"/>
            <w:vAlign w:val="center"/>
            <w:tcMar>
              <w:top w:w="55" w:type="dxa"/>
              <w:start w:w="65" w:type="dxa"/>
              <w:bottom w:w="55" w:type="dxa"/>
              <w:end w:w="65" w:type="dxa"/>
            </w:tcMar>
          </w:tcPr>
          <w:p>
            <w:pPr>
              <w:spacing w:after="0"/>
            </w:pPr>
            <w:r>
              <w:rPr>
                <w:sz w:val="16"/>
              </w:rPr>
              <w:t>Incorrect. Ending the session without protective action abandons the client during an acute crisis.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Take necessary protective action and disclose only information reasonably needed for safety, explaining the limits of confidentiality when feasible and documenting the decision.</w:t>
            </w:r>
          </w:p>
        </w:tc>
        <w:tc>
          <w:tcPr>
            <w:tcW w:type="dxa" w:w="3485"/>
            <w:shd w:fill="EAF7F7"/>
            <w:vAlign w:val="center"/>
            <w:tcMar>
              <w:top w:w="55" w:type="dxa"/>
              <w:start w:w="65" w:type="dxa"/>
              <w:bottom w:w="55" w:type="dxa"/>
              <w:end w:w="65" w:type="dxa"/>
            </w:tcMar>
          </w:tcPr>
          <w:p>
            <w:pPr>
              <w:spacing w:after="0"/>
            </w:pPr>
            <w:r>
              <w:rPr>
                <w:sz w:val="16"/>
              </w:rPr>
              <w:t>Correct. This choice combines necessary protection with minimum-scope disclosure, explanation, and documentation.</w:t>
            </w:r>
          </w:p>
        </w:tc>
      </w:tr>
    </w:tbl>
    <w:p>
      <w:pPr>
        <w:pStyle w:val="Heading2"/>
      </w:pPr>
      <w:r>
        <w:t>Why the Key Controls</w:t>
      </w:r>
    </w:p>
    <w:p>
      <w:r>
        <w:t>A specific imminent suicide plan can justify necessary protective action despite the client’s request for secrecy. Disclosure should be limited to information reasonably needed for safety, with explanation when feasible and careful documentation.</w:t>
      </w:r>
    </w:p>
    <w:p>
      <w:pPr>
        <w:pStyle w:val="Heading2"/>
      </w:pPr>
      <w:r>
        <w:t>CTA Exam Strategy</w:t>
      </w:r>
    </w:p>
    <w:p>
      <w:r>
        <w:t>In imminent-risk questions, protect first and disclose only what is reasonably necessary—neither absolute secrecy nor indiscriminate release.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Limited safety disclosure despite a client request for secrecy</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IMMINENT-SUICIDE-DISCLOSURE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1.01 and 1.07(c); applicable California confidentiality and safety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35 - Controlled Rationale</w:t>
      </w:r>
    </w:p>
    <w:p>
      <w:r>
        <w:rPr>
          <w:b/>
        </w:rPr>
        <w:t xml:space="preserve">Item ID: </w:t>
      </w:r>
      <w:r>
        <w:t>CTA-EP-002-CUM-B-035</w:t>
      </w:r>
    </w:p>
    <w:p>
      <w:r>
        <w:rPr>
          <w:b/>
        </w:rPr>
        <w:t xml:space="preserve">Stem: </w:t>
      </w:r>
      <w:r>
        <w:t>An ASW’s regular supervisor becomes suddenly unavailable while the ASW has active high-risk cases and needs weekly supervision. What should occur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Continue all work without supervision until the regular supervisor returns.</w:t>
            </w:r>
          </w:p>
        </w:tc>
        <w:tc>
          <w:tcPr>
            <w:tcW w:type="dxa" w:w="3485"/>
            <w:vAlign w:val="center"/>
            <w:tcMar>
              <w:top w:w="55" w:type="dxa"/>
              <w:start w:w="65" w:type="dxa"/>
              <w:bottom w:w="55" w:type="dxa"/>
              <w:end w:w="65" w:type="dxa"/>
            </w:tcMar>
          </w:tcPr>
          <w:p>
            <w:pPr>
              <w:spacing w:after="0"/>
            </w:pPr>
            <w:r>
              <w:rPr>
                <w:sz w:val="16"/>
              </w:rPr>
              <w:t>Incorrect. Continuing without required supervision exposes clients and the ASW’s experience hours to risk.</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an unlicensed administrator to sign the weekly log temporarily.</w:t>
            </w:r>
          </w:p>
        </w:tc>
        <w:tc>
          <w:tcPr>
            <w:tcW w:type="dxa" w:w="3485"/>
            <w:vAlign w:val="center"/>
            <w:tcMar>
              <w:top w:w="55" w:type="dxa"/>
              <w:start w:w="65" w:type="dxa"/>
              <w:bottom w:w="55" w:type="dxa"/>
              <w:end w:w="65" w:type="dxa"/>
            </w:tcMar>
          </w:tcPr>
          <w:p>
            <w:pPr>
              <w:spacing w:after="0"/>
            </w:pPr>
            <w:r>
              <w:rPr>
                <w:sz w:val="16"/>
              </w:rPr>
              <w:t>Incorrect. An unlicensed administrator cannot provide or sign for qualifying clinical supervision.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Activate qualified alternative supervision and clinical coverage, protect current clients, and document the temporary arrangement before allowing the supervision gap to continue.</w:t>
            </w:r>
          </w:p>
        </w:tc>
        <w:tc>
          <w:tcPr>
            <w:tcW w:type="dxa" w:w="3485"/>
            <w:shd w:fill="EAF7F7"/>
            <w:vAlign w:val="center"/>
            <w:tcMar>
              <w:top w:w="55" w:type="dxa"/>
              <w:start w:w="65" w:type="dxa"/>
              <w:bottom w:w="55" w:type="dxa"/>
              <w:end w:w="65" w:type="dxa"/>
            </w:tcMar>
          </w:tcPr>
          <w:p>
            <w:pPr>
              <w:spacing w:after="0"/>
            </w:pPr>
            <w:r>
              <w:rPr>
                <w:sz w:val="16"/>
              </w:rPr>
              <w:t>Correct. This response protects clients and preserves a lawful, documented supervision structure.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Close every client case immediately without transition planning.</w:t>
            </w:r>
          </w:p>
        </w:tc>
        <w:tc>
          <w:tcPr>
            <w:tcW w:type="dxa" w:w="3485"/>
            <w:vAlign w:val="center"/>
            <w:tcMar>
              <w:top w:w="55" w:type="dxa"/>
              <w:start w:w="65" w:type="dxa"/>
              <w:bottom w:w="55" w:type="dxa"/>
              <w:end w:w="65" w:type="dxa"/>
            </w:tcMar>
          </w:tcPr>
          <w:p>
            <w:pPr>
              <w:spacing w:after="0"/>
            </w:pPr>
            <w:r>
              <w:rPr>
                <w:sz w:val="16"/>
              </w:rPr>
              <w:t>Incorrect. Closing every case immediately without transition planning can cause abandonment and unnecessary harm.</w:t>
            </w:r>
          </w:p>
        </w:tc>
      </w:tr>
    </w:tbl>
    <w:p>
      <w:pPr>
        <w:pStyle w:val="Heading2"/>
      </w:pPr>
      <w:r>
        <w:t>Why the Key Controls</w:t>
      </w:r>
    </w:p>
    <w:p>
      <w:r>
        <w:t>A sudden supervisor absence cannot be allowed to create an unaddressed supervision gap for active high-risk cases. Qualified alternative supervision and clinical coverage should be activated, clients protected, and the temporary arrangement documented.</w:t>
      </w:r>
    </w:p>
    <w:p>
      <w:pPr>
        <w:pStyle w:val="Heading2"/>
      </w:pPr>
      <w:r>
        <w:t>CTA Exam Strategy</w:t>
      </w:r>
    </w:p>
    <w:p>
      <w:r>
        <w:t>When supervision becomes unavailable, activate qualified coverage and document it before the gap affects care or experience credit.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Alternative supervision and continuity when the regular supervisor is unavailable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WB4 - Professional Impairment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ALTERNATIVE-SUPERVISION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4996.23.1(h); BBS Supervisor FAQ and Supervision Agreement; NASW Code 3.01</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36 - Controlled Rationale</w:t>
      </w:r>
    </w:p>
    <w:p>
      <w:r>
        <w:rPr>
          <w:b/>
        </w:rPr>
        <w:t xml:space="preserve">Item ID: </w:t>
      </w:r>
      <w:r>
        <w:t>CTA-EP-002-CUM-B-036</w:t>
      </w:r>
    </w:p>
    <w:p>
      <w:r>
        <w:rPr>
          <w:b/>
        </w:rPr>
        <w:t xml:space="preserve">Stem: </w:t>
      </w:r>
      <w:r>
        <w:t>A client asks the LCSW to delete a documented suicide-risk assessment before sending records to an insurer.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Delete the note because the client owns the clinical record.</w:t>
            </w:r>
          </w:p>
        </w:tc>
        <w:tc>
          <w:tcPr>
            <w:tcW w:type="dxa" w:w="3485"/>
            <w:vAlign w:val="center"/>
            <w:tcMar>
              <w:top w:w="55" w:type="dxa"/>
              <w:start w:w="65" w:type="dxa"/>
              <w:bottom w:w="55" w:type="dxa"/>
              <w:end w:w="65" w:type="dxa"/>
            </w:tcMar>
          </w:tcPr>
          <w:p>
            <w:pPr>
              <w:spacing w:after="0"/>
            </w:pPr>
            <w:r>
              <w:rPr>
                <w:sz w:val="16"/>
              </w:rPr>
              <w:t>Incorrect. Clients have access and confidentiality rights but do not direct clinicians to falsify or delete accurate clinical documentation.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Maintain an accurate record, analyze the authorization and legal basis for disclosure, and disclose only information that is authorized or required without falsifying or secretly deleting the note.</w:t>
            </w:r>
          </w:p>
        </w:tc>
        <w:tc>
          <w:tcPr>
            <w:tcW w:type="dxa" w:w="3485"/>
            <w:shd w:fill="EAF7F7"/>
            <w:vAlign w:val="center"/>
            <w:tcMar>
              <w:top w:w="55" w:type="dxa"/>
              <w:start w:w="65" w:type="dxa"/>
              <w:bottom w:w="55" w:type="dxa"/>
              <w:end w:w="65" w:type="dxa"/>
            </w:tcMar>
          </w:tcPr>
          <w:p>
            <w:pPr>
              <w:spacing w:after="0"/>
            </w:pPr>
            <w:r>
              <w:rPr>
                <w:sz w:val="16"/>
              </w:rPr>
              <w:t>Correct. This choice preserves record integrity and applies minimum, authorized disclosure analysis.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Send the entire record automatically because an insurer requested it.</w:t>
            </w:r>
          </w:p>
        </w:tc>
        <w:tc>
          <w:tcPr>
            <w:tcW w:type="dxa" w:w="3485"/>
            <w:vAlign w:val="center"/>
            <w:tcMar>
              <w:top w:w="55" w:type="dxa"/>
              <w:start w:w="65" w:type="dxa"/>
              <w:bottom w:w="55" w:type="dxa"/>
              <w:end w:w="65" w:type="dxa"/>
            </w:tcMar>
          </w:tcPr>
          <w:p>
            <w:pPr>
              <w:spacing w:after="0"/>
            </w:pPr>
            <w:r>
              <w:rPr>
                <w:sz w:val="16"/>
              </w:rPr>
              <w:t>Incorrect. An insurer request does not automatically authorize the entire record.</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Create a second hidden record that contains the risk information but is never disclosed under any circumstances.</w:t>
            </w:r>
          </w:p>
        </w:tc>
        <w:tc>
          <w:tcPr>
            <w:tcW w:type="dxa" w:w="3485"/>
            <w:vAlign w:val="center"/>
            <w:tcMar>
              <w:top w:w="55" w:type="dxa"/>
              <w:start w:w="65" w:type="dxa"/>
              <w:bottom w:w="55" w:type="dxa"/>
              <w:end w:w="65" w:type="dxa"/>
            </w:tcMar>
          </w:tcPr>
          <w:p>
            <w:pPr>
              <w:spacing w:after="0"/>
            </w:pPr>
            <w:r>
              <w:rPr>
                <w:sz w:val="16"/>
              </w:rPr>
              <w:t>Incorrect. A hidden second record undermines integrity and does not create a lawful disclosure rule.</w:t>
            </w:r>
          </w:p>
        </w:tc>
      </w:tr>
    </w:tbl>
    <w:p>
      <w:pPr>
        <w:pStyle w:val="Heading2"/>
      </w:pPr>
      <w:r>
        <w:t>Why the Key Controls</w:t>
      </w:r>
    </w:p>
    <w:p>
      <w:r>
        <w:t>The clinical record must remain accurate even when a client wants limited disclosure. The LCSW should analyze the authorization and legal basis and release only what is authorized or required, without deleting, falsifying, or maintaining a secret shadow record.</w:t>
      </w:r>
    </w:p>
    <w:p>
      <w:pPr>
        <w:pStyle w:val="Heading2"/>
      </w:pPr>
      <w:r>
        <w:t>CTA Exam Strategy</w:t>
      </w:r>
    </w:p>
    <w:p>
      <w:r>
        <w:t>Separate record integrity from disclosure scope: maintain the accurate record, then analyze what may or must be sent.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Record integrity when a client seeks limited disclosure</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WB9 - Clinical Documentation, Record Management, and Technology</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RECORD-INTEGRITY-DISCLOSURE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4992.3(k),(w); NASW Code 1.07 and 3.04</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37 - Controlled Rationale</w:t>
      </w:r>
    </w:p>
    <w:p>
      <w:r>
        <w:rPr>
          <w:b/>
        </w:rPr>
        <w:t xml:space="preserve">Item ID: </w:t>
      </w:r>
      <w:r>
        <w:t>CTA-EP-002-CUM-B-037</w:t>
      </w:r>
    </w:p>
    <w:p>
      <w:r>
        <w:rPr>
          <w:b/>
        </w:rPr>
        <w:t xml:space="preserve">Stem: </w:t>
      </w:r>
      <w:r>
        <w:t>A social-work colleague’s impairment is interfering with practice, the colleague refuses offered help, and client errors continue. What is the LCSW’s professional responsibility?</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Maintain silence because professional loyalty overrides client welfare.</w:t>
            </w:r>
          </w:p>
        </w:tc>
        <w:tc>
          <w:tcPr>
            <w:tcW w:type="dxa" w:w="3485"/>
            <w:vAlign w:val="center"/>
            <w:tcMar>
              <w:top w:w="55" w:type="dxa"/>
              <w:start w:w="65" w:type="dxa"/>
              <w:bottom w:w="55" w:type="dxa"/>
              <w:end w:w="65" w:type="dxa"/>
            </w:tcMar>
          </w:tcPr>
          <w:p>
            <w:pPr>
              <w:spacing w:after="0"/>
            </w:pPr>
            <w:r>
              <w:rPr>
                <w:sz w:val="16"/>
              </w:rPr>
              <w:t>Incorrect. Professional loyalty does not override client welfare when impairment is causing errors.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Diagnose the colleague publicly so clients can decide whether to complain.</w:t>
            </w:r>
          </w:p>
        </w:tc>
        <w:tc>
          <w:tcPr>
            <w:tcW w:type="dxa" w:w="3485"/>
            <w:vAlign w:val="center"/>
            <w:tcMar>
              <w:top w:w="55" w:type="dxa"/>
              <w:start w:w="65" w:type="dxa"/>
              <w:bottom w:w="55" w:type="dxa"/>
              <w:end w:w="65" w:type="dxa"/>
            </w:tcMar>
          </w:tcPr>
          <w:p>
            <w:pPr>
              <w:spacing w:after="0"/>
            </w:pPr>
            <w:r>
              <w:rPr>
                <w:sz w:val="16"/>
              </w:rPr>
              <w:t>Incorrect. Public diagnosis is unsupported, stigmatizing, and not a proper professional channel.</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Wait for a catastrophic error before using any formal channel.</w:t>
            </w:r>
          </w:p>
        </w:tc>
        <w:tc>
          <w:tcPr>
            <w:tcW w:type="dxa" w:w="3485"/>
            <w:vAlign w:val="center"/>
            <w:tcMar>
              <w:top w:w="55" w:type="dxa"/>
              <w:start w:w="65" w:type="dxa"/>
              <w:bottom w:w="55" w:type="dxa"/>
              <w:end w:w="65" w:type="dxa"/>
            </w:tcMar>
          </w:tcPr>
          <w:p>
            <w:pPr>
              <w:spacing w:after="0"/>
            </w:pPr>
            <w:r>
              <w:rPr>
                <w:sz w:val="16"/>
              </w:rPr>
              <w:t>Incorrect. Waiting for catastrophic harm is inconsistent with prevention and client protection.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Use appropriate supervisory, employer, professional, or regulatory channels and take reasonable steps to protect clients rather than relying only on informal reassurance.</w:t>
            </w:r>
          </w:p>
        </w:tc>
        <w:tc>
          <w:tcPr>
            <w:tcW w:type="dxa" w:w="3485"/>
            <w:shd w:fill="EAF7F7"/>
            <w:vAlign w:val="center"/>
            <w:tcMar>
              <w:top w:w="55" w:type="dxa"/>
              <w:start w:w="65" w:type="dxa"/>
              <w:bottom w:w="55" w:type="dxa"/>
              <w:end w:w="65" w:type="dxa"/>
            </w:tcMar>
          </w:tcPr>
          <w:p>
            <w:pPr>
              <w:spacing w:after="0"/>
            </w:pPr>
            <w:r>
              <w:rPr>
                <w:sz w:val="16"/>
              </w:rPr>
              <w:t>Correct. This response escalates proportionately through proper channels while protecting clients.</w:t>
            </w:r>
          </w:p>
        </w:tc>
      </w:tr>
    </w:tbl>
    <w:p>
      <w:pPr>
        <w:pStyle w:val="Heading2"/>
      </w:pPr>
      <w:r>
        <w:t>Why the Key Controls</w:t>
      </w:r>
    </w:p>
    <w:p>
      <w:r>
        <w:t>When colleague impairment continues to affect practice after help is refused, the LCSW must use appropriate supervisory, employer, professional, or regulatory channels and take reasonable client-protection steps. Informal reassurance alone is no longer sufficient.</w:t>
      </w:r>
    </w:p>
    <w:p>
      <w:pPr>
        <w:pStyle w:val="Heading2"/>
      </w:pPr>
      <w:r>
        <w:t>CTA Exam Strategy</w:t>
      </w:r>
    </w:p>
    <w:p>
      <w:r>
        <w:t>Escalate observed impairment through proper channels when informal help fails and client errors continue; do not publicize or wait for disaster.</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Formal action when colleague impairment remains unaddressed</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Integrated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WB4 - Professional Impairment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COLLEAGUE-IMPAIRMENT-ESCALATION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2.08 and 2.10; BPC 4992.3 client-welfare provisions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38 - Controlled Rationale</w:t>
      </w:r>
    </w:p>
    <w:p>
      <w:r>
        <w:rPr>
          <w:b/>
        </w:rPr>
        <w:t xml:space="preserve">Item ID: </w:t>
      </w:r>
      <w:r>
        <w:t>CTA-EP-002-CUM-B-038</w:t>
      </w:r>
    </w:p>
    <w:p>
      <w:r>
        <w:rPr>
          <w:b/>
        </w:rPr>
        <w:t xml:space="preserve">Stem: </w:t>
      </w:r>
      <w:r>
        <w:t>A detective calls an LCSW and asks for a client’s home address but provides no authorization, warrant, court order, or identified emergency. What should the LCSW do?</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Provide the address because law-enforcement requests always override confidentiality.</w:t>
            </w:r>
          </w:p>
        </w:tc>
        <w:tc>
          <w:tcPr>
            <w:tcW w:type="dxa" w:w="3485"/>
            <w:vAlign w:val="center"/>
            <w:tcMar>
              <w:top w:w="55" w:type="dxa"/>
              <w:start w:w="65" w:type="dxa"/>
              <w:bottom w:w="55" w:type="dxa"/>
              <w:end w:w="65" w:type="dxa"/>
            </w:tcMar>
          </w:tcPr>
          <w:p>
            <w:pPr>
              <w:spacing w:after="0"/>
            </w:pPr>
            <w:r>
              <w:rPr>
                <w:sz w:val="16"/>
              </w:rPr>
              <w:t>Incorrect. Law-enforcement status alone is not a blanket exception to confidentiality.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Destroy the address so it cannot be requested again.</w:t>
            </w:r>
          </w:p>
        </w:tc>
        <w:tc>
          <w:tcPr>
            <w:tcW w:type="dxa" w:w="3485"/>
            <w:vAlign w:val="center"/>
            <w:tcMar>
              <w:top w:w="55" w:type="dxa"/>
              <w:start w:w="65" w:type="dxa"/>
              <w:bottom w:w="55" w:type="dxa"/>
              <w:end w:w="65" w:type="dxa"/>
            </w:tcMar>
          </w:tcPr>
          <w:p>
            <w:pPr>
              <w:spacing w:after="0"/>
            </w:pPr>
            <w:r>
              <w:rPr>
                <w:sz w:val="16"/>
              </w:rPr>
              <w:t>Incorrect. Destroying information to avoid a request compromises the record and may obstruct lawful process.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Verify the request and legal authority, seek consultation when needed, and do not disclose unless a valid permission or requirement applies; if disclosure is justified, limit it to the necessary scope.</w:t>
            </w:r>
          </w:p>
        </w:tc>
        <w:tc>
          <w:tcPr>
            <w:tcW w:type="dxa" w:w="3485"/>
            <w:shd w:fill="EAF7F7"/>
            <w:vAlign w:val="center"/>
            <w:tcMar>
              <w:top w:w="55" w:type="dxa"/>
              <w:start w:w="65" w:type="dxa"/>
              <w:bottom w:w="55" w:type="dxa"/>
              <w:end w:w="65" w:type="dxa"/>
            </w:tcMar>
          </w:tcPr>
          <w:p>
            <w:pPr>
              <w:spacing w:after="0"/>
            </w:pPr>
            <w:r>
              <w:rPr>
                <w:sz w:val="16"/>
              </w:rPr>
              <w:t>Correct. This answer uses verification, legal analysis, consultation, and minimum necessary disclosure.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Give the detective the full record so the detective can determine what is relevant.</w:t>
            </w:r>
          </w:p>
        </w:tc>
        <w:tc>
          <w:tcPr>
            <w:tcW w:type="dxa" w:w="3485"/>
            <w:vAlign w:val="center"/>
            <w:tcMar>
              <w:top w:w="55" w:type="dxa"/>
              <w:start w:w="65" w:type="dxa"/>
              <w:bottom w:w="55" w:type="dxa"/>
              <w:end w:w="65" w:type="dxa"/>
            </w:tcMar>
          </w:tcPr>
          <w:p>
            <w:pPr>
              <w:spacing w:after="0"/>
            </w:pPr>
            <w:r>
              <w:rPr>
                <w:sz w:val="16"/>
              </w:rPr>
              <w:t>Incorrect. Providing the entire record transfers the clinician’s relevance and confidentiality analysis to the detective.</w:t>
            </w:r>
          </w:p>
        </w:tc>
      </w:tr>
    </w:tbl>
    <w:p>
      <w:pPr>
        <w:pStyle w:val="Heading2"/>
      </w:pPr>
      <w:r>
        <w:t>Why the Key Controls</w:t>
      </w:r>
    </w:p>
    <w:p>
      <w:r>
        <w:t>A law-enforcement request does not automatically override confidentiality. The LCSW should verify the requester and legal authority, consult when needed, decline disclosure absent valid permission or duty, and limit any justified disclosure to the necessary scope.</w:t>
      </w:r>
    </w:p>
    <w:p>
      <w:pPr>
        <w:pStyle w:val="Heading2"/>
      </w:pPr>
      <w:r>
        <w:t>CTA Exam Strategy</w:t>
      </w:r>
    </w:p>
    <w:p>
      <w:r>
        <w:t>For informal law-enforcement requests, verify authority first; if disclosure is justified, disclose only what the authority supports.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Law-enforcement request without confirmed authority</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LAW-ENFORCEMENT-REQUEST</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1.07; applicable California confidentiality, privilege, and legal-process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39 - Controlled Rationale</w:t>
      </w:r>
    </w:p>
    <w:p>
      <w:r>
        <w:rPr>
          <w:b/>
        </w:rPr>
        <w:t xml:space="preserve">Item ID: </w:t>
      </w:r>
      <w:r>
        <w:t>CTA-EP-002-CUM-B-039</w:t>
      </w:r>
    </w:p>
    <w:p>
      <w:r>
        <w:rPr>
          <w:b/>
        </w:rPr>
        <w:t xml:space="preserve">Stem: </w:t>
      </w:r>
      <w:r>
        <w:t>During conjoint treatment, one partner begins to reveal a secret and asks the LCSW never to tell the other partner. What should the LCSW do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Promise secrecy immediately because each participant is entitled to a separate confidential relationship.</w:t>
            </w:r>
          </w:p>
        </w:tc>
        <w:tc>
          <w:tcPr>
            <w:tcW w:type="dxa" w:w="3485"/>
            <w:vAlign w:val="center"/>
            <w:tcMar>
              <w:top w:w="55" w:type="dxa"/>
              <w:start w:w="65" w:type="dxa"/>
              <w:bottom w:w="55" w:type="dxa"/>
              <w:end w:w="65" w:type="dxa"/>
            </w:tcMar>
          </w:tcPr>
          <w:p>
            <w:pPr>
              <w:spacing w:after="0"/>
            </w:pPr>
            <w:r>
              <w:rPr>
                <w:sz w:val="16"/>
              </w:rPr>
              <w:t>Incorrect. A universal promise of individual secrecy may conflict with the established conjoint-treatment policy.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Tell the other partner everything before assessing the content or the service agreement.</w:t>
            </w:r>
          </w:p>
        </w:tc>
        <w:tc>
          <w:tcPr>
            <w:tcW w:type="dxa" w:w="3485"/>
            <w:vAlign w:val="center"/>
            <w:tcMar>
              <w:top w:w="55" w:type="dxa"/>
              <w:start w:w="65" w:type="dxa"/>
              <w:bottom w:w="55" w:type="dxa"/>
              <w:end w:w="65" w:type="dxa"/>
            </w:tcMar>
          </w:tcPr>
          <w:p>
            <w:pPr>
              <w:spacing w:after="0"/>
            </w:pPr>
            <w:r>
              <w:rPr>
                <w:sz w:val="16"/>
              </w:rPr>
              <w:t>Incorrect. Immediate disclosure to the other partner without assessing content, safety, and the agreement may violate confidentiality.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Pause and review the previously explained policy on individual communications, confidentiality, safety exceptions, and how secrets affect the conjoint service before accepting or using the information.</w:t>
            </w:r>
          </w:p>
        </w:tc>
        <w:tc>
          <w:tcPr>
            <w:tcW w:type="dxa" w:w="3485"/>
            <w:shd w:fill="EAF7F7"/>
            <w:vAlign w:val="center"/>
            <w:tcMar>
              <w:top w:w="55" w:type="dxa"/>
              <w:start w:w="65" w:type="dxa"/>
              <w:bottom w:w="55" w:type="dxa"/>
              <w:end w:w="65" w:type="dxa"/>
            </w:tcMar>
          </w:tcPr>
          <w:p>
            <w:pPr>
              <w:spacing w:after="0"/>
            </w:pPr>
            <w:r>
              <w:rPr>
                <w:sz w:val="16"/>
              </w:rPr>
              <w:t>Correct. This choice returns to the informed service policy before accepting or acting on the secret.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End conjoint treatment automatically whenever one participant requests privacy.</w:t>
            </w:r>
          </w:p>
        </w:tc>
        <w:tc>
          <w:tcPr>
            <w:tcW w:type="dxa" w:w="3485"/>
            <w:vAlign w:val="center"/>
            <w:tcMar>
              <w:top w:w="55" w:type="dxa"/>
              <w:start w:w="65" w:type="dxa"/>
              <w:bottom w:w="55" w:type="dxa"/>
              <w:end w:w="65" w:type="dxa"/>
            </w:tcMar>
          </w:tcPr>
          <w:p>
            <w:pPr>
              <w:spacing w:after="0"/>
            </w:pPr>
            <w:r>
              <w:rPr>
                <w:sz w:val="16"/>
              </w:rPr>
              <w:t>Incorrect. One request for privacy does not automatically require termination of conjoint treatment.</w:t>
            </w:r>
          </w:p>
        </w:tc>
      </w:tr>
    </w:tbl>
    <w:p>
      <w:pPr>
        <w:pStyle w:val="Heading2"/>
      </w:pPr>
      <w:r>
        <w:t>Why the Key Controls</w:t>
      </w:r>
    </w:p>
    <w:p>
      <w:r>
        <w:t>Before receiving or using an individual secret in conjoint treatment, the LCSW should pause and review the previously explained policy for individual communications, confidentiality, safety exceptions, and the effect of secrets on the conjoint service.</w:t>
      </w:r>
    </w:p>
    <w:p>
      <w:pPr>
        <w:pStyle w:val="Heading2"/>
      </w:pPr>
      <w:r>
        <w:t>CTA Exam Strategy</w:t>
      </w:r>
    </w:p>
    <w:p>
      <w:r>
        <w:t>When secrets arise in conjoint care, return to the disclosed policy before promising, disclosing, or ending treatment.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Individual secrets during conjoint treatment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CONJOINT-SECRETS</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1.03, 1.06, 1.07, and 1.08</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40 - Controlled Rationale</w:t>
      </w:r>
    </w:p>
    <w:p>
      <w:r>
        <w:rPr>
          <w:b/>
        </w:rPr>
        <w:t xml:space="preserve">Item ID: </w:t>
      </w:r>
      <w:r>
        <w:t>CTA-EP-002-CUM-B-040</w:t>
      </w:r>
    </w:p>
    <w:p>
      <w:r>
        <w:rPr>
          <w:b/>
        </w:rPr>
        <w:t xml:space="preserve">Stem: </w:t>
      </w:r>
      <w:r>
        <w:t>A 16-year-old who lawfully consented to outpatient mental-health treatment asks to inspect the record of that treatment. What should the LCSW do FIRST?</w:t>
      </w:r>
    </w:p>
    <w:p>
      <w:r>
        <w:rPr>
          <w:b/>
          <w:color w:val="1AA6A6"/>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A</w:t>
            </w:r>
          </w:p>
        </w:tc>
        <w:tc>
          <w:tcPr>
            <w:tcW w:type="dxa" w:w="3485"/>
            <w:shd w:fill="EAF7F7"/>
            <w:vAlign w:val="center"/>
            <w:tcMar>
              <w:top w:w="55" w:type="dxa"/>
              <w:start w:w="65" w:type="dxa"/>
              <w:bottom w:w="55" w:type="dxa"/>
              <w:end w:w="65" w:type="dxa"/>
            </w:tcMar>
          </w:tcPr>
          <w:p>
            <w:pPr>
              <w:spacing w:after="0"/>
            </w:pPr>
            <w:r>
              <w:rPr>
                <w:sz w:val="16"/>
              </w:rPr>
              <w:t>Determine the minor’s lawful consent and access rights and any applicable exception, verify identity reasonably, and respond within the required access process for records relating to that self-consented care.</w:t>
            </w:r>
          </w:p>
        </w:tc>
        <w:tc>
          <w:tcPr>
            <w:tcW w:type="dxa" w:w="3485"/>
            <w:shd w:fill="EAF7F7"/>
            <w:vAlign w:val="center"/>
            <w:tcMar>
              <w:top w:w="55" w:type="dxa"/>
              <w:start w:w="65" w:type="dxa"/>
              <w:bottom w:w="55" w:type="dxa"/>
              <w:end w:w="65" w:type="dxa"/>
            </w:tcMar>
          </w:tcPr>
          <w:p>
            <w:pPr>
              <w:spacing w:after="0"/>
            </w:pPr>
            <w:r>
              <w:rPr>
                <w:sz w:val="16"/>
              </w:rPr>
              <w:t>Correct. This response begins with the fact-specific minor-consent and access analysis rather than an automatic parent or minor rule.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Deny the request because no minor may inspect any health record.</w:t>
            </w:r>
          </w:p>
        </w:tc>
        <w:tc>
          <w:tcPr>
            <w:tcW w:type="dxa" w:w="3485"/>
            <w:vAlign w:val="center"/>
            <w:tcMar>
              <w:top w:w="55" w:type="dxa"/>
              <w:start w:w="65" w:type="dxa"/>
              <w:bottom w:w="55" w:type="dxa"/>
              <w:end w:w="65" w:type="dxa"/>
            </w:tcMar>
          </w:tcPr>
          <w:p>
            <w:pPr>
              <w:spacing w:after="0"/>
            </w:pPr>
            <w:r>
              <w:rPr>
                <w:sz w:val="16"/>
              </w:rPr>
              <w:t>Incorrect. California does not impose a universal rule that no minor may inspect any health record.</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Release the record only to the parent because parents always hold exclusive access rights.</w:t>
            </w:r>
          </w:p>
        </w:tc>
        <w:tc>
          <w:tcPr>
            <w:tcW w:type="dxa" w:w="3485"/>
            <w:vAlign w:val="center"/>
            <w:tcMar>
              <w:top w:w="55" w:type="dxa"/>
              <w:start w:w="65" w:type="dxa"/>
              <w:bottom w:w="55" w:type="dxa"/>
              <w:end w:w="65" w:type="dxa"/>
            </w:tcMar>
          </w:tcPr>
          <w:p>
            <w:pPr>
              <w:spacing w:after="0"/>
            </w:pPr>
            <w:r>
              <w:rPr>
                <w:sz w:val="16"/>
              </w:rPr>
              <w:t>Incorrect. Parents do not always hold exclusive access rights to records of lawfully self-consented care.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Destroy the record to avoid conflict between the minor and parent.</w:t>
            </w:r>
          </w:p>
        </w:tc>
        <w:tc>
          <w:tcPr>
            <w:tcW w:type="dxa" w:w="3485"/>
            <w:vAlign w:val="center"/>
            <w:tcMar>
              <w:top w:w="55" w:type="dxa"/>
              <w:start w:w="65" w:type="dxa"/>
              <w:bottom w:w="55" w:type="dxa"/>
              <w:end w:w="65" w:type="dxa"/>
            </w:tcMar>
          </w:tcPr>
          <w:p>
            <w:pPr>
              <w:spacing w:after="0"/>
            </w:pPr>
            <w:r>
              <w:rPr>
                <w:sz w:val="16"/>
              </w:rPr>
              <w:t>Incorrect. Destroying the record is unlawful and eliminates clinically necessary documentation.</w:t>
            </w:r>
          </w:p>
        </w:tc>
      </w:tr>
    </w:tbl>
    <w:p>
      <w:pPr>
        <w:pStyle w:val="Heading2"/>
      </w:pPr>
      <w:r>
        <w:t>Why the Key Controls</w:t>
      </w:r>
    </w:p>
    <w:p>
      <w:r>
        <w:t>A minor who lawfully consented to the treatment may have access rights to records of that care. The LCSW should verify the legal consent and access status, consider any exception, verify identity reasonably, and follow the statutory access process.</w:t>
      </w:r>
    </w:p>
    <w:p>
      <w:pPr>
        <w:pStyle w:val="Heading2"/>
      </w:pPr>
      <w:r>
        <w:t>CTA Exam Strategy</w:t>
      </w:r>
    </w:p>
    <w:p>
      <w:r>
        <w:t>Minor record-access questions require a fact-specific consent and exception analysis; avoid absolute parent-only or no-minor rules.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Minor access to records for self-consented treatment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MINOR-RECORD-ACCESS</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California Health and Safety Code 123110 and applicable minor-consent and access exceptions</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41 - Controlled Rationale</w:t>
      </w:r>
    </w:p>
    <w:p>
      <w:r>
        <w:rPr>
          <w:b/>
        </w:rPr>
        <w:t xml:space="preserve">Item ID: </w:t>
      </w:r>
      <w:r>
        <w:t>CTA-EP-002-CUM-B-041</w:t>
      </w:r>
    </w:p>
    <w:p>
      <w:r>
        <w:rPr>
          <w:b/>
        </w:rPr>
        <w:t xml:space="preserve">Stem: </w:t>
      </w:r>
      <w:r>
        <w:t>A graduate observer wants to attend one psychotherapy-group session for training. What should occur FIRST?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Allow attendance because the observer is affiliated with the clinic.</w:t>
            </w:r>
          </w:p>
        </w:tc>
        <w:tc>
          <w:tcPr>
            <w:tcW w:type="dxa" w:w="3485"/>
            <w:vAlign w:val="center"/>
            <w:tcMar>
              <w:top w:w="55" w:type="dxa"/>
              <w:start w:w="65" w:type="dxa"/>
              <w:bottom w:w="55" w:type="dxa"/>
              <w:end w:w="65" w:type="dxa"/>
            </w:tcMar>
          </w:tcPr>
          <w:p>
            <w:pPr>
              <w:spacing w:after="0"/>
            </w:pPr>
            <w:r>
              <w:rPr>
                <w:sz w:val="16"/>
              </w:rPr>
              <w:t>Incorrect. Clinic affiliation does not itself authorize observation of confidential group treatment.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Explain the observer’s role and purpose and obtain informed consent from the affected clients before the observer enters, while preserving the option to decline without penalty.</w:t>
            </w:r>
          </w:p>
        </w:tc>
        <w:tc>
          <w:tcPr>
            <w:tcW w:type="dxa" w:w="3485"/>
            <w:shd w:fill="EAF7F7"/>
            <w:vAlign w:val="center"/>
            <w:tcMar>
              <w:top w:w="55" w:type="dxa"/>
              <w:start w:w="65" w:type="dxa"/>
              <w:bottom w:w="55" w:type="dxa"/>
              <w:end w:w="65" w:type="dxa"/>
            </w:tcMar>
          </w:tcPr>
          <w:p>
            <w:pPr>
              <w:spacing w:after="0"/>
            </w:pPr>
            <w:r>
              <w:rPr>
                <w:sz w:val="16"/>
              </w:rPr>
              <w:t>Correct. This response obtains meaningful advance consent and protects the right to decline.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Ask for consent after the session so the group discussion remains natural.</w:t>
            </w:r>
          </w:p>
        </w:tc>
        <w:tc>
          <w:tcPr>
            <w:tcW w:type="dxa" w:w="3485"/>
            <w:vAlign w:val="center"/>
            <w:tcMar>
              <w:top w:w="55" w:type="dxa"/>
              <w:start w:w="65" w:type="dxa"/>
              <w:bottom w:w="55" w:type="dxa"/>
              <w:end w:w="65" w:type="dxa"/>
            </w:tcMar>
          </w:tcPr>
          <w:p>
            <w:pPr>
              <w:spacing w:after="0"/>
            </w:pPr>
            <w:r>
              <w:rPr>
                <w:sz w:val="16"/>
              </w:rPr>
              <w:t>Incorrect. Consent after observation cannot retroactively authorize the disclosure.</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Tell members that attendance is required to continue receiving services.</w:t>
            </w:r>
          </w:p>
        </w:tc>
        <w:tc>
          <w:tcPr>
            <w:tcW w:type="dxa" w:w="3485"/>
            <w:vAlign w:val="center"/>
            <w:tcMar>
              <w:top w:w="55" w:type="dxa"/>
              <w:start w:w="65" w:type="dxa"/>
              <w:bottom w:w="55" w:type="dxa"/>
              <w:end w:w="65" w:type="dxa"/>
            </w:tcMar>
          </w:tcPr>
          <w:p>
            <w:pPr>
              <w:spacing w:after="0"/>
            </w:pPr>
            <w:r>
              <w:rPr>
                <w:sz w:val="16"/>
              </w:rPr>
              <w:t>Incorrect. Conditioning continued care on observation makes consent coercive rather than voluntary.</w:t>
            </w:r>
          </w:p>
        </w:tc>
      </w:tr>
    </w:tbl>
    <w:p>
      <w:pPr>
        <w:pStyle w:val="Heading2"/>
      </w:pPr>
      <w:r>
        <w:t>Why the Key Controls</w:t>
      </w:r>
    </w:p>
    <w:p>
      <w:r>
        <w:t>A third-party observer changes privacy and participation conditions. The clinician must explain the observer’s role and purpose and obtain informed consent from affected clients before the observer enters, preserving a genuine ability to decline without penalty.</w:t>
      </w:r>
    </w:p>
    <w:p>
      <w:pPr>
        <w:pStyle w:val="Heading2"/>
      </w:pPr>
      <w:r>
        <w:t>CTA Exam Strategy</w:t>
      </w:r>
    </w:p>
    <w:p>
      <w:r>
        <w:t>Observation consent must be informed, advance, and voluntary; organizational affiliation is not enough.</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Consent before a third-party observer joins group treatment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WB1 - Informed Consent, Minors, and Family Involvement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THIRD-PARTY-OBSERVER</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1.03(f), 1.07, and 1.08</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42 - Controlled Rationale</w:t>
      </w:r>
    </w:p>
    <w:p>
      <w:r>
        <w:rPr>
          <w:b/>
        </w:rPr>
        <w:t xml:space="preserve">Item ID: </w:t>
      </w:r>
      <w:r>
        <w:t>CTA-EP-002-CUM-B-042</w:t>
      </w:r>
    </w:p>
    <w:p>
      <w:r>
        <w:rPr>
          <w:b/>
        </w:rPr>
        <w:t xml:space="preserve">Stem: </w:t>
      </w:r>
      <w:r>
        <w:t>During telehealth, a client reports an active suicide plan but refuses to state the current location. What should the LCSW do FIRST?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End the connection because the location requirement was not followed.</w:t>
            </w:r>
          </w:p>
        </w:tc>
        <w:tc>
          <w:tcPr>
            <w:tcW w:type="dxa" w:w="3485"/>
            <w:vAlign w:val="center"/>
            <w:tcMar>
              <w:top w:w="55" w:type="dxa"/>
              <w:start w:w="65" w:type="dxa"/>
              <w:bottom w:w="55" w:type="dxa"/>
              <w:end w:w="65" w:type="dxa"/>
            </w:tcMar>
          </w:tcPr>
          <w:p>
            <w:pPr>
              <w:spacing w:after="0"/>
            </w:pPr>
            <w:r>
              <w:rPr>
                <w:sz w:val="16"/>
              </w:rPr>
              <w:t>Incorrect. Ending the connection because the client withheld location abandons an active safety assessment.</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Promise absolute confidentiality so the client will continue talking.</w:t>
            </w:r>
          </w:p>
        </w:tc>
        <w:tc>
          <w:tcPr>
            <w:tcW w:type="dxa" w:w="3485"/>
            <w:vAlign w:val="center"/>
            <w:tcMar>
              <w:top w:w="55" w:type="dxa"/>
              <w:start w:w="65" w:type="dxa"/>
              <w:bottom w:w="55" w:type="dxa"/>
              <w:end w:w="65" w:type="dxa"/>
            </w:tcMar>
          </w:tcPr>
          <w:p>
            <w:pPr>
              <w:spacing w:after="0"/>
            </w:pPr>
            <w:r>
              <w:rPr>
                <w:sz w:val="16"/>
              </w:rPr>
              <w:t>Incorrect. Absolute confidentiality cannot be promised during a potentially life-threatening emergency.</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Maintain engagement, attempt to obtain the client’s location and immediate safety information, use available emergency contacts and resources as necessary, and document the response.</w:t>
            </w:r>
          </w:p>
        </w:tc>
        <w:tc>
          <w:tcPr>
            <w:tcW w:type="dxa" w:w="3485"/>
            <w:shd w:fill="EAF7F7"/>
            <w:vAlign w:val="center"/>
            <w:tcMar>
              <w:top w:w="55" w:type="dxa"/>
              <w:start w:w="65" w:type="dxa"/>
              <w:bottom w:w="55" w:type="dxa"/>
              <w:end w:w="65" w:type="dxa"/>
            </w:tcMar>
          </w:tcPr>
          <w:p>
            <w:pPr>
              <w:spacing w:after="0"/>
            </w:pPr>
            <w:r>
              <w:rPr>
                <w:sz w:val="16"/>
              </w:rPr>
              <w:t>Correct. This response preserves engagement, seeks location, mobilizes available safety resources, and documents the actions.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Wait until the next session because emergency action is impossible without voluntary location disclosure.</w:t>
            </w:r>
          </w:p>
        </w:tc>
        <w:tc>
          <w:tcPr>
            <w:tcW w:type="dxa" w:w="3485"/>
            <w:vAlign w:val="center"/>
            <w:tcMar>
              <w:top w:w="55" w:type="dxa"/>
              <w:start w:w="65" w:type="dxa"/>
              <w:bottom w:w="55" w:type="dxa"/>
              <w:end w:w="65" w:type="dxa"/>
            </w:tcMar>
          </w:tcPr>
          <w:p>
            <w:pPr>
              <w:spacing w:after="0"/>
            </w:pPr>
            <w:r>
              <w:rPr>
                <w:sz w:val="16"/>
              </w:rPr>
              <w:t>Incorrect. Emergency action may still be possible through contacts, platform information, or other resources; waiting is unsafe.</w:t>
            </w:r>
          </w:p>
        </w:tc>
      </w:tr>
    </w:tbl>
    <w:p>
      <w:pPr>
        <w:pStyle w:val="Heading2"/>
      </w:pPr>
      <w:r>
        <w:t>Why the Key Controls</w:t>
      </w:r>
    </w:p>
    <w:p>
      <w:r>
        <w:t>An active suicide plan requires continued engagement and efforts to obtain location and safety information. The LCSW should use available emergency contacts and resources as necessary and document the response rather than end the connection or wait.</w:t>
      </w:r>
    </w:p>
    <w:p>
      <w:pPr>
        <w:pStyle w:val="Heading2"/>
      </w:pPr>
      <w:r>
        <w:t>CTA Exam Strategy</w:t>
      </w:r>
    </w:p>
    <w:p>
      <w:r>
        <w:t>When location is withheld during imminent telehealth risk, maintain engagement and use every lawful available route to identify and protect the client.</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Emergency response when a telehealth client withholds location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Applied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TELEHEALTH-LOCATION-EMERGENCY</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16 CCR 1815.5(d)(1); NASW Code 1.01 and 1.07; applicable emergency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43 - Controlled Rationale</w:t>
      </w:r>
    </w:p>
    <w:p>
      <w:r>
        <w:rPr>
          <w:b/>
        </w:rPr>
        <w:t xml:space="preserve">Item ID: </w:t>
      </w:r>
      <w:r>
        <w:t>CTA-EP-002-CUM-B-043</w:t>
      </w:r>
    </w:p>
    <w:p>
      <w:r>
        <w:rPr>
          <w:b/>
        </w:rPr>
        <w:t xml:space="preserve">Stem: </w:t>
      </w:r>
      <w:r>
        <w:t>An LCSW overhears staff discussing identifiable client information in a public elevator. What is the appropriate response?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Join the discussion so the information is clinically accurate.</w:t>
            </w:r>
          </w:p>
        </w:tc>
        <w:tc>
          <w:tcPr>
            <w:tcW w:type="dxa" w:w="3485"/>
            <w:vAlign w:val="center"/>
            <w:tcMar>
              <w:top w:w="55" w:type="dxa"/>
              <w:start w:w="65" w:type="dxa"/>
              <w:bottom w:w="55" w:type="dxa"/>
              <w:end w:w="65" w:type="dxa"/>
            </w:tcMar>
          </w:tcPr>
          <w:p>
            <w:pPr>
              <w:spacing w:after="0"/>
            </w:pPr>
            <w:r>
              <w:rPr>
                <w:sz w:val="16"/>
              </w:rPr>
              <w:t>Incorrect. Joining the discussion increases the disclosure even if the information becomes more accurate.</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Ignore it because the speakers work for the same organization.</w:t>
            </w:r>
          </w:p>
        </w:tc>
        <w:tc>
          <w:tcPr>
            <w:tcW w:type="dxa" w:w="3485"/>
            <w:vAlign w:val="center"/>
            <w:tcMar>
              <w:top w:w="55" w:type="dxa"/>
              <w:start w:w="65" w:type="dxa"/>
              <w:bottom w:w="55" w:type="dxa"/>
              <w:end w:w="65" w:type="dxa"/>
            </w:tcMar>
          </w:tcPr>
          <w:p>
            <w:pPr>
              <w:spacing w:after="0"/>
            </w:pPr>
            <w:r>
              <w:rPr>
                <w:sz w:val="16"/>
              </w:rPr>
              <w:t>Incorrect. Working for the same organization does not make public discussion of identifiable information appropriate.</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Post the staff members’ names online to warn the public.</w:t>
            </w:r>
          </w:p>
        </w:tc>
        <w:tc>
          <w:tcPr>
            <w:tcW w:type="dxa" w:w="3485"/>
            <w:vAlign w:val="center"/>
            <w:tcMar>
              <w:top w:w="55" w:type="dxa"/>
              <w:start w:w="65" w:type="dxa"/>
              <w:bottom w:w="55" w:type="dxa"/>
              <w:end w:w="65" w:type="dxa"/>
            </w:tcMar>
          </w:tcPr>
          <w:p>
            <w:pPr>
              <w:spacing w:after="0"/>
            </w:pPr>
            <w:r>
              <w:rPr>
                <w:sz w:val="16"/>
              </w:rPr>
              <w:t>Incorrect. Publicly naming staff creates another professionalism and privacy problem rather than using proper channels.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Stop or redirect the disclosure, protect the client information, and address the conduct through appropriate supervisory or organizational channels.</w:t>
            </w:r>
          </w:p>
        </w:tc>
        <w:tc>
          <w:tcPr>
            <w:tcW w:type="dxa" w:w="3485"/>
            <w:shd w:fill="EAF7F7"/>
            <w:vAlign w:val="center"/>
            <w:tcMar>
              <w:top w:w="55" w:type="dxa"/>
              <w:start w:w="65" w:type="dxa"/>
              <w:bottom w:w="55" w:type="dxa"/>
              <w:end w:w="65" w:type="dxa"/>
            </w:tcMar>
          </w:tcPr>
          <w:p>
            <w:pPr>
              <w:spacing w:after="0"/>
            </w:pPr>
            <w:r>
              <w:rPr>
                <w:sz w:val="16"/>
              </w:rPr>
              <w:t>Correct. This response contains the disclosure and addresses recurrence through accountable organizational processes.</w:t>
            </w:r>
          </w:p>
        </w:tc>
      </w:tr>
    </w:tbl>
    <w:p>
      <w:pPr>
        <w:pStyle w:val="Heading2"/>
      </w:pPr>
      <w:r>
        <w:t>Why the Key Controls</w:t>
      </w:r>
    </w:p>
    <w:p>
      <w:r>
        <w:t>Identifiable client discussion in a public elevator is an active confidentiality breach risk. The LCSW should stop or redirect the conversation, protect the information, and address the conduct through appropriate supervisory or organizational channels.</w:t>
      </w:r>
    </w:p>
    <w:p>
      <w:pPr>
        <w:pStyle w:val="Heading2"/>
      </w:pPr>
      <w:r>
        <w:t>CTA Exam Strategy</w:t>
      </w:r>
    </w:p>
    <w:p>
      <w:r>
        <w:t>For workplace gossip, contain the disclosure first and then use appropriate internal channels; do not join, ignore, or publicize.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Addressing workplace gossip about clients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Direct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WB8 - Confidentiality, Privacy, and Information Sharing</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WORKPLACE-GOSSIP</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1.07, 2.01, and 2.10; applicable California confidentiality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spacing w:before="0" w:after="40" w:line="230" w:lineRule="auto"/>
      </w:pPr>
      <w:r>
        <w:rPr>
          <w:sz w:val="28"/>
        </w:rPr>
        <w:t>Item 44 - Controlled Rationale</w:t>
      </w:r>
    </w:p>
    <w:p>
      <w:pPr>
        <w:spacing w:before="0" w:after="20" w:line="230" w:lineRule="auto"/>
      </w:pPr>
      <w:r>
        <w:rPr>
          <w:b/>
          <w:sz w:val="18"/>
        </w:rPr>
        <w:t xml:space="preserve">Item ID: </w:t>
      </w:r>
      <w:r>
        <w:rPr>
          <w:sz w:val="18"/>
        </w:rPr>
        <w:t>CTA-EP-002-CUM-B-044</w:t>
      </w:r>
    </w:p>
    <w:p>
      <w:pPr>
        <w:spacing w:before="0" w:after="20" w:line="230" w:lineRule="auto"/>
      </w:pPr>
      <w:r>
        <w:rPr>
          <w:b/>
          <w:sz w:val="18"/>
        </w:rPr>
        <w:t xml:space="preserve">Stem: </w:t>
      </w:r>
      <w:r>
        <w:rPr>
          <w:sz w:val="18"/>
        </w:rPr>
        <w:t>An MSW degree is awarded May 20. The graduate begins otherwise qualifying work at a county agency on May 27, completes the required fingerprinting, and the Board receives a complete ASW application 70 days after the degree. The registration is later issued. Which statement is accurate about the preregistration work?</w:t>
      </w:r>
    </w:p>
    <w:p>
      <w:pPr>
        <w:spacing w:before="0" w:after="20" w:line="230" w:lineRule="auto"/>
      </w:pPr>
      <w:r>
        <w:rPr>
          <w:b/>
          <w:color w:val="1AA6A6"/>
          <w:sz w:val="18"/>
        </w:rPr>
        <w:t>CORRECT ANSWER: A</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Option</w:t>
            </w:r>
          </w:p>
        </w:tc>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Answer choice</w:t>
            </w:r>
          </w:p>
        </w:tc>
        <w:tc>
          <w:tcPr>
            <w:tcW w:type="dxa" w:w="3485"/>
            <w:shd w:fill="17365D"/>
            <w:tcMar>
              <w:top w:w="12" w:type="dxa"/>
              <w:start w:w="28" w:type="dxa"/>
              <w:bottom w:w="12" w:type="dxa"/>
              <w:end w:w="28" w:type="dxa"/>
            </w:tcMar>
            <w:vAlign w:val="center"/>
          </w:tcPr>
          <w:p>
            <w:pPr>
              <w:spacing w:after="0" w:before="0" w:line="226" w:lineRule="auto"/>
            </w:pPr>
            <w:r>
              <w:rPr>
                <w:sz w:val="14"/>
              </w:rPr>
            </w:r>
            <w:r>
              <w:rPr>
                <w:b/>
                <w:color w:val="FFFFFF"/>
                <w:sz w:val="14"/>
              </w:rPr>
              <w:t>Detailed rationale</w:t>
            </w:r>
          </w:p>
        </w:tc>
      </w:tr>
      <w:tr>
        <w:trPr>
          <w:cantSplit/>
        </w:trPr>
        <w:tc>
          <w:tcPr>
            <w:tcW w:type="dxa" w:w="3485"/>
            <w:shd w:fill="EAF7F7"/>
            <w:vAlign w:val="center"/>
            <w:tcMar>
              <w:top w:w="12" w:type="dxa"/>
              <w:start w:w="28" w:type="dxa"/>
              <w:bottom w:w="12" w:type="dxa"/>
              <w:end w:w="28" w:type="dxa"/>
            </w:tcMar>
          </w:tcPr>
          <w:p>
            <w:pPr>
              <w:spacing w:after="0" w:before="0" w:line="226" w:lineRule="auto"/>
              <w:jc w:val="center"/>
            </w:pPr>
            <w:r>
              <w:rPr>
                <w:sz w:val="14"/>
              </w:rPr>
              <w:t>A</w:t>
            </w:r>
          </w:p>
        </w:tc>
        <w:tc>
          <w:tcPr>
            <w:tcW w:type="dxa" w:w="3485"/>
            <w:shd w:fill="EAF7F7"/>
            <w:vAlign w:val="center"/>
            <w:tcMar>
              <w:top w:w="12" w:type="dxa"/>
              <w:start w:w="28" w:type="dxa"/>
              <w:bottom w:w="12" w:type="dxa"/>
              <w:end w:w="28" w:type="dxa"/>
            </w:tcMar>
          </w:tcPr>
          <w:p>
            <w:pPr>
              <w:spacing w:after="0" w:before="0" w:line="226" w:lineRule="auto"/>
            </w:pPr>
            <w:r>
              <w:rPr>
                <w:sz w:val="14"/>
              </w:rPr>
              <w:t>The otherwise qualifying hours may be credited under the limited 90-day rule if all statutory conditions are met, but the graduate could not work in private practice before the registration was issued.</w:t>
            </w:r>
          </w:p>
        </w:tc>
        <w:tc>
          <w:tcPr>
            <w:tcW w:type="dxa" w:w="3485"/>
            <w:shd w:fill="EAF7F7"/>
            <w:vAlign w:val="center"/>
            <w:tcMar>
              <w:top w:w="12" w:type="dxa"/>
              <w:start w:w="28" w:type="dxa"/>
              <w:bottom w:w="12" w:type="dxa"/>
              <w:end w:w="28" w:type="dxa"/>
            </w:tcMar>
          </w:tcPr>
          <w:p>
            <w:pPr>
              <w:spacing w:after="0" w:before="0" w:line="226" w:lineRule="auto"/>
            </w:pPr>
            <w:r>
              <w:rPr>
                <w:sz w:val="14"/>
              </w:rPr>
              <w:t>Correct. This option applies the limited preregistration exception without expanding it to private practice or early use of registered status.</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B</w:t>
            </w:r>
          </w:p>
        </w:tc>
        <w:tc>
          <w:tcPr>
            <w:tcW w:type="dxa" w:w="3485"/>
            <w:vAlign w:val="center"/>
            <w:tcMar>
              <w:top w:w="12" w:type="dxa"/>
              <w:start w:w="28" w:type="dxa"/>
              <w:bottom w:w="12" w:type="dxa"/>
              <w:end w:w="28" w:type="dxa"/>
            </w:tcMar>
          </w:tcPr>
          <w:p>
            <w:pPr>
              <w:spacing w:after="0" w:before="0" w:line="226" w:lineRule="auto"/>
            </w:pPr>
            <w:r>
              <w:rPr>
                <w:sz w:val="14"/>
              </w:rPr>
              <w:t>None of the agency hours can count because every postdegree hour must occur after the registration number is issued.</w:t>
            </w:r>
          </w:p>
        </w:tc>
        <w:tc>
          <w:tcPr>
            <w:tcW w:type="dxa" w:w="3485"/>
            <w:vAlign w:val="center"/>
            <w:tcMar>
              <w:top w:w="12" w:type="dxa"/>
              <w:start w:w="28" w:type="dxa"/>
              <w:bottom w:w="12" w:type="dxa"/>
              <w:end w:w="28" w:type="dxa"/>
            </w:tcMar>
          </w:tcPr>
          <w:p>
            <w:pPr>
              <w:spacing w:after="0" w:before="0" w:line="226" w:lineRule="auto"/>
            </w:pPr>
            <w:r>
              <w:rPr>
                <w:sz w:val="14"/>
              </w:rPr>
              <w:t>Incorrect. The 90-day rule can permit otherwise qualifying agency hours before issuance when all statutory conditions are met.</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C</w:t>
            </w:r>
          </w:p>
        </w:tc>
        <w:tc>
          <w:tcPr>
            <w:tcW w:type="dxa" w:w="3485"/>
            <w:vAlign w:val="center"/>
            <w:tcMar>
              <w:top w:w="12" w:type="dxa"/>
              <w:start w:w="28" w:type="dxa"/>
              <w:bottom w:w="12" w:type="dxa"/>
              <w:end w:w="28" w:type="dxa"/>
            </w:tcMar>
          </w:tcPr>
          <w:p>
            <w:pPr>
              <w:spacing w:after="0" w:before="0" w:line="226" w:lineRule="auto"/>
            </w:pPr>
            <w:r>
              <w:rPr>
                <w:sz w:val="14"/>
              </w:rPr>
              <w:t>All work in any setting, including private practice, automatically counts for 90 days after graduation.</w:t>
            </w:r>
          </w:p>
        </w:tc>
        <w:tc>
          <w:tcPr>
            <w:tcW w:type="dxa" w:w="3485"/>
            <w:vAlign w:val="center"/>
            <w:tcMar>
              <w:top w:w="12" w:type="dxa"/>
              <w:start w:w="28" w:type="dxa"/>
              <w:bottom w:w="12" w:type="dxa"/>
              <w:end w:w="28" w:type="dxa"/>
            </w:tcMar>
          </w:tcPr>
          <w:p>
            <w:pPr>
              <w:spacing w:after="0" w:before="0" w:line="226" w:lineRule="auto"/>
            </w:pPr>
            <w:r>
              <w:rPr>
                <w:sz w:val="14"/>
              </w:rPr>
              <w:t>Incorrect. The exception is not a blanket 90-day authorization for every setting and does not permit preregistration private-practice work.</w:t>
            </w:r>
          </w:p>
        </w:tc>
      </w:tr>
      <w:tr>
        <w:trPr>
          <w:cantSplit/>
        </w:trPr>
        <w:tc>
          <w:tcPr>
            <w:tcW w:type="dxa" w:w="3485"/>
            <w:vAlign w:val="center"/>
            <w:tcMar>
              <w:top w:w="12" w:type="dxa"/>
              <w:start w:w="28" w:type="dxa"/>
              <w:bottom w:w="12" w:type="dxa"/>
              <w:end w:w="28" w:type="dxa"/>
            </w:tcMar>
          </w:tcPr>
          <w:p>
            <w:pPr>
              <w:spacing w:after="0" w:before="0" w:line="226" w:lineRule="auto"/>
              <w:jc w:val="center"/>
            </w:pPr>
            <w:r>
              <w:rPr>
                <w:sz w:val="14"/>
              </w:rPr>
              <w:t>D</w:t>
            </w:r>
          </w:p>
        </w:tc>
        <w:tc>
          <w:tcPr>
            <w:tcW w:type="dxa" w:w="3485"/>
            <w:vAlign w:val="center"/>
            <w:tcMar>
              <w:top w:w="12" w:type="dxa"/>
              <w:start w:w="28" w:type="dxa"/>
              <w:bottom w:w="12" w:type="dxa"/>
              <w:end w:w="28" w:type="dxa"/>
            </w:tcMar>
          </w:tcPr>
          <w:p>
            <w:pPr>
              <w:spacing w:after="0" w:before="0" w:line="226" w:lineRule="auto"/>
            </w:pPr>
            <w:r>
              <w:rPr>
                <w:sz w:val="14"/>
              </w:rPr>
              <w:t>The graduate may advertise as a registered ASW during the 90-day period because the application has been submitted.</w:t>
            </w:r>
          </w:p>
        </w:tc>
        <w:tc>
          <w:tcPr>
            <w:tcW w:type="dxa" w:w="3485"/>
            <w:vAlign w:val="center"/>
            <w:tcMar>
              <w:top w:w="12" w:type="dxa"/>
              <w:start w:w="28" w:type="dxa"/>
              <w:bottom w:w="12" w:type="dxa"/>
              <w:end w:w="28" w:type="dxa"/>
            </w:tcMar>
          </w:tcPr>
          <w:p>
            <w:pPr>
              <w:spacing w:after="0" w:before="0" w:line="226" w:lineRule="auto"/>
            </w:pPr>
            <w:r>
              <w:rPr>
                <w:sz w:val="14"/>
              </w:rPr>
              <w:t>Incorrect. Submission of an application does not authorize use of the registered title before the Board issues the registration.</w:t>
            </w:r>
          </w:p>
        </w:tc>
      </w:tr>
    </w:tbl>
    <w:p>
      <w:pPr>
        <w:pStyle w:val="Heading2"/>
        <w:spacing w:before="40" w:after="0" w:line="230" w:lineRule="auto"/>
      </w:pPr>
      <w:r>
        <w:rPr>
          <w:sz w:val="22"/>
        </w:rPr>
        <w:t>Why the Key Controls</w:t>
      </w:r>
    </w:p>
    <w:p>
      <w:pPr>
        <w:spacing w:before="0" w:after="20" w:line="230" w:lineRule="auto"/>
      </w:pPr>
      <w:r>
        <w:rPr>
          <w:sz w:val="18"/>
        </w:rPr>
        <w:t>The dated facts fit the limited 90-day pathway if all statutory conditions are satisfied: qualifying postdegree work, timely receipt of the complete application, required fingerprinting, later registration issuance, and compliance with experience and supervision rules. Private-practice work cannot begin before registration issuance.</w:t>
      </w:r>
    </w:p>
    <w:p>
      <w:pPr>
        <w:pStyle w:val="Heading2"/>
        <w:spacing w:before="40" w:after="0" w:line="230" w:lineRule="auto"/>
      </w:pPr>
      <w:r>
        <w:rPr>
          <w:sz w:val="22"/>
        </w:rPr>
        <w:t>CTA Exam Strategy</w:t>
      </w:r>
    </w:p>
    <w:p>
      <w:pPr>
        <w:spacing w:before="0" w:after="20" w:line="230" w:lineRule="auto"/>
      </w:pPr>
      <w:r>
        <w:rPr>
          <w:sz w:val="18"/>
        </w:rPr>
        <w:t>Apply every 90-day condition separately: degree date, timely complete application, fingerprinting, lawful setting, qualifying supervision, and later registration issuance.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8" w:type="dxa"/>
              <w:start w:w="25" w:type="dxa"/>
              <w:bottom w:w="8" w:type="dxa"/>
              <w:end w:w="25" w:type="dxa"/>
            </w:tcMar>
          </w:tcPr>
          <w:p>
            <w:pPr>
              <w:spacing w:after="0" w:before="0" w:line="226" w:lineRule="auto"/>
            </w:pPr>
            <w:r>
              <w:rPr>
                <w:sz w:val="14"/>
              </w:rPr>
              <w:t>Primary concept</w:t>
            </w:r>
          </w:p>
        </w:tc>
        <w:tc>
          <w:tcPr>
            <w:tcW w:type="dxa" w:w="5227"/>
            <w:vAlign w:val="center"/>
            <w:tcMar>
              <w:top w:w="8" w:type="dxa"/>
              <w:start w:w="25" w:type="dxa"/>
              <w:bottom w:w="8" w:type="dxa"/>
              <w:end w:w="25" w:type="dxa"/>
            </w:tcMar>
          </w:tcPr>
          <w:p>
            <w:pPr>
              <w:spacing w:after="0" w:before="0" w:line="226" w:lineRule="auto"/>
            </w:pPr>
            <w:r>
              <w:rPr>
                <w:sz w:val="14"/>
              </w:rPr>
              <w:t>Applying the California 90-day preregistration rule to a dated agency scenario</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Official domain</w:t>
            </w:r>
          </w:p>
        </w:tc>
        <w:tc>
          <w:tcPr>
            <w:tcW w:type="dxa" w:w="5227"/>
            <w:shd w:fill="F2F4F7"/>
            <w:vAlign w:val="center"/>
            <w:tcMar>
              <w:top w:w="8" w:type="dxa"/>
              <w:start w:w="25" w:type="dxa"/>
              <w:bottom w:w="8" w:type="dxa"/>
              <w:end w:w="25" w:type="dxa"/>
            </w:tcMar>
          </w:tcPr>
          <w:p>
            <w:pPr>
              <w:spacing w:after="0" w:before="0" w:line="226" w:lineRule="auto"/>
            </w:pPr>
            <w:r>
              <w:rPr>
                <w:sz w:val="14"/>
              </w:rPr>
              <w:t>1C</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Difficulty / construction</w:t>
            </w:r>
          </w:p>
        </w:tc>
        <w:tc>
          <w:tcPr>
            <w:tcW w:type="dxa" w:w="5227"/>
            <w:vAlign w:val="center"/>
            <w:tcMar>
              <w:top w:w="8" w:type="dxa"/>
              <w:start w:w="25" w:type="dxa"/>
              <w:bottom w:w="8" w:type="dxa"/>
              <w:end w:w="25" w:type="dxa"/>
            </w:tcMar>
          </w:tcPr>
          <w:p>
            <w:pPr>
              <w:spacing w:after="0" w:before="0" w:line="226" w:lineRule="auto"/>
            </w:pPr>
            <w:r>
              <w:rPr>
                <w:sz w:val="14"/>
              </w:rPr>
              <w:t>Moderate / Integrated / Direct</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Primary remediation route</w:t>
            </w:r>
          </w:p>
        </w:tc>
        <w:tc>
          <w:tcPr>
            <w:tcW w:type="dxa" w:w="5227"/>
            <w:shd w:fill="F2F4F7"/>
            <w:vAlign w:val="center"/>
            <w:tcMar>
              <w:top w:w="8" w:type="dxa"/>
              <w:start w:w="25" w:type="dxa"/>
              <w:bottom w:w="8" w:type="dxa"/>
              <w:end w:w="25" w:type="dxa"/>
            </w:tcMar>
          </w:tcPr>
          <w:p>
            <w:pPr>
              <w:spacing w:after="0" w:before="0" w:line="226" w:lineRule="auto"/>
            </w:pPr>
            <w:r>
              <w:rPr>
                <w:sz w:val="14"/>
              </w:rPr>
              <w:t>LCSW/ASW License-Specific Module</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Error-log category</w:t>
            </w:r>
          </w:p>
        </w:tc>
        <w:tc>
          <w:tcPr>
            <w:tcW w:type="dxa" w:w="5227"/>
            <w:vAlign w:val="center"/>
            <w:tcMar>
              <w:top w:w="8" w:type="dxa"/>
              <w:start w:w="25" w:type="dxa"/>
              <w:bottom w:w="8" w:type="dxa"/>
              <w:end w:w="25" w:type="dxa"/>
            </w:tcMar>
          </w:tcPr>
          <w:p>
            <w:pPr>
              <w:spacing w:after="0" w:before="0" w:line="226" w:lineRule="auto"/>
            </w:pPr>
            <w:r>
              <w:rPr>
                <w:sz w:val="14"/>
              </w:rPr>
              <w:t>NINETY-DAY-RULE</w:t>
            </w:r>
          </w:p>
        </w:tc>
      </w:tr>
      <w:tr>
        <w:trPr>
          <w:cantSplit/>
        </w:trPr>
        <w:tc>
          <w:tcPr>
            <w:tcW w:type="dxa" w:w="5227"/>
            <w:shd w:fill="F2F4F7"/>
            <w:vAlign w:val="center"/>
            <w:tcMar>
              <w:top w:w="8" w:type="dxa"/>
              <w:start w:w="25" w:type="dxa"/>
              <w:bottom w:w="8" w:type="dxa"/>
              <w:end w:w="25" w:type="dxa"/>
            </w:tcMar>
          </w:tcPr>
          <w:p>
            <w:pPr>
              <w:spacing w:after="0" w:before="0" w:line="226" w:lineRule="auto"/>
            </w:pPr>
            <w:r>
              <w:rPr>
                <w:sz w:val="14"/>
              </w:rPr>
              <w:t>Primary source control</w:t>
            </w:r>
          </w:p>
        </w:tc>
        <w:tc>
          <w:tcPr>
            <w:tcW w:type="dxa" w:w="5227"/>
            <w:shd w:fill="F2F4F7"/>
            <w:vAlign w:val="center"/>
            <w:tcMar>
              <w:top w:w="8" w:type="dxa"/>
              <w:start w:w="25" w:type="dxa"/>
              <w:bottom w:w="8" w:type="dxa"/>
              <w:end w:w="25" w:type="dxa"/>
            </w:tcMar>
          </w:tcPr>
          <w:p>
            <w:pPr>
              <w:spacing w:after="0" w:before="0" w:line="226" w:lineRule="auto"/>
            </w:pPr>
            <w:r>
              <w:rPr>
                <w:sz w:val="14"/>
              </w:rPr>
              <w:t>BPC 4996.23(a)-(c); BBS 90-Day Rule guidance</w:t>
            </w:r>
          </w:p>
        </w:tc>
      </w:tr>
      <w:tr>
        <w:trPr>
          <w:cantSplit/>
        </w:trPr>
        <w:tc>
          <w:tcPr>
            <w:tcW w:type="dxa" w:w="5227"/>
            <w:vAlign w:val="center"/>
            <w:tcMar>
              <w:top w:w="8" w:type="dxa"/>
              <w:start w:w="25" w:type="dxa"/>
              <w:bottom w:w="8" w:type="dxa"/>
              <w:end w:w="25" w:type="dxa"/>
            </w:tcMar>
          </w:tcPr>
          <w:p>
            <w:pPr>
              <w:spacing w:after="0" w:before="0" w:line="226" w:lineRule="auto"/>
            </w:pPr>
            <w:r>
              <w:rPr>
                <w:sz w:val="14"/>
              </w:rPr>
              <w:t>Currency control</w:t>
            </w:r>
          </w:p>
        </w:tc>
        <w:tc>
          <w:tcPr>
            <w:tcW w:type="dxa" w:w="5227"/>
            <w:vAlign w:val="center"/>
            <w:tcMar>
              <w:top w:w="8" w:type="dxa"/>
              <w:start w:w="25" w:type="dxa"/>
              <w:bottom w:w="8" w:type="dxa"/>
              <w:end w:w="25" w:type="dxa"/>
            </w:tcMar>
          </w:tcPr>
          <w:p>
            <w:pPr>
              <w:spacing w:after="0" w:before="0" w:line="226" w:lineRule="auto"/>
            </w:pPr>
            <w:r>
              <w:rPr>
                <w:sz w:val="14"/>
              </w:rPr>
              <w:t>Recheck current California statutes and regulations, BBS Law Changes and forms, and the current NASW Code before LMS lock and within 30 days of public release.</w:t>
            </w:r>
          </w:p>
        </w:tc>
      </w:tr>
    </w:tbl>
    <w:p>
      <w:pPr>
        <w:pStyle w:val="Heading1"/>
        <w:pageBreakBefore/>
      </w:pPr>
      <w:r>
        <w:t>Item 45 - Controlled Rationale</w:t>
      </w:r>
    </w:p>
    <w:p>
      <w:r>
        <w:rPr>
          <w:b/>
        </w:rPr>
        <w:t xml:space="preserve">Item ID: </w:t>
      </w:r>
      <w:r>
        <w:t>CTA-EP-002-CUM-B-045</w:t>
      </w:r>
    </w:p>
    <w:p>
      <w:r>
        <w:rPr>
          <w:b/>
        </w:rPr>
        <w:t xml:space="preserve">Stem: </w:t>
      </w:r>
      <w:r>
        <w:t>An LCSW plans to charge a variable fee based on session length. What is the BEST practice before treatment begins?</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Wait until the first bill because financial matters interfere with rapport.</w:t>
            </w:r>
          </w:p>
        </w:tc>
        <w:tc>
          <w:tcPr>
            <w:tcW w:type="dxa" w:w="3485"/>
            <w:vAlign w:val="center"/>
            <w:tcMar>
              <w:top w:w="55" w:type="dxa"/>
              <w:start w:w="65" w:type="dxa"/>
              <w:bottom w:w="55" w:type="dxa"/>
              <w:end w:w="65" w:type="dxa"/>
            </w:tcMar>
          </w:tcPr>
          <w:p>
            <w:pPr>
              <w:spacing w:after="0"/>
            </w:pPr>
            <w:r>
              <w:rPr>
                <w:sz w:val="16"/>
              </w:rPr>
              <w:t>Incorrect. Waiting for the first bill prevents informed financial choice and invites avoidable disputes.</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Charge any amount the market permits without discussing the calculation.</w:t>
            </w:r>
          </w:p>
        </w:tc>
        <w:tc>
          <w:tcPr>
            <w:tcW w:type="dxa" w:w="3485"/>
            <w:vAlign w:val="center"/>
            <w:tcMar>
              <w:top w:w="55" w:type="dxa"/>
              <w:start w:w="65" w:type="dxa"/>
              <w:bottom w:w="55" w:type="dxa"/>
              <w:end w:w="65" w:type="dxa"/>
            </w:tcMar>
          </w:tcPr>
          <w:p>
            <w:pPr>
              <w:spacing w:after="0"/>
            </w:pPr>
            <w:r>
              <w:rPr>
                <w:sz w:val="16"/>
              </w:rPr>
              <w:t>Incorrect. Market conditions do not eliminate the obligation to explain the fee or calculation.</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Describe the fee only to the insurer because the client is not responsible for informed financial consent.</w:t>
            </w:r>
          </w:p>
        </w:tc>
        <w:tc>
          <w:tcPr>
            <w:tcW w:type="dxa" w:w="3485"/>
            <w:vAlign w:val="center"/>
            <w:tcMar>
              <w:top w:w="55" w:type="dxa"/>
              <w:start w:w="65" w:type="dxa"/>
              <w:bottom w:w="55" w:type="dxa"/>
              <w:end w:w="65" w:type="dxa"/>
            </w:tcMar>
          </w:tcPr>
          <w:p>
            <w:pPr>
              <w:spacing w:after="0"/>
            </w:pPr>
            <w:r>
              <w:rPr>
                <w:sz w:val="16"/>
              </w:rPr>
              <w:t>Incorrect. The client remains entitled to understand the financial arrangement even when an insurer is involved.</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Explain the fee or the clear basis for computing it, relevant billing policies, and foreseeable changes before treatment and document the agreement.</w:t>
            </w:r>
          </w:p>
        </w:tc>
        <w:tc>
          <w:tcPr>
            <w:tcW w:type="dxa" w:w="3485"/>
            <w:shd w:fill="EAF7F7"/>
            <w:vAlign w:val="center"/>
            <w:tcMar>
              <w:top w:w="55" w:type="dxa"/>
              <w:start w:w="65" w:type="dxa"/>
              <w:bottom w:w="55" w:type="dxa"/>
              <w:end w:w="65" w:type="dxa"/>
            </w:tcMar>
          </w:tcPr>
          <w:p>
            <w:pPr>
              <w:spacing w:after="0"/>
            </w:pPr>
            <w:r>
              <w:rPr>
                <w:sz w:val="16"/>
              </w:rPr>
              <w:t>Correct. This choice provides clear advance disclosure, calculation, policy information, and documentation.</w:t>
            </w:r>
          </w:p>
        </w:tc>
      </w:tr>
    </w:tbl>
    <w:p>
      <w:pPr>
        <w:pStyle w:val="Heading2"/>
      </w:pPr>
      <w:r>
        <w:t>Why the Key Controls</w:t>
      </w:r>
    </w:p>
    <w:p>
      <w:r>
        <w:t>Before treatment, the LCSW should explain the fee or a clear method for computing it, relevant billing policies, and foreseeable changes, and document the agreement. Financial consent is part of informed service participation.</w:t>
      </w:r>
    </w:p>
    <w:p>
      <w:pPr>
        <w:pStyle w:val="Heading2"/>
      </w:pPr>
      <w:r>
        <w:t>CTA Exam Strategy</w:t>
      </w:r>
    </w:p>
    <w:p>
      <w:r>
        <w:t>Fee questions favor clear advance terms and a documented calculation method, not surprise billing or insurer-only disclosure.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Fee disclosure before treatment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WB6 - Professional Boundaries, Multiple Relationships, and Exploitation</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FEE-DISCLOSURE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4992.3(o); NASW Code 1.13(a)</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46 - Controlled Rationale</w:t>
      </w:r>
    </w:p>
    <w:p>
      <w:r>
        <w:rPr>
          <w:b/>
        </w:rPr>
        <w:t xml:space="preserve">Item ID: </w:t>
      </w:r>
      <w:r>
        <w:t>CTA-EP-002-CUM-B-046</w:t>
      </w:r>
    </w:p>
    <w:p>
      <w:r>
        <w:rPr>
          <w:b/>
        </w:rPr>
        <w:t xml:space="preserve">Stem: </w:t>
      </w:r>
      <w:r>
        <w:t>An LCSW with new cognitive symptoms insists on maintaining a full crisis caseload and refuses evaluation. Which response is BEST for a clinical director?</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Allow unrestricted practice until a client files a complaint.</w:t>
            </w:r>
          </w:p>
        </w:tc>
        <w:tc>
          <w:tcPr>
            <w:tcW w:type="dxa" w:w="3485"/>
            <w:vAlign w:val="center"/>
            <w:tcMar>
              <w:top w:w="55" w:type="dxa"/>
              <w:start w:w="65" w:type="dxa"/>
              <w:bottom w:w="55" w:type="dxa"/>
              <w:end w:w="65" w:type="dxa"/>
            </w:tcMar>
          </w:tcPr>
          <w:p>
            <w:pPr>
              <w:spacing w:after="0"/>
            </w:pPr>
            <w:r>
              <w:rPr>
                <w:sz w:val="16"/>
              </w:rPr>
              <w:t>Incorrect. Waiting for a complaint permits preventable harm and ignores current performance concerns.</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Prioritize client welfare by assessing performance, arranging appropriate coverage or restrictions, documenting objective concerns, and using employment, consultation, and impairment procedures while supporting remediation.</w:t>
            </w:r>
          </w:p>
        </w:tc>
        <w:tc>
          <w:tcPr>
            <w:tcW w:type="dxa" w:w="3485"/>
            <w:shd w:fill="EAF7F7"/>
            <w:vAlign w:val="center"/>
            <w:tcMar>
              <w:top w:w="55" w:type="dxa"/>
              <w:start w:w="65" w:type="dxa"/>
              <w:bottom w:w="55" w:type="dxa"/>
              <w:end w:w="65" w:type="dxa"/>
            </w:tcMar>
          </w:tcPr>
          <w:p>
            <w:pPr>
              <w:spacing w:after="0"/>
            </w:pPr>
            <w:r>
              <w:rPr>
                <w:sz w:val="16"/>
              </w:rPr>
              <w:t>Correct. This response protects clients while using fair, objective, and supportive impairment procedures.</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Announce the suspected diagnosis to staff and clients before obtaining facts.</w:t>
            </w:r>
          </w:p>
        </w:tc>
        <w:tc>
          <w:tcPr>
            <w:tcW w:type="dxa" w:w="3485"/>
            <w:vAlign w:val="center"/>
            <w:tcMar>
              <w:top w:w="55" w:type="dxa"/>
              <w:start w:w="65" w:type="dxa"/>
              <w:bottom w:w="55" w:type="dxa"/>
              <w:end w:w="65" w:type="dxa"/>
            </w:tcMar>
          </w:tcPr>
          <w:p>
            <w:pPr>
              <w:spacing w:after="0"/>
            </w:pPr>
            <w:r>
              <w:rPr>
                <w:sz w:val="16"/>
              </w:rPr>
              <w:t>Incorrect. Publicly announcing a suspected diagnosis before obtaining facts violates fairness and privacy.</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Terminate every client relationship immediately without continuity planning.</w:t>
            </w:r>
          </w:p>
        </w:tc>
        <w:tc>
          <w:tcPr>
            <w:tcW w:type="dxa" w:w="3485"/>
            <w:vAlign w:val="center"/>
            <w:tcMar>
              <w:top w:w="55" w:type="dxa"/>
              <w:start w:w="65" w:type="dxa"/>
              <w:bottom w:w="55" w:type="dxa"/>
              <w:end w:w="65" w:type="dxa"/>
            </w:tcMar>
          </w:tcPr>
          <w:p>
            <w:pPr>
              <w:spacing w:after="0"/>
            </w:pPr>
            <w:r>
              <w:rPr>
                <w:sz w:val="16"/>
              </w:rPr>
              <w:t>Incorrect. Ending all client relationships without continuity planning may cause additional harm and is not always necessary.</w:t>
            </w:r>
          </w:p>
        </w:tc>
      </w:tr>
    </w:tbl>
    <w:p>
      <w:pPr>
        <w:pStyle w:val="Heading2"/>
      </w:pPr>
      <w:r>
        <w:t>Why the Key Controls</w:t>
      </w:r>
    </w:p>
    <w:p>
      <w:r>
        <w:t>A clinical director must prioritize client welfare when cognitive symptoms may impair crisis work. Appropriate steps include objective performance assessment, coverage or restriction, documentation, consultation and employment procedures, and support for remediation and continuity.</w:t>
      </w:r>
    </w:p>
    <w:p>
      <w:pPr>
        <w:pStyle w:val="Heading2"/>
      </w:pPr>
      <w:r>
        <w:t>CTA Exam Strategy</w:t>
      </w:r>
    </w:p>
    <w:p>
      <w:r>
        <w:t>Impairment management should be objective, protective, proportionate, documented, and continuity-focused—not passive, public, or indiscriminate.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Client welfare when a clinician resists impairment-related limits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Difficult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WB4 - Professional Impairment</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CLINICIAN-IMPAIRMENT-LIMITS</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1.15 and 4.05; BPC 4992.3(c)-(e)</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47 - Controlled Rationale</w:t>
      </w:r>
    </w:p>
    <w:p>
      <w:r>
        <w:rPr>
          <w:b/>
        </w:rPr>
        <w:t xml:space="preserve">Item ID: </w:t>
      </w:r>
      <w:r>
        <w:t>CTA-EP-002-CUM-B-047</w:t>
      </w:r>
    </w:p>
    <w:p>
      <w:r>
        <w:rPr>
          <w:b/>
        </w:rPr>
        <w:t xml:space="preserve">Stem: </w:t>
      </w:r>
      <w:r>
        <w:t>A supervisor concludes that future ASW hours will not be signed because of a correctable performance problem. What should occur NEXT?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Retroactively erase all previously signed weekly logs without reviewing the actual hours.</w:t>
            </w:r>
          </w:p>
        </w:tc>
        <w:tc>
          <w:tcPr>
            <w:tcW w:type="dxa" w:w="3485"/>
            <w:vAlign w:val="center"/>
            <w:tcMar>
              <w:top w:w="55" w:type="dxa"/>
              <w:start w:w="65" w:type="dxa"/>
              <w:bottom w:w="55" w:type="dxa"/>
              <w:end w:w="65" w:type="dxa"/>
            </w:tcMar>
          </w:tcPr>
          <w:p>
            <w:pPr>
              <w:spacing w:after="0"/>
            </w:pPr>
            <w:r>
              <w:rPr>
                <w:sz w:val="16"/>
              </w:rPr>
              <w:t>Incorrect. Previously signed logs should not be erased retroactively without a truthful, fact-specific review.</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Withhold every explanation so the ASW cannot challenge the supervisor’s judgment.</w:t>
            </w:r>
          </w:p>
        </w:tc>
        <w:tc>
          <w:tcPr>
            <w:tcW w:type="dxa" w:w="3485"/>
            <w:vAlign w:val="center"/>
            <w:tcMar>
              <w:top w:w="55" w:type="dxa"/>
              <w:start w:w="65" w:type="dxa"/>
              <w:bottom w:w="55" w:type="dxa"/>
              <w:end w:w="65" w:type="dxa"/>
            </w:tcMar>
          </w:tcPr>
          <w:p>
            <w:pPr>
              <w:spacing w:after="0"/>
            </w:pPr>
            <w:r>
              <w:rPr>
                <w:sz w:val="16"/>
              </w:rPr>
              <w:t>Incorrect. Withholding reasons prevents fair evaluation and meaningful remediation.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Give the required prior written notice for future hours, identify the performance basis and expectations, protect current clients, document remediation, and distinguish future-hour decisions from verification of hours already completed.</w:t>
            </w:r>
          </w:p>
        </w:tc>
        <w:tc>
          <w:tcPr>
            <w:tcW w:type="dxa" w:w="3485"/>
            <w:shd w:fill="EAF7F7"/>
            <w:vAlign w:val="center"/>
            <w:tcMar>
              <w:top w:w="55" w:type="dxa"/>
              <w:start w:w="65" w:type="dxa"/>
              <w:bottom w:w="55" w:type="dxa"/>
              <w:end w:w="65" w:type="dxa"/>
            </w:tcMar>
          </w:tcPr>
          <w:p>
            <w:pPr>
              <w:spacing w:after="0"/>
            </w:pPr>
            <w:r>
              <w:rPr>
                <w:sz w:val="16"/>
              </w:rPr>
              <w:t>Correct. This choice combines notice, clear criteria, client protection, remediation, and accurate experience verification.</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Continue signing indefinitely because negative evaluation is never permitted.</w:t>
            </w:r>
          </w:p>
        </w:tc>
        <w:tc>
          <w:tcPr>
            <w:tcW w:type="dxa" w:w="3485"/>
            <w:vAlign w:val="center"/>
            <w:tcMar>
              <w:top w:w="55" w:type="dxa"/>
              <w:start w:w="65" w:type="dxa"/>
              <w:bottom w:w="55" w:type="dxa"/>
              <w:end w:w="65" w:type="dxa"/>
            </w:tcMar>
          </w:tcPr>
          <w:p>
            <w:pPr>
              <w:spacing w:after="0"/>
            </w:pPr>
            <w:r>
              <w:rPr>
                <w:sz w:val="16"/>
              </w:rPr>
              <w:t>Incorrect. Supervisors may evaluate performance and refuse future hours when lawful procedures and fairness are followed.</w:t>
            </w:r>
          </w:p>
        </w:tc>
      </w:tr>
    </w:tbl>
    <w:p>
      <w:pPr>
        <w:pStyle w:val="Heading2"/>
      </w:pPr>
      <w:r>
        <w:t>Why the Key Controls</w:t>
      </w:r>
    </w:p>
    <w:p>
      <w:r>
        <w:t>When a supervisor will refuse to sign future hours for a correctable problem, the supervisor should provide the required prior written notice, factual basis and expectations, protect clients, document remediation, and keep future-hour decisions distinct from truthful verification of hours already completed.</w:t>
      </w:r>
    </w:p>
    <w:p>
      <w:pPr>
        <w:pStyle w:val="Heading2"/>
      </w:pPr>
      <w:r>
        <w:t>CTA Exam Strategy</w:t>
      </w:r>
    </w:p>
    <w:p>
      <w:r>
        <w:t>Future-hour refusal requires notice and clear criteria; it does not authorize rewriting truthful past records.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Fair notice before refusing to sign future supervised hours</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Integrated / Sequence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WB3 - Professional Competence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FUTURE-HOURS-NOTICE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BBS Supervision Agreement Form 37M-300 revised 05/2026; NASW Code 3.01 and 3.03</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48 - Controlled Rationale</w:t>
      </w:r>
    </w:p>
    <w:p>
      <w:r>
        <w:rPr>
          <w:b/>
        </w:rPr>
        <w:t xml:space="preserve">Item ID: </w:t>
      </w:r>
      <w:r>
        <w:t>CTA-EP-002-CUM-B-048</w:t>
      </w:r>
    </w:p>
    <w:p>
      <w:r>
        <w:rPr>
          <w:b/>
        </w:rPr>
        <w:t xml:space="preserve">Stem: </w:t>
      </w:r>
      <w:r>
        <w:t>An LCSW wants to use an immersive virtual-reality intervention that the clinician has never studied. Which response is MOST appropriate?</w:t>
      </w:r>
    </w:p>
    <w:p>
      <w:r>
        <w:rPr>
          <w:b/>
          <w:color w:val="1AA6A6"/>
        </w:rPr>
        <w:t>CORRECT ANSWER: D</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Use it immediately because technology companies are responsible for clinical safety.</w:t>
            </w:r>
          </w:p>
        </w:tc>
        <w:tc>
          <w:tcPr>
            <w:tcW w:type="dxa" w:w="3485"/>
            <w:vAlign w:val="center"/>
            <w:tcMar>
              <w:top w:w="55" w:type="dxa"/>
              <w:start w:w="65" w:type="dxa"/>
              <w:bottom w:w="55" w:type="dxa"/>
              <w:end w:w="65" w:type="dxa"/>
            </w:tcMar>
          </w:tcPr>
          <w:p>
            <w:pPr>
              <w:spacing w:after="0"/>
            </w:pPr>
            <w:r>
              <w:rPr>
                <w:sz w:val="16"/>
              </w:rPr>
              <w:t>Incorrect. A technology company does not assume the clinician’s responsibility for evidence, competence, and client safety.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Ask the client to teach the clinician how the intervention works.</w:t>
            </w:r>
          </w:p>
        </w:tc>
        <w:tc>
          <w:tcPr>
            <w:tcW w:type="dxa" w:w="3485"/>
            <w:vAlign w:val="center"/>
            <w:tcMar>
              <w:top w:w="55" w:type="dxa"/>
              <w:start w:w="65" w:type="dxa"/>
              <w:bottom w:w="55" w:type="dxa"/>
              <w:end w:w="65" w:type="dxa"/>
            </w:tcMar>
          </w:tcPr>
          <w:p>
            <w:pPr>
              <w:spacing w:after="0"/>
            </w:pPr>
            <w:r>
              <w:rPr>
                <w:sz w:val="16"/>
              </w:rPr>
              <w:t>Incorrect. A client may describe experience with technology but cannot train the clinician in clinical competence and risk management.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Avoid documenting the intervention until the clinician becomes comfortable with it.</w:t>
            </w:r>
          </w:p>
        </w:tc>
        <w:tc>
          <w:tcPr>
            <w:tcW w:type="dxa" w:w="3485"/>
            <w:vAlign w:val="center"/>
            <w:tcMar>
              <w:top w:w="55" w:type="dxa"/>
              <w:start w:w="65" w:type="dxa"/>
              <w:bottom w:w="55" w:type="dxa"/>
              <w:end w:w="65" w:type="dxa"/>
            </w:tcMar>
          </w:tcPr>
          <w:p>
            <w:pPr>
              <w:spacing w:after="0"/>
            </w:pPr>
            <w:r>
              <w:rPr>
                <w:sz w:val="16"/>
              </w:rPr>
              <w:t>Incorrect. Omitting documentation conceals rather than resolves incompetent practice.</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D</w:t>
            </w:r>
          </w:p>
        </w:tc>
        <w:tc>
          <w:tcPr>
            <w:tcW w:type="dxa" w:w="3485"/>
            <w:shd w:fill="EAF7F7"/>
            <w:vAlign w:val="center"/>
            <w:tcMar>
              <w:top w:w="55" w:type="dxa"/>
              <w:start w:w="65" w:type="dxa"/>
              <w:bottom w:w="55" w:type="dxa"/>
              <w:end w:w="65" w:type="dxa"/>
            </w:tcMar>
          </w:tcPr>
          <w:p>
            <w:pPr>
              <w:spacing w:after="0"/>
            </w:pPr>
            <w:r>
              <w:rPr>
                <w:sz w:val="16"/>
              </w:rPr>
              <w:t>Obtain relevant education and consultation, evaluate evidence and risks, determine client appropriateness and accessibility, and obtain informed consent before using the intervention within demonstrated competence.</w:t>
            </w:r>
          </w:p>
        </w:tc>
        <w:tc>
          <w:tcPr>
            <w:tcW w:type="dxa" w:w="3485"/>
            <w:shd w:fill="EAF7F7"/>
            <w:vAlign w:val="center"/>
            <w:tcMar>
              <w:top w:w="55" w:type="dxa"/>
              <w:start w:w="65" w:type="dxa"/>
              <w:bottom w:w="55" w:type="dxa"/>
              <w:end w:w="65" w:type="dxa"/>
            </w:tcMar>
          </w:tcPr>
          <w:p>
            <w:pPr>
              <w:spacing w:after="0"/>
            </w:pPr>
            <w:r>
              <w:rPr>
                <w:sz w:val="16"/>
              </w:rPr>
              <w:t>Correct. This response establishes competence, evidence, appropriateness, access, and consent before implementation.</w:t>
            </w:r>
          </w:p>
        </w:tc>
      </w:tr>
    </w:tbl>
    <w:p>
      <w:pPr>
        <w:pStyle w:val="Heading2"/>
      </w:pPr>
      <w:r>
        <w:t>Why the Key Controls</w:t>
      </w:r>
    </w:p>
    <w:p>
      <w:r>
        <w:t>A new immersive intervention requires education, consultation, evidence and risk review, client-specific appropriateness and accessibility assessment, and informed consent before use within demonstrated competence.</w:t>
      </w:r>
    </w:p>
    <w:p>
      <w:pPr>
        <w:pStyle w:val="Heading2"/>
      </w:pPr>
      <w:r>
        <w:t>CTA Exam Strategy</w:t>
      </w:r>
    </w:p>
    <w:p>
      <w:r>
        <w:t>New technology does not relax competence standards; evaluate evidence, training, risk, accessibility, and consent before use.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Competence before a new technology-based intervention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2A</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Moderate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WB2 - Telehealth Law and Ethics</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VR-INTERVENTION-COMPETENCE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1.03 and 1.04; BPC 4992.3(t)</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49 - Controlled Rationale</w:t>
      </w:r>
    </w:p>
    <w:p>
      <w:r>
        <w:rPr>
          <w:b/>
        </w:rPr>
        <w:t xml:space="preserve">Item ID: </w:t>
      </w:r>
      <w:r>
        <w:t>CTA-EP-002-CUM-B-049</w:t>
      </w:r>
    </w:p>
    <w:p>
      <w:r>
        <w:rPr>
          <w:b/>
        </w:rPr>
        <w:t xml:space="preserve">Stem: </w:t>
      </w:r>
      <w:r>
        <w:t>After a thorough assessment, an adult client reports recurring suicidal thoughts but no current intent, plan, means, or inability to maintain safety and asks that family not be contacted. Which response is BEST?</w:t>
      </w:r>
    </w:p>
    <w:p>
      <w:r>
        <w:rPr>
          <w:b/>
          <w:color w:val="1AA6A6"/>
        </w:rPr>
        <w:t>CORRECT ANSWER: C</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Notify the entire family automatically because any suicidal thought eliminates confidentiality.</w:t>
            </w:r>
          </w:p>
        </w:tc>
        <w:tc>
          <w:tcPr>
            <w:tcW w:type="dxa" w:w="3485"/>
            <w:vAlign w:val="center"/>
            <w:tcMar>
              <w:top w:w="55" w:type="dxa"/>
              <w:start w:w="65" w:type="dxa"/>
              <w:bottom w:w="55" w:type="dxa"/>
              <w:end w:w="65" w:type="dxa"/>
            </w:tcMar>
          </w:tcPr>
          <w:p>
            <w:pPr>
              <w:spacing w:after="0"/>
            </w:pPr>
            <w:r>
              <w:rPr>
                <w:sz w:val="16"/>
              </w:rPr>
              <w:t>Incorrect. Suicidal thoughts do not automatically eliminate confidentiality or justify notifying the entire family.</w:t>
            </w:r>
          </w:p>
        </w:tc>
      </w:tr>
      <w:tr>
        <w:trPr>
          <w:cantSplit/>
        </w:trPr>
        <w:tc>
          <w:tcPr>
            <w:tcW w:type="dxa" w:w="3485"/>
            <w:vAlign w:val="center"/>
            <w:tcMar>
              <w:top w:w="55" w:type="dxa"/>
              <w:start w:w="65" w:type="dxa"/>
              <w:bottom w:w="55" w:type="dxa"/>
              <w:end w:w="65" w:type="dxa"/>
            </w:tcMar>
          </w:tcPr>
          <w:p>
            <w:pPr>
              <w:spacing w:after="0"/>
              <w:jc w:val="center"/>
            </w:pPr>
            <w:r>
              <w:rPr>
                <w:sz w:val="16"/>
              </w:rPr>
              <w:t>B</w:t>
            </w:r>
          </w:p>
        </w:tc>
        <w:tc>
          <w:tcPr>
            <w:tcW w:type="dxa" w:w="3485"/>
            <w:vAlign w:val="center"/>
            <w:tcMar>
              <w:top w:w="55" w:type="dxa"/>
              <w:start w:w="65" w:type="dxa"/>
              <w:bottom w:w="55" w:type="dxa"/>
              <w:end w:w="65" w:type="dxa"/>
            </w:tcMar>
          </w:tcPr>
          <w:p>
            <w:pPr>
              <w:spacing w:after="0"/>
            </w:pPr>
            <w:r>
              <w:rPr>
                <w:sz w:val="16"/>
              </w:rPr>
              <w:t>Ignore the thoughts because the client denied a current plan.</w:t>
            </w:r>
          </w:p>
        </w:tc>
        <w:tc>
          <w:tcPr>
            <w:tcW w:type="dxa" w:w="3485"/>
            <w:vAlign w:val="center"/>
            <w:tcMar>
              <w:top w:w="55" w:type="dxa"/>
              <w:start w:w="65" w:type="dxa"/>
              <w:bottom w:w="55" w:type="dxa"/>
              <w:end w:w="65" w:type="dxa"/>
            </w:tcMar>
          </w:tcPr>
          <w:p>
            <w:pPr>
              <w:spacing w:after="0"/>
            </w:pPr>
            <w:r>
              <w:rPr>
                <w:sz w:val="16"/>
              </w:rPr>
              <w:t>Incorrect. The absence of a current plan does not make recurring suicidal ideation clinically irrelevant.</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C</w:t>
            </w:r>
          </w:p>
        </w:tc>
        <w:tc>
          <w:tcPr>
            <w:tcW w:type="dxa" w:w="3485"/>
            <w:shd w:fill="EAF7F7"/>
            <w:vAlign w:val="center"/>
            <w:tcMar>
              <w:top w:w="55" w:type="dxa"/>
              <w:start w:w="65" w:type="dxa"/>
              <w:bottom w:w="55" w:type="dxa"/>
              <w:end w:w="65" w:type="dxa"/>
            </w:tcMar>
          </w:tcPr>
          <w:p>
            <w:pPr>
              <w:spacing w:after="0"/>
            </w:pPr>
            <w:r>
              <w:rPr>
                <w:sz w:val="16"/>
              </w:rPr>
              <w:t>Continue clinically appropriate assessment and safety planning, discuss supports and follow-up, respect confidentiality absent a sufficient legal or safety basis for disclosure, and document the reasoning.</w:t>
            </w:r>
          </w:p>
        </w:tc>
        <w:tc>
          <w:tcPr>
            <w:tcW w:type="dxa" w:w="3485"/>
            <w:shd w:fill="EAF7F7"/>
            <w:vAlign w:val="center"/>
            <w:tcMar>
              <w:top w:w="55" w:type="dxa"/>
              <w:start w:w="65" w:type="dxa"/>
              <w:bottom w:w="55" w:type="dxa"/>
              <w:end w:w="65" w:type="dxa"/>
            </w:tcMar>
          </w:tcPr>
          <w:p>
            <w:pPr>
              <w:spacing w:after="0"/>
            </w:pPr>
            <w:r>
              <w:rPr>
                <w:sz w:val="16"/>
              </w:rPr>
              <w:t>Correct. This choice balances ongoing safety care, client participation, confidentiality, and documentation based on the assessed facts.</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Terminate treatment because the client declined family involvement.</w:t>
            </w:r>
          </w:p>
        </w:tc>
        <w:tc>
          <w:tcPr>
            <w:tcW w:type="dxa" w:w="3485"/>
            <w:vAlign w:val="center"/>
            <w:tcMar>
              <w:top w:w="55" w:type="dxa"/>
              <w:start w:w="65" w:type="dxa"/>
              <w:bottom w:w="55" w:type="dxa"/>
              <w:end w:w="65" w:type="dxa"/>
            </w:tcMar>
          </w:tcPr>
          <w:p>
            <w:pPr>
              <w:spacing w:after="0"/>
            </w:pPr>
            <w:r>
              <w:rPr>
                <w:sz w:val="16"/>
              </w:rPr>
              <w:t>Incorrect. Declining family involvement does not by itself justify termination or abandonment.</w:t>
            </w:r>
          </w:p>
        </w:tc>
      </w:tr>
    </w:tbl>
    <w:p>
      <w:pPr>
        <w:pStyle w:val="Heading2"/>
      </w:pPr>
      <w:r>
        <w:t>Why the Key Controls</w:t>
      </w:r>
    </w:p>
    <w:p>
      <w:r>
        <w:t>Recurring suicidal ideation without current intent, plan, means, or inability to maintain safety requires continued assessment, safety planning, support discussion, follow-up, confidentiality analysis, and documentation. It does not automatically justify family disclosure or dismissal of the risk.</w:t>
      </w:r>
    </w:p>
    <w:p>
      <w:pPr>
        <w:pStyle w:val="Heading2"/>
      </w:pPr>
      <w:r>
        <w:t>CTA Exam Strategy</w:t>
      </w:r>
    </w:p>
    <w:p>
      <w:r>
        <w:t>Match the response to the assessed level of risk: neither automatic disclosure nor minimization is appropriate.</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Confidential response to nonimminent suicidal ideation</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1B</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Integrated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WB5 - Preventing Harm and Promoting Client Welfare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NONIMMINENT-SUICIDAL-IDEATION</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NASW Code 1.01, 1.02, and 1.07; applicable California safety and confidentiality law</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Item 50 - Controlled Rationale</w:t>
      </w:r>
    </w:p>
    <w:p>
      <w:r>
        <w:rPr>
          <w:b/>
        </w:rPr>
        <w:t xml:space="preserve">Item ID: </w:t>
      </w:r>
      <w:r>
        <w:t>CTA-EP-002-CUM-B-050</w:t>
      </w:r>
    </w:p>
    <w:p>
      <w:r>
        <w:rPr>
          <w:b/>
        </w:rPr>
        <w:t xml:space="preserve">Stem: </w:t>
      </w:r>
      <w:r>
        <w:t>A supervisor schedules one two-hour group-supervision meeting for 10 ASWs who are gaining clinical experience. Which response is BEST?</w:t>
      </w:r>
    </w:p>
    <w:p>
      <w:r>
        <w:rPr>
          <w:b/>
          <w:color w:val="1AA6A6"/>
        </w:rPr>
        <w:t>CORRECT ANSWER: B</w:t>
      </w:r>
    </w:p>
    <w:tbl>
      <w:tblPr>
        <w:tblStyle w:val="TableGrid"/>
        <w:tblW w:type="auto" w:w="0"/>
        <w:jc w:val="center"/>
        <w:tblLook w:firstColumn="1" w:firstRow="1" w:lastColumn="0" w:lastRow="0" w:noHBand="0" w:noVBand="1" w:val="04A0"/>
      </w:tblPr>
      <w:tblGrid>
        <w:gridCol w:w="3485"/>
        <w:gridCol w:w="3485"/>
        <w:gridCol w:w="3485"/>
      </w:tblGrid>
      <w:tr>
        <w:trPr>
          <w:tblHeader w:val="true"/>
          <w:cantSplit/>
        </w:trPr>
        <w:tc>
          <w:tcPr>
            <w:tcW w:type="dxa" w:w="3485"/>
            <w:shd w:fill="17365D"/>
            <w:tcMar>
              <w:top w:w="55" w:type="dxa"/>
              <w:start w:w="65" w:type="dxa"/>
              <w:bottom w:w="55" w:type="dxa"/>
              <w:end w:w="65" w:type="dxa"/>
            </w:tcMar>
            <w:vAlign w:val="center"/>
          </w:tcPr>
          <w:p>
            <w:pPr>
              <w:spacing w:after="0"/>
            </w:pPr>
            <w:r>
              <w:rPr>
                <w:sz w:val="16"/>
              </w:rPr>
            </w:r>
            <w:r>
              <w:rPr>
                <w:b/>
                <w:color w:val="FFFFFF"/>
                <w:sz w:val="16"/>
              </w:rPr>
              <w:t>Option</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Answer choice</w:t>
            </w:r>
          </w:p>
        </w:tc>
        <w:tc>
          <w:tcPr>
            <w:tcW w:type="dxa" w:w="3485"/>
            <w:shd w:fill="17365D"/>
            <w:tcMar>
              <w:top w:w="55" w:type="dxa"/>
              <w:start w:w="65" w:type="dxa"/>
              <w:bottom w:w="55" w:type="dxa"/>
              <w:end w:w="65" w:type="dxa"/>
            </w:tcMar>
            <w:vAlign w:val="center"/>
          </w:tcPr>
          <w:p>
            <w:pPr>
              <w:spacing w:after="0"/>
            </w:pPr>
            <w:r>
              <w:rPr>
                <w:sz w:val="16"/>
              </w:rPr>
            </w:r>
            <w:r>
              <w:rPr>
                <w:b/>
                <w:color w:val="FFFFFF"/>
                <w:sz w:val="16"/>
              </w:rPr>
              <w:t>Detailed rationale</w:t>
            </w:r>
          </w:p>
        </w:tc>
      </w:tr>
      <w:tr>
        <w:trPr>
          <w:cantSplit/>
        </w:trPr>
        <w:tc>
          <w:tcPr>
            <w:tcW w:type="dxa" w:w="3485"/>
            <w:vAlign w:val="center"/>
            <w:tcMar>
              <w:top w:w="55" w:type="dxa"/>
              <w:start w:w="65" w:type="dxa"/>
              <w:bottom w:w="55" w:type="dxa"/>
              <w:end w:w="65" w:type="dxa"/>
            </w:tcMar>
          </w:tcPr>
          <w:p>
            <w:pPr>
              <w:spacing w:after="0"/>
              <w:jc w:val="center"/>
            </w:pPr>
            <w:r>
              <w:rPr>
                <w:sz w:val="16"/>
              </w:rPr>
              <w:t>A</w:t>
            </w:r>
          </w:p>
        </w:tc>
        <w:tc>
          <w:tcPr>
            <w:tcW w:type="dxa" w:w="3485"/>
            <w:vAlign w:val="center"/>
            <w:tcMar>
              <w:top w:w="55" w:type="dxa"/>
              <w:start w:w="65" w:type="dxa"/>
              <w:bottom w:w="55" w:type="dxa"/>
              <w:end w:w="65" w:type="dxa"/>
            </w:tcMar>
          </w:tcPr>
          <w:p>
            <w:pPr>
              <w:spacing w:after="0"/>
            </w:pPr>
            <w:r>
              <w:rPr>
                <w:sz w:val="16"/>
              </w:rPr>
              <w:t>Proceed because the group-size limit applies only to LMFT associates.</w:t>
            </w:r>
          </w:p>
        </w:tc>
        <w:tc>
          <w:tcPr>
            <w:tcW w:type="dxa" w:w="3485"/>
            <w:vAlign w:val="center"/>
            <w:tcMar>
              <w:top w:w="55" w:type="dxa"/>
              <w:start w:w="65" w:type="dxa"/>
              <w:bottom w:w="55" w:type="dxa"/>
              <w:end w:w="65" w:type="dxa"/>
            </w:tcMar>
          </w:tcPr>
          <w:p>
            <w:pPr>
              <w:spacing w:after="0"/>
            </w:pPr>
            <w:r>
              <w:rPr>
                <w:sz w:val="16"/>
              </w:rPr>
              <w:t>Incorrect. The group-size limit applies to ASW clinical supervision, not only to another profession.</w:t>
            </w:r>
          </w:p>
        </w:tc>
      </w:tr>
      <w:tr>
        <w:trPr>
          <w:cantSplit/>
        </w:trPr>
        <w:tc>
          <w:tcPr>
            <w:tcW w:type="dxa" w:w="3485"/>
            <w:shd w:fill="EAF7F7"/>
            <w:vAlign w:val="center"/>
            <w:tcMar>
              <w:top w:w="55" w:type="dxa"/>
              <w:start w:w="65" w:type="dxa"/>
              <w:bottom w:w="55" w:type="dxa"/>
              <w:end w:w="65" w:type="dxa"/>
            </w:tcMar>
          </w:tcPr>
          <w:p>
            <w:pPr>
              <w:spacing w:after="0"/>
              <w:jc w:val="center"/>
            </w:pPr>
            <w:r>
              <w:rPr>
                <w:sz w:val="16"/>
              </w:rPr>
              <w:t>B</w:t>
            </w:r>
          </w:p>
        </w:tc>
        <w:tc>
          <w:tcPr>
            <w:tcW w:type="dxa" w:w="3485"/>
            <w:shd w:fill="EAF7F7"/>
            <w:vAlign w:val="center"/>
            <w:tcMar>
              <w:top w:w="55" w:type="dxa"/>
              <w:start w:w="65" w:type="dxa"/>
              <w:bottom w:w="55" w:type="dxa"/>
              <w:end w:w="65" w:type="dxa"/>
            </w:tcMar>
          </w:tcPr>
          <w:p>
            <w:pPr>
              <w:spacing w:after="0"/>
            </w:pPr>
            <w:r>
              <w:rPr>
                <w:sz w:val="16"/>
              </w:rPr>
              <w:t>Restructure the supervision because a qualifying group-supervision unit is limited to no more than eight supervisees receiving clinical supervision.</w:t>
            </w:r>
          </w:p>
        </w:tc>
        <w:tc>
          <w:tcPr>
            <w:tcW w:type="dxa" w:w="3485"/>
            <w:shd w:fill="EAF7F7"/>
            <w:vAlign w:val="center"/>
            <w:tcMar>
              <w:top w:w="55" w:type="dxa"/>
              <w:start w:w="65" w:type="dxa"/>
              <w:bottom w:w="55" w:type="dxa"/>
              <w:end w:w="65" w:type="dxa"/>
            </w:tcMar>
          </w:tcPr>
          <w:p>
            <w:pPr>
              <w:spacing w:after="0"/>
            </w:pPr>
            <w:r>
              <w:rPr>
                <w:sz w:val="16"/>
              </w:rPr>
              <w:t>Correct. This response preserves the maximum group size for a qualifying supervision unit.</w:t>
            </w:r>
          </w:p>
        </w:tc>
      </w:tr>
      <w:tr>
        <w:trPr>
          <w:cantSplit/>
        </w:trPr>
        <w:tc>
          <w:tcPr>
            <w:tcW w:type="dxa" w:w="3485"/>
            <w:vAlign w:val="center"/>
            <w:tcMar>
              <w:top w:w="55" w:type="dxa"/>
              <w:start w:w="65" w:type="dxa"/>
              <w:bottom w:w="55" w:type="dxa"/>
              <w:end w:w="65" w:type="dxa"/>
            </w:tcMar>
          </w:tcPr>
          <w:p>
            <w:pPr>
              <w:spacing w:after="0"/>
              <w:jc w:val="center"/>
            </w:pPr>
            <w:r>
              <w:rPr>
                <w:sz w:val="16"/>
              </w:rPr>
              <w:t>C</w:t>
            </w:r>
          </w:p>
        </w:tc>
        <w:tc>
          <w:tcPr>
            <w:tcW w:type="dxa" w:w="3485"/>
            <w:vAlign w:val="center"/>
            <w:tcMar>
              <w:top w:w="55" w:type="dxa"/>
              <w:start w:w="65" w:type="dxa"/>
              <w:bottom w:w="55" w:type="dxa"/>
              <w:end w:w="65" w:type="dxa"/>
            </w:tcMar>
          </w:tcPr>
          <w:p>
            <w:pPr>
              <w:spacing w:after="0"/>
            </w:pPr>
            <w:r>
              <w:rPr>
                <w:sz w:val="16"/>
              </w:rPr>
              <w:t>Proceed if all 10 ASWs sign a waiver of individual attention.</w:t>
            </w:r>
          </w:p>
        </w:tc>
        <w:tc>
          <w:tcPr>
            <w:tcW w:type="dxa" w:w="3485"/>
            <w:vAlign w:val="center"/>
            <w:tcMar>
              <w:top w:w="55" w:type="dxa"/>
              <w:start w:w="65" w:type="dxa"/>
              <w:bottom w:w="55" w:type="dxa"/>
              <w:end w:w="65" w:type="dxa"/>
            </w:tcMar>
          </w:tcPr>
          <w:p>
            <w:pPr>
              <w:spacing w:after="0"/>
            </w:pPr>
            <w:r>
              <w:rPr>
                <w:sz w:val="16"/>
              </w:rPr>
              <w:t>Incorrect. Supervisees cannot waive a statutory or regulatory group-size requirement.</w:t>
            </w:r>
          </w:p>
        </w:tc>
      </w:tr>
      <w:tr>
        <w:trPr>
          <w:cantSplit/>
        </w:trPr>
        <w:tc>
          <w:tcPr>
            <w:tcW w:type="dxa" w:w="3485"/>
            <w:vAlign w:val="center"/>
            <w:tcMar>
              <w:top w:w="55" w:type="dxa"/>
              <w:start w:w="65" w:type="dxa"/>
              <w:bottom w:w="55" w:type="dxa"/>
              <w:end w:w="65" w:type="dxa"/>
            </w:tcMar>
          </w:tcPr>
          <w:p>
            <w:pPr>
              <w:spacing w:after="0"/>
              <w:jc w:val="center"/>
            </w:pPr>
            <w:r>
              <w:rPr>
                <w:sz w:val="16"/>
              </w:rPr>
              <w:t>D</w:t>
            </w:r>
          </w:p>
        </w:tc>
        <w:tc>
          <w:tcPr>
            <w:tcW w:type="dxa" w:w="3485"/>
            <w:vAlign w:val="center"/>
            <w:tcMar>
              <w:top w:w="55" w:type="dxa"/>
              <w:start w:w="65" w:type="dxa"/>
              <w:bottom w:w="55" w:type="dxa"/>
              <w:end w:w="65" w:type="dxa"/>
            </w:tcMar>
          </w:tcPr>
          <w:p>
            <w:pPr>
              <w:spacing w:after="0"/>
            </w:pPr>
            <w:r>
              <w:rPr>
                <w:sz w:val="16"/>
              </w:rPr>
              <w:t>Count the meeting as individual supervision for the first eight and group supervision for the remaining two.</w:t>
            </w:r>
          </w:p>
        </w:tc>
        <w:tc>
          <w:tcPr>
            <w:tcW w:type="dxa" w:w="3485"/>
            <w:vAlign w:val="center"/>
            <w:tcMar>
              <w:top w:w="55" w:type="dxa"/>
              <w:start w:w="65" w:type="dxa"/>
              <w:bottom w:w="55" w:type="dxa"/>
              <w:end w:w="65" w:type="dxa"/>
            </w:tcMar>
          </w:tcPr>
          <w:p>
            <w:pPr>
              <w:spacing w:after="0"/>
            </w:pPr>
            <w:r>
              <w:rPr>
                <w:sz w:val="16"/>
              </w:rPr>
              <w:t>Incorrect. One group meeting cannot be retroactively relabeled as individual supervision for some participants.</w:t>
            </w:r>
          </w:p>
        </w:tc>
      </w:tr>
    </w:tbl>
    <w:p>
      <w:pPr>
        <w:pStyle w:val="Heading2"/>
      </w:pPr>
      <w:r>
        <w:t>Why the Key Controls</w:t>
      </w:r>
    </w:p>
    <w:p>
      <w:r>
        <w:t>A qualifying group-supervision unit is limited to no more than eight supervisees. A ten-person meeting must be restructured; waivers or creative relabeling cannot convert the excess participants into lawful qualifying supervision.</w:t>
      </w:r>
    </w:p>
    <w:p>
      <w:pPr>
        <w:pStyle w:val="Heading2"/>
      </w:pPr>
      <w:r>
        <w:t>CTA Exam Strategy</w:t>
      </w:r>
    </w:p>
    <w:p>
      <w:r>
        <w:t>Group-supervision questions test the maximum of eight and the actual supervision format, not participant waivers or labels.</w:t>
      </w:r>
    </w:p>
    <w:tbl>
      <w:tblPr>
        <w:tblStyle w:val="TableGrid"/>
        <w:tblW w:type="auto" w:w="0"/>
        <w:jc w:val="center"/>
        <w:tblLook w:firstColumn="1" w:firstRow="1" w:lastColumn="0" w:lastRow="0" w:noHBand="0" w:noVBand="1" w:val="04A0"/>
      </w:tblPr>
      <w:tblGrid>
        <w:gridCol w:w="5227"/>
        <w:gridCol w:w="5227"/>
      </w:tblGrid>
      <w:tr>
        <w:trPr>
          <w:cantSplit/>
          <w:tblHeader/>
        </w:trPr>
        <w:tc>
          <w:tcPr>
            <w:tcW w:type="dxa" w:w="5227"/>
            <w:vAlign w:val="center"/>
            <w:tcMar>
              <w:top w:w="55" w:type="dxa"/>
              <w:start w:w="65" w:type="dxa"/>
              <w:bottom w:w="55" w:type="dxa"/>
              <w:end w:w="65" w:type="dxa"/>
            </w:tcMar>
          </w:tcPr>
          <w:p>
            <w:pPr>
              <w:spacing w:after="0"/>
            </w:pPr>
            <w:r>
              <w:rPr>
                <w:sz w:val="16"/>
              </w:rPr>
              <w:t>Primary concept</w:t>
            </w:r>
          </w:p>
        </w:tc>
        <w:tc>
          <w:tcPr>
            <w:tcW w:type="dxa" w:w="5227"/>
            <w:vAlign w:val="center"/>
            <w:tcMar>
              <w:top w:w="55" w:type="dxa"/>
              <w:start w:w="65" w:type="dxa"/>
              <w:bottom w:w="55" w:type="dxa"/>
              <w:end w:w="65" w:type="dxa"/>
            </w:tcMar>
          </w:tcPr>
          <w:p>
            <w:pPr>
              <w:spacing w:after="0"/>
            </w:pPr>
            <w:r>
              <w:rPr>
                <w:sz w:val="16"/>
              </w:rPr>
              <w:t>Group-supervision size limit</w:t>
            </w:r>
          </w:p>
        </w:tc>
      </w:tr>
      <w:tr>
        <w:trPr>
          <w:cantSplit/>
        </w:trPr>
        <w:tc>
          <w:tcPr>
            <w:tcW w:type="dxa" w:w="5227"/>
            <w:shd w:fill="F2F4F7"/>
            <w:vAlign w:val="center"/>
            <w:tcMar>
              <w:top w:w="55" w:type="dxa"/>
              <w:start w:w="65" w:type="dxa"/>
              <w:bottom w:w="55" w:type="dxa"/>
              <w:end w:w="65" w:type="dxa"/>
            </w:tcMar>
          </w:tcPr>
          <w:p>
            <w:pPr>
              <w:spacing w:after="0"/>
            </w:pPr>
            <w:r>
              <w:rPr>
                <w:sz w:val="16"/>
              </w:rPr>
              <w:t>Official domain</w:t>
            </w:r>
          </w:p>
        </w:tc>
        <w:tc>
          <w:tcPr>
            <w:tcW w:type="dxa" w:w="5227"/>
            <w:shd w:fill="F2F4F7"/>
            <w:vAlign w:val="center"/>
            <w:tcMar>
              <w:top w:w="55" w:type="dxa"/>
              <w:start w:w="65" w:type="dxa"/>
              <w:bottom w:w="55" w:type="dxa"/>
              <w:end w:w="65" w:type="dxa"/>
            </w:tcMar>
          </w:tcPr>
          <w:p>
            <w:pPr>
              <w:spacing w:after="0"/>
            </w:pPr>
            <w:r>
              <w:rPr>
                <w:sz w:val="16"/>
              </w:rPr>
              <w:t>2C</w:t>
            </w:r>
          </w:p>
        </w:tc>
      </w:tr>
      <w:tr>
        <w:trPr>
          <w:cantSplit/>
        </w:trPr>
        <w:tc>
          <w:tcPr>
            <w:tcW w:type="dxa" w:w="5227"/>
            <w:vAlign w:val="center"/>
            <w:tcMar>
              <w:top w:w="55" w:type="dxa"/>
              <w:start w:w="65" w:type="dxa"/>
              <w:bottom w:w="55" w:type="dxa"/>
              <w:end w:w="65" w:type="dxa"/>
            </w:tcMar>
          </w:tcPr>
          <w:p>
            <w:pPr>
              <w:spacing w:after="0"/>
            </w:pPr>
            <w:r>
              <w:rPr>
                <w:sz w:val="16"/>
              </w:rPr>
              <w:t>Difficulty / construction</w:t>
            </w:r>
          </w:p>
        </w:tc>
        <w:tc>
          <w:tcPr>
            <w:tcW w:type="dxa" w:w="5227"/>
            <w:vAlign w:val="center"/>
            <w:tcMar>
              <w:top w:w="55" w:type="dxa"/>
              <w:start w:w="65" w:type="dxa"/>
              <w:bottom w:w="55" w:type="dxa"/>
              <w:end w:w="65" w:type="dxa"/>
            </w:tcMar>
          </w:tcPr>
          <w:p>
            <w:pPr>
              <w:spacing w:after="0"/>
            </w:pPr>
            <w:r>
              <w:rPr>
                <w:sz w:val="16"/>
              </w:rPr>
              <w:t>Easy / Applied / BEST/MOST</w:t>
            </w:r>
          </w:p>
        </w:tc>
      </w:tr>
      <w:tr>
        <w:trPr>
          <w:cantSplit/>
        </w:trPr>
        <w:tc>
          <w:tcPr>
            <w:tcW w:type="dxa" w:w="5227"/>
            <w:shd w:fill="F2F4F7"/>
            <w:vAlign w:val="center"/>
            <w:tcMar>
              <w:top w:w="55" w:type="dxa"/>
              <w:start w:w="65" w:type="dxa"/>
              <w:bottom w:w="55" w:type="dxa"/>
              <w:end w:w="65" w:type="dxa"/>
            </w:tcMar>
          </w:tcPr>
          <w:p>
            <w:pPr>
              <w:spacing w:after="0"/>
            </w:pPr>
            <w:r>
              <w:rPr>
                <w:sz w:val="16"/>
              </w:rPr>
              <w:t>Primary remediation route</w:t>
            </w:r>
          </w:p>
        </w:tc>
        <w:tc>
          <w:tcPr>
            <w:tcW w:type="dxa" w:w="5227"/>
            <w:shd w:fill="F2F4F7"/>
            <w:vAlign w:val="center"/>
            <w:tcMar>
              <w:top w:w="55" w:type="dxa"/>
              <w:start w:w="65" w:type="dxa"/>
              <w:bottom w:w="55" w:type="dxa"/>
              <w:end w:w="65" w:type="dxa"/>
            </w:tcMar>
          </w:tcPr>
          <w:p>
            <w:pPr>
              <w:spacing w:after="0"/>
            </w:pPr>
            <w:r>
              <w:rPr>
                <w:sz w:val="16"/>
              </w:rPr>
              <w:t>WB3 - Professional Competence</w:t>
            </w:r>
          </w:p>
        </w:tc>
      </w:tr>
      <w:tr>
        <w:trPr>
          <w:cantSplit/>
        </w:trPr>
        <w:tc>
          <w:tcPr>
            <w:tcW w:type="dxa" w:w="5227"/>
            <w:vAlign w:val="center"/>
            <w:tcMar>
              <w:top w:w="55" w:type="dxa"/>
              <w:start w:w="65" w:type="dxa"/>
              <w:bottom w:w="55" w:type="dxa"/>
              <w:end w:w="65" w:type="dxa"/>
            </w:tcMar>
          </w:tcPr>
          <w:p>
            <w:pPr>
              <w:spacing w:after="0"/>
            </w:pPr>
            <w:r>
              <w:rPr>
                <w:sz w:val="16"/>
              </w:rPr>
              <w:t>Error-log category</w:t>
            </w:r>
          </w:p>
        </w:tc>
        <w:tc>
          <w:tcPr>
            <w:tcW w:type="dxa" w:w="5227"/>
            <w:vAlign w:val="center"/>
            <w:tcMar>
              <w:top w:w="55" w:type="dxa"/>
              <w:start w:w="65" w:type="dxa"/>
              <w:bottom w:w="55" w:type="dxa"/>
              <w:end w:w="65" w:type="dxa"/>
            </w:tcMar>
          </w:tcPr>
          <w:p>
            <w:pPr>
              <w:spacing w:after="0"/>
            </w:pPr>
            <w:r>
              <w:rPr>
                <w:sz w:val="16"/>
              </w:rPr>
              <w:t>GROUP-SUPERVISION-SIZE</w:t>
            </w:r>
          </w:p>
        </w:tc>
      </w:tr>
      <w:tr>
        <w:trPr>
          <w:cantSplit/>
        </w:trPr>
        <w:tc>
          <w:tcPr>
            <w:tcW w:type="dxa" w:w="5227"/>
            <w:shd w:fill="F2F4F7"/>
            <w:vAlign w:val="center"/>
            <w:tcMar>
              <w:top w:w="55" w:type="dxa"/>
              <w:start w:w="65" w:type="dxa"/>
              <w:bottom w:w="55" w:type="dxa"/>
              <w:end w:w="65" w:type="dxa"/>
            </w:tcMar>
          </w:tcPr>
          <w:p>
            <w:pPr>
              <w:spacing w:after="0"/>
            </w:pPr>
            <w:r>
              <w:rPr>
                <w:sz w:val="16"/>
              </w:rPr>
              <w:t>Primary source control</w:t>
            </w:r>
          </w:p>
        </w:tc>
        <w:tc>
          <w:tcPr>
            <w:tcW w:type="dxa" w:w="5227"/>
            <w:shd w:fill="F2F4F7"/>
            <w:vAlign w:val="center"/>
            <w:tcMar>
              <w:top w:w="55" w:type="dxa"/>
              <w:start w:w="65" w:type="dxa"/>
              <w:bottom w:w="55" w:type="dxa"/>
              <w:end w:w="65" w:type="dxa"/>
            </w:tcMar>
          </w:tcPr>
          <w:p>
            <w:pPr>
              <w:spacing w:after="0"/>
            </w:pPr>
            <w:r>
              <w:rPr>
                <w:sz w:val="16"/>
              </w:rPr>
              <w:t>BPC 4996.23.1(b)(1)(C)</w:t>
            </w:r>
          </w:p>
        </w:tc>
      </w:tr>
      <w:tr>
        <w:trPr>
          <w:cantSplit/>
        </w:trPr>
        <w:tc>
          <w:tcPr>
            <w:tcW w:type="dxa" w:w="5227"/>
            <w:vAlign w:val="center"/>
            <w:tcMar>
              <w:top w:w="55" w:type="dxa"/>
              <w:start w:w="65" w:type="dxa"/>
              <w:bottom w:w="55" w:type="dxa"/>
              <w:end w:w="65" w:type="dxa"/>
            </w:tcMar>
          </w:tcPr>
          <w:p>
            <w:pPr>
              <w:spacing w:after="0"/>
            </w:pPr>
            <w:r>
              <w:rPr>
                <w:sz w:val="16"/>
              </w:rPr>
              <w:t>Currency control</w:t>
            </w:r>
          </w:p>
        </w:tc>
        <w:tc>
          <w:tcPr>
            <w:tcW w:type="dxa" w:w="5227"/>
            <w:vAlign w:val="center"/>
            <w:tcMar>
              <w:top w:w="55" w:type="dxa"/>
              <w:start w:w="65" w:type="dxa"/>
              <w:bottom w:w="55" w:type="dxa"/>
              <w:end w:w="65" w:type="dxa"/>
            </w:tcMar>
          </w:tcPr>
          <w:p>
            <w:pPr>
              <w:spacing w:after="0"/>
            </w:pPr>
            <w:r>
              <w:rPr>
                <w:sz w:val="16"/>
              </w:rPr>
              <w:t>Recheck current California statutes and regulations, BBS Law Changes and forms, and the current NASW Code before LMS lock and within 30 days of public release.</w:t>
            </w:r>
          </w:p>
        </w:tc>
      </w:tr>
    </w:tbl>
    <w:p>
      <w:pPr>
        <w:pStyle w:val="Heading1"/>
        <w:pageBreakBefore/>
      </w:pPr>
      <w:r>
        <w:t>Consolidated Remediation Index</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1742"/>
            <w:shd w:fill="17365D"/>
            <w:tcMar>
              <w:top w:w="55" w:type="dxa"/>
              <w:start w:w="65" w:type="dxa"/>
              <w:bottom w:w="55" w:type="dxa"/>
              <w:end w:w="65" w:type="dxa"/>
            </w:tcMar>
            <w:vAlign w:val="center"/>
          </w:tcPr>
          <w:p>
            <w:pPr>
              <w:spacing w:after="0"/>
            </w:pPr>
            <w:r>
              <w:rPr>
                <w:sz w:val="14"/>
              </w:rPr>
            </w:r>
            <w:r>
              <w:rPr>
                <w:b/>
                <w:color w:val="FFFFFF"/>
                <w:sz w:val="14"/>
              </w:rPr>
              <w:t>Item</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Concept</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Domain</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Route</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Error category</w:t>
            </w:r>
          </w:p>
        </w:tc>
        <w:tc>
          <w:tcPr>
            <w:tcW w:type="dxa" w:w="1742"/>
            <w:shd w:fill="17365D"/>
            <w:tcMar>
              <w:top w:w="55" w:type="dxa"/>
              <w:start w:w="65" w:type="dxa"/>
              <w:bottom w:w="55" w:type="dxa"/>
              <w:end w:w="65" w:type="dxa"/>
            </w:tcMar>
            <w:vAlign w:val="center"/>
          </w:tcPr>
          <w:p>
            <w:pPr>
              <w:spacing w:after="0"/>
            </w:pPr>
            <w:r>
              <w:rPr>
                <w:sz w:val="14"/>
              </w:rPr>
            </w:r>
            <w:r>
              <w:rPr>
                <w:b/>
                <w:color w:val="FFFFFF"/>
                <w:sz w:val="14"/>
              </w:rPr>
              <w:t>Source control</w:t>
            </w:r>
          </w:p>
        </w:tc>
      </w:tr>
      <w:tr>
        <w:trPr>
          <w:cantSplit/>
        </w:trPr>
        <w:tc>
          <w:tcPr>
            <w:tcW w:type="dxa" w:w="1742"/>
            <w:vAlign w:val="center"/>
            <w:tcMar>
              <w:top w:w="55" w:type="dxa"/>
              <w:start w:w="65" w:type="dxa"/>
              <w:bottom w:w="55" w:type="dxa"/>
              <w:end w:w="65" w:type="dxa"/>
            </w:tcMar>
          </w:tcPr>
          <w:p>
            <w:pPr>
              <w:spacing w:after="0"/>
            </w:pPr>
            <w:r>
              <w:rPr>
                <w:sz w:val="14"/>
              </w:rPr>
              <w:t>1</w:t>
            </w:r>
          </w:p>
        </w:tc>
        <w:tc>
          <w:tcPr>
            <w:tcW w:type="dxa" w:w="1742"/>
            <w:vAlign w:val="center"/>
            <w:tcMar>
              <w:top w:w="55" w:type="dxa"/>
              <w:start w:w="65" w:type="dxa"/>
              <w:bottom w:w="55" w:type="dxa"/>
              <w:end w:w="65" w:type="dxa"/>
            </w:tcMar>
          </w:tcPr>
          <w:p>
            <w:pPr>
              <w:spacing w:after="0"/>
            </w:pPr>
            <w:r>
              <w:rPr>
                <w:sz w:val="14"/>
              </w:rPr>
              <w:t>Correcting incomplete ASW website advertising after April 1, 2026</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LS Module</w:t>
            </w:r>
          </w:p>
        </w:tc>
        <w:tc>
          <w:tcPr>
            <w:tcW w:type="dxa" w:w="1742"/>
            <w:vAlign w:val="center"/>
            <w:tcMar>
              <w:top w:w="55" w:type="dxa"/>
              <w:start w:w="65" w:type="dxa"/>
              <w:bottom w:w="55" w:type="dxa"/>
              <w:end w:w="65" w:type="dxa"/>
            </w:tcMar>
          </w:tcPr>
          <w:p>
            <w:pPr>
              <w:spacing w:after="0"/>
            </w:pPr>
            <w:r>
              <w:rPr>
                <w:sz w:val="14"/>
              </w:rPr>
              <w:t>ASW-ADVERTISING</w:t>
            </w:r>
          </w:p>
        </w:tc>
        <w:tc>
          <w:tcPr>
            <w:tcW w:type="dxa" w:w="1742"/>
            <w:vAlign w:val="center"/>
            <w:tcMar>
              <w:top w:w="55" w:type="dxa"/>
              <w:start w:w="65" w:type="dxa"/>
              <w:bottom w:w="55" w:type="dxa"/>
              <w:end w:w="65" w:type="dxa"/>
            </w:tcMar>
          </w:tcPr>
          <w:p>
            <w:pPr>
              <w:spacing w:after="0"/>
            </w:pPr>
            <w:r>
              <w:rPr>
                <w:sz w:val="14"/>
              </w:rPr>
              <w:t>BBS Advertising Requirements Fact Sheet revised 03/2026, effective 04/01/2026; BPC 4992.2 and 4992.3(g),(q)</w:t>
            </w:r>
          </w:p>
        </w:tc>
      </w:tr>
      <w:tr>
        <w:trPr>
          <w:cantSplit/>
        </w:trPr>
        <w:tc>
          <w:tcPr>
            <w:tcW w:type="dxa" w:w="1742"/>
            <w:vAlign w:val="center"/>
            <w:tcMar>
              <w:top w:w="55" w:type="dxa"/>
              <w:start w:w="65" w:type="dxa"/>
              <w:bottom w:w="55" w:type="dxa"/>
              <w:end w:w="65" w:type="dxa"/>
            </w:tcMar>
            <w:shd w:fill="F2F4F7"/>
          </w:tcPr>
          <w:p>
            <w:pPr>
              <w:spacing w:after="0"/>
            </w:pPr>
            <w:r>
              <w:rPr>
                <w:sz w:val="14"/>
              </w:rPr>
              <w:t>2</w:t>
            </w:r>
          </w:p>
        </w:tc>
        <w:tc>
          <w:tcPr>
            <w:tcW w:type="dxa" w:w="1742"/>
            <w:vAlign w:val="center"/>
            <w:tcMar>
              <w:top w:w="55" w:type="dxa"/>
              <w:start w:w="65" w:type="dxa"/>
              <w:bottom w:w="55" w:type="dxa"/>
              <w:end w:w="65" w:type="dxa"/>
            </w:tcMar>
            <w:shd w:fill="F2F4F7"/>
          </w:tcPr>
          <w:p>
            <w:pPr>
              <w:spacing w:after="0"/>
            </w:pPr>
            <w:r>
              <w:rPr>
                <w:sz w:val="14"/>
              </w:rPr>
              <w:t>Timely response to a patient request to inspect records</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WB9</w:t>
            </w:r>
          </w:p>
        </w:tc>
        <w:tc>
          <w:tcPr>
            <w:tcW w:type="dxa" w:w="1742"/>
            <w:vAlign w:val="center"/>
            <w:tcMar>
              <w:top w:w="55" w:type="dxa"/>
              <w:start w:w="65" w:type="dxa"/>
              <w:bottom w:w="55" w:type="dxa"/>
              <w:end w:w="65" w:type="dxa"/>
            </w:tcMar>
            <w:shd w:fill="F2F4F7"/>
          </w:tcPr>
          <w:p>
            <w:pPr>
              <w:spacing w:after="0"/>
            </w:pPr>
            <w:r>
              <w:rPr>
                <w:sz w:val="14"/>
              </w:rPr>
              <w:t>RECORD-ACCESS-IDENTITY</w:t>
            </w:r>
          </w:p>
        </w:tc>
        <w:tc>
          <w:tcPr>
            <w:tcW w:type="dxa" w:w="1742"/>
            <w:vAlign w:val="center"/>
            <w:tcMar>
              <w:top w:w="55" w:type="dxa"/>
              <w:start w:w="65" w:type="dxa"/>
              <w:bottom w:w="55" w:type="dxa"/>
              <w:end w:w="65" w:type="dxa"/>
            </w:tcMar>
            <w:shd w:fill="F2F4F7"/>
          </w:tcPr>
          <w:p>
            <w:pPr>
              <w:spacing w:after="0"/>
            </w:pPr>
            <w:r>
              <w:rPr>
                <w:sz w:val="14"/>
              </w:rPr>
              <w:t>California Health and Safety Code 123110(a),(f); BPC 4992.3(z)</w:t>
            </w:r>
          </w:p>
        </w:tc>
      </w:tr>
      <w:tr>
        <w:trPr>
          <w:cantSplit/>
        </w:trPr>
        <w:tc>
          <w:tcPr>
            <w:tcW w:type="dxa" w:w="1742"/>
            <w:vAlign w:val="center"/>
            <w:tcMar>
              <w:top w:w="55" w:type="dxa"/>
              <w:start w:w="65" w:type="dxa"/>
              <w:bottom w:w="55" w:type="dxa"/>
              <w:end w:w="65" w:type="dxa"/>
            </w:tcMar>
          </w:tcPr>
          <w:p>
            <w:pPr>
              <w:spacing w:after="0"/>
            </w:pPr>
            <w:r>
              <w:rPr>
                <w:sz w:val="14"/>
              </w:rPr>
              <w:t>3</w:t>
            </w:r>
          </w:p>
        </w:tc>
        <w:tc>
          <w:tcPr>
            <w:tcW w:type="dxa" w:w="1742"/>
            <w:vAlign w:val="center"/>
            <w:tcMar>
              <w:top w:w="55" w:type="dxa"/>
              <w:start w:w="65" w:type="dxa"/>
              <w:bottom w:w="55" w:type="dxa"/>
              <w:end w:w="65" w:type="dxa"/>
            </w:tcMar>
          </w:tcPr>
          <w:p>
            <w:pPr>
              <w:spacing w:after="0"/>
            </w:pPr>
            <w:r>
              <w:rPr>
                <w:sz w:val="14"/>
              </w:rPr>
              <w:t>Supervisor duty when an ASW lacks competence for an assigned service</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WB3</w:t>
            </w:r>
          </w:p>
        </w:tc>
        <w:tc>
          <w:tcPr>
            <w:tcW w:type="dxa" w:w="1742"/>
            <w:vAlign w:val="center"/>
            <w:tcMar>
              <w:top w:w="55" w:type="dxa"/>
              <w:start w:w="65" w:type="dxa"/>
              <w:bottom w:w="55" w:type="dxa"/>
              <w:end w:w="65" w:type="dxa"/>
            </w:tcMar>
          </w:tcPr>
          <w:p>
            <w:pPr>
              <w:spacing w:after="0"/>
            </w:pPr>
            <w:r>
              <w:rPr>
                <w:sz w:val="14"/>
              </w:rPr>
              <w:t>SUPERVISEE-COMPETENCE</w:t>
            </w:r>
          </w:p>
        </w:tc>
        <w:tc>
          <w:tcPr>
            <w:tcW w:type="dxa" w:w="1742"/>
            <w:vAlign w:val="center"/>
            <w:tcMar>
              <w:top w:w="55" w:type="dxa"/>
              <w:start w:w="65" w:type="dxa"/>
              <w:bottom w:w="55" w:type="dxa"/>
              <w:end w:w="65" w:type="dxa"/>
            </w:tcMar>
          </w:tcPr>
          <w:p>
            <w:pPr>
              <w:spacing w:after="0"/>
            </w:pPr>
            <w:r>
              <w:rPr>
                <w:sz w:val="14"/>
              </w:rPr>
              <w:t>BPC 4992.3(m),(t),(u); NASW Code 1.04 and 3.01</w:t>
            </w:r>
          </w:p>
        </w:tc>
      </w:tr>
      <w:tr>
        <w:trPr>
          <w:cantSplit/>
        </w:trPr>
        <w:tc>
          <w:tcPr>
            <w:tcW w:type="dxa" w:w="1742"/>
            <w:vAlign w:val="center"/>
            <w:tcMar>
              <w:top w:w="55" w:type="dxa"/>
              <w:start w:w="65" w:type="dxa"/>
              <w:bottom w:w="55" w:type="dxa"/>
              <w:end w:w="65" w:type="dxa"/>
            </w:tcMar>
            <w:shd w:fill="F2F4F7"/>
          </w:tcPr>
          <w:p>
            <w:pPr>
              <w:spacing w:after="0"/>
            </w:pPr>
            <w:r>
              <w:rPr>
                <w:sz w:val="14"/>
              </w:rPr>
              <w:t>4</w:t>
            </w:r>
          </w:p>
        </w:tc>
        <w:tc>
          <w:tcPr>
            <w:tcW w:type="dxa" w:w="1742"/>
            <w:vAlign w:val="center"/>
            <w:tcMar>
              <w:top w:w="55" w:type="dxa"/>
              <w:start w:w="65" w:type="dxa"/>
              <w:bottom w:w="55" w:type="dxa"/>
              <w:end w:w="65" w:type="dxa"/>
            </w:tcMar>
            <w:shd w:fill="F2F4F7"/>
          </w:tcPr>
          <w:p>
            <w:pPr>
              <w:spacing w:after="0"/>
            </w:pPr>
            <w:r>
              <w:rPr>
                <w:sz w:val="14"/>
              </w:rPr>
              <w:t>Immediate supervisory response to apparent impairment</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WB4</w:t>
            </w:r>
          </w:p>
        </w:tc>
        <w:tc>
          <w:tcPr>
            <w:tcW w:type="dxa" w:w="1742"/>
            <w:vAlign w:val="center"/>
            <w:tcMar>
              <w:top w:w="55" w:type="dxa"/>
              <w:start w:w="65" w:type="dxa"/>
              <w:bottom w:w="55" w:type="dxa"/>
              <w:end w:w="65" w:type="dxa"/>
            </w:tcMar>
            <w:shd w:fill="F2F4F7"/>
          </w:tcPr>
          <w:p>
            <w:pPr>
              <w:spacing w:after="0"/>
            </w:pPr>
            <w:r>
              <w:rPr>
                <w:sz w:val="14"/>
              </w:rPr>
              <w:t>ACUTE-IMPAIRMENT</w:t>
            </w:r>
          </w:p>
        </w:tc>
        <w:tc>
          <w:tcPr>
            <w:tcW w:type="dxa" w:w="1742"/>
            <w:vAlign w:val="center"/>
            <w:tcMar>
              <w:top w:w="55" w:type="dxa"/>
              <w:start w:w="65" w:type="dxa"/>
              <w:bottom w:w="55" w:type="dxa"/>
              <w:end w:w="65" w:type="dxa"/>
            </w:tcMar>
            <w:shd w:fill="F2F4F7"/>
          </w:tcPr>
          <w:p>
            <w:pPr>
              <w:spacing w:after="0"/>
            </w:pPr>
            <w:r>
              <w:rPr>
                <w:sz w:val="14"/>
              </w:rPr>
              <w:t>BPC 4992.3(c)-(e),(s),(u); NASW Code 3.01 and 4.05</w:t>
            </w:r>
          </w:p>
        </w:tc>
      </w:tr>
      <w:tr>
        <w:trPr>
          <w:cantSplit/>
        </w:trPr>
        <w:tc>
          <w:tcPr>
            <w:tcW w:type="dxa" w:w="1742"/>
            <w:vAlign w:val="center"/>
            <w:tcMar>
              <w:top w:w="55" w:type="dxa"/>
              <w:start w:w="65" w:type="dxa"/>
              <w:bottom w:w="55" w:type="dxa"/>
              <w:end w:w="65" w:type="dxa"/>
            </w:tcMar>
          </w:tcPr>
          <w:p>
            <w:pPr>
              <w:spacing w:after="0"/>
            </w:pPr>
            <w:r>
              <w:rPr>
                <w:sz w:val="14"/>
              </w:rPr>
              <w:t>5</w:t>
            </w:r>
          </w:p>
        </w:tc>
        <w:tc>
          <w:tcPr>
            <w:tcW w:type="dxa" w:w="1742"/>
            <w:vAlign w:val="center"/>
            <w:tcMar>
              <w:top w:w="55" w:type="dxa"/>
              <w:start w:w="65" w:type="dxa"/>
              <w:bottom w:w="55" w:type="dxa"/>
              <w:end w:w="65" w:type="dxa"/>
            </w:tcMar>
          </w:tcPr>
          <w:p>
            <w:pPr>
              <w:spacing w:after="0"/>
            </w:pPr>
            <w:r>
              <w:rPr>
                <w:sz w:val="14"/>
              </w:rPr>
              <w:t>ASW annual renewal and California Law and Ethics examination responsibilities</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LS Module</w:t>
            </w:r>
          </w:p>
        </w:tc>
        <w:tc>
          <w:tcPr>
            <w:tcW w:type="dxa" w:w="1742"/>
            <w:vAlign w:val="center"/>
            <w:tcMar>
              <w:top w:w="55" w:type="dxa"/>
              <w:start w:w="65" w:type="dxa"/>
              <w:bottom w:w="55" w:type="dxa"/>
              <w:end w:w="65" w:type="dxa"/>
            </w:tcMar>
          </w:tcPr>
          <w:p>
            <w:pPr>
              <w:spacing w:after="0"/>
            </w:pPr>
            <w:r>
              <w:rPr>
                <w:sz w:val="14"/>
              </w:rPr>
              <w:t>ASW-LAW-ETHICS-CYCLE</w:t>
            </w:r>
          </w:p>
        </w:tc>
        <w:tc>
          <w:tcPr>
            <w:tcW w:type="dxa" w:w="1742"/>
            <w:vAlign w:val="center"/>
            <w:tcMar>
              <w:top w:w="55" w:type="dxa"/>
              <w:start w:w="65" w:type="dxa"/>
              <w:bottom w:w="55" w:type="dxa"/>
              <w:end w:w="65" w:type="dxa"/>
            </w:tcMar>
          </w:tcPr>
          <w:p>
            <w:pPr>
              <w:spacing w:after="0"/>
            </w:pPr>
            <w:r>
              <w:rPr>
                <w:sz w:val="14"/>
              </w:rPr>
              <w:t>BBS Manage License/Registration guidance; BPC 4992.09; 16 CCR 1877.2 and 1877.3</w:t>
            </w:r>
          </w:p>
        </w:tc>
      </w:tr>
      <w:tr>
        <w:trPr>
          <w:cantSplit/>
        </w:trPr>
        <w:tc>
          <w:tcPr>
            <w:tcW w:type="dxa" w:w="1742"/>
            <w:vAlign w:val="center"/>
            <w:tcMar>
              <w:top w:w="55" w:type="dxa"/>
              <w:start w:w="65" w:type="dxa"/>
              <w:bottom w:w="55" w:type="dxa"/>
              <w:end w:w="65" w:type="dxa"/>
            </w:tcMar>
            <w:shd w:fill="F2F4F7"/>
          </w:tcPr>
          <w:p>
            <w:pPr>
              <w:spacing w:after="0"/>
            </w:pPr>
            <w:r>
              <w:rPr>
                <w:sz w:val="14"/>
              </w:rPr>
              <w:t>6</w:t>
            </w:r>
          </w:p>
        </w:tc>
        <w:tc>
          <w:tcPr>
            <w:tcW w:type="dxa" w:w="1742"/>
            <w:vAlign w:val="center"/>
            <w:tcMar>
              <w:top w:w="55" w:type="dxa"/>
              <w:start w:w="65" w:type="dxa"/>
              <w:bottom w:w="55" w:type="dxa"/>
              <w:end w:w="65" w:type="dxa"/>
            </w:tcMar>
            <w:shd w:fill="F2F4F7"/>
          </w:tcPr>
          <w:p>
            <w:pPr>
              <w:spacing w:after="0"/>
            </w:pPr>
            <w:r>
              <w:rPr>
                <w:sz w:val="14"/>
              </w:rPr>
              <w:t>Confidentiality limits in group psychotherapy</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WB1</w:t>
            </w:r>
          </w:p>
        </w:tc>
        <w:tc>
          <w:tcPr>
            <w:tcW w:type="dxa" w:w="1742"/>
            <w:vAlign w:val="center"/>
            <w:tcMar>
              <w:top w:w="55" w:type="dxa"/>
              <w:start w:w="65" w:type="dxa"/>
              <w:bottom w:w="55" w:type="dxa"/>
              <w:end w:w="65" w:type="dxa"/>
            </w:tcMar>
            <w:shd w:fill="F2F4F7"/>
          </w:tcPr>
          <w:p>
            <w:pPr>
              <w:spacing w:after="0"/>
            </w:pPr>
            <w:r>
              <w:rPr>
                <w:sz w:val="14"/>
              </w:rPr>
              <w:t>GROUP-CONFIDENTIALITY</w:t>
            </w:r>
          </w:p>
        </w:tc>
        <w:tc>
          <w:tcPr>
            <w:tcW w:type="dxa" w:w="1742"/>
            <w:vAlign w:val="center"/>
            <w:tcMar>
              <w:top w:w="55" w:type="dxa"/>
              <w:start w:w="65" w:type="dxa"/>
              <w:bottom w:w="55" w:type="dxa"/>
              <w:end w:w="65" w:type="dxa"/>
            </w:tcMar>
            <w:shd w:fill="F2F4F7"/>
          </w:tcPr>
          <w:p>
            <w:pPr>
              <w:spacing w:after="0"/>
            </w:pPr>
            <w:r>
              <w:rPr>
                <w:sz w:val="14"/>
              </w:rPr>
              <w:t>NASW Code 1.03, 1.07, and 1.08; applicable California confidentiality law</w:t>
            </w:r>
          </w:p>
        </w:tc>
      </w:tr>
      <w:tr>
        <w:trPr>
          <w:cantSplit/>
        </w:trPr>
        <w:tc>
          <w:tcPr>
            <w:tcW w:type="dxa" w:w="1742"/>
            <w:vAlign w:val="center"/>
            <w:tcMar>
              <w:top w:w="55" w:type="dxa"/>
              <w:start w:w="65" w:type="dxa"/>
              <w:bottom w:w="55" w:type="dxa"/>
              <w:end w:w="65" w:type="dxa"/>
            </w:tcMar>
          </w:tcPr>
          <w:p>
            <w:pPr>
              <w:spacing w:after="0"/>
            </w:pPr>
            <w:r>
              <w:rPr>
                <w:sz w:val="14"/>
              </w:rPr>
              <w:t>7</w:t>
            </w:r>
          </w:p>
        </w:tc>
        <w:tc>
          <w:tcPr>
            <w:tcW w:type="dxa" w:w="1742"/>
            <w:vAlign w:val="center"/>
            <w:tcMar>
              <w:top w:w="55" w:type="dxa"/>
              <w:start w:w="65" w:type="dxa"/>
              <w:bottom w:w="55" w:type="dxa"/>
              <w:end w:w="65" w:type="dxa"/>
            </w:tcMar>
          </w:tcPr>
          <w:p>
            <w:pPr>
              <w:spacing w:after="0"/>
            </w:pPr>
            <w:r>
              <w:rPr>
                <w:sz w:val="14"/>
              </w:rPr>
              <w:t>Contingent online marketing fee as prohibited referral compensation</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WB6</w:t>
            </w:r>
          </w:p>
        </w:tc>
        <w:tc>
          <w:tcPr>
            <w:tcW w:type="dxa" w:w="1742"/>
            <w:vAlign w:val="center"/>
            <w:tcMar>
              <w:top w:w="55" w:type="dxa"/>
              <w:start w:w="65" w:type="dxa"/>
              <w:bottom w:w="55" w:type="dxa"/>
              <w:end w:w="65" w:type="dxa"/>
            </w:tcMar>
          </w:tcPr>
          <w:p>
            <w:pPr>
              <w:spacing w:after="0"/>
            </w:pPr>
            <w:r>
              <w:rPr>
                <w:sz w:val="14"/>
              </w:rPr>
              <w:t>REFERRAL-COMPENSATION</w:t>
            </w:r>
          </w:p>
        </w:tc>
        <w:tc>
          <w:tcPr>
            <w:tcW w:type="dxa" w:w="1742"/>
            <w:vAlign w:val="center"/>
            <w:tcMar>
              <w:top w:w="55" w:type="dxa"/>
              <w:start w:w="65" w:type="dxa"/>
              <w:bottom w:w="55" w:type="dxa"/>
              <w:end w:w="65" w:type="dxa"/>
            </w:tcMar>
          </w:tcPr>
          <w:p>
            <w:pPr>
              <w:spacing w:after="0"/>
            </w:pPr>
            <w:r>
              <w:rPr>
                <w:sz w:val="14"/>
              </w:rPr>
              <w:t>BPC 4992.3(p); NASW Code 4.04</w:t>
            </w:r>
          </w:p>
        </w:tc>
      </w:tr>
      <w:tr>
        <w:trPr>
          <w:cantSplit/>
        </w:trPr>
        <w:tc>
          <w:tcPr>
            <w:tcW w:type="dxa" w:w="1742"/>
            <w:vAlign w:val="center"/>
            <w:tcMar>
              <w:top w:w="55" w:type="dxa"/>
              <w:start w:w="65" w:type="dxa"/>
              <w:bottom w:w="55" w:type="dxa"/>
              <w:end w:w="65" w:type="dxa"/>
            </w:tcMar>
            <w:shd w:fill="F2F4F7"/>
          </w:tcPr>
          <w:p>
            <w:pPr>
              <w:spacing w:after="0"/>
            </w:pPr>
            <w:r>
              <w:rPr>
                <w:sz w:val="14"/>
              </w:rPr>
              <w:t>8</w:t>
            </w:r>
          </w:p>
        </w:tc>
        <w:tc>
          <w:tcPr>
            <w:tcW w:type="dxa" w:w="1742"/>
            <w:vAlign w:val="center"/>
            <w:tcMar>
              <w:top w:w="55" w:type="dxa"/>
              <w:start w:w="65" w:type="dxa"/>
              <w:bottom w:w="55" w:type="dxa"/>
              <w:end w:w="65" w:type="dxa"/>
            </w:tcMar>
            <w:shd w:fill="F2F4F7"/>
          </w:tcPr>
          <w:p>
            <w:pPr>
              <w:spacing w:after="0"/>
            </w:pPr>
            <w:r>
              <w:rPr>
                <w:sz w:val="14"/>
              </w:rPr>
              <w:t>Inviting a support person into an adult client session</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WB1</w:t>
            </w:r>
          </w:p>
        </w:tc>
        <w:tc>
          <w:tcPr>
            <w:tcW w:type="dxa" w:w="1742"/>
            <w:vAlign w:val="center"/>
            <w:tcMar>
              <w:top w:w="55" w:type="dxa"/>
              <w:start w:w="65" w:type="dxa"/>
              <w:bottom w:w="55" w:type="dxa"/>
              <w:end w:w="65" w:type="dxa"/>
            </w:tcMar>
            <w:shd w:fill="F2F4F7"/>
          </w:tcPr>
          <w:p>
            <w:pPr>
              <w:spacing w:after="0"/>
            </w:pPr>
            <w:r>
              <w:rPr>
                <w:sz w:val="14"/>
              </w:rPr>
              <w:t>SUPPORT-PERSON</w:t>
            </w:r>
          </w:p>
        </w:tc>
        <w:tc>
          <w:tcPr>
            <w:tcW w:type="dxa" w:w="1742"/>
            <w:vAlign w:val="center"/>
            <w:tcMar>
              <w:top w:w="55" w:type="dxa"/>
              <w:start w:w="65" w:type="dxa"/>
              <w:bottom w:w="55" w:type="dxa"/>
              <w:end w:w="65" w:type="dxa"/>
            </w:tcMar>
            <w:shd w:fill="F2F4F7"/>
          </w:tcPr>
          <w:p>
            <w:pPr>
              <w:spacing w:after="0"/>
            </w:pPr>
            <w:r>
              <w:rPr>
                <w:sz w:val="14"/>
              </w:rPr>
              <w:t>NASW Code 1.03, 1.06, and 1.07; applicable California confidentiality law</w:t>
            </w:r>
          </w:p>
        </w:tc>
      </w:tr>
      <w:tr>
        <w:trPr>
          <w:cantSplit/>
        </w:trPr>
        <w:tc>
          <w:tcPr>
            <w:tcW w:type="dxa" w:w="1742"/>
            <w:vAlign w:val="center"/>
            <w:tcMar>
              <w:top w:w="55" w:type="dxa"/>
              <w:start w:w="65" w:type="dxa"/>
              <w:bottom w:w="55" w:type="dxa"/>
              <w:end w:w="65" w:type="dxa"/>
            </w:tcMar>
          </w:tcPr>
          <w:p>
            <w:pPr>
              <w:spacing w:after="0"/>
            </w:pPr>
            <w:r>
              <w:rPr>
                <w:sz w:val="14"/>
              </w:rPr>
              <w:t>9</w:t>
            </w:r>
          </w:p>
        </w:tc>
        <w:tc>
          <w:tcPr>
            <w:tcW w:type="dxa" w:w="1742"/>
            <w:vAlign w:val="center"/>
            <w:tcMar>
              <w:top w:w="55" w:type="dxa"/>
              <w:start w:w="65" w:type="dxa"/>
              <w:bottom w:w="55" w:type="dxa"/>
              <w:end w:w="65" w:type="dxa"/>
            </w:tcMar>
          </w:tcPr>
          <w:p>
            <w:pPr>
              <w:spacing w:after="0"/>
            </w:pPr>
            <w:r>
              <w:rPr>
                <w:sz w:val="14"/>
              </w:rPr>
              <w:t>Identifying the client in family and conjoint services</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FAMILY-CLIENT-IDENTITY</w:t>
            </w:r>
          </w:p>
        </w:tc>
        <w:tc>
          <w:tcPr>
            <w:tcW w:type="dxa" w:w="1742"/>
            <w:vAlign w:val="center"/>
            <w:tcMar>
              <w:top w:w="55" w:type="dxa"/>
              <w:start w:w="65" w:type="dxa"/>
              <w:bottom w:w="55" w:type="dxa"/>
              <w:end w:w="65" w:type="dxa"/>
            </w:tcMar>
          </w:tcPr>
          <w:p>
            <w:pPr>
              <w:spacing w:after="0"/>
            </w:pPr>
            <w:r>
              <w:rPr>
                <w:sz w:val="14"/>
              </w:rPr>
              <w:t>NASW Code 1.03, 1.06, 1.07, and 1.08</w:t>
            </w:r>
          </w:p>
        </w:tc>
      </w:tr>
      <w:tr>
        <w:trPr>
          <w:cantSplit/>
        </w:trPr>
        <w:tc>
          <w:tcPr>
            <w:tcW w:type="dxa" w:w="1742"/>
            <w:vAlign w:val="center"/>
            <w:tcMar>
              <w:top w:w="55" w:type="dxa"/>
              <w:start w:w="65" w:type="dxa"/>
              <w:bottom w:w="55" w:type="dxa"/>
              <w:end w:w="65" w:type="dxa"/>
            </w:tcMar>
            <w:shd w:fill="F2F4F7"/>
          </w:tcPr>
          <w:p>
            <w:pPr>
              <w:spacing w:after="0"/>
            </w:pPr>
            <w:r>
              <w:rPr>
                <w:sz w:val="14"/>
              </w:rPr>
              <w:t>10</w:t>
            </w:r>
          </w:p>
        </w:tc>
        <w:tc>
          <w:tcPr>
            <w:tcW w:type="dxa" w:w="1742"/>
            <w:vAlign w:val="center"/>
            <w:tcMar>
              <w:top w:w="55" w:type="dxa"/>
              <w:start w:w="65" w:type="dxa"/>
              <w:bottom w:w="55" w:type="dxa"/>
              <w:end w:w="65" w:type="dxa"/>
            </w:tcMar>
            <w:shd w:fill="F2F4F7"/>
          </w:tcPr>
          <w:p>
            <w:pPr>
              <w:spacing w:after="0"/>
            </w:pPr>
            <w:r>
              <w:rPr>
                <w:sz w:val="14"/>
              </w:rPr>
              <w:t>Objective and clinically sound documentation</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WB9</w:t>
            </w:r>
          </w:p>
        </w:tc>
        <w:tc>
          <w:tcPr>
            <w:tcW w:type="dxa" w:w="1742"/>
            <w:vAlign w:val="center"/>
            <w:tcMar>
              <w:top w:w="55" w:type="dxa"/>
              <w:start w:w="65" w:type="dxa"/>
              <w:bottom w:w="55" w:type="dxa"/>
              <w:end w:w="65" w:type="dxa"/>
            </w:tcMar>
            <w:shd w:fill="F2F4F7"/>
          </w:tcPr>
          <w:p>
            <w:pPr>
              <w:spacing w:after="0"/>
            </w:pPr>
            <w:r>
              <w:rPr>
                <w:sz w:val="14"/>
              </w:rPr>
              <w:t>OBJECTIVE-DOCUMENTATION</w:t>
            </w:r>
          </w:p>
        </w:tc>
        <w:tc>
          <w:tcPr>
            <w:tcW w:type="dxa" w:w="1742"/>
            <w:vAlign w:val="center"/>
            <w:tcMar>
              <w:top w:w="55" w:type="dxa"/>
              <w:start w:w="65" w:type="dxa"/>
              <w:bottom w:w="55" w:type="dxa"/>
              <w:end w:w="65" w:type="dxa"/>
            </w:tcMar>
            <w:shd w:fill="F2F4F7"/>
          </w:tcPr>
          <w:p>
            <w:pPr>
              <w:spacing w:after="0"/>
            </w:pPr>
            <w:r>
              <w:rPr>
                <w:sz w:val="14"/>
              </w:rPr>
              <w:t>BPC 4992.3(w); NASW Code 1.12 and 3.04</w:t>
            </w:r>
          </w:p>
        </w:tc>
      </w:tr>
      <w:tr>
        <w:trPr>
          <w:cantSplit/>
        </w:trPr>
        <w:tc>
          <w:tcPr>
            <w:tcW w:type="dxa" w:w="1742"/>
            <w:vAlign w:val="center"/>
            <w:tcMar>
              <w:top w:w="55" w:type="dxa"/>
              <w:start w:w="65" w:type="dxa"/>
              <w:bottom w:w="55" w:type="dxa"/>
              <w:end w:w="65" w:type="dxa"/>
            </w:tcMar>
          </w:tcPr>
          <w:p>
            <w:pPr>
              <w:spacing w:after="0"/>
            </w:pPr>
            <w:r>
              <w:rPr>
                <w:sz w:val="14"/>
              </w:rPr>
              <w:t>11</w:t>
            </w:r>
          </w:p>
        </w:tc>
        <w:tc>
          <w:tcPr>
            <w:tcW w:type="dxa" w:w="1742"/>
            <w:vAlign w:val="center"/>
            <w:tcMar>
              <w:top w:w="55" w:type="dxa"/>
              <w:start w:w="65" w:type="dxa"/>
              <w:bottom w:w="55" w:type="dxa"/>
              <w:end w:w="65" w:type="dxa"/>
            </w:tcMar>
          </w:tcPr>
          <w:p>
            <w:pPr>
              <w:spacing w:after="0"/>
            </w:pPr>
            <w:r>
              <w:rPr>
                <w:sz w:val="14"/>
              </w:rPr>
              <w:t>Required disclosure by an unlicensed social-work assistant</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LS Module</w:t>
            </w:r>
          </w:p>
        </w:tc>
        <w:tc>
          <w:tcPr>
            <w:tcW w:type="dxa" w:w="1742"/>
            <w:vAlign w:val="center"/>
            <w:tcMar>
              <w:top w:w="55" w:type="dxa"/>
              <w:start w:w="65" w:type="dxa"/>
              <w:bottom w:w="55" w:type="dxa"/>
              <w:end w:w="65" w:type="dxa"/>
            </w:tcMar>
          </w:tcPr>
          <w:p>
            <w:pPr>
              <w:spacing w:after="0"/>
            </w:pPr>
            <w:r>
              <w:rPr>
                <w:sz w:val="14"/>
              </w:rPr>
              <w:t>UNLICENSED-STATUS-DISCLOSURE</w:t>
            </w:r>
          </w:p>
        </w:tc>
        <w:tc>
          <w:tcPr>
            <w:tcW w:type="dxa" w:w="1742"/>
            <w:vAlign w:val="center"/>
            <w:tcMar>
              <w:top w:w="55" w:type="dxa"/>
              <w:start w:w="65" w:type="dxa"/>
              <w:bottom w:w="55" w:type="dxa"/>
              <w:end w:w="65" w:type="dxa"/>
            </w:tcMar>
          </w:tcPr>
          <w:p>
            <w:pPr>
              <w:spacing w:after="0"/>
            </w:pPr>
            <w:r>
              <w:rPr>
                <w:sz w:val="14"/>
              </w:rPr>
              <w:t>16 CCR 1880; BPC 4996.15</w:t>
            </w:r>
          </w:p>
        </w:tc>
      </w:tr>
      <w:tr>
        <w:trPr>
          <w:cantSplit/>
        </w:trPr>
        <w:tc>
          <w:tcPr>
            <w:tcW w:type="dxa" w:w="1742"/>
            <w:vAlign w:val="center"/>
            <w:tcMar>
              <w:top w:w="55" w:type="dxa"/>
              <w:start w:w="65" w:type="dxa"/>
              <w:bottom w:w="55" w:type="dxa"/>
              <w:end w:w="65" w:type="dxa"/>
            </w:tcMar>
            <w:shd w:fill="F2F4F7"/>
          </w:tcPr>
          <w:p>
            <w:pPr>
              <w:spacing w:after="0"/>
            </w:pPr>
            <w:r>
              <w:rPr>
                <w:sz w:val="14"/>
              </w:rPr>
              <w:t>12</w:t>
            </w:r>
          </w:p>
        </w:tc>
        <w:tc>
          <w:tcPr>
            <w:tcW w:type="dxa" w:w="1742"/>
            <w:vAlign w:val="center"/>
            <w:tcMar>
              <w:top w:w="55" w:type="dxa"/>
              <w:start w:w="65" w:type="dxa"/>
              <w:bottom w:w="55" w:type="dxa"/>
              <w:end w:w="65" w:type="dxa"/>
            </w:tcMar>
            <w:shd w:fill="F2F4F7"/>
          </w:tcPr>
          <w:p>
            <w:pPr>
              <w:spacing w:after="0"/>
            </w:pPr>
            <w:r>
              <w:rPr>
                <w:sz w:val="14"/>
              </w:rPr>
              <w:t>Organizational repair of an inaccessible intake channel</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WB7</w:t>
            </w:r>
          </w:p>
        </w:tc>
        <w:tc>
          <w:tcPr>
            <w:tcW w:type="dxa" w:w="1742"/>
            <w:vAlign w:val="center"/>
            <w:tcMar>
              <w:top w:w="55" w:type="dxa"/>
              <w:start w:w="65" w:type="dxa"/>
              <w:bottom w:w="55" w:type="dxa"/>
              <w:end w:w="65" w:type="dxa"/>
            </w:tcMar>
            <w:shd w:fill="F2F4F7"/>
          </w:tcPr>
          <w:p>
            <w:pPr>
              <w:spacing w:after="0"/>
            </w:pPr>
            <w:r>
              <w:rPr>
                <w:sz w:val="14"/>
              </w:rPr>
              <w:t>ORGANIZATIONAL-ACCESS</w:t>
            </w:r>
          </w:p>
        </w:tc>
        <w:tc>
          <w:tcPr>
            <w:tcW w:type="dxa" w:w="1742"/>
            <w:vAlign w:val="center"/>
            <w:tcMar>
              <w:top w:w="55" w:type="dxa"/>
              <w:start w:w="65" w:type="dxa"/>
              <w:bottom w:w="55" w:type="dxa"/>
              <w:end w:w="65" w:type="dxa"/>
            </w:tcMar>
            <w:shd w:fill="F2F4F7"/>
          </w:tcPr>
          <w:p>
            <w:pPr>
              <w:spacing w:after="0"/>
            </w:pPr>
            <w:r>
              <w:rPr>
                <w:sz w:val="14"/>
              </w:rPr>
              <w:t>NASW Code 3.07, 3.09, 4.02, and 6.04; ADA effective-communication principles and applicable California access law</w:t>
            </w:r>
          </w:p>
        </w:tc>
      </w:tr>
      <w:tr>
        <w:trPr>
          <w:cantSplit/>
        </w:trPr>
        <w:tc>
          <w:tcPr>
            <w:tcW w:type="dxa" w:w="1742"/>
            <w:vAlign w:val="center"/>
            <w:tcMar>
              <w:top w:w="55" w:type="dxa"/>
              <w:start w:w="65" w:type="dxa"/>
              <w:bottom w:w="55" w:type="dxa"/>
              <w:end w:w="65" w:type="dxa"/>
            </w:tcMar>
          </w:tcPr>
          <w:p>
            <w:pPr>
              <w:spacing w:after="0"/>
            </w:pPr>
            <w:r>
              <w:rPr>
                <w:sz w:val="14"/>
              </w:rPr>
              <w:t>13</w:t>
            </w:r>
          </w:p>
        </w:tc>
        <w:tc>
          <w:tcPr>
            <w:tcW w:type="dxa" w:w="1742"/>
            <w:vAlign w:val="center"/>
            <w:tcMar>
              <w:top w:w="55" w:type="dxa"/>
              <w:start w:w="65" w:type="dxa"/>
              <w:bottom w:w="55" w:type="dxa"/>
              <w:end w:w="65" w:type="dxa"/>
            </w:tcMar>
          </w:tcPr>
          <w:p>
            <w:pPr>
              <w:spacing w:after="0"/>
            </w:pPr>
            <w:r>
              <w:rPr>
                <w:sz w:val="14"/>
              </w:rPr>
              <w:t>Informed consent for group services</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GROUP-INFORMED-CONSENT</w:t>
            </w:r>
          </w:p>
        </w:tc>
        <w:tc>
          <w:tcPr>
            <w:tcW w:type="dxa" w:w="1742"/>
            <w:vAlign w:val="center"/>
            <w:tcMar>
              <w:top w:w="55" w:type="dxa"/>
              <w:start w:w="65" w:type="dxa"/>
              <w:bottom w:w="55" w:type="dxa"/>
              <w:end w:w="65" w:type="dxa"/>
            </w:tcMar>
          </w:tcPr>
          <w:p>
            <w:pPr>
              <w:spacing w:after="0"/>
            </w:pPr>
            <w:r>
              <w:rPr>
                <w:sz w:val="14"/>
              </w:rPr>
              <w:t>NASW Code 1.03, 1.07, and 1.08</w:t>
            </w:r>
          </w:p>
        </w:tc>
      </w:tr>
      <w:tr>
        <w:trPr>
          <w:cantSplit/>
        </w:trPr>
        <w:tc>
          <w:tcPr>
            <w:tcW w:type="dxa" w:w="1742"/>
            <w:vAlign w:val="center"/>
            <w:tcMar>
              <w:top w:w="55" w:type="dxa"/>
              <w:start w:w="65" w:type="dxa"/>
              <w:bottom w:w="55" w:type="dxa"/>
              <w:end w:w="65" w:type="dxa"/>
            </w:tcMar>
            <w:shd w:fill="F2F4F7"/>
          </w:tcPr>
          <w:p>
            <w:pPr>
              <w:spacing w:after="0"/>
            </w:pPr>
            <w:r>
              <w:rPr>
                <w:sz w:val="14"/>
              </w:rPr>
              <w:t>14</w:t>
            </w:r>
          </w:p>
        </w:tc>
        <w:tc>
          <w:tcPr>
            <w:tcW w:type="dxa" w:w="1742"/>
            <w:vAlign w:val="center"/>
            <w:tcMar>
              <w:top w:w="55" w:type="dxa"/>
              <w:start w:w="65" w:type="dxa"/>
              <w:bottom w:w="55" w:type="dxa"/>
              <w:end w:w="65" w:type="dxa"/>
            </w:tcMar>
            <w:shd w:fill="F2F4F7"/>
          </w:tcPr>
          <w:p>
            <w:pPr>
              <w:spacing w:after="0"/>
            </w:pPr>
            <w:r>
              <w:rPr>
                <w:sz w:val="14"/>
              </w:rPr>
              <w:t>Cultural meaning before pathologizing behavior</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WB7</w:t>
            </w:r>
          </w:p>
        </w:tc>
        <w:tc>
          <w:tcPr>
            <w:tcW w:type="dxa" w:w="1742"/>
            <w:vAlign w:val="center"/>
            <w:tcMar>
              <w:top w:w="55" w:type="dxa"/>
              <w:start w:w="65" w:type="dxa"/>
              <w:bottom w:w="55" w:type="dxa"/>
              <w:end w:w="65" w:type="dxa"/>
            </w:tcMar>
            <w:shd w:fill="F2F4F7"/>
          </w:tcPr>
          <w:p>
            <w:pPr>
              <w:spacing w:after="0"/>
            </w:pPr>
            <w:r>
              <w:rPr>
                <w:sz w:val="14"/>
              </w:rPr>
              <w:t>CULTURAL-MEANING</w:t>
            </w:r>
          </w:p>
        </w:tc>
        <w:tc>
          <w:tcPr>
            <w:tcW w:type="dxa" w:w="1742"/>
            <w:vAlign w:val="center"/>
            <w:tcMar>
              <w:top w:w="55" w:type="dxa"/>
              <w:start w:w="65" w:type="dxa"/>
              <w:bottom w:w="55" w:type="dxa"/>
              <w:end w:w="65" w:type="dxa"/>
            </w:tcMar>
            <w:shd w:fill="F2F4F7"/>
          </w:tcPr>
          <w:p>
            <w:pPr>
              <w:spacing w:after="0"/>
            </w:pPr>
            <w:r>
              <w:rPr>
                <w:sz w:val="14"/>
              </w:rPr>
              <w:t>NASW Code 1.04, 1.05, and 4.02</w:t>
            </w:r>
          </w:p>
        </w:tc>
      </w:tr>
      <w:tr>
        <w:trPr>
          <w:cantSplit/>
        </w:trPr>
        <w:tc>
          <w:tcPr>
            <w:tcW w:type="dxa" w:w="1742"/>
            <w:vAlign w:val="center"/>
            <w:tcMar>
              <w:top w:w="55" w:type="dxa"/>
              <w:start w:w="65" w:type="dxa"/>
              <w:bottom w:w="55" w:type="dxa"/>
              <w:end w:w="65" w:type="dxa"/>
            </w:tcMar>
          </w:tcPr>
          <w:p>
            <w:pPr>
              <w:spacing w:after="0"/>
            </w:pPr>
            <w:r>
              <w:rPr>
                <w:sz w:val="14"/>
              </w:rPr>
              <w:t>15</w:t>
            </w:r>
          </w:p>
        </w:tc>
        <w:tc>
          <w:tcPr>
            <w:tcW w:type="dxa" w:w="1742"/>
            <w:vAlign w:val="center"/>
            <w:tcMar>
              <w:top w:w="55" w:type="dxa"/>
              <w:start w:w="65" w:type="dxa"/>
              <w:bottom w:w="55" w:type="dxa"/>
              <w:end w:w="65" w:type="dxa"/>
            </w:tcMar>
          </w:tcPr>
          <w:p>
            <w:pPr>
              <w:spacing w:after="0"/>
            </w:pPr>
            <w:r>
              <w:rPr>
                <w:sz w:val="14"/>
              </w:rPr>
              <w:t>Bartering and payment for services</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WB6</w:t>
            </w:r>
          </w:p>
        </w:tc>
        <w:tc>
          <w:tcPr>
            <w:tcW w:type="dxa" w:w="1742"/>
            <w:vAlign w:val="center"/>
            <w:tcMar>
              <w:top w:w="55" w:type="dxa"/>
              <w:start w:w="65" w:type="dxa"/>
              <w:bottom w:w="55" w:type="dxa"/>
              <w:end w:w="65" w:type="dxa"/>
            </w:tcMar>
          </w:tcPr>
          <w:p>
            <w:pPr>
              <w:spacing w:after="0"/>
            </w:pPr>
            <w:r>
              <w:rPr>
                <w:sz w:val="14"/>
              </w:rPr>
              <w:t>BARTERING</w:t>
            </w:r>
          </w:p>
        </w:tc>
        <w:tc>
          <w:tcPr>
            <w:tcW w:type="dxa" w:w="1742"/>
            <w:vAlign w:val="center"/>
            <w:tcMar>
              <w:top w:w="55" w:type="dxa"/>
              <w:start w:w="65" w:type="dxa"/>
              <w:bottom w:w="55" w:type="dxa"/>
              <w:end w:w="65" w:type="dxa"/>
            </w:tcMar>
          </w:tcPr>
          <w:p>
            <w:pPr>
              <w:spacing w:after="0"/>
            </w:pPr>
            <w:r>
              <w:rPr>
                <w:sz w:val="14"/>
              </w:rPr>
              <w:t>NASW Code 1.13(a),(b); BPC 4992.3(o)</w:t>
            </w:r>
          </w:p>
        </w:tc>
      </w:tr>
      <w:tr>
        <w:trPr>
          <w:cantSplit/>
        </w:trPr>
        <w:tc>
          <w:tcPr>
            <w:tcW w:type="dxa" w:w="1742"/>
            <w:vAlign w:val="center"/>
            <w:tcMar>
              <w:top w:w="55" w:type="dxa"/>
              <w:start w:w="65" w:type="dxa"/>
              <w:bottom w:w="55" w:type="dxa"/>
              <w:end w:w="65" w:type="dxa"/>
            </w:tcMar>
            <w:shd w:fill="F2F4F7"/>
          </w:tcPr>
          <w:p>
            <w:pPr>
              <w:spacing w:after="0"/>
            </w:pPr>
            <w:r>
              <w:rPr>
                <w:sz w:val="14"/>
              </w:rPr>
              <w:t>16</w:t>
            </w:r>
          </w:p>
        </w:tc>
        <w:tc>
          <w:tcPr>
            <w:tcW w:type="dxa" w:w="1742"/>
            <w:vAlign w:val="center"/>
            <w:tcMar>
              <w:top w:w="55" w:type="dxa"/>
              <w:start w:w="65" w:type="dxa"/>
              <w:bottom w:w="55" w:type="dxa"/>
              <w:end w:w="65" w:type="dxa"/>
            </w:tcMar>
            <w:shd w:fill="F2F4F7"/>
          </w:tcPr>
          <w:p>
            <w:pPr>
              <w:spacing w:after="0"/>
            </w:pPr>
            <w:r>
              <w:rPr>
                <w:sz w:val="14"/>
              </w:rPr>
              <w:t>Serious-threat assessment when no victim is yet identifiable</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WB8</w:t>
            </w:r>
          </w:p>
        </w:tc>
        <w:tc>
          <w:tcPr>
            <w:tcW w:type="dxa" w:w="1742"/>
            <w:vAlign w:val="center"/>
            <w:tcMar>
              <w:top w:w="55" w:type="dxa"/>
              <w:start w:w="65" w:type="dxa"/>
              <w:bottom w:w="55" w:type="dxa"/>
              <w:end w:w="65" w:type="dxa"/>
            </w:tcMar>
            <w:shd w:fill="F2F4F7"/>
          </w:tcPr>
          <w:p>
            <w:pPr>
              <w:spacing w:after="0"/>
            </w:pPr>
            <w:r>
              <w:rPr>
                <w:sz w:val="14"/>
              </w:rPr>
              <w:t>VIOLENCE-RISK-ASSESSMENT</w:t>
            </w:r>
          </w:p>
        </w:tc>
        <w:tc>
          <w:tcPr>
            <w:tcW w:type="dxa" w:w="1742"/>
            <w:vAlign w:val="center"/>
            <w:tcMar>
              <w:top w:w="55" w:type="dxa"/>
              <w:start w:w="65" w:type="dxa"/>
              <w:bottom w:w="55" w:type="dxa"/>
              <w:end w:w="65" w:type="dxa"/>
            </w:tcMar>
            <w:shd w:fill="F2F4F7"/>
          </w:tcPr>
          <w:p>
            <w:pPr>
              <w:spacing w:after="0"/>
            </w:pPr>
            <w:r>
              <w:rPr>
                <w:sz w:val="14"/>
              </w:rPr>
              <w:t>California Civil Code 43.92; NASW Code 1.01 and 1.07</w:t>
            </w:r>
          </w:p>
        </w:tc>
      </w:tr>
      <w:tr>
        <w:trPr>
          <w:cantSplit/>
        </w:trPr>
        <w:tc>
          <w:tcPr>
            <w:tcW w:type="dxa" w:w="1742"/>
            <w:vAlign w:val="center"/>
            <w:tcMar>
              <w:top w:w="55" w:type="dxa"/>
              <w:start w:w="65" w:type="dxa"/>
              <w:bottom w:w="55" w:type="dxa"/>
              <w:end w:w="65" w:type="dxa"/>
            </w:tcMar>
          </w:tcPr>
          <w:p>
            <w:pPr>
              <w:spacing w:after="0"/>
            </w:pPr>
            <w:r>
              <w:rPr>
                <w:sz w:val="14"/>
              </w:rPr>
              <w:t>17</w:t>
            </w:r>
          </w:p>
        </w:tc>
        <w:tc>
          <w:tcPr>
            <w:tcW w:type="dxa" w:w="1742"/>
            <w:vAlign w:val="center"/>
            <w:tcMar>
              <w:top w:w="55" w:type="dxa"/>
              <w:start w:w="65" w:type="dxa"/>
              <w:bottom w:w="55" w:type="dxa"/>
              <w:end w:w="65" w:type="dxa"/>
            </w:tcMar>
          </w:tcPr>
          <w:p>
            <w:pPr>
              <w:spacing w:after="0"/>
            </w:pPr>
            <w:r>
              <w:rPr>
                <w:sz w:val="14"/>
              </w:rPr>
              <w:t>Ethical termination for nonpayment</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WB5</w:t>
            </w:r>
          </w:p>
        </w:tc>
        <w:tc>
          <w:tcPr>
            <w:tcW w:type="dxa" w:w="1742"/>
            <w:vAlign w:val="center"/>
            <w:tcMar>
              <w:top w:w="55" w:type="dxa"/>
              <w:start w:w="65" w:type="dxa"/>
              <w:bottom w:w="55" w:type="dxa"/>
              <w:end w:w="65" w:type="dxa"/>
            </w:tcMar>
          </w:tcPr>
          <w:p>
            <w:pPr>
              <w:spacing w:after="0"/>
            </w:pPr>
            <w:r>
              <w:rPr>
                <w:sz w:val="14"/>
              </w:rPr>
              <w:t>NONPAYMENT-TERMINATION</w:t>
            </w:r>
          </w:p>
        </w:tc>
        <w:tc>
          <w:tcPr>
            <w:tcW w:type="dxa" w:w="1742"/>
            <w:vAlign w:val="center"/>
            <w:tcMar>
              <w:top w:w="55" w:type="dxa"/>
              <w:start w:w="65" w:type="dxa"/>
              <w:bottom w:w="55" w:type="dxa"/>
              <w:end w:w="65" w:type="dxa"/>
            </w:tcMar>
          </w:tcPr>
          <w:p>
            <w:pPr>
              <w:spacing w:after="0"/>
            </w:pPr>
            <w:r>
              <w:rPr>
                <w:sz w:val="14"/>
              </w:rPr>
              <w:t>NASW Code 1.13(c) and 1.15</w:t>
            </w:r>
          </w:p>
        </w:tc>
      </w:tr>
      <w:tr>
        <w:trPr>
          <w:cantSplit/>
        </w:trPr>
        <w:tc>
          <w:tcPr>
            <w:tcW w:type="dxa" w:w="1742"/>
            <w:vAlign w:val="center"/>
            <w:tcMar>
              <w:top w:w="55" w:type="dxa"/>
              <w:start w:w="65" w:type="dxa"/>
              <w:bottom w:w="55" w:type="dxa"/>
              <w:end w:w="65" w:type="dxa"/>
            </w:tcMar>
            <w:shd w:fill="F2F4F7"/>
          </w:tcPr>
          <w:p>
            <w:pPr>
              <w:spacing w:after="0"/>
            </w:pPr>
            <w:r>
              <w:rPr>
                <w:sz w:val="14"/>
              </w:rPr>
              <w:t>18</w:t>
            </w:r>
          </w:p>
        </w:tc>
        <w:tc>
          <w:tcPr>
            <w:tcW w:type="dxa" w:w="1742"/>
            <w:vAlign w:val="center"/>
            <w:tcMar>
              <w:top w:w="55" w:type="dxa"/>
              <w:start w:w="65" w:type="dxa"/>
              <w:bottom w:w="55" w:type="dxa"/>
              <w:end w:w="65" w:type="dxa"/>
            </w:tcMar>
            <w:shd w:fill="F2F4F7"/>
          </w:tcPr>
          <w:p>
            <w:pPr>
              <w:spacing w:after="0"/>
            </w:pPr>
            <w:r>
              <w:rPr>
                <w:sz w:val="14"/>
              </w:rPr>
              <w:t>Former-client sexual relationship: law and ethics are not identical</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WB6</w:t>
            </w:r>
          </w:p>
        </w:tc>
        <w:tc>
          <w:tcPr>
            <w:tcW w:type="dxa" w:w="1742"/>
            <w:vAlign w:val="center"/>
            <w:tcMar>
              <w:top w:w="55" w:type="dxa"/>
              <w:start w:w="65" w:type="dxa"/>
              <w:bottom w:w="55" w:type="dxa"/>
              <w:end w:w="65" w:type="dxa"/>
            </w:tcMar>
            <w:shd w:fill="F2F4F7"/>
          </w:tcPr>
          <w:p>
            <w:pPr>
              <w:spacing w:after="0"/>
            </w:pPr>
            <w:r>
              <w:rPr>
                <w:sz w:val="14"/>
              </w:rPr>
              <w:t>FORMER-CLIENT-SEXUAL-RELATIONSHIP</w:t>
            </w:r>
          </w:p>
        </w:tc>
        <w:tc>
          <w:tcPr>
            <w:tcW w:type="dxa" w:w="1742"/>
            <w:vAlign w:val="center"/>
            <w:tcMar>
              <w:top w:w="55" w:type="dxa"/>
              <w:start w:w="65" w:type="dxa"/>
              <w:bottom w:w="55" w:type="dxa"/>
              <w:end w:w="65" w:type="dxa"/>
            </w:tcMar>
            <w:shd w:fill="F2F4F7"/>
          </w:tcPr>
          <w:p>
            <w:pPr>
              <w:spacing w:after="0"/>
            </w:pPr>
            <w:r>
              <w:rPr>
                <w:sz w:val="14"/>
              </w:rPr>
              <w:t>BPC 4992.3(l); NASW Code 1.09(c) and 1.06</w:t>
            </w:r>
          </w:p>
        </w:tc>
      </w:tr>
      <w:tr>
        <w:trPr>
          <w:cantSplit/>
        </w:trPr>
        <w:tc>
          <w:tcPr>
            <w:tcW w:type="dxa" w:w="1742"/>
            <w:vAlign w:val="center"/>
            <w:tcMar>
              <w:top w:w="55" w:type="dxa"/>
              <w:start w:w="65" w:type="dxa"/>
              <w:bottom w:w="55" w:type="dxa"/>
              <w:end w:w="65" w:type="dxa"/>
            </w:tcMar>
          </w:tcPr>
          <w:p>
            <w:pPr>
              <w:spacing w:after="0"/>
            </w:pPr>
            <w:r>
              <w:rPr>
                <w:sz w:val="14"/>
              </w:rPr>
              <w:t>19</w:t>
            </w:r>
          </w:p>
        </w:tc>
        <w:tc>
          <w:tcPr>
            <w:tcW w:type="dxa" w:w="1742"/>
            <w:vAlign w:val="center"/>
            <w:tcMar>
              <w:top w:w="55" w:type="dxa"/>
              <w:start w:w="65" w:type="dxa"/>
              <w:bottom w:w="55" w:type="dxa"/>
              <w:end w:w="65" w:type="dxa"/>
            </w:tcMar>
          </w:tcPr>
          <w:p>
            <w:pPr>
              <w:spacing w:after="0"/>
            </w:pPr>
            <w:r>
              <w:rPr>
                <w:sz w:val="14"/>
              </w:rPr>
              <w:t>Telehealth emergency-resource planning at initiation</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TELEHEALTH-EMERGENCY-RESOURCES</w:t>
            </w:r>
          </w:p>
        </w:tc>
        <w:tc>
          <w:tcPr>
            <w:tcW w:type="dxa" w:w="1742"/>
            <w:vAlign w:val="center"/>
            <w:tcMar>
              <w:top w:w="55" w:type="dxa"/>
              <w:start w:w="65" w:type="dxa"/>
              <w:bottom w:w="55" w:type="dxa"/>
              <w:end w:w="65" w:type="dxa"/>
            </w:tcMar>
          </w:tcPr>
          <w:p>
            <w:pPr>
              <w:spacing w:after="0"/>
            </w:pPr>
            <w:r>
              <w:rPr>
                <w:sz w:val="14"/>
              </w:rPr>
              <w:t>16 CCR 1815.5(c)(4)</w:t>
            </w:r>
          </w:p>
        </w:tc>
      </w:tr>
      <w:tr>
        <w:trPr>
          <w:cantSplit/>
        </w:trPr>
        <w:tc>
          <w:tcPr>
            <w:tcW w:type="dxa" w:w="1742"/>
            <w:vAlign w:val="center"/>
            <w:tcMar>
              <w:top w:w="55" w:type="dxa"/>
              <w:start w:w="65" w:type="dxa"/>
              <w:bottom w:w="55" w:type="dxa"/>
              <w:end w:w="65" w:type="dxa"/>
            </w:tcMar>
            <w:shd w:fill="F2F4F7"/>
          </w:tcPr>
          <w:p>
            <w:pPr>
              <w:spacing w:after="0"/>
            </w:pPr>
            <w:r>
              <w:rPr>
                <w:sz w:val="14"/>
              </w:rPr>
              <w:t>20</w:t>
            </w:r>
          </w:p>
        </w:tc>
        <w:tc>
          <w:tcPr>
            <w:tcW w:type="dxa" w:w="1742"/>
            <w:vAlign w:val="center"/>
            <w:tcMar>
              <w:top w:w="55" w:type="dxa"/>
              <w:start w:w="65" w:type="dxa"/>
              <w:bottom w:w="55" w:type="dxa"/>
              <w:end w:w="65" w:type="dxa"/>
            </w:tcMar>
            <w:shd w:fill="F2F4F7"/>
          </w:tcPr>
          <w:p>
            <w:pPr>
              <w:spacing w:after="0"/>
            </w:pPr>
            <w:r>
              <w:rPr>
                <w:sz w:val="14"/>
              </w:rPr>
              <w:t>Risks and limits of clinical text messaging</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WB2</w:t>
            </w:r>
          </w:p>
        </w:tc>
        <w:tc>
          <w:tcPr>
            <w:tcW w:type="dxa" w:w="1742"/>
            <w:vAlign w:val="center"/>
            <w:tcMar>
              <w:top w:w="55" w:type="dxa"/>
              <w:start w:w="65" w:type="dxa"/>
              <w:bottom w:w="55" w:type="dxa"/>
              <w:end w:w="65" w:type="dxa"/>
            </w:tcMar>
            <w:shd w:fill="F2F4F7"/>
          </w:tcPr>
          <w:p>
            <w:pPr>
              <w:spacing w:after="0"/>
            </w:pPr>
            <w:r>
              <w:rPr>
                <w:sz w:val="14"/>
              </w:rPr>
              <w:t>CLINICAL-TEXTING</w:t>
            </w:r>
          </w:p>
        </w:tc>
        <w:tc>
          <w:tcPr>
            <w:tcW w:type="dxa" w:w="1742"/>
            <w:vAlign w:val="center"/>
            <w:tcMar>
              <w:top w:w="55" w:type="dxa"/>
              <w:start w:w="65" w:type="dxa"/>
              <w:bottom w:w="55" w:type="dxa"/>
              <w:end w:w="65" w:type="dxa"/>
            </w:tcMar>
            <w:shd w:fill="F2F4F7"/>
          </w:tcPr>
          <w:p>
            <w:pPr>
              <w:spacing w:after="0"/>
            </w:pPr>
            <w:r>
              <w:rPr>
                <w:sz w:val="14"/>
              </w:rPr>
              <w:t>NASW Code 1.03(e), 1.04, and 1.07(m); applicable CMIA and HIPAA requirements</w:t>
            </w:r>
          </w:p>
        </w:tc>
      </w:tr>
      <w:tr>
        <w:trPr>
          <w:cantSplit/>
        </w:trPr>
        <w:tc>
          <w:tcPr>
            <w:tcW w:type="dxa" w:w="1742"/>
            <w:vAlign w:val="center"/>
            <w:tcMar>
              <w:top w:w="55" w:type="dxa"/>
              <w:start w:w="65" w:type="dxa"/>
              <w:bottom w:w="55" w:type="dxa"/>
              <w:end w:w="65" w:type="dxa"/>
            </w:tcMar>
          </w:tcPr>
          <w:p>
            <w:pPr>
              <w:spacing w:after="0"/>
            </w:pPr>
            <w:r>
              <w:rPr>
                <w:sz w:val="14"/>
              </w:rPr>
              <w:t>21</w:t>
            </w:r>
          </w:p>
        </w:tc>
        <w:tc>
          <w:tcPr>
            <w:tcW w:type="dxa" w:w="1742"/>
            <w:vAlign w:val="center"/>
            <w:tcMar>
              <w:top w:w="55" w:type="dxa"/>
              <w:start w:w="65" w:type="dxa"/>
              <w:bottom w:w="55" w:type="dxa"/>
              <w:end w:w="65" w:type="dxa"/>
            </w:tcMar>
          </w:tcPr>
          <w:p>
            <w:pPr>
              <w:spacing w:after="0"/>
            </w:pPr>
            <w:r>
              <w:rPr>
                <w:sz w:val="14"/>
              </w:rPr>
              <w:t>Response to an unauthorized electronic disclosure</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WB9</w:t>
            </w:r>
          </w:p>
        </w:tc>
        <w:tc>
          <w:tcPr>
            <w:tcW w:type="dxa" w:w="1742"/>
            <w:vAlign w:val="center"/>
            <w:tcMar>
              <w:top w:w="55" w:type="dxa"/>
              <w:start w:w="65" w:type="dxa"/>
              <w:bottom w:w="55" w:type="dxa"/>
              <w:end w:w="65" w:type="dxa"/>
            </w:tcMar>
          </w:tcPr>
          <w:p>
            <w:pPr>
              <w:spacing w:after="0"/>
            </w:pPr>
            <w:r>
              <w:rPr>
                <w:sz w:val="14"/>
              </w:rPr>
              <w:t>PRIVACY-INCIDENT-RESPONSE</w:t>
            </w:r>
          </w:p>
        </w:tc>
        <w:tc>
          <w:tcPr>
            <w:tcW w:type="dxa" w:w="1742"/>
            <w:vAlign w:val="center"/>
            <w:tcMar>
              <w:top w:w="55" w:type="dxa"/>
              <w:start w:w="65" w:type="dxa"/>
              <w:bottom w:w="55" w:type="dxa"/>
              <w:end w:w="65" w:type="dxa"/>
            </w:tcMar>
          </w:tcPr>
          <w:p>
            <w:pPr>
              <w:spacing w:after="0"/>
            </w:pPr>
            <w:r>
              <w:rPr>
                <w:sz w:val="14"/>
              </w:rPr>
              <w:t>BPC 4992.3(k),(w); NASW Code 1.07 and 3.04; applicable California privacy and breach law</w:t>
            </w:r>
          </w:p>
        </w:tc>
      </w:tr>
      <w:tr>
        <w:trPr>
          <w:cantSplit/>
        </w:trPr>
        <w:tc>
          <w:tcPr>
            <w:tcW w:type="dxa" w:w="1742"/>
            <w:vAlign w:val="center"/>
            <w:tcMar>
              <w:top w:w="55" w:type="dxa"/>
              <w:start w:w="65" w:type="dxa"/>
              <w:bottom w:w="55" w:type="dxa"/>
              <w:end w:w="65" w:type="dxa"/>
            </w:tcMar>
            <w:shd w:fill="F2F4F7"/>
          </w:tcPr>
          <w:p>
            <w:pPr>
              <w:spacing w:after="0"/>
            </w:pPr>
            <w:r>
              <w:rPr>
                <w:sz w:val="14"/>
              </w:rPr>
              <w:t>22</w:t>
            </w:r>
          </w:p>
        </w:tc>
        <w:tc>
          <w:tcPr>
            <w:tcW w:type="dxa" w:w="1742"/>
            <w:vAlign w:val="center"/>
            <w:tcMar>
              <w:top w:w="55" w:type="dxa"/>
              <w:start w:w="65" w:type="dxa"/>
              <w:bottom w:w="55" w:type="dxa"/>
              <w:end w:w="65" w:type="dxa"/>
            </w:tcMar>
            <w:shd w:fill="F2F4F7"/>
          </w:tcPr>
          <w:p>
            <w:pPr>
              <w:spacing w:after="0"/>
            </w:pPr>
            <w:r>
              <w:rPr>
                <w:sz w:val="14"/>
              </w:rPr>
              <w:t>Client-directed response to reported discrimination</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WB7</w:t>
            </w:r>
          </w:p>
        </w:tc>
        <w:tc>
          <w:tcPr>
            <w:tcW w:type="dxa" w:w="1742"/>
            <w:vAlign w:val="center"/>
            <w:tcMar>
              <w:top w:w="55" w:type="dxa"/>
              <w:start w:w="65" w:type="dxa"/>
              <w:bottom w:w="55" w:type="dxa"/>
              <w:end w:w="65" w:type="dxa"/>
            </w:tcMar>
            <w:shd w:fill="F2F4F7"/>
          </w:tcPr>
          <w:p>
            <w:pPr>
              <w:spacing w:after="0"/>
            </w:pPr>
            <w:r>
              <w:rPr>
                <w:sz w:val="14"/>
              </w:rPr>
              <w:t>DISCRIMINATION-ADVOCACY</w:t>
            </w:r>
          </w:p>
        </w:tc>
        <w:tc>
          <w:tcPr>
            <w:tcW w:type="dxa" w:w="1742"/>
            <w:vAlign w:val="center"/>
            <w:tcMar>
              <w:top w:w="55" w:type="dxa"/>
              <w:start w:w="65" w:type="dxa"/>
              <w:bottom w:w="55" w:type="dxa"/>
              <w:end w:w="65" w:type="dxa"/>
            </w:tcMar>
            <w:shd w:fill="F2F4F7"/>
          </w:tcPr>
          <w:p>
            <w:pPr>
              <w:spacing w:after="0"/>
            </w:pPr>
            <w:r>
              <w:rPr>
                <w:sz w:val="14"/>
              </w:rPr>
              <w:t>NASW Code 1.02, 1.03, 4.02, and 6.04; applicable California civil-rights protections</w:t>
            </w:r>
          </w:p>
        </w:tc>
      </w:tr>
      <w:tr>
        <w:trPr>
          <w:cantSplit/>
        </w:trPr>
        <w:tc>
          <w:tcPr>
            <w:tcW w:type="dxa" w:w="1742"/>
            <w:vAlign w:val="center"/>
            <w:tcMar>
              <w:top w:w="55" w:type="dxa"/>
              <w:start w:w="65" w:type="dxa"/>
              <w:bottom w:w="55" w:type="dxa"/>
              <w:end w:w="65" w:type="dxa"/>
            </w:tcMar>
          </w:tcPr>
          <w:p>
            <w:pPr>
              <w:spacing w:after="0"/>
            </w:pPr>
            <w:r>
              <w:rPr>
                <w:sz w:val="14"/>
              </w:rPr>
              <w:t>23</w:t>
            </w:r>
          </w:p>
        </w:tc>
        <w:tc>
          <w:tcPr>
            <w:tcW w:type="dxa" w:w="1742"/>
            <w:vAlign w:val="center"/>
            <w:tcMar>
              <w:top w:w="55" w:type="dxa"/>
              <w:start w:w="65" w:type="dxa"/>
              <w:bottom w:w="55" w:type="dxa"/>
              <w:end w:w="65" w:type="dxa"/>
            </w:tcMar>
          </w:tcPr>
          <w:p>
            <w:pPr>
              <w:spacing w:after="0"/>
            </w:pPr>
            <w:r>
              <w:rPr>
                <w:sz w:val="14"/>
              </w:rPr>
              <w:t>Privacy and participant identity during telehealth with a minor</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TELEHEALTH-PARTICIPANT-IDENTITY</w:t>
            </w:r>
          </w:p>
        </w:tc>
        <w:tc>
          <w:tcPr>
            <w:tcW w:type="dxa" w:w="1742"/>
            <w:vAlign w:val="center"/>
            <w:tcMar>
              <w:top w:w="55" w:type="dxa"/>
              <w:start w:w="65" w:type="dxa"/>
              <w:bottom w:w="55" w:type="dxa"/>
              <w:end w:w="65" w:type="dxa"/>
            </w:tcMar>
          </w:tcPr>
          <w:p>
            <w:pPr>
              <w:spacing w:after="0"/>
            </w:pPr>
            <w:r>
              <w:rPr>
                <w:sz w:val="14"/>
              </w:rPr>
              <w:t>16 CCR 1815.5(d); NASW Code 1.03 and 1.07</w:t>
            </w:r>
          </w:p>
        </w:tc>
      </w:tr>
      <w:tr>
        <w:trPr>
          <w:cantSplit/>
        </w:trPr>
        <w:tc>
          <w:tcPr>
            <w:tcW w:type="dxa" w:w="1742"/>
            <w:vAlign w:val="center"/>
            <w:tcMar>
              <w:top w:w="55" w:type="dxa"/>
              <w:start w:w="65" w:type="dxa"/>
              <w:bottom w:w="55" w:type="dxa"/>
              <w:end w:w="65" w:type="dxa"/>
            </w:tcMar>
            <w:shd w:fill="F2F4F7"/>
          </w:tcPr>
          <w:p>
            <w:pPr>
              <w:spacing w:after="0"/>
            </w:pPr>
            <w:r>
              <w:rPr>
                <w:sz w:val="14"/>
              </w:rPr>
              <w:t>24</w:t>
            </w:r>
          </w:p>
        </w:tc>
        <w:tc>
          <w:tcPr>
            <w:tcW w:type="dxa" w:w="1742"/>
            <w:vAlign w:val="center"/>
            <w:tcMar>
              <w:top w:w="55" w:type="dxa"/>
              <w:start w:w="65" w:type="dxa"/>
              <w:bottom w:w="55" w:type="dxa"/>
              <w:end w:w="65" w:type="dxa"/>
            </w:tcMar>
            <w:shd w:fill="F2F4F7"/>
          </w:tcPr>
          <w:p>
            <w:pPr>
              <w:spacing w:after="0"/>
            </w:pPr>
            <w:r>
              <w:rPr>
                <w:sz w:val="14"/>
              </w:rPr>
              <w:t>Disqualifying supervisory relationships</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DISQUALIFYING-SUPERVISION-RELATIONSHIP</w:t>
            </w:r>
          </w:p>
        </w:tc>
        <w:tc>
          <w:tcPr>
            <w:tcW w:type="dxa" w:w="1742"/>
            <w:vAlign w:val="center"/>
            <w:tcMar>
              <w:top w:w="55" w:type="dxa"/>
              <w:start w:w="65" w:type="dxa"/>
              <w:bottom w:w="55" w:type="dxa"/>
              <w:end w:w="65" w:type="dxa"/>
            </w:tcMar>
            <w:shd w:fill="F2F4F7"/>
          </w:tcPr>
          <w:p>
            <w:pPr>
              <w:spacing w:after="0"/>
            </w:pPr>
            <w:r>
              <w:rPr>
                <w:sz w:val="14"/>
              </w:rPr>
              <w:t>BPC 4996.23.2(e); NASW Code 3.01</w:t>
            </w:r>
          </w:p>
        </w:tc>
      </w:tr>
      <w:tr>
        <w:trPr>
          <w:cantSplit/>
        </w:trPr>
        <w:tc>
          <w:tcPr>
            <w:tcW w:type="dxa" w:w="1742"/>
            <w:vAlign w:val="center"/>
            <w:tcMar>
              <w:top w:w="55" w:type="dxa"/>
              <w:start w:w="65" w:type="dxa"/>
              <w:bottom w:w="55" w:type="dxa"/>
              <w:end w:w="65" w:type="dxa"/>
            </w:tcMar>
          </w:tcPr>
          <w:p>
            <w:pPr>
              <w:spacing w:after="0"/>
            </w:pPr>
            <w:r>
              <w:rPr>
                <w:sz w:val="14"/>
              </w:rPr>
              <w:t>25</w:t>
            </w:r>
          </w:p>
        </w:tc>
        <w:tc>
          <w:tcPr>
            <w:tcW w:type="dxa" w:w="1742"/>
            <w:vAlign w:val="center"/>
            <w:tcMar>
              <w:top w:w="55" w:type="dxa"/>
              <w:start w:w="65" w:type="dxa"/>
              <w:bottom w:w="55" w:type="dxa"/>
              <w:end w:w="65" w:type="dxa"/>
            </w:tcMar>
          </w:tcPr>
          <w:p>
            <w:pPr>
              <w:spacing w:after="0"/>
            </w:pPr>
            <w:r>
              <w:rPr>
                <w:sz w:val="14"/>
              </w:rPr>
              <w:t>Protecting examination and assessment security</w:t>
            </w:r>
          </w:p>
        </w:tc>
        <w:tc>
          <w:tcPr>
            <w:tcW w:type="dxa" w:w="1742"/>
            <w:vAlign w:val="center"/>
            <w:tcMar>
              <w:top w:w="55" w:type="dxa"/>
              <w:start w:w="65" w:type="dxa"/>
              <w:bottom w:w="55" w:type="dxa"/>
              <w:end w:w="65" w:type="dxa"/>
            </w:tcMar>
          </w:tcPr>
          <w:p>
            <w:pPr>
              <w:spacing w:after="0"/>
            </w:pPr>
            <w:r>
              <w:rPr>
                <w:sz w:val="14"/>
              </w:rPr>
              <w:t>1C</w:t>
            </w:r>
          </w:p>
        </w:tc>
        <w:tc>
          <w:tcPr>
            <w:tcW w:type="dxa" w:w="1742"/>
            <w:vAlign w:val="center"/>
            <w:tcMar>
              <w:top w:w="55" w:type="dxa"/>
              <w:start w:w="65" w:type="dxa"/>
              <w:bottom w:w="55" w:type="dxa"/>
              <w:end w:w="65" w:type="dxa"/>
            </w:tcMar>
          </w:tcPr>
          <w:p>
            <w:pPr>
              <w:spacing w:after="0"/>
            </w:pPr>
            <w:r>
              <w:rPr>
                <w:sz w:val="14"/>
              </w:rPr>
              <w:t>WB9</w:t>
            </w:r>
          </w:p>
        </w:tc>
        <w:tc>
          <w:tcPr>
            <w:tcW w:type="dxa" w:w="1742"/>
            <w:vAlign w:val="center"/>
            <w:tcMar>
              <w:top w:w="55" w:type="dxa"/>
              <w:start w:w="65" w:type="dxa"/>
              <w:bottom w:w="55" w:type="dxa"/>
              <w:end w:w="65" w:type="dxa"/>
            </w:tcMar>
          </w:tcPr>
          <w:p>
            <w:pPr>
              <w:spacing w:after="0"/>
            </w:pPr>
            <w:r>
              <w:rPr>
                <w:sz w:val="14"/>
              </w:rPr>
              <w:t>EXAM-SECURITY</w:t>
            </w:r>
          </w:p>
        </w:tc>
        <w:tc>
          <w:tcPr>
            <w:tcW w:type="dxa" w:w="1742"/>
            <w:vAlign w:val="center"/>
            <w:tcMar>
              <w:top w:w="55" w:type="dxa"/>
              <w:start w:w="65" w:type="dxa"/>
              <w:bottom w:w="55" w:type="dxa"/>
              <w:end w:w="65" w:type="dxa"/>
            </w:tcMar>
          </w:tcPr>
          <w:p>
            <w:pPr>
              <w:spacing w:after="0"/>
            </w:pPr>
            <w:r>
              <w:rPr>
                <w:sz w:val="14"/>
              </w:rPr>
              <w:t>BPC 4992.3(r),(ac); 16 CCR 1877.1</w:t>
            </w:r>
          </w:p>
        </w:tc>
      </w:tr>
      <w:tr>
        <w:trPr>
          <w:cantSplit/>
        </w:trPr>
        <w:tc>
          <w:tcPr>
            <w:tcW w:type="dxa" w:w="1742"/>
            <w:vAlign w:val="center"/>
            <w:tcMar>
              <w:top w:w="55" w:type="dxa"/>
              <w:start w:w="65" w:type="dxa"/>
              <w:bottom w:w="55" w:type="dxa"/>
              <w:end w:w="65" w:type="dxa"/>
            </w:tcMar>
            <w:shd w:fill="F2F4F7"/>
          </w:tcPr>
          <w:p>
            <w:pPr>
              <w:spacing w:after="0"/>
            </w:pPr>
            <w:r>
              <w:rPr>
                <w:sz w:val="14"/>
              </w:rPr>
              <w:t>26</w:t>
            </w:r>
          </w:p>
        </w:tc>
        <w:tc>
          <w:tcPr>
            <w:tcW w:type="dxa" w:w="1742"/>
            <w:vAlign w:val="center"/>
            <w:tcMar>
              <w:top w:w="55" w:type="dxa"/>
              <w:start w:w="65" w:type="dxa"/>
              <w:bottom w:w="55" w:type="dxa"/>
              <w:end w:w="65" w:type="dxa"/>
            </w:tcMar>
            <w:shd w:fill="F2F4F7"/>
          </w:tcPr>
          <w:p>
            <w:pPr>
              <w:spacing w:after="0"/>
            </w:pPr>
            <w:r>
              <w:rPr>
                <w:sz w:val="14"/>
              </w:rPr>
              <w:t>Respectful and accurate language in client records</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WB7</w:t>
            </w:r>
          </w:p>
        </w:tc>
        <w:tc>
          <w:tcPr>
            <w:tcW w:type="dxa" w:w="1742"/>
            <w:vAlign w:val="center"/>
            <w:tcMar>
              <w:top w:w="55" w:type="dxa"/>
              <w:start w:w="65" w:type="dxa"/>
              <w:bottom w:w="55" w:type="dxa"/>
              <w:end w:w="65" w:type="dxa"/>
            </w:tcMar>
            <w:shd w:fill="F2F4F7"/>
          </w:tcPr>
          <w:p>
            <w:pPr>
              <w:spacing w:after="0"/>
            </w:pPr>
            <w:r>
              <w:rPr>
                <w:sz w:val="14"/>
              </w:rPr>
              <w:t>DEROGATORY-RECORD-LANGUAGE</w:t>
            </w:r>
          </w:p>
        </w:tc>
        <w:tc>
          <w:tcPr>
            <w:tcW w:type="dxa" w:w="1742"/>
            <w:vAlign w:val="center"/>
            <w:tcMar>
              <w:top w:w="55" w:type="dxa"/>
              <w:start w:w="65" w:type="dxa"/>
              <w:bottom w:w="55" w:type="dxa"/>
              <w:end w:w="65" w:type="dxa"/>
            </w:tcMar>
            <w:shd w:fill="F2F4F7"/>
          </w:tcPr>
          <w:p>
            <w:pPr>
              <w:spacing w:after="0"/>
            </w:pPr>
            <w:r>
              <w:rPr>
                <w:sz w:val="14"/>
              </w:rPr>
              <w:t>NASW Code 1.12, 3.04, and 4.02; BPC 4992.3(w)</w:t>
            </w:r>
          </w:p>
        </w:tc>
      </w:tr>
      <w:tr>
        <w:trPr>
          <w:cantSplit/>
        </w:trPr>
        <w:tc>
          <w:tcPr>
            <w:tcW w:type="dxa" w:w="1742"/>
            <w:vAlign w:val="center"/>
            <w:tcMar>
              <w:top w:w="55" w:type="dxa"/>
              <w:start w:w="65" w:type="dxa"/>
              <w:bottom w:w="55" w:type="dxa"/>
              <w:end w:w="65" w:type="dxa"/>
            </w:tcMar>
          </w:tcPr>
          <w:p>
            <w:pPr>
              <w:spacing w:after="0"/>
            </w:pPr>
            <w:r>
              <w:rPr>
                <w:sz w:val="14"/>
              </w:rPr>
              <w:t>27</w:t>
            </w:r>
          </w:p>
        </w:tc>
        <w:tc>
          <w:tcPr>
            <w:tcW w:type="dxa" w:w="1742"/>
            <w:vAlign w:val="center"/>
            <w:tcMar>
              <w:top w:w="55" w:type="dxa"/>
              <w:start w:w="65" w:type="dxa"/>
              <w:bottom w:w="55" w:type="dxa"/>
              <w:end w:w="65" w:type="dxa"/>
            </w:tcMar>
          </w:tcPr>
          <w:p>
            <w:pPr>
              <w:spacing w:after="0"/>
            </w:pPr>
            <w:r>
              <w:rPr>
                <w:sz w:val="14"/>
              </w:rPr>
              <w:t>Competence and privacy review before using AI transcription</w:t>
            </w:r>
          </w:p>
        </w:tc>
        <w:tc>
          <w:tcPr>
            <w:tcW w:type="dxa" w:w="1742"/>
            <w:vAlign w:val="center"/>
            <w:tcMar>
              <w:top w:w="55" w:type="dxa"/>
              <w:start w:w="65" w:type="dxa"/>
              <w:bottom w:w="55" w:type="dxa"/>
              <w:end w:w="65" w:type="dxa"/>
            </w:tcMar>
          </w:tcPr>
          <w:p>
            <w:pPr>
              <w:spacing w:after="0"/>
            </w:pPr>
            <w:r>
              <w:rPr>
                <w:sz w:val="14"/>
              </w:rPr>
              <w:t>2A</w:t>
            </w:r>
          </w:p>
        </w:tc>
        <w:tc>
          <w:tcPr>
            <w:tcW w:type="dxa" w:w="1742"/>
            <w:vAlign w:val="center"/>
            <w:tcMar>
              <w:top w:w="55" w:type="dxa"/>
              <w:start w:w="65" w:type="dxa"/>
              <w:bottom w:w="55" w:type="dxa"/>
              <w:end w:w="65" w:type="dxa"/>
            </w:tcMar>
          </w:tcPr>
          <w:p>
            <w:pPr>
              <w:spacing w:after="0"/>
            </w:pPr>
            <w:r>
              <w:rPr>
                <w:sz w:val="14"/>
              </w:rPr>
              <w:t>WB2</w:t>
            </w:r>
          </w:p>
        </w:tc>
        <w:tc>
          <w:tcPr>
            <w:tcW w:type="dxa" w:w="1742"/>
            <w:vAlign w:val="center"/>
            <w:tcMar>
              <w:top w:w="55" w:type="dxa"/>
              <w:start w:w="65" w:type="dxa"/>
              <w:bottom w:w="55" w:type="dxa"/>
              <w:end w:w="65" w:type="dxa"/>
            </w:tcMar>
          </w:tcPr>
          <w:p>
            <w:pPr>
              <w:spacing w:after="0"/>
            </w:pPr>
            <w:r>
              <w:rPr>
                <w:sz w:val="14"/>
              </w:rPr>
              <w:t>AI-TRANSCRIPTION</w:t>
            </w:r>
          </w:p>
        </w:tc>
        <w:tc>
          <w:tcPr>
            <w:tcW w:type="dxa" w:w="1742"/>
            <w:vAlign w:val="center"/>
            <w:tcMar>
              <w:top w:w="55" w:type="dxa"/>
              <w:start w:w="65" w:type="dxa"/>
              <w:bottom w:w="55" w:type="dxa"/>
              <w:end w:w="65" w:type="dxa"/>
            </w:tcMar>
          </w:tcPr>
          <w:p>
            <w:pPr>
              <w:spacing w:after="0"/>
            </w:pPr>
            <w:r>
              <w:rPr>
                <w:sz w:val="14"/>
              </w:rPr>
              <w:t>NASW Code 1.03, 1.04, and 1.07; applicable CMIA, HIPAA, and organizational requirements</w:t>
            </w:r>
          </w:p>
        </w:tc>
      </w:tr>
      <w:tr>
        <w:trPr>
          <w:cantSplit/>
        </w:trPr>
        <w:tc>
          <w:tcPr>
            <w:tcW w:type="dxa" w:w="1742"/>
            <w:vAlign w:val="center"/>
            <w:tcMar>
              <w:top w:w="55" w:type="dxa"/>
              <w:start w:w="65" w:type="dxa"/>
              <w:bottom w:w="55" w:type="dxa"/>
              <w:end w:w="65" w:type="dxa"/>
            </w:tcMar>
            <w:shd w:fill="F2F4F7"/>
          </w:tcPr>
          <w:p>
            <w:pPr>
              <w:spacing w:after="0"/>
            </w:pPr>
            <w:r>
              <w:rPr>
                <w:sz w:val="14"/>
              </w:rPr>
              <w:t>28</w:t>
            </w:r>
          </w:p>
        </w:tc>
        <w:tc>
          <w:tcPr>
            <w:tcW w:type="dxa" w:w="1742"/>
            <w:vAlign w:val="center"/>
            <w:tcMar>
              <w:top w:w="55" w:type="dxa"/>
              <w:start w:w="65" w:type="dxa"/>
              <w:bottom w:w="55" w:type="dxa"/>
              <w:end w:w="65" w:type="dxa"/>
            </w:tcMar>
            <w:shd w:fill="F2F4F7"/>
          </w:tcPr>
          <w:p>
            <w:pPr>
              <w:spacing w:after="0"/>
            </w:pPr>
            <w:r>
              <w:rPr>
                <w:sz w:val="14"/>
              </w:rPr>
              <w:t>Supervisor response to falsified clinical documentation</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WB4</w:t>
            </w:r>
          </w:p>
        </w:tc>
        <w:tc>
          <w:tcPr>
            <w:tcW w:type="dxa" w:w="1742"/>
            <w:vAlign w:val="center"/>
            <w:tcMar>
              <w:top w:w="55" w:type="dxa"/>
              <w:start w:w="65" w:type="dxa"/>
              <w:bottom w:w="55" w:type="dxa"/>
              <w:end w:w="65" w:type="dxa"/>
            </w:tcMar>
            <w:shd w:fill="F2F4F7"/>
          </w:tcPr>
          <w:p>
            <w:pPr>
              <w:spacing w:after="0"/>
            </w:pPr>
            <w:r>
              <w:rPr>
                <w:sz w:val="14"/>
              </w:rPr>
              <w:t>FALSIFIED-DOCUMENTATION</w:t>
            </w:r>
          </w:p>
        </w:tc>
        <w:tc>
          <w:tcPr>
            <w:tcW w:type="dxa" w:w="1742"/>
            <w:vAlign w:val="center"/>
            <w:tcMar>
              <w:top w:w="55" w:type="dxa"/>
              <w:start w:w="65" w:type="dxa"/>
              <w:bottom w:w="55" w:type="dxa"/>
              <w:end w:w="65" w:type="dxa"/>
            </w:tcMar>
            <w:shd w:fill="F2F4F7"/>
          </w:tcPr>
          <w:p>
            <w:pPr>
              <w:spacing w:after="0"/>
            </w:pPr>
            <w:r>
              <w:rPr>
                <w:sz w:val="14"/>
              </w:rPr>
              <w:t>BPC 4992.3(k),(s),(u),(w); NASW Code 3.01, 3.04, and 4.04</w:t>
            </w:r>
          </w:p>
        </w:tc>
      </w:tr>
      <w:tr>
        <w:trPr>
          <w:cantSplit/>
        </w:trPr>
        <w:tc>
          <w:tcPr>
            <w:tcW w:type="dxa" w:w="1742"/>
            <w:vAlign w:val="center"/>
            <w:tcMar>
              <w:top w:w="55" w:type="dxa"/>
              <w:start w:w="65" w:type="dxa"/>
              <w:bottom w:w="55" w:type="dxa"/>
              <w:end w:w="65" w:type="dxa"/>
            </w:tcMar>
          </w:tcPr>
          <w:p>
            <w:pPr>
              <w:spacing w:after="0"/>
            </w:pPr>
            <w:r>
              <w:rPr>
                <w:sz w:val="14"/>
              </w:rPr>
              <w:t>29</w:t>
            </w:r>
          </w:p>
        </w:tc>
        <w:tc>
          <w:tcPr>
            <w:tcW w:type="dxa" w:w="1742"/>
            <w:vAlign w:val="center"/>
            <w:tcMar>
              <w:top w:w="55" w:type="dxa"/>
              <w:start w:w="65" w:type="dxa"/>
              <w:bottom w:w="55" w:type="dxa"/>
              <w:end w:w="65" w:type="dxa"/>
            </w:tcMar>
          </w:tcPr>
          <w:p>
            <w:pPr>
              <w:spacing w:after="0"/>
            </w:pPr>
            <w:r>
              <w:rPr>
                <w:sz w:val="14"/>
              </w:rPr>
              <w:t>Emergency response to a reported overdose</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WB5</w:t>
            </w:r>
          </w:p>
        </w:tc>
        <w:tc>
          <w:tcPr>
            <w:tcW w:type="dxa" w:w="1742"/>
            <w:vAlign w:val="center"/>
            <w:tcMar>
              <w:top w:w="55" w:type="dxa"/>
              <w:start w:w="65" w:type="dxa"/>
              <w:bottom w:w="55" w:type="dxa"/>
              <w:end w:w="65" w:type="dxa"/>
            </w:tcMar>
          </w:tcPr>
          <w:p>
            <w:pPr>
              <w:spacing w:after="0"/>
            </w:pPr>
            <w:r>
              <w:rPr>
                <w:sz w:val="14"/>
              </w:rPr>
              <w:t>OVERDOSE-EMERGENCY</w:t>
            </w:r>
          </w:p>
        </w:tc>
        <w:tc>
          <w:tcPr>
            <w:tcW w:type="dxa" w:w="1742"/>
            <w:vAlign w:val="center"/>
            <w:tcMar>
              <w:top w:w="55" w:type="dxa"/>
              <w:start w:w="65" w:type="dxa"/>
              <w:bottom w:w="55" w:type="dxa"/>
              <w:end w:w="65" w:type="dxa"/>
            </w:tcMar>
          </w:tcPr>
          <w:p>
            <w:pPr>
              <w:spacing w:after="0"/>
            </w:pPr>
            <w:r>
              <w:rPr>
                <w:sz w:val="14"/>
              </w:rPr>
              <w:t>NASW Code 1.01, 1.07, and 1.15; applicable emergency and confidentiality law</w:t>
            </w:r>
          </w:p>
        </w:tc>
      </w:tr>
      <w:tr>
        <w:trPr>
          <w:cantSplit/>
        </w:trPr>
        <w:tc>
          <w:tcPr>
            <w:tcW w:type="dxa" w:w="1742"/>
            <w:vAlign w:val="center"/>
            <w:tcMar>
              <w:top w:w="55" w:type="dxa"/>
              <w:start w:w="65" w:type="dxa"/>
              <w:bottom w:w="55" w:type="dxa"/>
              <w:end w:w="65" w:type="dxa"/>
            </w:tcMar>
            <w:shd w:fill="F2F4F7"/>
          </w:tcPr>
          <w:p>
            <w:pPr>
              <w:spacing w:after="0"/>
            </w:pPr>
            <w:r>
              <w:rPr>
                <w:sz w:val="14"/>
              </w:rPr>
              <w:t>30</w:t>
            </w:r>
          </w:p>
        </w:tc>
        <w:tc>
          <w:tcPr>
            <w:tcW w:type="dxa" w:w="1742"/>
            <w:vAlign w:val="center"/>
            <w:tcMar>
              <w:top w:w="55" w:type="dxa"/>
              <w:start w:w="65" w:type="dxa"/>
              <w:bottom w:w="55" w:type="dxa"/>
              <w:end w:w="65" w:type="dxa"/>
            </w:tcMar>
            <w:shd w:fill="F2F4F7"/>
          </w:tcPr>
          <w:p>
            <w:pPr>
              <w:spacing w:after="0"/>
            </w:pPr>
            <w:r>
              <w:rPr>
                <w:sz w:val="14"/>
              </w:rPr>
              <w:t>Telehealth privacy in a public or shared location</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WB2</w:t>
            </w:r>
          </w:p>
        </w:tc>
        <w:tc>
          <w:tcPr>
            <w:tcW w:type="dxa" w:w="1742"/>
            <w:vAlign w:val="center"/>
            <w:tcMar>
              <w:top w:w="55" w:type="dxa"/>
              <w:start w:w="65" w:type="dxa"/>
              <w:bottom w:w="55" w:type="dxa"/>
              <w:end w:w="65" w:type="dxa"/>
            </w:tcMar>
            <w:shd w:fill="F2F4F7"/>
          </w:tcPr>
          <w:p>
            <w:pPr>
              <w:spacing w:after="0"/>
            </w:pPr>
            <w:r>
              <w:rPr>
                <w:sz w:val="14"/>
              </w:rPr>
              <w:t>TELEHEALTH-PUBLIC-SETTING</w:t>
            </w:r>
          </w:p>
        </w:tc>
        <w:tc>
          <w:tcPr>
            <w:tcW w:type="dxa" w:w="1742"/>
            <w:vAlign w:val="center"/>
            <w:tcMar>
              <w:top w:w="55" w:type="dxa"/>
              <w:start w:w="65" w:type="dxa"/>
              <w:bottom w:w="55" w:type="dxa"/>
              <w:end w:w="65" w:type="dxa"/>
            </w:tcMar>
            <w:shd w:fill="F2F4F7"/>
          </w:tcPr>
          <w:p>
            <w:pPr>
              <w:spacing w:after="0"/>
            </w:pPr>
            <w:r>
              <w:rPr>
                <w:sz w:val="14"/>
              </w:rPr>
              <w:t>16 CCR 1815.5(d)(2),(3); NASW Code 1.03 and 1.07</w:t>
            </w:r>
          </w:p>
        </w:tc>
      </w:tr>
      <w:tr>
        <w:trPr>
          <w:cantSplit/>
        </w:trPr>
        <w:tc>
          <w:tcPr>
            <w:tcW w:type="dxa" w:w="1742"/>
            <w:vAlign w:val="center"/>
            <w:tcMar>
              <w:top w:w="55" w:type="dxa"/>
              <w:start w:w="65" w:type="dxa"/>
              <w:bottom w:w="55" w:type="dxa"/>
              <w:end w:w="65" w:type="dxa"/>
            </w:tcMar>
          </w:tcPr>
          <w:p>
            <w:pPr>
              <w:spacing w:after="0"/>
            </w:pPr>
            <w:r>
              <w:rPr>
                <w:sz w:val="14"/>
              </w:rPr>
              <w:t>31</w:t>
            </w:r>
          </w:p>
        </w:tc>
        <w:tc>
          <w:tcPr>
            <w:tcW w:type="dxa" w:w="1742"/>
            <w:vAlign w:val="center"/>
            <w:tcMar>
              <w:top w:w="55" w:type="dxa"/>
              <w:start w:w="65" w:type="dxa"/>
              <w:bottom w:w="55" w:type="dxa"/>
              <w:end w:w="65" w:type="dxa"/>
            </w:tcMar>
          </w:tcPr>
          <w:p>
            <w:pPr>
              <w:spacing w:after="0"/>
            </w:pPr>
            <w:r>
              <w:rPr>
                <w:sz w:val="14"/>
              </w:rPr>
              <w:t>Solicitation of client testimonials</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WB6</w:t>
            </w:r>
          </w:p>
        </w:tc>
        <w:tc>
          <w:tcPr>
            <w:tcW w:type="dxa" w:w="1742"/>
            <w:vAlign w:val="center"/>
            <w:tcMar>
              <w:top w:w="55" w:type="dxa"/>
              <w:start w:w="65" w:type="dxa"/>
              <w:bottom w:w="55" w:type="dxa"/>
              <w:end w:w="65" w:type="dxa"/>
            </w:tcMar>
          </w:tcPr>
          <w:p>
            <w:pPr>
              <w:spacing w:after="0"/>
            </w:pPr>
            <w:r>
              <w:rPr>
                <w:sz w:val="14"/>
              </w:rPr>
              <w:t>CLIENT-TESTIMONIALS</w:t>
            </w:r>
          </w:p>
        </w:tc>
        <w:tc>
          <w:tcPr>
            <w:tcW w:type="dxa" w:w="1742"/>
            <w:vAlign w:val="center"/>
            <w:tcMar>
              <w:top w:w="55" w:type="dxa"/>
              <w:start w:w="65" w:type="dxa"/>
              <w:bottom w:w="55" w:type="dxa"/>
              <w:end w:w="65" w:type="dxa"/>
            </w:tcMar>
          </w:tcPr>
          <w:p>
            <w:pPr>
              <w:spacing w:after="0"/>
            </w:pPr>
            <w:r>
              <w:rPr>
                <w:sz w:val="14"/>
              </w:rPr>
              <w:t>NASW Code 4.07(b); BPC 4992.3(q)</w:t>
            </w:r>
          </w:p>
        </w:tc>
      </w:tr>
      <w:tr>
        <w:trPr>
          <w:cantSplit/>
        </w:trPr>
        <w:tc>
          <w:tcPr>
            <w:tcW w:type="dxa" w:w="1742"/>
            <w:vAlign w:val="center"/>
            <w:tcMar>
              <w:top w:w="55" w:type="dxa"/>
              <w:start w:w="65" w:type="dxa"/>
              <w:bottom w:w="55" w:type="dxa"/>
              <w:end w:w="65" w:type="dxa"/>
            </w:tcMar>
            <w:shd w:fill="F2F4F7"/>
          </w:tcPr>
          <w:p>
            <w:pPr>
              <w:spacing w:after="0"/>
            </w:pPr>
            <w:r>
              <w:rPr>
                <w:sz w:val="14"/>
              </w:rPr>
              <w:t>32</w:t>
            </w:r>
          </w:p>
        </w:tc>
        <w:tc>
          <w:tcPr>
            <w:tcW w:type="dxa" w:w="1742"/>
            <w:vAlign w:val="center"/>
            <w:tcMar>
              <w:top w:w="55" w:type="dxa"/>
              <w:start w:w="65" w:type="dxa"/>
              <w:bottom w:w="55" w:type="dxa"/>
              <w:end w:w="65" w:type="dxa"/>
            </w:tcMar>
            <w:shd w:fill="F2F4F7"/>
          </w:tcPr>
          <w:p>
            <w:pPr>
              <w:spacing w:after="0"/>
            </w:pPr>
            <w:r>
              <w:rPr>
                <w:sz w:val="14"/>
              </w:rPr>
              <w:t>Maximum supervision hours credited in one week</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SUPERVISION-WEEKLY-MAXIMUM</w:t>
            </w:r>
          </w:p>
        </w:tc>
        <w:tc>
          <w:tcPr>
            <w:tcW w:type="dxa" w:w="1742"/>
            <w:vAlign w:val="center"/>
            <w:tcMar>
              <w:top w:w="55" w:type="dxa"/>
              <w:start w:w="65" w:type="dxa"/>
              <w:bottom w:w="55" w:type="dxa"/>
              <w:end w:w="65" w:type="dxa"/>
            </w:tcMar>
            <w:shd w:fill="F2F4F7"/>
          </w:tcPr>
          <w:p>
            <w:pPr>
              <w:spacing w:after="0"/>
            </w:pPr>
            <w:r>
              <w:rPr>
                <w:sz w:val="14"/>
              </w:rPr>
              <w:t>BPC 4996.23(d)(6)</w:t>
            </w:r>
          </w:p>
        </w:tc>
      </w:tr>
      <w:tr>
        <w:trPr>
          <w:cantSplit/>
        </w:trPr>
        <w:tc>
          <w:tcPr>
            <w:tcW w:type="dxa" w:w="1742"/>
            <w:vAlign w:val="center"/>
            <w:tcMar>
              <w:top w:w="55" w:type="dxa"/>
              <w:start w:w="65" w:type="dxa"/>
              <w:bottom w:w="55" w:type="dxa"/>
              <w:end w:w="65" w:type="dxa"/>
            </w:tcMar>
          </w:tcPr>
          <w:p>
            <w:pPr>
              <w:spacing w:after="0"/>
            </w:pPr>
            <w:r>
              <w:rPr>
                <w:sz w:val="14"/>
              </w:rPr>
              <w:t>33</w:t>
            </w:r>
          </w:p>
        </w:tc>
        <w:tc>
          <w:tcPr>
            <w:tcW w:type="dxa" w:w="1742"/>
            <w:vAlign w:val="center"/>
            <w:tcMar>
              <w:top w:w="55" w:type="dxa"/>
              <w:start w:w="65" w:type="dxa"/>
              <w:bottom w:w="55" w:type="dxa"/>
              <w:end w:w="65" w:type="dxa"/>
            </w:tcMar>
          </w:tcPr>
          <w:p>
            <w:pPr>
              <w:spacing w:after="0"/>
            </w:pPr>
            <w:r>
              <w:rPr>
                <w:sz w:val="14"/>
              </w:rPr>
              <w:t>Revocation of an authorization for future disclosure</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WB8</w:t>
            </w:r>
          </w:p>
        </w:tc>
        <w:tc>
          <w:tcPr>
            <w:tcW w:type="dxa" w:w="1742"/>
            <w:vAlign w:val="center"/>
            <w:tcMar>
              <w:top w:w="55" w:type="dxa"/>
              <w:start w:w="65" w:type="dxa"/>
              <w:bottom w:w="55" w:type="dxa"/>
              <w:end w:w="65" w:type="dxa"/>
            </w:tcMar>
          </w:tcPr>
          <w:p>
            <w:pPr>
              <w:spacing w:after="0"/>
            </w:pPr>
            <w:r>
              <w:rPr>
                <w:sz w:val="14"/>
              </w:rPr>
              <w:t>AUTHORIZATION-REVOCATION</w:t>
            </w:r>
          </w:p>
        </w:tc>
        <w:tc>
          <w:tcPr>
            <w:tcW w:type="dxa" w:w="1742"/>
            <w:vAlign w:val="center"/>
            <w:tcMar>
              <w:top w:w="55" w:type="dxa"/>
              <w:start w:w="65" w:type="dxa"/>
              <w:bottom w:w="55" w:type="dxa"/>
              <w:end w:w="65" w:type="dxa"/>
            </w:tcMar>
          </w:tcPr>
          <w:p>
            <w:pPr>
              <w:spacing w:after="0"/>
            </w:pPr>
            <w:r>
              <w:rPr>
                <w:sz w:val="14"/>
              </w:rPr>
              <w:t>NASW Code 1.07; applicable California authorization and confidentiality law</w:t>
            </w:r>
          </w:p>
        </w:tc>
      </w:tr>
      <w:tr>
        <w:trPr>
          <w:cantSplit/>
        </w:trPr>
        <w:tc>
          <w:tcPr>
            <w:tcW w:type="dxa" w:w="1742"/>
            <w:vAlign w:val="center"/>
            <w:tcMar>
              <w:top w:w="55" w:type="dxa"/>
              <w:start w:w="65" w:type="dxa"/>
              <w:bottom w:w="55" w:type="dxa"/>
              <w:end w:w="65" w:type="dxa"/>
            </w:tcMar>
            <w:shd w:fill="F2F4F7"/>
          </w:tcPr>
          <w:p>
            <w:pPr>
              <w:spacing w:after="0"/>
            </w:pPr>
            <w:r>
              <w:rPr>
                <w:sz w:val="14"/>
              </w:rPr>
              <w:t>34</w:t>
            </w:r>
          </w:p>
        </w:tc>
        <w:tc>
          <w:tcPr>
            <w:tcW w:type="dxa" w:w="1742"/>
            <w:vAlign w:val="center"/>
            <w:tcMar>
              <w:top w:w="55" w:type="dxa"/>
              <w:start w:w="65" w:type="dxa"/>
              <w:bottom w:w="55" w:type="dxa"/>
              <w:end w:w="65" w:type="dxa"/>
            </w:tcMar>
            <w:shd w:fill="F2F4F7"/>
          </w:tcPr>
          <w:p>
            <w:pPr>
              <w:spacing w:after="0"/>
            </w:pPr>
            <w:r>
              <w:rPr>
                <w:sz w:val="14"/>
              </w:rPr>
              <w:t>Limited safety disclosure despite a client request for secrecy</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WB5</w:t>
            </w:r>
          </w:p>
        </w:tc>
        <w:tc>
          <w:tcPr>
            <w:tcW w:type="dxa" w:w="1742"/>
            <w:vAlign w:val="center"/>
            <w:tcMar>
              <w:top w:w="55" w:type="dxa"/>
              <w:start w:w="65" w:type="dxa"/>
              <w:bottom w:w="55" w:type="dxa"/>
              <w:end w:w="65" w:type="dxa"/>
            </w:tcMar>
            <w:shd w:fill="F2F4F7"/>
          </w:tcPr>
          <w:p>
            <w:pPr>
              <w:spacing w:after="0"/>
            </w:pPr>
            <w:r>
              <w:rPr>
                <w:sz w:val="14"/>
              </w:rPr>
              <w:t>IMMINENT-SUICIDE-DISCLOSURE</w:t>
            </w:r>
          </w:p>
        </w:tc>
        <w:tc>
          <w:tcPr>
            <w:tcW w:type="dxa" w:w="1742"/>
            <w:vAlign w:val="center"/>
            <w:tcMar>
              <w:top w:w="55" w:type="dxa"/>
              <w:start w:w="65" w:type="dxa"/>
              <w:bottom w:w="55" w:type="dxa"/>
              <w:end w:w="65" w:type="dxa"/>
            </w:tcMar>
            <w:shd w:fill="F2F4F7"/>
          </w:tcPr>
          <w:p>
            <w:pPr>
              <w:spacing w:after="0"/>
            </w:pPr>
            <w:r>
              <w:rPr>
                <w:sz w:val="14"/>
              </w:rPr>
              <w:t>NASW Code 1.01 and 1.07(c); applicable California confidentiality and safety law</w:t>
            </w:r>
          </w:p>
        </w:tc>
      </w:tr>
      <w:tr>
        <w:trPr>
          <w:cantSplit/>
        </w:trPr>
        <w:tc>
          <w:tcPr>
            <w:tcW w:type="dxa" w:w="1742"/>
            <w:vAlign w:val="center"/>
            <w:tcMar>
              <w:top w:w="55" w:type="dxa"/>
              <w:start w:w="65" w:type="dxa"/>
              <w:bottom w:w="55" w:type="dxa"/>
              <w:end w:w="65" w:type="dxa"/>
            </w:tcMar>
          </w:tcPr>
          <w:p>
            <w:pPr>
              <w:spacing w:after="0"/>
            </w:pPr>
            <w:r>
              <w:rPr>
                <w:sz w:val="14"/>
              </w:rPr>
              <w:t>35</w:t>
            </w:r>
          </w:p>
        </w:tc>
        <w:tc>
          <w:tcPr>
            <w:tcW w:type="dxa" w:w="1742"/>
            <w:vAlign w:val="center"/>
            <w:tcMar>
              <w:top w:w="55" w:type="dxa"/>
              <w:start w:w="65" w:type="dxa"/>
              <w:bottom w:w="55" w:type="dxa"/>
              <w:end w:w="65" w:type="dxa"/>
            </w:tcMar>
          </w:tcPr>
          <w:p>
            <w:pPr>
              <w:spacing w:after="0"/>
            </w:pPr>
            <w:r>
              <w:rPr>
                <w:sz w:val="14"/>
              </w:rPr>
              <w:t>Alternative supervision and continuity when the regular supervisor is unavailable</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WB4</w:t>
            </w:r>
          </w:p>
        </w:tc>
        <w:tc>
          <w:tcPr>
            <w:tcW w:type="dxa" w:w="1742"/>
            <w:vAlign w:val="center"/>
            <w:tcMar>
              <w:top w:w="55" w:type="dxa"/>
              <w:start w:w="65" w:type="dxa"/>
              <w:bottom w:w="55" w:type="dxa"/>
              <w:end w:w="65" w:type="dxa"/>
            </w:tcMar>
          </w:tcPr>
          <w:p>
            <w:pPr>
              <w:spacing w:after="0"/>
            </w:pPr>
            <w:r>
              <w:rPr>
                <w:sz w:val="14"/>
              </w:rPr>
              <w:t>ALTERNATIVE-SUPERVISION</w:t>
            </w:r>
          </w:p>
        </w:tc>
        <w:tc>
          <w:tcPr>
            <w:tcW w:type="dxa" w:w="1742"/>
            <w:vAlign w:val="center"/>
            <w:tcMar>
              <w:top w:w="55" w:type="dxa"/>
              <w:start w:w="65" w:type="dxa"/>
              <w:bottom w:w="55" w:type="dxa"/>
              <w:end w:w="65" w:type="dxa"/>
            </w:tcMar>
          </w:tcPr>
          <w:p>
            <w:pPr>
              <w:spacing w:after="0"/>
            </w:pPr>
            <w:r>
              <w:rPr>
                <w:sz w:val="14"/>
              </w:rPr>
              <w:t>BPC 4996.23.1(h); BBS Supervisor FAQ and Supervision Agreement; NASW Code 3.01</w:t>
            </w:r>
          </w:p>
        </w:tc>
      </w:tr>
      <w:tr>
        <w:trPr>
          <w:cantSplit/>
        </w:trPr>
        <w:tc>
          <w:tcPr>
            <w:tcW w:type="dxa" w:w="1742"/>
            <w:vAlign w:val="center"/>
            <w:tcMar>
              <w:top w:w="55" w:type="dxa"/>
              <w:start w:w="65" w:type="dxa"/>
              <w:bottom w:w="55" w:type="dxa"/>
              <w:end w:w="65" w:type="dxa"/>
            </w:tcMar>
            <w:shd w:fill="F2F4F7"/>
          </w:tcPr>
          <w:p>
            <w:pPr>
              <w:spacing w:after="0"/>
            </w:pPr>
            <w:r>
              <w:rPr>
                <w:sz w:val="14"/>
              </w:rPr>
              <w:t>36</w:t>
            </w:r>
          </w:p>
        </w:tc>
        <w:tc>
          <w:tcPr>
            <w:tcW w:type="dxa" w:w="1742"/>
            <w:vAlign w:val="center"/>
            <w:tcMar>
              <w:top w:w="55" w:type="dxa"/>
              <w:start w:w="65" w:type="dxa"/>
              <w:bottom w:w="55" w:type="dxa"/>
              <w:end w:w="65" w:type="dxa"/>
            </w:tcMar>
            <w:shd w:fill="F2F4F7"/>
          </w:tcPr>
          <w:p>
            <w:pPr>
              <w:spacing w:after="0"/>
            </w:pPr>
            <w:r>
              <w:rPr>
                <w:sz w:val="14"/>
              </w:rPr>
              <w:t>Record integrity when a client seeks limited disclosure</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WB9</w:t>
            </w:r>
          </w:p>
        </w:tc>
        <w:tc>
          <w:tcPr>
            <w:tcW w:type="dxa" w:w="1742"/>
            <w:vAlign w:val="center"/>
            <w:tcMar>
              <w:top w:w="55" w:type="dxa"/>
              <w:start w:w="65" w:type="dxa"/>
              <w:bottom w:w="55" w:type="dxa"/>
              <w:end w:w="65" w:type="dxa"/>
            </w:tcMar>
            <w:shd w:fill="F2F4F7"/>
          </w:tcPr>
          <w:p>
            <w:pPr>
              <w:spacing w:after="0"/>
            </w:pPr>
            <w:r>
              <w:rPr>
                <w:sz w:val="14"/>
              </w:rPr>
              <w:t>RECORD-INTEGRITY-DISCLOSURE</w:t>
            </w:r>
          </w:p>
        </w:tc>
        <w:tc>
          <w:tcPr>
            <w:tcW w:type="dxa" w:w="1742"/>
            <w:vAlign w:val="center"/>
            <w:tcMar>
              <w:top w:w="55" w:type="dxa"/>
              <w:start w:w="65" w:type="dxa"/>
              <w:bottom w:w="55" w:type="dxa"/>
              <w:end w:w="65" w:type="dxa"/>
            </w:tcMar>
            <w:shd w:fill="F2F4F7"/>
          </w:tcPr>
          <w:p>
            <w:pPr>
              <w:spacing w:after="0"/>
            </w:pPr>
            <w:r>
              <w:rPr>
                <w:sz w:val="14"/>
              </w:rPr>
              <w:t>BPC 4992.3(k),(w); NASW Code 1.07 and 3.04</w:t>
            </w:r>
          </w:p>
        </w:tc>
      </w:tr>
      <w:tr>
        <w:trPr>
          <w:cantSplit/>
        </w:trPr>
        <w:tc>
          <w:tcPr>
            <w:tcW w:type="dxa" w:w="1742"/>
            <w:vAlign w:val="center"/>
            <w:tcMar>
              <w:top w:w="55" w:type="dxa"/>
              <w:start w:w="65" w:type="dxa"/>
              <w:bottom w:w="55" w:type="dxa"/>
              <w:end w:w="65" w:type="dxa"/>
            </w:tcMar>
          </w:tcPr>
          <w:p>
            <w:pPr>
              <w:spacing w:after="0"/>
            </w:pPr>
            <w:r>
              <w:rPr>
                <w:sz w:val="14"/>
              </w:rPr>
              <w:t>37</w:t>
            </w:r>
          </w:p>
        </w:tc>
        <w:tc>
          <w:tcPr>
            <w:tcW w:type="dxa" w:w="1742"/>
            <w:vAlign w:val="center"/>
            <w:tcMar>
              <w:top w:w="55" w:type="dxa"/>
              <w:start w:w="65" w:type="dxa"/>
              <w:bottom w:w="55" w:type="dxa"/>
              <w:end w:w="65" w:type="dxa"/>
            </w:tcMar>
          </w:tcPr>
          <w:p>
            <w:pPr>
              <w:spacing w:after="0"/>
            </w:pPr>
            <w:r>
              <w:rPr>
                <w:sz w:val="14"/>
              </w:rPr>
              <w:t>Formal action when colleague impairment remains unaddressed</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WB4</w:t>
            </w:r>
          </w:p>
        </w:tc>
        <w:tc>
          <w:tcPr>
            <w:tcW w:type="dxa" w:w="1742"/>
            <w:vAlign w:val="center"/>
            <w:tcMar>
              <w:top w:w="55" w:type="dxa"/>
              <w:start w:w="65" w:type="dxa"/>
              <w:bottom w:w="55" w:type="dxa"/>
              <w:end w:w="65" w:type="dxa"/>
            </w:tcMar>
          </w:tcPr>
          <w:p>
            <w:pPr>
              <w:spacing w:after="0"/>
            </w:pPr>
            <w:r>
              <w:rPr>
                <w:sz w:val="14"/>
              </w:rPr>
              <w:t>COLLEAGUE-IMPAIRMENT-ESCALATION</w:t>
            </w:r>
          </w:p>
        </w:tc>
        <w:tc>
          <w:tcPr>
            <w:tcW w:type="dxa" w:w="1742"/>
            <w:vAlign w:val="center"/>
            <w:tcMar>
              <w:top w:w="55" w:type="dxa"/>
              <w:start w:w="65" w:type="dxa"/>
              <w:bottom w:w="55" w:type="dxa"/>
              <w:end w:w="65" w:type="dxa"/>
            </w:tcMar>
          </w:tcPr>
          <w:p>
            <w:pPr>
              <w:spacing w:after="0"/>
            </w:pPr>
            <w:r>
              <w:rPr>
                <w:sz w:val="14"/>
              </w:rPr>
              <w:t>NASW Code 2.08 and 2.10; BPC 4992.3 client-welfare provisions</w:t>
            </w:r>
          </w:p>
        </w:tc>
      </w:tr>
      <w:tr>
        <w:trPr>
          <w:cantSplit/>
        </w:trPr>
        <w:tc>
          <w:tcPr>
            <w:tcW w:type="dxa" w:w="1742"/>
            <w:vAlign w:val="center"/>
            <w:tcMar>
              <w:top w:w="55" w:type="dxa"/>
              <w:start w:w="65" w:type="dxa"/>
              <w:bottom w:w="55" w:type="dxa"/>
              <w:end w:w="65" w:type="dxa"/>
            </w:tcMar>
            <w:shd w:fill="F2F4F7"/>
          </w:tcPr>
          <w:p>
            <w:pPr>
              <w:spacing w:after="0"/>
            </w:pPr>
            <w:r>
              <w:rPr>
                <w:sz w:val="14"/>
              </w:rPr>
              <w:t>38</w:t>
            </w:r>
          </w:p>
        </w:tc>
        <w:tc>
          <w:tcPr>
            <w:tcW w:type="dxa" w:w="1742"/>
            <w:vAlign w:val="center"/>
            <w:tcMar>
              <w:top w:w="55" w:type="dxa"/>
              <w:start w:w="65" w:type="dxa"/>
              <w:bottom w:w="55" w:type="dxa"/>
              <w:end w:w="65" w:type="dxa"/>
            </w:tcMar>
            <w:shd w:fill="F2F4F7"/>
          </w:tcPr>
          <w:p>
            <w:pPr>
              <w:spacing w:after="0"/>
            </w:pPr>
            <w:r>
              <w:rPr>
                <w:sz w:val="14"/>
              </w:rPr>
              <w:t>Law-enforcement request without confirmed authority</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WB8</w:t>
            </w:r>
          </w:p>
        </w:tc>
        <w:tc>
          <w:tcPr>
            <w:tcW w:type="dxa" w:w="1742"/>
            <w:vAlign w:val="center"/>
            <w:tcMar>
              <w:top w:w="55" w:type="dxa"/>
              <w:start w:w="65" w:type="dxa"/>
              <w:bottom w:w="55" w:type="dxa"/>
              <w:end w:w="65" w:type="dxa"/>
            </w:tcMar>
            <w:shd w:fill="F2F4F7"/>
          </w:tcPr>
          <w:p>
            <w:pPr>
              <w:spacing w:after="0"/>
            </w:pPr>
            <w:r>
              <w:rPr>
                <w:sz w:val="14"/>
              </w:rPr>
              <w:t>LAW-ENFORCEMENT-REQUEST</w:t>
            </w:r>
          </w:p>
        </w:tc>
        <w:tc>
          <w:tcPr>
            <w:tcW w:type="dxa" w:w="1742"/>
            <w:vAlign w:val="center"/>
            <w:tcMar>
              <w:top w:w="55" w:type="dxa"/>
              <w:start w:w="65" w:type="dxa"/>
              <w:bottom w:w="55" w:type="dxa"/>
              <w:end w:w="65" w:type="dxa"/>
            </w:tcMar>
            <w:shd w:fill="F2F4F7"/>
          </w:tcPr>
          <w:p>
            <w:pPr>
              <w:spacing w:after="0"/>
            </w:pPr>
            <w:r>
              <w:rPr>
                <w:sz w:val="14"/>
              </w:rPr>
              <w:t>NASW Code 1.07; applicable California confidentiality, privilege, and legal-process law</w:t>
            </w:r>
          </w:p>
        </w:tc>
      </w:tr>
      <w:tr>
        <w:trPr>
          <w:cantSplit/>
        </w:trPr>
        <w:tc>
          <w:tcPr>
            <w:tcW w:type="dxa" w:w="1742"/>
            <w:vAlign w:val="center"/>
            <w:tcMar>
              <w:top w:w="55" w:type="dxa"/>
              <w:start w:w="65" w:type="dxa"/>
              <w:bottom w:w="55" w:type="dxa"/>
              <w:end w:w="65" w:type="dxa"/>
            </w:tcMar>
          </w:tcPr>
          <w:p>
            <w:pPr>
              <w:spacing w:after="0"/>
            </w:pPr>
            <w:r>
              <w:rPr>
                <w:sz w:val="14"/>
              </w:rPr>
              <w:t>39</w:t>
            </w:r>
          </w:p>
        </w:tc>
        <w:tc>
          <w:tcPr>
            <w:tcW w:type="dxa" w:w="1742"/>
            <w:vAlign w:val="center"/>
            <w:tcMar>
              <w:top w:w="55" w:type="dxa"/>
              <w:start w:w="65" w:type="dxa"/>
              <w:bottom w:w="55" w:type="dxa"/>
              <w:end w:w="65" w:type="dxa"/>
            </w:tcMar>
          </w:tcPr>
          <w:p>
            <w:pPr>
              <w:spacing w:after="0"/>
            </w:pPr>
            <w:r>
              <w:rPr>
                <w:sz w:val="14"/>
              </w:rPr>
              <w:t>Individual secrets during conjoint treatment</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CONJOINT-SECRETS</w:t>
            </w:r>
          </w:p>
        </w:tc>
        <w:tc>
          <w:tcPr>
            <w:tcW w:type="dxa" w:w="1742"/>
            <w:vAlign w:val="center"/>
            <w:tcMar>
              <w:top w:w="55" w:type="dxa"/>
              <w:start w:w="65" w:type="dxa"/>
              <w:bottom w:w="55" w:type="dxa"/>
              <w:end w:w="65" w:type="dxa"/>
            </w:tcMar>
          </w:tcPr>
          <w:p>
            <w:pPr>
              <w:spacing w:after="0"/>
            </w:pPr>
            <w:r>
              <w:rPr>
                <w:sz w:val="14"/>
              </w:rPr>
              <w:t>NASW Code 1.03, 1.06, 1.07, and 1.08</w:t>
            </w:r>
          </w:p>
        </w:tc>
      </w:tr>
      <w:tr>
        <w:trPr>
          <w:cantSplit/>
        </w:trPr>
        <w:tc>
          <w:tcPr>
            <w:tcW w:type="dxa" w:w="1742"/>
            <w:vAlign w:val="center"/>
            <w:tcMar>
              <w:top w:w="55" w:type="dxa"/>
              <w:start w:w="65" w:type="dxa"/>
              <w:bottom w:w="55" w:type="dxa"/>
              <w:end w:w="65" w:type="dxa"/>
            </w:tcMar>
            <w:shd w:fill="F2F4F7"/>
          </w:tcPr>
          <w:p>
            <w:pPr>
              <w:spacing w:after="0"/>
            </w:pPr>
            <w:r>
              <w:rPr>
                <w:sz w:val="14"/>
              </w:rPr>
              <w:t>40</w:t>
            </w:r>
          </w:p>
        </w:tc>
        <w:tc>
          <w:tcPr>
            <w:tcW w:type="dxa" w:w="1742"/>
            <w:vAlign w:val="center"/>
            <w:tcMar>
              <w:top w:w="55" w:type="dxa"/>
              <w:start w:w="65" w:type="dxa"/>
              <w:bottom w:w="55" w:type="dxa"/>
              <w:end w:w="65" w:type="dxa"/>
            </w:tcMar>
            <w:shd w:fill="F2F4F7"/>
          </w:tcPr>
          <w:p>
            <w:pPr>
              <w:spacing w:after="0"/>
            </w:pPr>
            <w:r>
              <w:rPr>
                <w:sz w:val="14"/>
              </w:rPr>
              <w:t>Minor access to records for self-consented treatment</w:t>
            </w:r>
          </w:p>
        </w:tc>
        <w:tc>
          <w:tcPr>
            <w:tcW w:type="dxa" w:w="1742"/>
            <w:vAlign w:val="center"/>
            <w:tcMar>
              <w:top w:w="55" w:type="dxa"/>
              <w:start w:w="65" w:type="dxa"/>
              <w:bottom w:w="55" w:type="dxa"/>
              <w:end w:w="65" w:type="dxa"/>
            </w:tcMar>
            <w:shd w:fill="F2F4F7"/>
          </w:tcPr>
          <w:p>
            <w:pPr>
              <w:spacing w:after="0"/>
            </w:pPr>
            <w:r>
              <w:rPr>
                <w:sz w:val="14"/>
              </w:rPr>
              <w:t>1A</w:t>
            </w:r>
          </w:p>
        </w:tc>
        <w:tc>
          <w:tcPr>
            <w:tcW w:type="dxa" w:w="1742"/>
            <w:vAlign w:val="center"/>
            <w:tcMar>
              <w:top w:w="55" w:type="dxa"/>
              <w:start w:w="65" w:type="dxa"/>
              <w:bottom w:w="55" w:type="dxa"/>
              <w:end w:w="65" w:type="dxa"/>
            </w:tcMar>
            <w:shd w:fill="F2F4F7"/>
          </w:tcPr>
          <w:p>
            <w:pPr>
              <w:spacing w:after="0"/>
            </w:pPr>
            <w:r>
              <w:rPr>
                <w:sz w:val="14"/>
              </w:rPr>
              <w:t>WB8</w:t>
            </w:r>
          </w:p>
        </w:tc>
        <w:tc>
          <w:tcPr>
            <w:tcW w:type="dxa" w:w="1742"/>
            <w:vAlign w:val="center"/>
            <w:tcMar>
              <w:top w:w="55" w:type="dxa"/>
              <w:start w:w="65" w:type="dxa"/>
              <w:bottom w:w="55" w:type="dxa"/>
              <w:end w:w="65" w:type="dxa"/>
            </w:tcMar>
            <w:shd w:fill="F2F4F7"/>
          </w:tcPr>
          <w:p>
            <w:pPr>
              <w:spacing w:after="0"/>
            </w:pPr>
            <w:r>
              <w:rPr>
                <w:sz w:val="14"/>
              </w:rPr>
              <w:t>MINOR-RECORD-ACCESS</w:t>
            </w:r>
          </w:p>
        </w:tc>
        <w:tc>
          <w:tcPr>
            <w:tcW w:type="dxa" w:w="1742"/>
            <w:vAlign w:val="center"/>
            <w:tcMar>
              <w:top w:w="55" w:type="dxa"/>
              <w:start w:w="65" w:type="dxa"/>
              <w:bottom w:w="55" w:type="dxa"/>
              <w:end w:w="65" w:type="dxa"/>
            </w:tcMar>
            <w:shd w:fill="F2F4F7"/>
          </w:tcPr>
          <w:p>
            <w:pPr>
              <w:spacing w:after="0"/>
            </w:pPr>
            <w:r>
              <w:rPr>
                <w:sz w:val="14"/>
              </w:rPr>
              <w:t>California Health and Safety Code 123110 and applicable minor-consent and access exceptions</w:t>
            </w:r>
          </w:p>
        </w:tc>
      </w:tr>
      <w:tr>
        <w:trPr>
          <w:cantSplit/>
        </w:trPr>
        <w:tc>
          <w:tcPr>
            <w:tcW w:type="dxa" w:w="1742"/>
            <w:vAlign w:val="center"/>
            <w:tcMar>
              <w:top w:w="55" w:type="dxa"/>
              <w:start w:w="65" w:type="dxa"/>
              <w:bottom w:w="55" w:type="dxa"/>
              <w:end w:w="65" w:type="dxa"/>
            </w:tcMar>
          </w:tcPr>
          <w:p>
            <w:pPr>
              <w:spacing w:after="0"/>
            </w:pPr>
            <w:r>
              <w:rPr>
                <w:sz w:val="14"/>
              </w:rPr>
              <w:t>41</w:t>
            </w:r>
          </w:p>
        </w:tc>
        <w:tc>
          <w:tcPr>
            <w:tcW w:type="dxa" w:w="1742"/>
            <w:vAlign w:val="center"/>
            <w:tcMar>
              <w:top w:w="55" w:type="dxa"/>
              <w:start w:w="65" w:type="dxa"/>
              <w:bottom w:w="55" w:type="dxa"/>
              <w:end w:w="65" w:type="dxa"/>
            </w:tcMar>
          </w:tcPr>
          <w:p>
            <w:pPr>
              <w:spacing w:after="0"/>
            </w:pPr>
            <w:r>
              <w:rPr>
                <w:sz w:val="14"/>
              </w:rPr>
              <w:t>Consent before a third-party observer joins group treatment</w:t>
            </w:r>
          </w:p>
        </w:tc>
        <w:tc>
          <w:tcPr>
            <w:tcW w:type="dxa" w:w="1742"/>
            <w:vAlign w:val="center"/>
            <w:tcMar>
              <w:top w:w="55" w:type="dxa"/>
              <w:start w:w="65" w:type="dxa"/>
              <w:bottom w:w="55" w:type="dxa"/>
              <w:end w:w="65" w:type="dxa"/>
            </w:tcMar>
          </w:tcPr>
          <w:p>
            <w:pPr>
              <w:spacing w:after="0"/>
            </w:pPr>
            <w:r>
              <w:rPr>
                <w:sz w:val="14"/>
              </w:rPr>
              <w:t>1A</w:t>
            </w:r>
          </w:p>
        </w:tc>
        <w:tc>
          <w:tcPr>
            <w:tcW w:type="dxa" w:w="1742"/>
            <w:vAlign w:val="center"/>
            <w:tcMar>
              <w:top w:w="55" w:type="dxa"/>
              <w:start w:w="65" w:type="dxa"/>
              <w:bottom w:w="55" w:type="dxa"/>
              <w:end w:w="65" w:type="dxa"/>
            </w:tcMar>
          </w:tcPr>
          <w:p>
            <w:pPr>
              <w:spacing w:after="0"/>
            </w:pPr>
            <w:r>
              <w:rPr>
                <w:sz w:val="14"/>
              </w:rPr>
              <w:t>WB1</w:t>
            </w:r>
          </w:p>
        </w:tc>
        <w:tc>
          <w:tcPr>
            <w:tcW w:type="dxa" w:w="1742"/>
            <w:vAlign w:val="center"/>
            <w:tcMar>
              <w:top w:w="55" w:type="dxa"/>
              <w:start w:w="65" w:type="dxa"/>
              <w:bottom w:w="55" w:type="dxa"/>
              <w:end w:w="65" w:type="dxa"/>
            </w:tcMar>
          </w:tcPr>
          <w:p>
            <w:pPr>
              <w:spacing w:after="0"/>
            </w:pPr>
            <w:r>
              <w:rPr>
                <w:sz w:val="14"/>
              </w:rPr>
              <w:t>THIRD-PARTY-OBSERVER</w:t>
            </w:r>
          </w:p>
        </w:tc>
        <w:tc>
          <w:tcPr>
            <w:tcW w:type="dxa" w:w="1742"/>
            <w:vAlign w:val="center"/>
            <w:tcMar>
              <w:top w:w="55" w:type="dxa"/>
              <w:start w:w="65" w:type="dxa"/>
              <w:bottom w:w="55" w:type="dxa"/>
              <w:end w:w="65" w:type="dxa"/>
            </w:tcMar>
          </w:tcPr>
          <w:p>
            <w:pPr>
              <w:spacing w:after="0"/>
            </w:pPr>
            <w:r>
              <w:rPr>
                <w:sz w:val="14"/>
              </w:rPr>
              <w:t>NASW Code 1.03(f), 1.07, and 1.08</w:t>
            </w:r>
          </w:p>
        </w:tc>
      </w:tr>
      <w:tr>
        <w:trPr>
          <w:cantSplit/>
        </w:trPr>
        <w:tc>
          <w:tcPr>
            <w:tcW w:type="dxa" w:w="1742"/>
            <w:vAlign w:val="center"/>
            <w:tcMar>
              <w:top w:w="55" w:type="dxa"/>
              <w:start w:w="65" w:type="dxa"/>
              <w:bottom w:w="55" w:type="dxa"/>
              <w:end w:w="65" w:type="dxa"/>
            </w:tcMar>
            <w:shd w:fill="F2F4F7"/>
          </w:tcPr>
          <w:p>
            <w:pPr>
              <w:spacing w:after="0"/>
            </w:pPr>
            <w:r>
              <w:rPr>
                <w:sz w:val="14"/>
              </w:rPr>
              <w:t>42</w:t>
            </w:r>
          </w:p>
        </w:tc>
        <w:tc>
          <w:tcPr>
            <w:tcW w:type="dxa" w:w="1742"/>
            <w:vAlign w:val="center"/>
            <w:tcMar>
              <w:top w:w="55" w:type="dxa"/>
              <w:start w:w="65" w:type="dxa"/>
              <w:bottom w:w="55" w:type="dxa"/>
              <w:end w:w="65" w:type="dxa"/>
            </w:tcMar>
            <w:shd w:fill="F2F4F7"/>
          </w:tcPr>
          <w:p>
            <w:pPr>
              <w:spacing w:after="0"/>
            </w:pPr>
            <w:r>
              <w:rPr>
                <w:sz w:val="14"/>
              </w:rPr>
              <w:t>Emergency response when a telehealth client withholds location</w:t>
            </w:r>
          </w:p>
        </w:tc>
        <w:tc>
          <w:tcPr>
            <w:tcW w:type="dxa" w:w="1742"/>
            <w:vAlign w:val="center"/>
            <w:tcMar>
              <w:top w:w="55" w:type="dxa"/>
              <w:start w:w="65" w:type="dxa"/>
              <w:bottom w:w="55" w:type="dxa"/>
              <w:end w:w="65" w:type="dxa"/>
            </w:tcMar>
            <w:shd w:fill="F2F4F7"/>
          </w:tcPr>
          <w:p>
            <w:pPr>
              <w:spacing w:after="0"/>
            </w:pPr>
            <w:r>
              <w:rPr>
                <w:sz w:val="14"/>
              </w:rPr>
              <w:t>1B</w:t>
            </w:r>
          </w:p>
        </w:tc>
        <w:tc>
          <w:tcPr>
            <w:tcW w:type="dxa" w:w="1742"/>
            <w:vAlign w:val="center"/>
            <w:tcMar>
              <w:top w:w="55" w:type="dxa"/>
              <w:start w:w="65" w:type="dxa"/>
              <w:bottom w:w="55" w:type="dxa"/>
              <w:end w:w="65" w:type="dxa"/>
            </w:tcMar>
            <w:shd w:fill="F2F4F7"/>
          </w:tcPr>
          <w:p>
            <w:pPr>
              <w:spacing w:after="0"/>
            </w:pPr>
            <w:r>
              <w:rPr>
                <w:sz w:val="14"/>
              </w:rPr>
              <w:t>WB5</w:t>
            </w:r>
          </w:p>
        </w:tc>
        <w:tc>
          <w:tcPr>
            <w:tcW w:type="dxa" w:w="1742"/>
            <w:vAlign w:val="center"/>
            <w:tcMar>
              <w:top w:w="55" w:type="dxa"/>
              <w:start w:w="65" w:type="dxa"/>
              <w:bottom w:w="55" w:type="dxa"/>
              <w:end w:w="65" w:type="dxa"/>
            </w:tcMar>
            <w:shd w:fill="F2F4F7"/>
          </w:tcPr>
          <w:p>
            <w:pPr>
              <w:spacing w:after="0"/>
            </w:pPr>
            <w:r>
              <w:rPr>
                <w:sz w:val="14"/>
              </w:rPr>
              <w:t>TELEHEALTH-LOCATION-EMERGENCY</w:t>
            </w:r>
          </w:p>
        </w:tc>
        <w:tc>
          <w:tcPr>
            <w:tcW w:type="dxa" w:w="1742"/>
            <w:vAlign w:val="center"/>
            <w:tcMar>
              <w:top w:w="55" w:type="dxa"/>
              <w:start w:w="65" w:type="dxa"/>
              <w:bottom w:w="55" w:type="dxa"/>
              <w:end w:w="65" w:type="dxa"/>
            </w:tcMar>
            <w:shd w:fill="F2F4F7"/>
          </w:tcPr>
          <w:p>
            <w:pPr>
              <w:spacing w:after="0"/>
            </w:pPr>
            <w:r>
              <w:rPr>
                <w:sz w:val="14"/>
              </w:rPr>
              <w:t>16 CCR 1815.5(d)(1); NASW Code 1.01 and 1.07; applicable emergency law</w:t>
            </w:r>
          </w:p>
        </w:tc>
      </w:tr>
      <w:tr>
        <w:trPr>
          <w:cantSplit/>
        </w:trPr>
        <w:tc>
          <w:tcPr>
            <w:tcW w:type="dxa" w:w="1742"/>
            <w:vAlign w:val="center"/>
            <w:tcMar>
              <w:top w:w="55" w:type="dxa"/>
              <w:start w:w="65" w:type="dxa"/>
              <w:bottom w:w="55" w:type="dxa"/>
              <w:end w:w="65" w:type="dxa"/>
            </w:tcMar>
          </w:tcPr>
          <w:p>
            <w:pPr>
              <w:spacing w:after="0"/>
            </w:pPr>
            <w:r>
              <w:rPr>
                <w:sz w:val="14"/>
              </w:rPr>
              <w:t>43</w:t>
            </w:r>
          </w:p>
        </w:tc>
        <w:tc>
          <w:tcPr>
            <w:tcW w:type="dxa" w:w="1742"/>
            <w:vAlign w:val="center"/>
            <w:tcMar>
              <w:top w:w="55" w:type="dxa"/>
              <w:start w:w="65" w:type="dxa"/>
              <w:bottom w:w="55" w:type="dxa"/>
              <w:end w:w="65" w:type="dxa"/>
            </w:tcMar>
          </w:tcPr>
          <w:p>
            <w:pPr>
              <w:spacing w:after="0"/>
            </w:pPr>
            <w:r>
              <w:rPr>
                <w:sz w:val="14"/>
              </w:rPr>
              <w:t>Addressing workplace gossip about clients</w:t>
            </w:r>
          </w:p>
        </w:tc>
        <w:tc>
          <w:tcPr>
            <w:tcW w:type="dxa" w:w="1742"/>
            <w:vAlign w:val="center"/>
            <w:tcMar>
              <w:top w:w="55" w:type="dxa"/>
              <w:start w:w="65" w:type="dxa"/>
              <w:bottom w:w="55" w:type="dxa"/>
              <w:end w:w="65" w:type="dxa"/>
            </w:tcMar>
          </w:tcPr>
          <w:p>
            <w:pPr>
              <w:spacing w:after="0"/>
            </w:pPr>
            <w:r>
              <w:rPr>
                <w:sz w:val="14"/>
              </w:rPr>
              <w:t>2B</w:t>
            </w:r>
          </w:p>
        </w:tc>
        <w:tc>
          <w:tcPr>
            <w:tcW w:type="dxa" w:w="1742"/>
            <w:vAlign w:val="center"/>
            <w:tcMar>
              <w:top w:w="55" w:type="dxa"/>
              <w:start w:w="65" w:type="dxa"/>
              <w:bottom w:w="55" w:type="dxa"/>
              <w:end w:w="65" w:type="dxa"/>
            </w:tcMar>
          </w:tcPr>
          <w:p>
            <w:pPr>
              <w:spacing w:after="0"/>
            </w:pPr>
            <w:r>
              <w:rPr>
                <w:sz w:val="14"/>
              </w:rPr>
              <w:t>WB8</w:t>
            </w:r>
          </w:p>
        </w:tc>
        <w:tc>
          <w:tcPr>
            <w:tcW w:type="dxa" w:w="1742"/>
            <w:vAlign w:val="center"/>
            <w:tcMar>
              <w:top w:w="55" w:type="dxa"/>
              <w:start w:w="65" w:type="dxa"/>
              <w:bottom w:w="55" w:type="dxa"/>
              <w:end w:w="65" w:type="dxa"/>
            </w:tcMar>
          </w:tcPr>
          <w:p>
            <w:pPr>
              <w:spacing w:after="0"/>
            </w:pPr>
            <w:r>
              <w:rPr>
                <w:sz w:val="14"/>
              </w:rPr>
              <w:t>WORKPLACE-GOSSIP</w:t>
            </w:r>
          </w:p>
        </w:tc>
        <w:tc>
          <w:tcPr>
            <w:tcW w:type="dxa" w:w="1742"/>
            <w:vAlign w:val="center"/>
            <w:tcMar>
              <w:top w:w="55" w:type="dxa"/>
              <w:start w:w="65" w:type="dxa"/>
              <w:bottom w:w="55" w:type="dxa"/>
              <w:end w:w="65" w:type="dxa"/>
            </w:tcMar>
          </w:tcPr>
          <w:p>
            <w:pPr>
              <w:spacing w:after="0"/>
            </w:pPr>
            <w:r>
              <w:rPr>
                <w:sz w:val="14"/>
              </w:rPr>
              <w:t>NASW Code 1.07, 2.01, and 2.10; applicable California confidentiality law</w:t>
            </w:r>
          </w:p>
        </w:tc>
      </w:tr>
      <w:tr>
        <w:trPr>
          <w:cantSplit/>
        </w:trPr>
        <w:tc>
          <w:tcPr>
            <w:tcW w:type="dxa" w:w="1742"/>
            <w:vAlign w:val="center"/>
            <w:tcMar>
              <w:top w:w="55" w:type="dxa"/>
              <w:start w:w="65" w:type="dxa"/>
              <w:bottom w:w="55" w:type="dxa"/>
              <w:end w:w="65" w:type="dxa"/>
            </w:tcMar>
            <w:shd w:fill="F2F4F7"/>
          </w:tcPr>
          <w:p>
            <w:pPr>
              <w:spacing w:after="0"/>
            </w:pPr>
            <w:r>
              <w:rPr>
                <w:sz w:val="14"/>
              </w:rPr>
              <w:t>44</w:t>
            </w:r>
          </w:p>
        </w:tc>
        <w:tc>
          <w:tcPr>
            <w:tcW w:type="dxa" w:w="1742"/>
            <w:vAlign w:val="center"/>
            <w:tcMar>
              <w:top w:w="55" w:type="dxa"/>
              <w:start w:w="65" w:type="dxa"/>
              <w:bottom w:w="55" w:type="dxa"/>
              <w:end w:w="65" w:type="dxa"/>
            </w:tcMar>
            <w:shd w:fill="F2F4F7"/>
          </w:tcPr>
          <w:p>
            <w:pPr>
              <w:spacing w:after="0"/>
            </w:pPr>
            <w:r>
              <w:rPr>
                <w:sz w:val="14"/>
              </w:rPr>
              <w:t>Applying the California 90-day preregistration rule to a dated agency scenario</w:t>
            </w:r>
          </w:p>
        </w:tc>
        <w:tc>
          <w:tcPr>
            <w:tcW w:type="dxa" w:w="1742"/>
            <w:vAlign w:val="center"/>
            <w:tcMar>
              <w:top w:w="55" w:type="dxa"/>
              <w:start w:w="65" w:type="dxa"/>
              <w:bottom w:w="55" w:type="dxa"/>
              <w:end w:w="65" w:type="dxa"/>
            </w:tcMar>
            <w:shd w:fill="F2F4F7"/>
          </w:tcPr>
          <w:p>
            <w:pPr>
              <w:spacing w:after="0"/>
            </w:pPr>
            <w:r>
              <w:rPr>
                <w:sz w:val="14"/>
              </w:rPr>
              <w:t>1C</w:t>
            </w:r>
          </w:p>
        </w:tc>
        <w:tc>
          <w:tcPr>
            <w:tcW w:type="dxa" w:w="1742"/>
            <w:vAlign w:val="center"/>
            <w:tcMar>
              <w:top w:w="55" w:type="dxa"/>
              <w:start w:w="65" w:type="dxa"/>
              <w:bottom w:w="55" w:type="dxa"/>
              <w:end w:w="65" w:type="dxa"/>
            </w:tcMar>
            <w:shd w:fill="F2F4F7"/>
          </w:tcPr>
          <w:p>
            <w:pPr>
              <w:spacing w:after="0"/>
            </w:pPr>
            <w:r>
              <w:rPr>
                <w:sz w:val="14"/>
              </w:rPr>
              <w:t>LS Module</w:t>
            </w:r>
          </w:p>
        </w:tc>
        <w:tc>
          <w:tcPr>
            <w:tcW w:type="dxa" w:w="1742"/>
            <w:vAlign w:val="center"/>
            <w:tcMar>
              <w:top w:w="55" w:type="dxa"/>
              <w:start w:w="65" w:type="dxa"/>
              <w:bottom w:w="55" w:type="dxa"/>
              <w:end w:w="65" w:type="dxa"/>
            </w:tcMar>
            <w:shd w:fill="F2F4F7"/>
          </w:tcPr>
          <w:p>
            <w:pPr>
              <w:spacing w:after="0"/>
            </w:pPr>
            <w:r>
              <w:rPr>
                <w:sz w:val="14"/>
              </w:rPr>
              <w:t>NINETY-DAY-RULE</w:t>
            </w:r>
          </w:p>
        </w:tc>
        <w:tc>
          <w:tcPr>
            <w:tcW w:type="dxa" w:w="1742"/>
            <w:vAlign w:val="center"/>
            <w:tcMar>
              <w:top w:w="55" w:type="dxa"/>
              <w:start w:w="65" w:type="dxa"/>
              <w:bottom w:w="55" w:type="dxa"/>
              <w:end w:w="65" w:type="dxa"/>
            </w:tcMar>
            <w:shd w:fill="F2F4F7"/>
          </w:tcPr>
          <w:p>
            <w:pPr>
              <w:spacing w:after="0"/>
            </w:pPr>
            <w:r>
              <w:rPr>
                <w:sz w:val="14"/>
              </w:rPr>
              <w:t>BPC 4996.23(a)-(c); BBS 90-Day Rule guidance</w:t>
            </w:r>
          </w:p>
        </w:tc>
      </w:tr>
      <w:tr>
        <w:trPr>
          <w:cantSplit/>
        </w:trPr>
        <w:tc>
          <w:tcPr>
            <w:tcW w:type="dxa" w:w="1742"/>
            <w:vAlign w:val="center"/>
            <w:tcMar>
              <w:top w:w="55" w:type="dxa"/>
              <w:start w:w="65" w:type="dxa"/>
              <w:bottom w:w="55" w:type="dxa"/>
              <w:end w:w="65" w:type="dxa"/>
            </w:tcMar>
          </w:tcPr>
          <w:p>
            <w:pPr>
              <w:spacing w:after="0"/>
            </w:pPr>
            <w:r>
              <w:rPr>
                <w:sz w:val="14"/>
              </w:rPr>
              <w:t>45</w:t>
            </w:r>
          </w:p>
        </w:tc>
        <w:tc>
          <w:tcPr>
            <w:tcW w:type="dxa" w:w="1742"/>
            <w:vAlign w:val="center"/>
            <w:tcMar>
              <w:top w:w="55" w:type="dxa"/>
              <w:start w:w="65" w:type="dxa"/>
              <w:bottom w:w="55" w:type="dxa"/>
              <w:end w:w="65" w:type="dxa"/>
            </w:tcMar>
          </w:tcPr>
          <w:p>
            <w:pPr>
              <w:spacing w:after="0"/>
            </w:pPr>
            <w:r>
              <w:rPr>
                <w:sz w:val="14"/>
              </w:rPr>
              <w:t>Fee disclosure before treatment</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WB6</w:t>
            </w:r>
          </w:p>
        </w:tc>
        <w:tc>
          <w:tcPr>
            <w:tcW w:type="dxa" w:w="1742"/>
            <w:vAlign w:val="center"/>
            <w:tcMar>
              <w:top w:w="55" w:type="dxa"/>
              <w:start w:w="65" w:type="dxa"/>
              <w:bottom w:w="55" w:type="dxa"/>
              <w:end w:w="65" w:type="dxa"/>
            </w:tcMar>
          </w:tcPr>
          <w:p>
            <w:pPr>
              <w:spacing w:after="0"/>
            </w:pPr>
            <w:r>
              <w:rPr>
                <w:sz w:val="14"/>
              </w:rPr>
              <w:t>FEE-DISCLOSURE</w:t>
            </w:r>
          </w:p>
        </w:tc>
        <w:tc>
          <w:tcPr>
            <w:tcW w:type="dxa" w:w="1742"/>
            <w:vAlign w:val="center"/>
            <w:tcMar>
              <w:top w:w="55" w:type="dxa"/>
              <w:start w:w="65" w:type="dxa"/>
              <w:bottom w:w="55" w:type="dxa"/>
              <w:end w:w="65" w:type="dxa"/>
            </w:tcMar>
          </w:tcPr>
          <w:p>
            <w:pPr>
              <w:spacing w:after="0"/>
            </w:pPr>
            <w:r>
              <w:rPr>
                <w:sz w:val="14"/>
              </w:rPr>
              <w:t>BPC 4992.3(o); NASW Code 1.13(a)</w:t>
            </w:r>
          </w:p>
        </w:tc>
      </w:tr>
      <w:tr>
        <w:trPr>
          <w:cantSplit/>
        </w:trPr>
        <w:tc>
          <w:tcPr>
            <w:tcW w:type="dxa" w:w="1742"/>
            <w:vAlign w:val="center"/>
            <w:tcMar>
              <w:top w:w="55" w:type="dxa"/>
              <w:start w:w="65" w:type="dxa"/>
              <w:bottom w:w="55" w:type="dxa"/>
              <w:end w:w="65" w:type="dxa"/>
            </w:tcMar>
            <w:shd w:fill="F2F4F7"/>
          </w:tcPr>
          <w:p>
            <w:pPr>
              <w:spacing w:after="0"/>
            </w:pPr>
            <w:r>
              <w:rPr>
                <w:sz w:val="14"/>
              </w:rPr>
              <w:t>46</w:t>
            </w:r>
          </w:p>
        </w:tc>
        <w:tc>
          <w:tcPr>
            <w:tcW w:type="dxa" w:w="1742"/>
            <w:vAlign w:val="center"/>
            <w:tcMar>
              <w:top w:w="55" w:type="dxa"/>
              <w:start w:w="65" w:type="dxa"/>
              <w:bottom w:w="55" w:type="dxa"/>
              <w:end w:w="65" w:type="dxa"/>
            </w:tcMar>
            <w:shd w:fill="F2F4F7"/>
          </w:tcPr>
          <w:p>
            <w:pPr>
              <w:spacing w:after="0"/>
            </w:pPr>
            <w:r>
              <w:rPr>
                <w:sz w:val="14"/>
              </w:rPr>
              <w:t>Client welfare when a clinician resists impairment-related limits</w:t>
            </w:r>
          </w:p>
        </w:tc>
        <w:tc>
          <w:tcPr>
            <w:tcW w:type="dxa" w:w="1742"/>
            <w:vAlign w:val="center"/>
            <w:tcMar>
              <w:top w:w="55" w:type="dxa"/>
              <w:start w:w="65" w:type="dxa"/>
              <w:bottom w:w="55" w:type="dxa"/>
              <w:end w:w="65" w:type="dxa"/>
            </w:tcMar>
            <w:shd w:fill="F2F4F7"/>
          </w:tcPr>
          <w:p>
            <w:pPr>
              <w:spacing w:after="0"/>
            </w:pPr>
            <w:r>
              <w:rPr>
                <w:sz w:val="14"/>
              </w:rPr>
              <w:t>2B</w:t>
            </w:r>
          </w:p>
        </w:tc>
        <w:tc>
          <w:tcPr>
            <w:tcW w:type="dxa" w:w="1742"/>
            <w:vAlign w:val="center"/>
            <w:tcMar>
              <w:top w:w="55" w:type="dxa"/>
              <w:start w:w="65" w:type="dxa"/>
              <w:bottom w:w="55" w:type="dxa"/>
              <w:end w:w="65" w:type="dxa"/>
            </w:tcMar>
            <w:shd w:fill="F2F4F7"/>
          </w:tcPr>
          <w:p>
            <w:pPr>
              <w:spacing w:after="0"/>
            </w:pPr>
            <w:r>
              <w:rPr>
                <w:sz w:val="14"/>
              </w:rPr>
              <w:t>WB4</w:t>
            </w:r>
          </w:p>
        </w:tc>
        <w:tc>
          <w:tcPr>
            <w:tcW w:type="dxa" w:w="1742"/>
            <w:vAlign w:val="center"/>
            <w:tcMar>
              <w:top w:w="55" w:type="dxa"/>
              <w:start w:w="65" w:type="dxa"/>
              <w:bottom w:w="55" w:type="dxa"/>
              <w:end w:w="65" w:type="dxa"/>
            </w:tcMar>
            <w:shd w:fill="F2F4F7"/>
          </w:tcPr>
          <w:p>
            <w:pPr>
              <w:spacing w:after="0"/>
            </w:pPr>
            <w:r>
              <w:rPr>
                <w:sz w:val="14"/>
              </w:rPr>
              <w:t>CLINICIAN-IMPAIRMENT-LIMITS</w:t>
            </w:r>
          </w:p>
        </w:tc>
        <w:tc>
          <w:tcPr>
            <w:tcW w:type="dxa" w:w="1742"/>
            <w:vAlign w:val="center"/>
            <w:tcMar>
              <w:top w:w="55" w:type="dxa"/>
              <w:start w:w="65" w:type="dxa"/>
              <w:bottom w:w="55" w:type="dxa"/>
              <w:end w:w="65" w:type="dxa"/>
            </w:tcMar>
            <w:shd w:fill="F2F4F7"/>
          </w:tcPr>
          <w:p>
            <w:pPr>
              <w:spacing w:after="0"/>
            </w:pPr>
            <w:r>
              <w:rPr>
                <w:sz w:val="14"/>
              </w:rPr>
              <w:t>NASW Code 1.15 and 4.05; BPC 4992.3(c)-(e)</w:t>
            </w:r>
          </w:p>
        </w:tc>
      </w:tr>
      <w:tr>
        <w:trPr>
          <w:cantSplit/>
        </w:trPr>
        <w:tc>
          <w:tcPr>
            <w:tcW w:type="dxa" w:w="1742"/>
            <w:vAlign w:val="center"/>
            <w:tcMar>
              <w:top w:w="55" w:type="dxa"/>
              <w:start w:w="65" w:type="dxa"/>
              <w:bottom w:w="55" w:type="dxa"/>
              <w:end w:w="65" w:type="dxa"/>
            </w:tcMar>
          </w:tcPr>
          <w:p>
            <w:pPr>
              <w:spacing w:after="0"/>
            </w:pPr>
            <w:r>
              <w:rPr>
                <w:sz w:val="14"/>
              </w:rPr>
              <w:t>47</w:t>
            </w:r>
          </w:p>
        </w:tc>
        <w:tc>
          <w:tcPr>
            <w:tcW w:type="dxa" w:w="1742"/>
            <w:vAlign w:val="center"/>
            <w:tcMar>
              <w:top w:w="55" w:type="dxa"/>
              <w:start w:w="65" w:type="dxa"/>
              <w:bottom w:w="55" w:type="dxa"/>
              <w:end w:w="65" w:type="dxa"/>
            </w:tcMar>
          </w:tcPr>
          <w:p>
            <w:pPr>
              <w:spacing w:after="0"/>
            </w:pPr>
            <w:r>
              <w:rPr>
                <w:sz w:val="14"/>
              </w:rPr>
              <w:t>Fair notice before refusing to sign future supervised hours</w:t>
            </w:r>
          </w:p>
        </w:tc>
        <w:tc>
          <w:tcPr>
            <w:tcW w:type="dxa" w:w="1742"/>
            <w:vAlign w:val="center"/>
            <w:tcMar>
              <w:top w:w="55" w:type="dxa"/>
              <w:start w:w="65" w:type="dxa"/>
              <w:bottom w:w="55" w:type="dxa"/>
              <w:end w:w="65" w:type="dxa"/>
            </w:tcMar>
          </w:tcPr>
          <w:p>
            <w:pPr>
              <w:spacing w:after="0"/>
            </w:pPr>
            <w:r>
              <w:rPr>
                <w:sz w:val="14"/>
              </w:rPr>
              <w:t>2C</w:t>
            </w:r>
          </w:p>
        </w:tc>
        <w:tc>
          <w:tcPr>
            <w:tcW w:type="dxa" w:w="1742"/>
            <w:vAlign w:val="center"/>
            <w:tcMar>
              <w:top w:w="55" w:type="dxa"/>
              <w:start w:w="65" w:type="dxa"/>
              <w:bottom w:w="55" w:type="dxa"/>
              <w:end w:w="65" w:type="dxa"/>
            </w:tcMar>
          </w:tcPr>
          <w:p>
            <w:pPr>
              <w:spacing w:after="0"/>
            </w:pPr>
            <w:r>
              <w:rPr>
                <w:sz w:val="14"/>
              </w:rPr>
              <w:t>WB3</w:t>
            </w:r>
          </w:p>
        </w:tc>
        <w:tc>
          <w:tcPr>
            <w:tcW w:type="dxa" w:w="1742"/>
            <w:vAlign w:val="center"/>
            <w:tcMar>
              <w:top w:w="55" w:type="dxa"/>
              <w:start w:w="65" w:type="dxa"/>
              <w:bottom w:w="55" w:type="dxa"/>
              <w:end w:w="65" w:type="dxa"/>
            </w:tcMar>
          </w:tcPr>
          <w:p>
            <w:pPr>
              <w:spacing w:after="0"/>
            </w:pPr>
            <w:r>
              <w:rPr>
                <w:sz w:val="14"/>
              </w:rPr>
              <w:t>FUTURE-HOURS-NOTICE</w:t>
            </w:r>
          </w:p>
        </w:tc>
        <w:tc>
          <w:tcPr>
            <w:tcW w:type="dxa" w:w="1742"/>
            <w:vAlign w:val="center"/>
            <w:tcMar>
              <w:top w:w="55" w:type="dxa"/>
              <w:start w:w="65" w:type="dxa"/>
              <w:bottom w:w="55" w:type="dxa"/>
              <w:end w:w="65" w:type="dxa"/>
            </w:tcMar>
          </w:tcPr>
          <w:p>
            <w:pPr>
              <w:spacing w:after="0"/>
            </w:pPr>
            <w:r>
              <w:rPr>
                <w:sz w:val="14"/>
              </w:rPr>
              <w:t>BBS Supervision Agreement Form 37M-300 revised 05/2026; NASW Code 3.01 and 3.03</w:t>
            </w:r>
          </w:p>
        </w:tc>
      </w:tr>
      <w:tr>
        <w:trPr>
          <w:cantSplit/>
        </w:trPr>
        <w:tc>
          <w:tcPr>
            <w:tcW w:type="dxa" w:w="1742"/>
            <w:vAlign w:val="center"/>
            <w:tcMar>
              <w:top w:w="55" w:type="dxa"/>
              <w:start w:w="65" w:type="dxa"/>
              <w:bottom w:w="55" w:type="dxa"/>
              <w:end w:w="65" w:type="dxa"/>
            </w:tcMar>
            <w:shd w:fill="F2F4F7"/>
          </w:tcPr>
          <w:p>
            <w:pPr>
              <w:spacing w:after="0"/>
            </w:pPr>
            <w:r>
              <w:rPr>
                <w:sz w:val="14"/>
              </w:rPr>
              <w:t>48</w:t>
            </w:r>
          </w:p>
        </w:tc>
        <w:tc>
          <w:tcPr>
            <w:tcW w:type="dxa" w:w="1742"/>
            <w:vAlign w:val="center"/>
            <w:tcMar>
              <w:top w:w="55" w:type="dxa"/>
              <w:start w:w="65" w:type="dxa"/>
              <w:bottom w:w="55" w:type="dxa"/>
              <w:end w:w="65" w:type="dxa"/>
            </w:tcMar>
            <w:shd w:fill="F2F4F7"/>
          </w:tcPr>
          <w:p>
            <w:pPr>
              <w:spacing w:after="0"/>
            </w:pPr>
            <w:r>
              <w:rPr>
                <w:sz w:val="14"/>
              </w:rPr>
              <w:t>Competence before a new technology-based intervention</w:t>
            </w:r>
          </w:p>
        </w:tc>
        <w:tc>
          <w:tcPr>
            <w:tcW w:type="dxa" w:w="1742"/>
            <w:vAlign w:val="center"/>
            <w:tcMar>
              <w:top w:w="55" w:type="dxa"/>
              <w:start w:w="65" w:type="dxa"/>
              <w:bottom w:w="55" w:type="dxa"/>
              <w:end w:w="65" w:type="dxa"/>
            </w:tcMar>
            <w:shd w:fill="F2F4F7"/>
          </w:tcPr>
          <w:p>
            <w:pPr>
              <w:spacing w:after="0"/>
            </w:pPr>
            <w:r>
              <w:rPr>
                <w:sz w:val="14"/>
              </w:rPr>
              <w:t>2A</w:t>
            </w:r>
          </w:p>
        </w:tc>
        <w:tc>
          <w:tcPr>
            <w:tcW w:type="dxa" w:w="1742"/>
            <w:vAlign w:val="center"/>
            <w:tcMar>
              <w:top w:w="55" w:type="dxa"/>
              <w:start w:w="65" w:type="dxa"/>
              <w:bottom w:w="55" w:type="dxa"/>
              <w:end w:w="65" w:type="dxa"/>
            </w:tcMar>
            <w:shd w:fill="F2F4F7"/>
          </w:tcPr>
          <w:p>
            <w:pPr>
              <w:spacing w:after="0"/>
            </w:pPr>
            <w:r>
              <w:rPr>
                <w:sz w:val="14"/>
              </w:rPr>
              <w:t>WB2</w:t>
            </w:r>
          </w:p>
        </w:tc>
        <w:tc>
          <w:tcPr>
            <w:tcW w:type="dxa" w:w="1742"/>
            <w:vAlign w:val="center"/>
            <w:tcMar>
              <w:top w:w="55" w:type="dxa"/>
              <w:start w:w="65" w:type="dxa"/>
              <w:bottom w:w="55" w:type="dxa"/>
              <w:end w:w="65" w:type="dxa"/>
            </w:tcMar>
            <w:shd w:fill="F2F4F7"/>
          </w:tcPr>
          <w:p>
            <w:pPr>
              <w:spacing w:after="0"/>
            </w:pPr>
            <w:r>
              <w:rPr>
                <w:sz w:val="14"/>
              </w:rPr>
              <w:t>VR-INTERVENTION-COMPETENCE</w:t>
            </w:r>
          </w:p>
        </w:tc>
        <w:tc>
          <w:tcPr>
            <w:tcW w:type="dxa" w:w="1742"/>
            <w:vAlign w:val="center"/>
            <w:tcMar>
              <w:top w:w="55" w:type="dxa"/>
              <w:start w:w="65" w:type="dxa"/>
              <w:bottom w:w="55" w:type="dxa"/>
              <w:end w:w="65" w:type="dxa"/>
            </w:tcMar>
            <w:shd w:fill="F2F4F7"/>
          </w:tcPr>
          <w:p>
            <w:pPr>
              <w:spacing w:after="0"/>
            </w:pPr>
            <w:r>
              <w:rPr>
                <w:sz w:val="14"/>
              </w:rPr>
              <w:t>NASW Code 1.03 and 1.04; BPC 4992.3(t)</w:t>
            </w:r>
          </w:p>
        </w:tc>
      </w:tr>
      <w:tr>
        <w:trPr>
          <w:cantSplit/>
        </w:trPr>
        <w:tc>
          <w:tcPr>
            <w:tcW w:type="dxa" w:w="1742"/>
            <w:vAlign w:val="center"/>
            <w:tcMar>
              <w:top w:w="55" w:type="dxa"/>
              <w:start w:w="65" w:type="dxa"/>
              <w:bottom w:w="55" w:type="dxa"/>
              <w:end w:w="65" w:type="dxa"/>
            </w:tcMar>
          </w:tcPr>
          <w:p>
            <w:pPr>
              <w:spacing w:after="0"/>
            </w:pPr>
            <w:r>
              <w:rPr>
                <w:sz w:val="14"/>
              </w:rPr>
              <w:t>49</w:t>
            </w:r>
          </w:p>
        </w:tc>
        <w:tc>
          <w:tcPr>
            <w:tcW w:type="dxa" w:w="1742"/>
            <w:vAlign w:val="center"/>
            <w:tcMar>
              <w:top w:w="55" w:type="dxa"/>
              <w:start w:w="65" w:type="dxa"/>
              <w:bottom w:w="55" w:type="dxa"/>
              <w:end w:w="65" w:type="dxa"/>
            </w:tcMar>
          </w:tcPr>
          <w:p>
            <w:pPr>
              <w:spacing w:after="0"/>
            </w:pPr>
            <w:r>
              <w:rPr>
                <w:sz w:val="14"/>
              </w:rPr>
              <w:t>Confidential response to nonimminent suicidal ideation</w:t>
            </w:r>
          </w:p>
        </w:tc>
        <w:tc>
          <w:tcPr>
            <w:tcW w:type="dxa" w:w="1742"/>
            <w:vAlign w:val="center"/>
            <w:tcMar>
              <w:top w:w="55" w:type="dxa"/>
              <w:start w:w="65" w:type="dxa"/>
              <w:bottom w:w="55" w:type="dxa"/>
              <w:end w:w="65" w:type="dxa"/>
            </w:tcMar>
          </w:tcPr>
          <w:p>
            <w:pPr>
              <w:spacing w:after="0"/>
            </w:pPr>
            <w:r>
              <w:rPr>
                <w:sz w:val="14"/>
              </w:rPr>
              <w:t>1B</w:t>
            </w:r>
          </w:p>
        </w:tc>
        <w:tc>
          <w:tcPr>
            <w:tcW w:type="dxa" w:w="1742"/>
            <w:vAlign w:val="center"/>
            <w:tcMar>
              <w:top w:w="55" w:type="dxa"/>
              <w:start w:w="65" w:type="dxa"/>
              <w:bottom w:w="55" w:type="dxa"/>
              <w:end w:w="65" w:type="dxa"/>
            </w:tcMar>
          </w:tcPr>
          <w:p>
            <w:pPr>
              <w:spacing w:after="0"/>
            </w:pPr>
            <w:r>
              <w:rPr>
                <w:sz w:val="14"/>
              </w:rPr>
              <w:t>WB5</w:t>
            </w:r>
          </w:p>
        </w:tc>
        <w:tc>
          <w:tcPr>
            <w:tcW w:type="dxa" w:w="1742"/>
            <w:vAlign w:val="center"/>
            <w:tcMar>
              <w:top w:w="55" w:type="dxa"/>
              <w:start w:w="65" w:type="dxa"/>
              <w:bottom w:w="55" w:type="dxa"/>
              <w:end w:w="65" w:type="dxa"/>
            </w:tcMar>
          </w:tcPr>
          <w:p>
            <w:pPr>
              <w:spacing w:after="0"/>
            </w:pPr>
            <w:r>
              <w:rPr>
                <w:sz w:val="14"/>
              </w:rPr>
              <w:t>NONIMMINENT-SUICIDAL-IDEATION</w:t>
            </w:r>
          </w:p>
        </w:tc>
        <w:tc>
          <w:tcPr>
            <w:tcW w:type="dxa" w:w="1742"/>
            <w:vAlign w:val="center"/>
            <w:tcMar>
              <w:top w:w="55" w:type="dxa"/>
              <w:start w:w="65" w:type="dxa"/>
              <w:bottom w:w="55" w:type="dxa"/>
              <w:end w:w="65" w:type="dxa"/>
            </w:tcMar>
          </w:tcPr>
          <w:p>
            <w:pPr>
              <w:spacing w:after="0"/>
            </w:pPr>
            <w:r>
              <w:rPr>
                <w:sz w:val="14"/>
              </w:rPr>
              <w:t>NASW Code 1.01, 1.02, and 1.07; applicable California safety and confidentiality law</w:t>
            </w:r>
          </w:p>
        </w:tc>
      </w:tr>
      <w:tr>
        <w:trPr>
          <w:cantSplit/>
        </w:trPr>
        <w:tc>
          <w:tcPr>
            <w:tcW w:type="dxa" w:w="1742"/>
            <w:vAlign w:val="center"/>
            <w:tcMar>
              <w:top w:w="55" w:type="dxa"/>
              <w:start w:w="65" w:type="dxa"/>
              <w:bottom w:w="55" w:type="dxa"/>
              <w:end w:w="65" w:type="dxa"/>
            </w:tcMar>
            <w:shd w:fill="F2F4F7"/>
          </w:tcPr>
          <w:p>
            <w:pPr>
              <w:spacing w:after="0"/>
            </w:pPr>
            <w:r>
              <w:rPr>
                <w:sz w:val="14"/>
              </w:rPr>
              <w:t>50</w:t>
            </w:r>
          </w:p>
        </w:tc>
        <w:tc>
          <w:tcPr>
            <w:tcW w:type="dxa" w:w="1742"/>
            <w:vAlign w:val="center"/>
            <w:tcMar>
              <w:top w:w="55" w:type="dxa"/>
              <w:start w:w="65" w:type="dxa"/>
              <w:bottom w:w="55" w:type="dxa"/>
              <w:end w:w="65" w:type="dxa"/>
            </w:tcMar>
            <w:shd w:fill="F2F4F7"/>
          </w:tcPr>
          <w:p>
            <w:pPr>
              <w:spacing w:after="0"/>
            </w:pPr>
            <w:r>
              <w:rPr>
                <w:sz w:val="14"/>
              </w:rPr>
              <w:t>Group-supervision size limit</w:t>
            </w:r>
          </w:p>
        </w:tc>
        <w:tc>
          <w:tcPr>
            <w:tcW w:type="dxa" w:w="1742"/>
            <w:vAlign w:val="center"/>
            <w:tcMar>
              <w:top w:w="55" w:type="dxa"/>
              <w:start w:w="65" w:type="dxa"/>
              <w:bottom w:w="55" w:type="dxa"/>
              <w:end w:w="65" w:type="dxa"/>
            </w:tcMar>
            <w:shd w:fill="F2F4F7"/>
          </w:tcPr>
          <w:p>
            <w:pPr>
              <w:spacing w:after="0"/>
            </w:pPr>
            <w:r>
              <w:rPr>
                <w:sz w:val="14"/>
              </w:rPr>
              <w:t>2C</w:t>
            </w:r>
          </w:p>
        </w:tc>
        <w:tc>
          <w:tcPr>
            <w:tcW w:type="dxa" w:w="1742"/>
            <w:vAlign w:val="center"/>
            <w:tcMar>
              <w:top w:w="55" w:type="dxa"/>
              <w:start w:w="65" w:type="dxa"/>
              <w:bottom w:w="55" w:type="dxa"/>
              <w:end w:w="65" w:type="dxa"/>
            </w:tcMar>
            <w:shd w:fill="F2F4F7"/>
          </w:tcPr>
          <w:p>
            <w:pPr>
              <w:spacing w:after="0"/>
            </w:pPr>
            <w:r>
              <w:rPr>
                <w:sz w:val="14"/>
              </w:rPr>
              <w:t>WB3</w:t>
            </w:r>
          </w:p>
        </w:tc>
        <w:tc>
          <w:tcPr>
            <w:tcW w:type="dxa" w:w="1742"/>
            <w:vAlign w:val="center"/>
            <w:tcMar>
              <w:top w:w="55" w:type="dxa"/>
              <w:start w:w="65" w:type="dxa"/>
              <w:bottom w:w="55" w:type="dxa"/>
              <w:end w:w="65" w:type="dxa"/>
            </w:tcMar>
            <w:shd w:fill="F2F4F7"/>
          </w:tcPr>
          <w:p>
            <w:pPr>
              <w:spacing w:after="0"/>
            </w:pPr>
            <w:r>
              <w:rPr>
                <w:sz w:val="14"/>
              </w:rPr>
              <w:t>GROUP-SUPERVISION-SIZE</w:t>
            </w:r>
          </w:p>
        </w:tc>
        <w:tc>
          <w:tcPr>
            <w:tcW w:type="dxa" w:w="1742"/>
            <w:vAlign w:val="center"/>
            <w:tcMar>
              <w:top w:w="55" w:type="dxa"/>
              <w:start w:w="65" w:type="dxa"/>
              <w:bottom w:w="55" w:type="dxa"/>
              <w:end w:w="65" w:type="dxa"/>
            </w:tcMar>
            <w:shd w:fill="F2F4F7"/>
          </w:tcPr>
          <w:p>
            <w:pPr>
              <w:spacing w:after="0"/>
            </w:pPr>
            <w:r>
              <w:rPr>
                <w:sz w:val="14"/>
              </w:rPr>
              <w:t>BPC 4996.23.1(b)(1)(C)</w:t>
            </w:r>
          </w:p>
        </w:tc>
      </w:tr>
    </w:tbl>
    <w:p>
      <w:pPr>
        <w:pStyle w:val="Heading1"/>
      </w:pPr>
      <w:r>
        <w:t>Official Source-Control Register</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5227"/>
            <w:shd w:fill="17365D"/>
            <w:tcMar>
              <w:top w:w="55" w:type="dxa"/>
              <w:start w:w="65" w:type="dxa"/>
              <w:bottom w:w="55" w:type="dxa"/>
              <w:end w:w="65" w:type="dxa"/>
            </w:tcMar>
            <w:vAlign w:val="center"/>
          </w:tcPr>
          <w:p>
            <w:pPr>
              <w:spacing w:after="0"/>
            </w:pPr>
            <w:r>
              <w:rPr>
                <w:sz w:val="16"/>
              </w:rPr>
            </w:r>
            <w:r>
              <w:rPr>
                <w:b/>
                <w:color w:val="FFFFFF"/>
                <w:sz w:val="16"/>
              </w:rPr>
              <w:t>Code</w:t>
            </w:r>
          </w:p>
        </w:tc>
        <w:tc>
          <w:tcPr>
            <w:tcW w:type="dxa" w:w="5227"/>
            <w:shd w:fill="17365D"/>
            <w:tcMar>
              <w:top w:w="55" w:type="dxa"/>
              <w:start w:w="65" w:type="dxa"/>
              <w:bottom w:w="55" w:type="dxa"/>
              <w:end w:w="65" w:type="dxa"/>
            </w:tcMar>
            <w:vAlign w:val="center"/>
          </w:tcPr>
          <w:p>
            <w:pPr>
              <w:spacing w:after="0"/>
            </w:pPr>
            <w:r>
              <w:rPr>
                <w:sz w:val="16"/>
              </w:rPr>
            </w:r>
            <w:r>
              <w:rPr>
                <w:b/>
                <w:color w:val="FFFFFF"/>
                <w:sz w:val="16"/>
              </w:rPr>
              <w:t>Controlling source family</w:t>
            </w:r>
          </w:p>
        </w:tc>
      </w:tr>
      <w:tr>
        <w:trPr>
          <w:cantSplit/>
        </w:trPr>
        <w:tc>
          <w:tcPr>
            <w:tcW w:type="dxa" w:w="5227"/>
            <w:vAlign w:val="center"/>
            <w:tcMar>
              <w:top w:w="55" w:type="dxa"/>
              <w:start w:w="65" w:type="dxa"/>
              <w:bottom w:w="55" w:type="dxa"/>
              <w:end w:w="65" w:type="dxa"/>
            </w:tcMar>
          </w:tcPr>
          <w:p>
            <w:pPr>
              <w:spacing w:after="0"/>
            </w:pPr>
            <w:r>
              <w:rPr>
                <w:sz w:val="16"/>
              </w:rPr>
              <w:t>BBS-LAWS-2026</w:t>
            </w:r>
          </w:p>
        </w:tc>
        <w:tc>
          <w:tcPr>
            <w:tcW w:type="dxa" w:w="5227"/>
            <w:vAlign w:val="center"/>
            <w:tcMar>
              <w:top w:w="55" w:type="dxa"/>
              <w:start w:w="65" w:type="dxa"/>
              <w:bottom w:w="55" w:type="dxa"/>
              <w:end w:w="65" w:type="dxa"/>
            </w:tcMar>
          </w:tcPr>
          <w:p>
            <w:pPr>
              <w:spacing w:after="0"/>
            </w:pPr>
            <w:r>
              <w:rPr>
                <w:sz w:val="16"/>
              </w:rPr>
              <w:t>California Board of Behavioral Sciences, Statutes and Regulations relating to clinical social work, issued January 2026; later effective and post-January changes require separate Law Changes review.</w:t>
            </w:r>
          </w:p>
        </w:tc>
      </w:tr>
      <w:tr>
        <w:trPr>
          <w:cantSplit/>
        </w:trPr>
        <w:tc>
          <w:tcPr>
            <w:tcW w:type="dxa" w:w="5227"/>
            <w:vAlign w:val="center"/>
            <w:tcMar>
              <w:top w:w="55" w:type="dxa"/>
              <w:start w:w="65" w:type="dxa"/>
              <w:bottom w:w="55" w:type="dxa"/>
              <w:end w:w="65" w:type="dxa"/>
            </w:tcMar>
            <w:shd w:fill="F2F4F7"/>
          </w:tcPr>
          <w:p>
            <w:pPr>
              <w:spacing w:after="0"/>
            </w:pPr>
            <w:r>
              <w:rPr>
                <w:sz w:val="16"/>
              </w:rPr>
              <w:t>BBS-ADVERTISING-2026</w:t>
            </w:r>
          </w:p>
        </w:tc>
        <w:tc>
          <w:tcPr>
            <w:tcW w:type="dxa" w:w="5227"/>
            <w:vAlign w:val="center"/>
            <w:tcMar>
              <w:top w:w="55" w:type="dxa"/>
              <w:start w:w="65" w:type="dxa"/>
              <w:bottom w:w="55" w:type="dxa"/>
              <w:end w:w="65" w:type="dxa"/>
            </w:tcMar>
            <w:shd w:fill="F2F4F7"/>
          </w:tcPr>
          <w:p>
            <w:pPr>
              <w:spacing w:after="0"/>
            </w:pPr>
            <w:r>
              <w:rPr>
                <w:sz w:val="16"/>
              </w:rPr>
              <w:t>BBS Advertising Requirements Fact Sheet revised March 2026 and related title/status provisions effective April 1, 2026.</w:t>
            </w:r>
          </w:p>
        </w:tc>
      </w:tr>
      <w:tr>
        <w:trPr>
          <w:cantSplit/>
        </w:trPr>
        <w:tc>
          <w:tcPr>
            <w:tcW w:type="dxa" w:w="5227"/>
            <w:vAlign w:val="center"/>
            <w:tcMar>
              <w:top w:w="55" w:type="dxa"/>
              <w:start w:w="65" w:type="dxa"/>
              <w:bottom w:w="55" w:type="dxa"/>
              <w:end w:w="65" w:type="dxa"/>
            </w:tcMar>
          </w:tcPr>
          <w:p>
            <w:pPr>
              <w:spacing w:after="0"/>
            </w:pPr>
            <w:r>
              <w:rPr>
                <w:sz w:val="16"/>
              </w:rPr>
              <w:t>BBS-SUPERVISION</w:t>
            </w:r>
          </w:p>
        </w:tc>
        <w:tc>
          <w:tcPr>
            <w:tcW w:type="dxa" w:w="5227"/>
            <w:vAlign w:val="center"/>
            <w:tcMar>
              <w:top w:w="55" w:type="dxa"/>
              <w:start w:w="65" w:type="dxa"/>
              <w:bottom w:w="55" w:type="dxa"/>
              <w:end w:w="65" w:type="dxa"/>
            </w:tcMar>
          </w:tcPr>
          <w:p>
            <w:pPr>
              <w:spacing w:after="0"/>
            </w:pPr>
            <w:r>
              <w:rPr>
                <w:sz w:val="16"/>
              </w:rPr>
              <w:t>BBS ASW supervision statutes, Supervisor Information, FAQs, and Supervision Agreement revised May 2026.</w:t>
            </w:r>
          </w:p>
        </w:tc>
      </w:tr>
      <w:tr>
        <w:trPr>
          <w:cantSplit/>
        </w:trPr>
        <w:tc>
          <w:tcPr>
            <w:tcW w:type="dxa" w:w="5227"/>
            <w:vAlign w:val="center"/>
            <w:tcMar>
              <w:top w:w="55" w:type="dxa"/>
              <w:start w:w="65" w:type="dxa"/>
              <w:bottom w:w="55" w:type="dxa"/>
              <w:end w:w="65" w:type="dxa"/>
            </w:tcMar>
            <w:shd w:fill="F2F4F7"/>
          </w:tcPr>
          <w:p>
            <w:pPr>
              <w:spacing w:after="0"/>
            </w:pPr>
            <w:r>
              <w:rPr>
                <w:sz w:val="16"/>
              </w:rPr>
              <w:t>CA-RECORDS</w:t>
            </w:r>
          </w:p>
        </w:tc>
        <w:tc>
          <w:tcPr>
            <w:tcW w:type="dxa" w:w="5227"/>
            <w:vAlign w:val="center"/>
            <w:tcMar>
              <w:top w:w="55" w:type="dxa"/>
              <w:start w:w="65" w:type="dxa"/>
              <w:bottom w:w="55" w:type="dxa"/>
              <w:end w:w="65" w:type="dxa"/>
            </w:tcMar>
            <w:shd w:fill="F2F4F7"/>
          </w:tcPr>
          <w:p>
            <w:pPr>
              <w:spacing w:after="0"/>
            </w:pPr>
            <w:r>
              <w:rPr>
                <w:sz w:val="16"/>
              </w:rPr>
              <w:t>California patient-access, confidentiality, authorization, privilege, record-integrity, and legal-process law applicable to the facts.</w:t>
            </w:r>
          </w:p>
        </w:tc>
      </w:tr>
      <w:tr>
        <w:trPr>
          <w:cantSplit/>
        </w:trPr>
        <w:tc>
          <w:tcPr>
            <w:tcW w:type="dxa" w:w="5227"/>
            <w:vAlign w:val="center"/>
            <w:tcMar>
              <w:top w:w="55" w:type="dxa"/>
              <w:start w:w="65" w:type="dxa"/>
              <w:bottom w:w="55" w:type="dxa"/>
              <w:end w:w="65" w:type="dxa"/>
            </w:tcMar>
          </w:tcPr>
          <w:p>
            <w:pPr>
              <w:spacing w:after="0"/>
            </w:pPr>
            <w:r>
              <w:rPr>
                <w:sz w:val="16"/>
              </w:rPr>
              <w:t>CA-SAFETY</w:t>
            </w:r>
          </w:p>
        </w:tc>
        <w:tc>
          <w:tcPr>
            <w:tcW w:type="dxa" w:w="5227"/>
            <w:vAlign w:val="center"/>
            <w:tcMar>
              <w:top w:w="55" w:type="dxa"/>
              <w:start w:w="65" w:type="dxa"/>
              <w:bottom w:w="55" w:type="dxa"/>
              <w:end w:w="65" w:type="dxa"/>
            </w:tcMar>
          </w:tcPr>
          <w:p>
            <w:pPr>
              <w:spacing w:after="0"/>
            </w:pPr>
            <w:r>
              <w:rPr>
                <w:sz w:val="16"/>
              </w:rPr>
              <w:t>California serious-threat, emergency, mandated-action, and minimum-disclosure authority applicable to the facts.</w:t>
            </w:r>
          </w:p>
        </w:tc>
      </w:tr>
      <w:tr>
        <w:trPr>
          <w:cantSplit/>
        </w:trPr>
        <w:tc>
          <w:tcPr>
            <w:tcW w:type="dxa" w:w="5227"/>
            <w:vAlign w:val="center"/>
            <w:tcMar>
              <w:top w:w="55" w:type="dxa"/>
              <w:start w:w="65" w:type="dxa"/>
              <w:bottom w:w="55" w:type="dxa"/>
              <w:end w:w="65" w:type="dxa"/>
            </w:tcMar>
            <w:shd w:fill="F2F4F7"/>
          </w:tcPr>
          <w:p>
            <w:pPr>
              <w:spacing w:after="0"/>
            </w:pPr>
            <w:r>
              <w:rPr>
                <w:sz w:val="16"/>
              </w:rPr>
              <w:t>CA-PRIVACY-TECH</w:t>
            </w:r>
          </w:p>
        </w:tc>
        <w:tc>
          <w:tcPr>
            <w:tcW w:type="dxa" w:w="5227"/>
            <w:vAlign w:val="center"/>
            <w:tcMar>
              <w:top w:w="55" w:type="dxa"/>
              <w:start w:w="65" w:type="dxa"/>
              <w:bottom w:w="55" w:type="dxa"/>
              <w:end w:w="65" w:type="dxa"/>
            </w:tcMar>
            <w:shd w:fill="F2F4F7"/>
          </w:tcPr>
          <w:p>
            <w:pPr>
              <w:spacing w:after="0"/>
            </w:pPr>
            <w:r>
              <w:rPr>
                <w:sz w:val="16"/>
              </w:rPr>
              <w:t>Applicable CMIA, HIPAA, breach, telehealth, electronic-communication, and organizational security requirements.</w:t>
            </w:r>
          </w:p>
        </w:tc>
      </w:tr>
      <w:tr>
        <w:trPr>
          <w:cantSplit/>
        </w:trPr>
        <w:tc>
          <w:tcPr>
            <w:tcW w:type="dxa" w:w="5227"/>
            <w:vAlign w:val="center"/>
            <w:tcMar>
              <w:top w:w="55" w:type="dxa"/>
              <w:start w:w="65" w:type="dxa"/>
              <w:bottom w:w="55" w:type="dxa"/>
              <w:end w:w="65" w:type="dxa"/>
            </w:tcMar>
          </w:tcPr>
          <w:p>
            <w:pPr>
              <w:spacing w:after="0"/>
            </w:pPr>
            <w:r>
              <w:rPr>
                <w:sz w:val="16"/>
              </w:rPr>
              <w:t>NASW-2021</w:t>
            </w:r>
          </w:p>
        </w:tc>
        <w:tc>
          <w:tcPr>
            <w:tcW w:type="dxa" w:w="5227"/>
            <w:vAlign w:val="center"/>
            <w:tcMar>
              <w:top w:w="55" w:type="dxa"/>
              <w:start w:w="65" w:type="dxa"/>
              <w:bottom w:w="55" w:type="dxa"/>
              <w:end w:w="65" w:type="dxa"/>
            </w:tcMar>
          </w:tcPr>
          <w:p>
            <w:pPr>
              <w:spacing w:after="0"/>
            </w:pPr>
            <w:r>
              <w:rPr>
                <w:sz w:val="16"/>
              </w:rPr>
              <w:t>NASW Code of Ethics, including 2021 cultural-competence and self-care revisions.</w:t>
            </w:r>
          </w:p>
        </w:tc>
      </w:tr>
    </w:tbl>
    <w:p>
      <w:pPr>
        <w:pStyle w:val="Heading1"/>
      </w:pPr>
      <w:r>
        <w:t>Controlled Release and Synchronization Rules</w:t>
      </w:r>
    </w:p>
    <w:p>
      <w:pPr>
        <w:pStyle w:val="ListBullet"/>
      </w:pPr>
      <w:r>
        <w:t>Keep this file separate from the answer-hidden candidate booklet until the approved post-attempt review point.</w:t>
      </w:r>
    </w:p>
    <w:p>
      <w:pPr>
        <w:pStyle w:val="ListBullet"/>
      </w:pPr>
      <w:r>
        <w:t>Any correction requires synchronized review of the stem, all four options, key, all four rationales, source mapping, remediation route, answer sheet, LMS record, duplicate scan, and version history.</w:t>
      </w:r>
    </w:p>
    <w:p>
      <w:pPr>
        <w:pStyle w:val="ListBullet"/>
      </w:pPr>
      <w:r>
        <w:t>Do not represent CTA items as copied, recalled, psychometrically equivalent to, or officially endorsed versions of the California licensing examination.</w:t>
      </w:r>
    </w:p>
    <w:p>
      <w:pPr>
        <w:pStyle w:val="ListBullet"/>
      </w:pPr>
      <w:r>
        <w:t>Recheck high-change subjects—including advertising, telehealth, supervision, registration, records, privacy, technology, and mandated action—before LMS lock and public release.</w:t>
      </w:r>
    </w:p>
    <w:p>
      <w:pPr>
        <w:pStyle w:val="Heading1"/>
      </w:pPr>
      <w:r>
        <w:t>Stage 4C2 Exit Record</w:t>
      </w:r>
    </w:p>
    <w:tbl>
      <w:tblPr>
        <w:tblStyle w:val="TableGrid"/>
        <w:tblW w:type="auto" w:w="0"/>
        <w:jc w:val="center"/>
        <w:tblLook w:firstColumn="1" w:firstRow="1" w:lastColumn="0" w:lastRow="0" w:noHBand="0" w:noVBand="1" w:val="04A0"/>
      </w:tblPr>
      <w:tblGrid>
        <w:gridCol w:w="5227"/>
        <w:gridCol w:w="5227"/>
      </w:tblGrid>
      <w:tr>
        <w:trPr>
          <w:tblHeader w:val="true"/>
          <w:cantSplit/>
        </w:trPr>
        <w:tc>
          <w:tcPr>
            <w:tcW w:type="dxa" w:w="5227"/>
            <w:shd w:fill="17365D"/>
            <w:tcMar>
              <w:top w:w="55" w:type="dxa"/>
              <w:start w:w="65" w:type="dxa"/>
              <w:bottom w:w="55" w:type="dxa"/>
              <w:end w:w="65" w:type="dxa"/>
            </w:tcMar>
            <w:vAlign w:val="center"/>
          </w:tcPr>
          <w:p>
            <w:pPr>
              <w:spacing w:after="0"/>
            </w:pPr>
            <w:r>
              <w:rPr>
                <w:sz w:val="16"/>
              </w:rPr>
            </w:r>
            <w:r>
              <w:rPr>
                <w:b/>
                <w:color w:val="FFFFFF"/>
                <w:sz w:val="16"/>
              </w:rPr>
              <w:t>Control</w:t>
            </w:r>
          </w:p>
        </w:tc>
        <w:tc>
          <w:tcPr>
            <w:tcW w:type="dxa" w:w="5227"/>
            <w:shd w:fill="17365D"/>
            <w:tcMar>
              <w:top w:w="55" w:type="dxa"/>
              <w:start w:w="65" w:type="dxa"/>
              <w:bottom w:w="55" w:type="dxa"/>
              <w:end w:w="65" w:type="dxa"/>
            </w:tcMar>
            <w:vAlign w:val="center"/>
          </w:tcPr>
          <w:p>
            <w:pPr>
              <w:spacing w:after="0"/>
            </w:pPr>
            <w:r>
              <w:rPr>
                <w:sz w:val="16"/>
              </w:rPr>
            </w:r>
            <w:r>
              <w:rPr>
                <w:b/>
                <w:color w:val="FFFFFF"/>
                <w:sz w:val="16"/>
              </w:rPr>
              <w:t>Status</w:t>
            </w:r>
          </w:p>
        </w:tc>
      </w:tr>
      <w:tr>
        <w:trPr>
          <w:cantSplit/>
        </w:trPr>
        <w:tc>
          <w:tcPr>
            <w:tcW w:type="dxa" w:w="5227"/>
            <w:vAlign w:val="center"/>
            <w:tcMar>
              <w:top w:w="55" w:type="dxa"/>
              <w:start w:w="65" w:type="dxa"/>
              <w:bottom w:w="55" w:type="dxa"/>
              <w:end w:w="65" w:type="dxa"/>
            </w:tcMar>
          </w:tcPr>
          <w:p>
            <w:pPr>
              <w:spacing w:after="0"/>
            </w:pPr>
            <w:r>
              <w:rPr>
                <w:sz w:val="16"/>
              </w:rPr>
              <w:t>Question count</w:t>
            </w:r>
          </w:p>
        </w:tc>
        <w:tc>
          <w:tcPr>
            <w:tcW w:type="dxa" w:w="5227"/>
            <w:vAlign w:val="center"/>
            <w:tcMar>
              <w:top w:w="55" w:type="dxa"/>
              <w:start w:w="65" w:type="dxa"/>
              <w:bottom w:w="55" w:type="dxa"/>
              <w:end w:w="65" w:type="dxa"/>
            </w:tcMar>
          </w:tcPr>
          <w:p>
            <w:pPr>
              <w:spacing w:after="0"/>
            </w:pPr>
            <w:r>
              <w:rPr>
                <w:sz w:val="16"/>
              </w:rPr>
              <w:t>50</w:t>
            </w:r>
          </w:p>
        </w:tc>
      </w:tr>
      <w:tr>
        <w:trPr>
          <w:cantSplit/>
        </w:trPr>
        <w:tc>
          <w:tcPr>
            <w:tcW w:type="dxa" w:w="5227"/>
            <w:vAlign w:val="center"/>
            <w:tcMar>
              <w:top w:w="55" w:type="dxa"/>
              <w:start w:w="65" w:type="dxa"/>
              <w:bottom w:w="55" w:type="dxa"/>
              <w:end w:w="65" w:type="dxa"/>
            </w:tcMar>
            <w:shd w:fill="F2F4F7"/>
          </w:tcPr>
          <w:p>
            <w:pPr>
              <w:spacing w:after="0"/>
            </w:pPr>
            <w:r>
              <w:rPr>
                <w:sz w:val="16"/>
              </w:rPr>
              <w:t>Correct-answer key</w:t>
            </w:r>
          </w:p>
        </w:tc>
        <w:tc>
          <w:tcPr>
            <w:tcW w:type="dxa" w:w="5227"/>
            <w:vAlign w:val="center"/>
            <w:tcMar>
              <w:top w:w="55" w:type="dxa"/>
              <w:start w:w="65" w:type="dxa"/>
              <w:bottom w:w="55" w:type="dxa"/>
              <w:end w:w="65" w:type="dxa"/>
            </w:tcMar>
            <w:shd w:fill="F2F4F7"/>
          </w:tcPr>
          <w:p>
            <w:pPr>
              <w:spacing w:after="0"/>
            </w:pPr>
            <w:r>
              <w:rPr>
                <w:sz w:val="16"/>
              </w:rPr>
              <w:t>Complete</w:t>
            </w:r>
          </w:p>
        </w:tc>
      </w:tr>
      <w:tr>
        <w:trPr>
          <w:cantSplit/>
        </w:trPr>
        <w:tc>
          <w:tcPr>
            <w:tcW w:type="dxa" w:w="5227"/>
            <w:vAlign w:val="center"/>
            <w:tcMar>
              <w:top w:w="55" w:type="dxa"/>
              <w:start w:w="65" w:type="dxa"/>
              <w:bottom w:w="55" w:type="dxa"/>
              <w:end w:w="65" w:type="dxa"/>
            </w:tcMar>
          </w:tcPr>
          <w:p>
            <w:pPr>
              <w:spacing w:after="0"/>
            </w:pPr>
            <w:r>
              <w:rPr>
                <w:sz w:val="16"/>
              </w:rPr>
              <w:t>Option-by-option rationales</w:t>
            </w:r>
          </w:p>
        </w:tc>
        <w:tc>
          <w:tcPr>
            <w:tcW w:type="dxa" w:w="5227"/>
            <w:vAlign w:val="center"/>
            <w:tcMar>
              <w:top w:w="55" w:type="dxa"/>
              <w:start w:w="65" w:type="dxa"/>
              <w:bottom w:w="55" w:type="dxa"/>
              <w:end w:w="65" w:type="dxa"/>
            </w:tcMar>
          </w:tcPr>
          <w:p>
            <w:pPr>
              <w:spacing w:after="0"/>
            </w:pPr>
            <w:r>
              <w:rPr>
                <w:sz w:val="16"/>
              </w:rPr>
              <w:t>Complete for all 200 answer choices</w:t>
            </w:r>
          </w:p>
        </w:tc>
      </w:tr>
      <w:tr>
        <w:trPr>
          <w:cantSplit/>
        </w:trPr>
        <w:tc>
          <w:tcPr>
            <w:tcW w:type="dxa" w:w="5227"/>
            <w:vAlign w:val="center"/>
            <w:tcMar>
              <w:top w:w="55" w:type="dxa"/>
              <w:start w:w="65" w:type="dxa"/>
              <w:bottom w:w="55" w:type="dxa"/>
              <w:end w:w="65" w:type="dxa"/>
            </w:tcMar>
            <w:shd w:fill="F2F4F7"/>
          </w:tcPr>
          <w:p>
            <w:pPr>
              <w:spacing w:after="0"/>
            </w:pPr>
            <w:r>
              <w:rPr>
                <w:sz w:val="16"/>
              </w:rPr>
              <w:t>Exam strategies</w:t>
            </w:r>
          </w:p>
        </w:tc>
        <w:tc>
          <w:tcPr>
            <w:tcW w:type="dxa" w:w="5227"/>
            <w:vAlign w:val="center"/>
            <w:tcMar>
              <w:top w:w="55" w:type="dxa"/>
              <w:start w:w="65" w:type="dxa"/>
              <w:bottom w:w="55" w:type="dxa"/>
              <w:end w:w="65" w:type="dxa"/>
            </w:tcMar>
            <w:shd w:fill="F2F4F7"/>
          </w:tcPr>
          <w:p>
            <w:pPr>
              <w:spacing w:after="0"/>
            </w:pPr>
            <w:r>
              <w:rPr>
                <w:sz w:val="16"/>
              </w:rPr>
              <w:t>50 complete</w:t>
            </w:r>
          </w:p>
        </w:tc>
      </w:tr>
      <w:tr>
        <w:trPr>
          <w:cantSplit/>
        </w:trPr>
        <w:tc>
          <w:tcPr>
            <w:tcW w:type="dxa" w:w="5227"/>
            <w:vAlign w:val="center"/>
            <w:tcMar>
              <w:top w:w="55" w:type="dxa"/>
              <w:start w:w="65" w:type="dxa"/>
              <w:bottom w:w="55" w:type="dxa"/>
              <w:end w:w="65" w:type="dxa"/>
            </w:tcMar>
          </w:tcPr>
          <w:p>
            <w:pPr>
              <w:spacing w:after="0"/>
            </w:pPr>
            <w:r>
              <w:rPr>
                <w:sz w:val="16"/>
              </w:rPr>
              <w:t>Remediation routes</w:t>
            </w:r>
          </w:p>
        </w:tc>
        <w:tc>
          <w:tcPr>
            <w:tcW w:type="dxa" w:w="5227"/>
            <w:vAlign w:val="center"/>
            <w:tcMar>
              <w:top w:w="55" w:type="dxa"/>
              <w:start w:w="65" w:type="dxa"/>
              <w:bottom w:w="55" w:type="dxa"/>
              <w:end w:w="65" w:type="dxa"/>
            </w:tcMar>
          </w:tcPr>
          <w:p>
            <w:pPr>
              <w:spacing w:after="0"/>
            </w:pPr>
            <w:r>
              <w:rPr>
                <w:sz w:val="16"/>
              </w:rPr>
              <w:t>50 complete</w:t>
            </w:r>
          </w:p>
        </w:tc>
      </w:tr>
      <w:tr>
        <w:trPr>
          <w:cantSplit/>
        </w:trPr>
        <w:tc>
          <w:tcPr>
            <w:tcW w:type="dxa" w:w="5227"/>
            <w:vAlign w:val="center"/>
            <w:tcMar>
              <w:top w:w="55" w:type="dxa"/>
              <w:start w:w="65" w:type="dxa"/>
              <w:bottom w:w="55" w:type="dxa"/>
              <w:end w:w="65" w:type="dxa"/>
            </w:tcMar>
            <w:shd w:fill="F2F4F7"/>
          </w:tcPr>
          <w:p>
            <w:pPr>
              <w:spacing w:after="0"/>
            </w:pPr>
            <w:r>
              <w:rPr>
                <w:sz w:val="16"/>
              </w:rPr>
              <w:t>Source controls</w:t>
            </w:r>
          </w:p>
        </w:tc>
        <w:tc>
          <w:tcPr>
            <w:tcW w:type="dxa" w:w="5227"/>
            <w:vAlign w:val="center"/>
            <w:tcMar>
              <w:top w:w="55" w:type="dxa"/>
              <w:start w:w="65" w:type="dxa"/>
              <w:bottom w:w="55" w:type="dxa"/>
              <w:end w:w="65" w:type="dxa"/>
            </w:tcMar>
            <w:shd w:fill="F2F4F7"/>
          </w:tcPr>
          <w:p>
            <w:pPr>
              <w:spacing w:after="0"/>
            </w:pPr>
            <w:r>
              <w:rPr>
                <w:sz w:val="16"/>
              </w:rPr>
              <w:t>50 item-level controls plus consolidated register</w:t>
            </w:r>
          </w:p>
        </w:tc>
      </w:tr>
      <w:tr>
        <w:trPr>
          <w:cantSplit/>
        </w:trPr>
        <w:tc>
          <w:tcPr>
            <w:tcW w:type="dxa" w:w="5227"/>
            <w:vAlign w:val="center"/>
            <w:tcMar>
              <w:top w:w="55" w:type="dxa"/>
              <w:start w:w="65" w:type="dxa"/>
              <w:bottom w:w="55" w:type="dxa"/>
              <w:end w:w="65" w:type="dxa"/>
            </w:tcMar>
          </w:tcPr>
          <w:p>
            <w:pPr>
              <w:spacing w:after="0"/>
            </w:pPr>
            <w:r>
              <w:rPr>
                <w:sz w:val="16"/>
              </w:rPr>
              <w:t>Independent legal/ethical review</w:t>
            </w:r>
          </w:p>
        </w:tc>
        <w:tc>
          <w:tcPr>
            <w:tcW w:type="dxa" w:w="5227"/>
            <w:vAlign w:val="center"/>
            <w:tcMar>
              <w:top w:w="55" w:type="dxa"/>
              <w:start w:w="65" w:type="dxa"/>
              <w:bottom w:w="55" w:type="dxa"/>
              <w:end w:w="65" w:type="dxa"/>
            </w:tcMar>
          </w:tcPr>
          <w:p>
            <w:pPr>
              <w:spacing w:after="0"/>
            </w:pPr>
            <w:r>
              <w:rPr>
                <w:sz w:val="16"/>
              </w:rPr>
              <w:t>Open</w:t>
            </w:r>
          </w:p>
        </w:tc>
      </w:tr>
      <w:tr>
        <w:trPr>
          <w:cantSplit/>
        </w:trPr>
        <w:tc>
          <w:tcPr>
            <w:tcW w:type="dxa" w:w="5227"/>
            <w:vAlign w:val="center"/>
            <w:tcMar>
              <w:top w:w="55" w:type="dxa"/>
              <w:start w:w="65" w:type="dxa"/>
              <w:bottom w:w="55" w:type="dxa"/>
              <w:end w:w="65" w:type="dxa"/>
            </w:tcMar>
            <w:shd w:fill="F2F4F7"/>
          </w:tcPr>
          <w:p>
            <w:pPr>
              <w:spacing w:after="0"/>
            </w:pPr>
            <w:r>
              <w:rPr>
                <w:sz w:val="16"/>
              </w:rPr>
              <w:t>Duplicate and scenario-skeleton audit</w:t>
            </w:r>
          </w:p>
        </w:tc>
        <w:tc>
          <w:tcPr>
            <w:tcW w:type="dxa" w:w="5227"/>
            <w:vAlign w:val="center"/>
            <w:tcMar>
              <w:top w:w="55" w:type="dxa"/>
              <w:start w:w="65" w:type="dxa"/>
              <w:bottom w:w="55" w:type="dxa"/>
              <w:end w:w="65" w:type="dxa"/>
            </w:tcMar>
            <w:shd w:fill="F2F4F7"/>
          </w:tcPr>
          <w:p>
            <w:pPr>
              <w:spacing w:after="0"/>
            </w:pPr>
            <w:r>
              <w:rPr>
                <w:sz w:val="16"/>
              </w:rPr>
              <w:t>Open</w:t>
            </w:r>
          </w:p>
        </w:tc>
      </w:tr>
      <w:tr>
        <w:trPr>
          <w:cantSplit/>
        </w:trPr>
        <w:tc>
          <w:tcPr>
            <w:tcW w:type="dxa" w:w="5227"/>
            <w:vAlign w:val="center"/>
            <w:tcMar>
              <w:top w:w="55" w:type="dxa"/>
              <w:start w:w="65" w:type="dxa"/>
              <w:bottom w:w="55" w:type="dxa"/>
              <w:end w:w="65" w:type="dxa"/>
            </w:tcMar>
          </w:tcPr>
          <w:p>
            <w:pPr>
              <w:spacing w:after="0"/>
            </w:pPr>
            <w:r>
              <w:rPr>
                <w:sz w:val="16"/>
              </w:rPr>
              <w:t>Learner-view and LMS testing</w:t>
            </w:r>
          </w:p>
        </w:tc>
        <w:tc>
          <w:tcPr>
            <w:tcW w:type="dxa" w:w="5227"/>
            <w:vAlign w:val="center"/>
            <w:tcMar>
              <w:top w:w="55" w:type="dxa"/>
              <w:start w:w="65" w:type="dxa"/>
              <w:bottom w:w="55" w:type="dxa"/>
              <w:end w:w="65" w:type="dxa"/>
            </w:tcMar>
          </w:tcPr>
          <w:p>
            <w:pPr>
              <w:spacing w:after="0"/>
            </w:pPr>
            <w:r>
              <w:rPr>
                <w:sz w:val="16"/>
              </w:rPr>
              <w:t>Open</w:t>
            </w:r>
          </w:p>
        </w:tc>
      </w:tr>
      <w:tr>
        <w:trPr>
          <w:cantSplit/>
        </w:trPr>
        <w:tc>
          <w:tcPr>
            <w:tcW w:type="dxa" w:w="5227"/>
            <w:vAlign w:val="center"/>
            <w:tcMar>
              <w:top w:w="55" w:type="dxa"/>
              <w:start w:w="65" w:type="dxa"/>
              <w:bottom w:w="55" w:type="dxa"/>
              <w:end w:w="65" w:type="dxa"/>
            </w:tcMar>
            <w:shd w:fill="F2F4F7"/>
          </w:tcPr>
          <w:p>
            <w:pPr>
              <w:spacing w:after="0"/>
            </w:pPr>
            <w:r>
              <w:rPr>
                <w:sz w:val="16"/>
              </w:rPr>
              <w:t>Public release</w:t>
            </w:r>
          </w:p>
        </w:tc>
        <w:tc>
          <w:tcPr>
            <w:tcW w:type="dxa" w:w="5227"/>
            <w:vAlign w:val="center"/>
            <w:tcMar>
              <w:top w:w="55" w:type="dxa"/>
              <w:start w:w="65" w:type="dxa"/>
              <w:bottom w:w="55" w:type="dxa"/>
              <w:end w:w="65" w:type="dxa"/>
            </w:tcMar>
            <w:shd w:fill="F2F4F7"/>
          </w:tcPr>
          <w:p>
            <w:pPr>
              <w:spacing w:after="0"/>
            </w:pPr>
            <w:r>
              <w:rPr>
                <w:sz w:val="16"/>
              </w:rPr>
              <w:t>Blocked</w:t>
            </w:r>
          </w:p>
        </w:tc>
      </w:tr>
      <w:tr>
        <w:trPr>
          <w:cantSplit/>
        </w:trPr>
        <w:tc>
          <w:tcPr>
            <w:tcW w:type="dxa" w:w="5227"/>
            <w:vAlign w:val="center"/>
            <w:tcMar>
              <w:top w:w="55" w:type="dxa"/>
              <w:start w:w="65" w:type="dxa"/>
              <w:bottom w:w="55" w:type="dxa"/>
              <w:end w:w="65" w:type="dxa"/>
            </w:tcMar>
          </w:tcPr>
          <w:p>
            <w:pPr>
              <w:spacing w:after="0"/>
            </w:pPr>
            <w:r>
              <w:rPr>
                <w:sz w:val="16"/>
              </w:rPr>
              <w:t>Next controlled build</w:t>
            </w:r>
          </w:p>
        </w:tc>
        <w:tc>
          <w:tcPr>
            <w:tcW w:type="dxa" w:w="5227"/>
            <w:vAlign w:val="center"/>
            <w:tcMar>
              <w:top w:w="55" w:type="dxa"/>
              <w:start w:w="65" w:type="dxa"/>
              <w:bottom w:w="55" w:type="dxa"/>
              <w:end w:w="65" w:type="dxa"/>
            </w:tcMar>
          </w:tcPr>
          <w:p>
            <w:pPr>
              <w:spacing w:after="0"/>
            </w:pPr>
            <w:r>
              <w:t>Stage 4C3 complete; see the separate QA closeout register and learner performance workbook</w:t>
            </w:r>
          </w:p>
        </w:tc>
      </w:tr>
    </w:tbl>
    <w:sectPr w:rsidR="00FC693F" w:rsidRPr="0006063C" w:rsidSect="00034616">
      <w:headerReference w:type="default" r:id="rId9"/>
      <w:footerReference w:type="default" r:id="rId10"/>
      <w:pgSz w:w="12240" w:h="15840"/>
      <w:pgMar w:top="749" w:right="893" w:bottom="749"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CTA-EP-002 | Practice Examination B Rationales v1.3 | POST-ATTEMPT CONTROLLED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AA6A6"/>
      </w:pBdr>
    </w:pPr>
    <w:r>
      <w:drawing>
        <wp:inline xmlns:a="http://schemas.openxmlformats.org/drawingml/2006/main" xmlns:pic="http://schemas.openxmlformats.org/drawingml/2006/picture">
          <wp:extent cx="1828800" cy="1257905"/>
          <wp:docPr id="1" name="Picture 1" descr="Image: item1.xml"/>
          <wp:cNvGraphicFramePr>
            <a:graphicFrameLocks noChangeAspect="1"/>
          </wp:cNvGraphicFramePr>
          <a:graphic>
            <a:graphicData uri="http://schemas.openxmlformats.org/drawingml/2006/picture">
              <pic:pic>
                <pic:nvPicPr>
                  <pic:cNvPr id="0" name="Primary Horizontal Logo.png"/>
                  <pic:cNvPicPr/>
                </pic:nvPicPr>
                <pic:blipFill>
                  <a:blip r:embed="rId1"/>
                  <a:stretch>
                    <a:fillRect/>
                  </a:stretch>
                </pic:blipFill>
                <pic:spPr>
                  <a:xfrm>
                    <a:off x="0" y="0"/>
                    <a:ext cx="1828800" cy="1257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A6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and Ethics EP Practice Examination B Controlled Answer Key and Detailed Rationales v1.2</dc:title>
  <dc:subject>Protected answer key, option-by-option rationales, exam strategy, source control, and remediation</dc:subject>
  <dc:creator>Clinical Training and Supervision Academy</dc:creator>
  <cp:keywords>CTA-EP-002, LCSW, ASW, California Law and Ethics, Practice Examination B, controlled rationales</cp:keywords>
  <dc:description>generated by python-docx</dc:description>
  <cp:lastModifiedBy/>
  <cp:revision>1</cp:revision>
  <dcterms:created xsi:type="dcterms:W3CDTF">2013-12-23T23:15:00Z</dcterms:created>
  <dcterms:modified xsi:type="dcterms:W3CDTF">2013-12-23T23:15:00Z</dcterms:modified>
  <cp:category/>
</cp:coreProperties>
</file>