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560"/>
        <w:jc w:val="center"/>
      </w:pPr>
      <w:r>
        <w:drawing>
          <wp:inline xmlns:a="http://schemas.openxmlformats.org/drawingml/2006/main" xmlns:pic="http://schemas.openxmlformats.org/drawingml/2006/picture">
            <wp:extent cx="4434840" cy="3050419"/>
            <wp:docPr id="1" name="Picture 1" descr="Clinical Training and Supervision Academy horizontal logo" title="CTA logo"/>
            <wp:cNvGraphicFramePr>
              <a:graphicFrameLocks noChangeAspect="1"/>
            </wp:cNvGraphicFramePr>
            <a:graphic>
              <a:graphicData uri="http://schemas.openxmlformats.org/drawingml/2006/picture">
                <pic:pic>
                  <pic:nvPicPr>
                    <pic:cNvPr id="0" name="Primary Horizontal Logo.png"/>
                    <pic:cNvPicPr/>
                  </pic:nvPicPr>
                  <pic:blipFill>
                    <a:blip r:embed="rId11"/>
                    <a:stretch>
                      <a:fillRect/>
                    </a:stretch>
                  </pic:blipFill>
                  <pic:spPr>
                    <a:xfrm>
                      <a:off x="0" y="0"/>
                      <a:ext cx="4434840" cy="3050419"/>
                    </a:xfrm>
                    <a:prstGeom prst="rect"/>
                  </pic:spPr>
                </pic:pic>
              </a:graphicData>
            </a:graphic>
          </wp:inline>
        </w:drawing>
      </w:r>
    </w:p>
    <w:p>
      <w:pPr>
        <w:spacing w:after="140"/>
        <w:jc w:val="center"/>
      </w:pPr>
      <w:r>
        <w:rPr>
          <w:rFonts w:ascii="Calibri" w:hAnsi="Calibri"/>
          <w:b/>
          <w:i w:val="0"/>
          <w:color w:val="10A79B"/>
          <w:sz w:val="21"/>
        </w:rPr>
        <w:t>CALIFORNIA LAW &amp; ETHICS EXAM PREPARATION</w:t>
      </w:r>
    </w:p>
    <w:p>
      <w:pPr>
        <w:pStyle w:val="Title"/>
        <w:spacing w:after="80"/>
        <w:jc w:val="center"/>
      </w:pPr>
      <w:r>
        <w:t>LCSW/ASW License-Specific Module</w:t>
        <w:br/>
        <w:t>25-Question Assessment</w:t>
      </w:r>
    </w:p>
    <w:p>
      <w:pPr>
        <w:spacing w:after="140"/>
        <w:pBdr>
          <w:bottom w:val="single" w:sz="10" w:space="1" w:color="2B67C8"/>
        </w:pBdr>
      </w:pPr>
    </w:p>
    <w:p>
      <w:pPr>
        <w:pStyle w:val="Subtitle"/>
        <w:spacing w:after="240"/>
        <w:jc w:val="center"/>
      </w:pPr>
      <w:r>
        <w:t>Controlled Answer Key and Detailed Rationales</w:t>
      </w:r>
    </w:p>
    <w:p>
      <w:pPr>
        <w:spacing w:after="280"/>
        <w:jc w:val="center"/>
      </w:pPr>
      <w:r>
        <w:rPr>
          <w:rFonts w:ascii="Calibri" w:hAnsi="Calibri"/>
          <w:b/>
          <w:i w:val="0"/>
          <w:color w:val="102A4C"/>
          <w:sz w:val="19"/>
        </w:rPr>
        <w:t>CTA-EP-002  |  Version 1.0  |  August 5, 2026</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F1F3F6"/>
            <w:tcMar>
              <w:top w:w="80" w:type="dxa"/>
              <w:start w:w="95" w:type="dxa"/>
              <w:bottom w:w="80" w:type="dxa"/>
              <w:end w:w="95" w:type="dxa"/>
            </w:tcMar>
          </w:tcPr>
          <w:p>
            <w:pPr>
              <w:spacing w:after="0" w:line="240" w:lineRule="auto"/>
            </w:pPr>
            <w:r>
              <w:rPr>
                <w:rFonts w:ascii="Calibri" w:hAnsi="Calibri"/>
                <w:b/>
                <w:i w:val="0"/>
                <w:color w:val="102A4C"/>
                <w:sz w:val="17"/>
              </w:rPr>
              <w:t>DETAILED RATIONALE STUDY EDITION Recommended for post-attempt review. Keep this printable rationale file accessible from enrollment; do not apply a prerequisite, score, or completion lock. This file contains correct answers, protected item metadata, option-by-option rationales, source controls, and remediation routes. Exam preparation only; no CE credit or certificate.</w:t>
            </w:r>
            <w:r>
              <w:rPr>
                <w:rFonts w:ascii="Calibri" w:hAnsi="Calibri"/>
                <w:b w:val="0"/>
                <w:i w:val="0"/>
                <w:color w:val="111111"/>
                <w:sz w:val="17"/>
              </w:rPr>
            </w:r>
          </w:p>
        </w:tc>
      </w:tr>
    </w:tbl>
    <w:p>
      <w:pPr>
        <w:spacing w:before="340"/>
        <w:jc w:val="center"/>
      </w:pPr>
      <w:r>
        <w:rPr>
          <w:rFonts w:ascii="Calibri" w:hAnsi="Calibri"/>
          <w:b/>
          <w:i/>
          <w:color w:val="10A79B"/>
          <w:sz w:val="22"/>
        </w:rPr>
        <w:t>Teaching Clinicians How to Think.</w:t>
      </w:r>
    </w:p>
    <w:p>
      <w:r>
        <w:br w:type="page"/>
      </w:r>
    </w:p>
    <w:p>
      <w:pPr>
        <w:pStyle w:val="Heading1"/>
      </w:pPr>
      <w:r>
        <w:t>Program control and protected-answer notice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3096"/>
        <w:gridCol w:w="7272"/>
      </w:tblGrid>
      <w:tr>
        <w:trPr>
          <w:tblHeader w:val="true"/>
        </w:trPr>
        <w:tc>
          <w:tcPr>
            <w:tcW w:type="dxa" w:w="5227"/>
            <w:shd w:fill="102A4C"/>
            <w:tcMar>
              <w:top w:w="70" w:type="dxa"/>
              <w:start w:w="80" w:type="dxa"/>
              <w:bottom w:w="70" w:type="dxa"/>
              <w:end w:w="80" w:type="dxa"/>
            </w:tcMar>
          </w:tcPr>
          <w:p>
            <w:pPr>
              <w:spacing w:after="0" w:line="240" w:lineRule="auto"/>
            </w:pPr>
            <w:r/>
            <w:r>
              <w:rPr>
                <w:rFonts w:ascii="Calibri" w:hAnsi="Calibri"/>
                <w:b/>
                <w:i w:val="0"/>
                <w:color w:val="FFFFFF"/>
                <w:sz w:val="17"/>
              </w:rPr>
              <w:t>Field</w:t>
            </w:r>
          </w:p>
        </w:tc>
        <w:tc>
          <w:tcPr>
            <w:tcW w:type="dxa" w:w="5227"/>
            <w:shd w:fill="102A4C"/>
            <w:tcMar>
              <w:top w:w="70" w:type="dxa"/>
              <w:start w:w="80" w:type="dxa"/>
              <w:bottom w:w="70" w:type="dxa"/>
              <w:end w:w="80" w:type="dxa"/>
            </w:tcMar>
          </w:tcPr>
          <w:p>
            <w:pPr>
              <w:spacing w:after="0" w:line="240" w:lineRule="auto"/>
            </w:pPr>
            <w:r/>
            <w:r>
              <w:rPr>
                <w:rFonts w:ascii="Calibri" w:hAnsi="Calibri"/>
                <w:b/>
                <w:i w:val="0"/>
                <w:color w:val="FFFFFF"/>
                <w:sz w:val="17"/>
              </w:rPr>
              <w:t>Controlling entry</w:t>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Formal program</w:t>
            </w:r>
          </w:p>
        </w:tc>
        <w:tc>
          <w:tcPr>
            <w:tcW w:type="dxa" w:w="7272"/>
            <w:shd w:fill="FFFFFF"/>
            <w:tcMar>
              <w:top w:w="62" w:type="dxa"/>
              <w:start w:w="76" w:type="dxa"/>
              <w:bottom w:w="62" w:type="dxa"/>
              <w:end w:w="76" w:type="dxa"/>
            </w:tcMar>
            <w:vAlign w:val="center"/>
          </w:tcPr>
          <w:p>
            <w:pPr>
              <w:spacing w:after="0" w:line="240" w:lineRule="auto"/>
            </w:pPr>
            <w:r/>
            <w:r>
              <w:rPr>
                <w:rFonts w:ascii="Calibri" w:hAnsi="Calibri"/>
                <w:b w:val="0"/>
                <w:i w:val="0"/>
                <w:color w:val="111111"/>
                <w:sz w:val="16"/>
              </w:rPr>
              <w:t>CTA LCSW California Law &amp; Ethics Exam Preparation Program</w:t>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Public display title</w:t>
            </w:r>
          </w:p>
        </w:tc>
        <w:tc>
          <w:tcPr>
            <w:tcW w:type="dxa" w:w="7272"/>
            <w:shd w:fill="F1F3F6"/>
            <w:tcMar>
              <w:top w:w="62" w:type="dxa"/>
              <w:start w:w="76" w:type="dxa"/>
              <w:bottom w:w="62" w:type="dxa"/>
              <w:end w:w="76" w:type="dxa"/>
            </w:tcMar>
            <w:vAlign w:val="center"/>
          </w:tcPr>
          <w:p>
            <w:pPr>
              <w:spacing w:after="0" w:line="240" w:lineRule="auto"/>
            </w:pPr>
            <w:r/>
            <w:r>
              <w:rPr>
                <w:rFonts w:ascii="Calibri" w:hAnsi="Calibri"/>
                <w:b w:val="0"/>
                <w:i w:val="0"/>
                <w:color w:val="111111"/>
                <w:sz w:val="16"/>
              </w:rPr>
              <w:t>LCSW California Law &amp; Ethics Exam Preparation</w:t>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Program code</w:t>
            </w:r>
          </w:p>
        </w:tc>
        <w:tc>
          <w:tcPr>
            <w:tcW w:type="dxa" w:w="7272"/>
            <w:shd w:fill="FFFFFF"/>
            <w:tcMar>
              <w:top w:w="62" w:type="dxa"/>
              <w:start w:w="76" w:type="dxa"/>
              <w:bottom w:w="62" w:type="dxa"/>
              <w:end w:w="76" w:type="dxa"/>
            </w:tcMar>
            <w:vAlign w:val="center"/>
          </w:tcPr>
          <w:p>
            <w:pPr>
              <w:spacing w:after="0" w:line="240" w:lineRule="auto"/>
            </w:pPr>
            <w:r/>
            <w:r>
              <w:rPr>
                <w:rFonts w:ascii="Calibri" w:hAnsi="Calibri"/>
                <w:b w:val="0"/>
                <w:i w:val="0"/>
                <w:color w:val="111111"/>
                <w:sz w:val="16"/>
              </w:rPr>
              <w:t>CTA-EP-002</w:t>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Audience</w:t>
            </w:r>
          </w:p>
        </w:tc>
        <w:tc>
          <w:tcPr>
            <w:tcW w:type="dxa" w:w="7272"/>
            <w:shd w:fill="F1F3F6"/>
            <w:tcMar>
              <w:top w:w="62" w:type="dxa"/>
              <w:start w:w="76" w:type="dxa"/>
              <w:bottom w:w="62" w:type="dxa"/>
              <w:end w:w="76" w:type="dxa"/>
            </w:tcMar>
            <w:vAlign w:val="center"/>
          </w:tcPr>
          <w:p>
            <w:pPr>
              <w:spacing w:after="0" w:line="240" w:lineRule="auto"/>
            </w:pPr>
            <w:r/>
            <w:r>
              <w:rPr>
                <w:rFonts w:ascii="Calibri" w:hAnsi="Calibri"/>
                <w:b w:val="0"/>
                <w:i w:val="0"/>
                <w:color w:val="111111"/>
                <w:sz w:val="16"/>
              </w:rPr>
              <w:t>California ASWs and other eligible LCSW applicants preparing for the California LCSW Law and Ethics Examination</w:t>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Classification</w:t>
            </w:r>
          </w:p>
        </w:tc>
        <w:tc>
          <w:tcPr>
            <w:tcW w:type="dxa" w:w="7272"/>
            <w:shd w:fill="FFFFFF"/>
            <w:tcMar>
              <w:top w:w="62" w:type="dxa"/>
              <w:start w:w="76" w:type="dxa"/>
              <w:bottom w:w="62" w:type="dxa"/>
              <w:end w:w="76" w:type="dxa"/>
            </w:tcMar>
            <w:vAlign w:val="center"/>
          </w:tcPr>
          <w:p>
            <w:pPr>
              <w:spacing w:after="0" w:line="240" w:lineRule="auto"/>
            </w:pPr>
            <w:r/>
            <w:r>
              <w:rPr>
                <w:rFonts w:ascii="Calibri" w:hAnsi="Calibri"/>
                <w:b w:val="0"/>
                <w:i w:val="0"/>
                <w:color w:val="111111"/>
                <w:sz w:val="16"/>
              </w:rPr>
              <w:t>Self-paced asynchronous exam preparation | No CE credit, CE evaluation, or CE certificate</w:t>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Controlled assessment</w:t>
            </w:r>
          </w:p>
        </w:tc>
        <w:tc>
          <w:tcPr>
            <w:tcW w:type="dxa" w:w="7272"/>
            <w:shd w:fill="F1F3F6"/>
            <w:tcMar>
              <w:top w:w="62" w:type="dxa"/>
              <w:start w:w="76" w:type="dxa"/>
              <w:bottom w:w="62" w:type="dxa"/>
              <w:end w:w="76" w:type="dxa"/>
            </w:tcMar>
            <w:vAlign w:val="center"/>
          </w:tcPr>
          <w:p>
            <w:pPr>
              <w:spacing w:after="0" w:line="240" w:lineRule="auto"/>
            </w:pPr>
            <w:r/>
            <w:r>
              <w:rPr>
                <w:rFonts w:ascii="Calibri" w:hAnsi="Calibri"/>
                <w:b w:val="0"/>
                <w:i w:val="0"/>
                <w:color w:val="111111"/>
                <w:sz w:val="16"/>
              </w:rPr>
              <w:t>25 original one-best-answer questions | Separate answer-hidden candidate form and controlled rationale edition</w:t>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Answer visibility</w:t>
            </w:r>
          </w:p>
        </w:tc>
        <w:tc>
          <w:tcPr>
            <w:tcW w:type="dxa" w:w="7272"/>
            <w:shd w:fill="FFFFFF"/>
            <w:tcMar>
              <w:top w:w="62" w:type="dxa"/>
              <w:start w:w="76" w:type="dxa"/>
              <w:bottom w:w="62" w:type="dxa"/>
              <w:end w:w="76" w:type="dxa"/>
            </w:tcMar>
            <w:vAlign w:val="center"/>
          </w:tcPr>
          <w:p>
            <w:pPr>
              <w:spacing w:after="0" w:line="240" w:lineRule="auto"/>
            </w:pPr>
            <w:r>
              <w:t>Open from enrollment; recommend use after the first recorded attempt for strongest diagnostic value; no technical access lock</w:t>
            </w:r>
            <w:r>
              <w:rPr>
                <w:rFonts w:ascii="Calibri" w:hAnsi="Calibri"/>
                <w:b w:val="0"/>
                <w:i w:val="0"/>
                <w:color w:val="111111"/>
                <w:sz w:val="16"/>
              </w:rPr>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Source review</w:t>
            </w:r>
          </w:p>
        </w:tc>
        <w:tc>
          <w:tcPr>
            <w:tcW w:type="dxa" w:w="7272"/>
            <w:shd w:fill="F1F3F6"/>
            <w:tcMar>
              <w:top w:w="62" w:type="dxa"/>
              <w:start w:w="76" w:type="dxa"/>
              <w:bottom w:w="62" w:type="dxa"/>
              <w:end w:w="76" w:type="dxa"/>
            </w:tcMar>
            <w:vAlign w:val="center"/>
          </w:tcPr>
          <w:p>
            <w:pPr>
              <w:spacing w:after="0" w:line="240" w:lineRule="auto"/>
            </w:pPr>
            <w:r>
              <w:t>Current California/BBS, Pearson, and NASW controls rechecked August 7, 2026; high-change sources must be checked again within 30 days of public release</w:t>
            </w:r>
            <w:r>
              <w:rPr>
                <w:rFonts w:ascii="Calibri" w:hAnsi="Calibri"/>
                <w:b w:val="0"/>
                <w:i w:val="0"/>
                <w:color w:val="111111"/>
                <w:sz w:val="16"/>
              </w:rPr>
            </w:r>
          </w:p>
        </w:tc>
      </w:tr>
      <w:tr>
        <w:trPr>
          <w:cantSplit/>
        </w:trPr>
        <w:tc>
          <w:tcPr>
            <w:tcW w:type="dxa" w:w="3096"/>
            <w:shd w:fill="EAF2FC"/>
            <w:tcMar>
              <w:top w:w="62" w:type="dxa"/>
              <w:start w:w="76" w:type="dxa"/>
              <w:bottom w:w="62" w:type="dxa"/>
              <w:end w:w="76" w:type="dxa"/>
            </w:tcMar>
            <w:vAlign w:val="center"/>
          </w:tcPr>
          <w:p>
            <w:pPr>
              <w:spacing w:after="0" w:line="240" w:lineRule="auto"/>
            </w:pPr>
            <w:r/>
            <w:r>
              <w:rPr>
                <w:rFonts w:ascii="Calibri" w:hAnsi="Calibri"/>
                <w:b/>
                <w:i w:val="0"/>
                <w:color w:val="102A4C"/>
                <w:sz w:val="16"/>
              </w:rPr>
              <w:t>Status</w:t>
            </w:r>
          </w:p>
        </w:tc>
        <w:tc>
          <w:tcPr>
            <w:tcW w:type="dxa" w:w="7272"/>
            <w:shd w:fill="FFFFFF"/>
            <w:tcMar>
              <w:top w:w="62" w:type="dxa"/>
              <w:start w:w="76" w:type="dxa"/>
              <w:bottom w:w="62" w:type="dxa"/>
              <w:end w:w="76" w:type="dxa"/>
            </w:tcMar>
            <w:vAlign w:val="center"/>
          </w:tcPr>
          <w:p>
            <w:pPr>
              <w:spacing w:after="0" w:line="240" w:lineRule="auto"/>
            </w:pPr>
            <w:r>
              <w:t>STAGE 5D IMPLEMENTATION READY - controlled rationales, flashcards, remediation routes, currentness, and consistency review complete; private staging authorized; public activation pending Stage 5E testing and owner release approval</w:t>
            </w:r>
            <w:r>
              <w:rPr>
                <w:rFonts w:ascii="Calibri" w:hAnsi="Calibri"/>
                <w:b w:val="0"/>
                <w:i w:val="0"/>
                <w:color w:val="111111"/>
                <w:sz w:val="16"/>
              </w:rPr>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FFF4D2"/>
            <w:tcMar>
              <w:top w:w="80" w:type="dxa"/>
              <w:start w:w="95" w:type="dxa"/>
              <w:bottom w:w="80" w:type="dxa"/>
              <w:end w:w="95" w:type="dxa"/>
            </w:tcMar>
          </w:tcPr>
          <w:p>
            <w:pPr>
              <w:spacing w:after="0" w:line="240" w:lineRule="auto"/>
            </w:pPr>
            <w:r>
              <w:rPr>
                <w:rFonts w:ascii="Calibri" w:hAnsi="Calibri"/>
                <w:b/>
                <w:i w:val="0"/>
                <w:color w:val="102A4C"/>
                <w:sz w:val="17"/>
              </w:rPr>
              <w:t xml:space="preserve">IMPORTANT </w:t>
            </w:r>
            <w:r>
              <w:rPr>
                <w:rFonts w:ascii="Calibri" w:hAnsi="Calibri"/>
                <w:b w:val="0"/>
                <w:i w:val="0"/>
                <w:color w:val="111111"/>
                <w:sz w:val="17"/>
              </w:rPr>
              <w:t>CTA is an independent educational provider. This controlled file is not legal advice, does not determine examination or licensure eligibility, does not reproduce live or recalled examination content, and does not guarantee passage. CTA is not affiliated with or endorsed by BBS, Pearson VUE, NASW, ASWB, or another licensing or examination organization.</w:t>
            </w:r>
          </w:p>
        </w:tc>
      </w:tr>
    </w:tbl>
    <w:p>
      <w:pPr>
        <w:pStyle w:val="Heading2"/>
      </w:pPr>
      <w:r>
        <w:t>How to use this controlled file</w:t>
      </w:r>
    </w:p>
    <w:p>
      <w:pPr>
        <w:pStyle w:val="ListNumber"/>
        <w:spacing w:after="42"/>
      </w:pPr>
      <w:r>
        <w:rPr>
          <w:rFonts w:ascii="Calibri" w:hAnsi="Calibri"/>
          <w:b w:val="0"/>
          <w:i w:val="0"/>
          <w:color w:val="111111"/>
          <w:sz w:val="17"/>
        </w:rPr>
        <w:t>For strongest diagnostic value, review this file after the candidate has completed and preserved the first-attempt response sheet, timing, confidence ratings, and Review flags. Access itself must remain open from enrollment.</w:t>
      </w:r>
    </w:p>
    <w:p>
      <w:pPr>
        <w:pStyle w:val="ListNumber"/>
        <w:spacing w:after="42"/>
      </w:pPr>
      <w:r>
        <w:rPr>
          <w:rFonts w:ascii="Calibri" w:hAnsi="Calibri"/>
          <w:b w:val="0"/>
          <w:i w:val="0"/>
          <w:color w:val="111111"/>
          <w:sz w:val="17"/>
        </w:rPr>
        <w:t>Review every item, including correct answers marked with low confidence. A correct guess is still a remediation signal.</w:t>
      </w:r>
    </w:p>
    <w:p>
      <w:pPr>
        <w:pStyle w:val="ListNumber"/>
        <w:spacing w:after="42"/>
      </w:pPr>
      <w:r>
        <w:rPr>
          <w:rFonts w:ascii="Calibri" w:hAnsi="Calibri"/>
          <w:b w:val="0"/>
          <w:i w:val="0"/>
          <w:color w:val="111111"/>
          <w:sz w:val="17"/>
        </w:rPr>
        <w:t>Compare the candidate reasoning with all four rationales. Focus on why the strongest distractor fails at the tested FIRST, NEXT, BEST, MOST, INITIAL, or PRIMARY decision point.</w:t>
      </w:r>
    </w:p>
    <w:p>
      <w:pPr>
        <w:pStyle w:val="ListNumber"/>
        <w:spacing w:after="42"/>
      </w:pPr>
      <w:r>
        <w:rPr>
          <w:rFonts w:ascii="Calibri" w:hAnsi="Calibri"/>
          <w:b w:val="0"/>
          <w:i w:val="0"/>
          <w:color w:val="111111"/>
          <w:sz w:val="17"/>
        </w:rPr>
        <w:t>Use the listed unit/lesson, error category, and synchronized flashcard route to repair the reasoning pattern before retesting.</w:t>
      </w:r>
    </w:p>
    <w:p>
      <w:pPr>
        <w:pStyle w:val="ListNumber"/>
        <w:spacing w:after="42"/>
      </w:pPr>
      <w:r>
        <w:rPr>
          <w:rFonts w:ascii="Calibri" w:hAnsi="Calibri"/>
          <w:b w:val="0"/>
          <w:i w:val="0"/>
          <w:color w:val="111111"/>
          <w:sz w:val="17"/>
        </w:rPr>
        <w:t>Do not distribute internal IDs, difficulty labels, source controls, or protected answer allocation before the approved review point.</w:t>
      </w:r>
    </w:p>
    <w:p>
      <w:r>
        <w:br w:type="page"/>
      </w:r>
    </w:p>
    <w:p>
      <w:pPr>
        <w:pStyle w:val="Heading1"/>
      </w:pPr>
      <w:r>
        <w:t>Controlled answer key and assessment profile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461"/>
        <w:gridCol w:w="605"/>
        <w:gridCol w:w="461"/>
        <w:gridCol w:w="605"/>
        <w:gridCol w:w="461"/>
        <w:gridCol w:w="605"/>
        <w:gridCol w:w="461"/>
        <w:gridCol w:w="605"/>
        <w:gridCol w:w="461"/>
        <w:gridCol w:w="605"/>
      </w:tblGrid>
      <w:tr>
        <w:trPr>
          <w:tblHeader w:val="true"/>
        </w:trPr>
        <w:tc>
          <w:tcPr>
            <w:tcW w:type="dxa" w:w="1045"/>
            <w:shd w:fill="102A4C"/>
          </w:tcPr>
          <w:p>
            <w:pPr>
              <w:spacing w:after="0" w:line="240" w:lineRule="auto"/>
              <w:jc w:val="center"/>
            </w:pPr>
            <w:r/>
            <w:r>
              <w:rPr>
                <w:rFonts w:ascii="Calibri" w:hAnsi="Calibri"/>
                <w:b/>
                <w:i w:val="0"/>
                <w:color w:val="FFFFFF"/>
                <w:sz w:val="14"/>
              </w:rPr>
              <w:t>#</w:t>
            </w:r>
          </w:p>
        </w:tc>
        <w:tc>
          <w:tcPr>
            <w:tcW w:type="dxa" w:w="1045"/>
            <w:shd w:fill="102A4C"/>
          </w:tcPr>
          <w:p>
            <w:pPr>
              <w:spacing w:after="0" w:line="240" w:lineRule="auto"/>
              <w:jc w:val="center"/>
            </w:pPr>
            <w:r/>
            <w:r>
              <w:rPr>
                <w:rFonts w:ascii="Calibri" w:hAnsi="Calibri"/>
                <w:b/>
                <w:i w:val="0"/>
                <w:color w:val="FFFFFF"/>
                <w:sz w:val="14"/>
              </w:rPr>
              <w:t>Key</w:t>
            </w:r>
          </w:p>
        </w:tc>
        <w:tc>
          <w:tcPr>
            <w:tcW w:type="dxa" w:w="1045"/>
            <w:shd w:fill="102A4C"/>
          </w:tcPr>
          <w:p>
            <w:pPr>
              <w:spacing w:after="0" w:line="240" w:lineRule="auto"/>
              <w:jc w:val="center"/>
            </w:pPr>
            <w:r/>
            <w:r>
              <w:rPr>
                <w:rFonts w:ascii="Calibri" w:hAnsi="Calibri"/>
                <w:b/>
                <w:i w:val="0"/>
                <w:color w:val="FFFFFF"/>
                <w:sz w:val="14"/>
              </w:rPr>
              <w:t>#</w:t>
            </w:r>
          </w:p>
        </w:tc>
        <w:tc>
          <w:tcPr>
            <w:tcW w:type="dxa" w:w="1045"/>
            <w:shd w:fill="102A4C"/>
          </w:tcPr>
          <w:p>
            <w:pPr>
              <w:spacing w:after="0" w:line="240" w:lineRule="auto"/>
              <w:jc w:val="center"/>
            </w:pPr>
            <w:r/>
            <w:r>
              <w:rPr>
                <w:rFonts w:ascii="Calibri" w:hAnsi="Calibri"/>
                <w:b/>
                <w:i w:val="0"/>
                <w:color w:val="FFFFFF"/>
                <w:sz w:val="14"/>
              </w:rPr>
              <w:t>Key</w:t>
            </w:r>
          </w:p>
        </w:tc>
        <w:tc>
          <w:tcPr>
            <w:tcW w:type="dxa" w:w="1045"/>
            <w:shd w:fill="102A4C"/>
          </w:tcPr>
          <w:p>
            <w:pPr>
              <w:spacing w:after="0" w:line="240" w:lineRule="auto"/>
              <w:jc w:val="center"/>
            </w:pPr>
            <w:r/>
            <w:r>
              <w:rPr>
                <w:rFonts w:ascii="Calibri" w:hAnsi="Calibri"/>
                <w:b/>
                <w:i w:val="0"/>
                <w:color w:val="FFFFFF"/>
                <w:sz w:val="14"/>
              </w:rPr>
              <w:t>#</w:t>
            </w:r>
          </w:p>
        </w:tc>
        <w:tc>
          <w:tcPr>
            <w:tcW w:type="dxa" w:w="1045"/>
            <w:shd w:fill="102A4C"/>
          </w:tcPr>
          <w:p>
            <w:pPr>
              <w:spacing w:after="0" w:line="240" w:lineRule="auto"/>
              <w:jc w:val="center"/>
            </w:pPr>
            <w:r/>
            <w:r>
              <w:rPr>
                <w:rFonts w:ascii="Calibri" w:hAnsi="Calibri"/>
                <w:b/>
                <w:i w:val="0"/>
                <w:color w:val="FFFFFF"/>
                <w:sz w:val="14"/>
              </w:rPr>
              <w:t>Key</w:t>
            </w:r>
          </w:p>
        </w:tc>
        <w:tc>
          <w:tcPr>
            <w:tcW w:type="dxa" w:w="1045"/>
            <w:shd w:fill="102A4C"/>
          </w:tcPr>
          <w:p>
            <w:pPr>
              <w:spacing w:after="0" w:line="240" w:lineRule="auto"/>
              <w:jc w:val="center"/>
            </w:pPr>
            <w:r/>
            <w:r>
              <w:rPr>
                <w:rFonts w:ascii="Calibri" w:hAnsi="Calibri"/>
                <w:b/>
                <w:i w:val="0"/>
                <w:color w:val="FFFFFF"/>
                <w:sz w:val="14"/>
              </w:rPr>
              <w:t>#</w:t>
            </w:r>
          </w:p>
        </w:tc>
        <w:tc>
          <w:tcPr>
            <w:tcW w:type="dxa" w:w="1045"/>
            <w:shd w:fill="102A4C"/>
          </w:tcPr>
          <w:p>
            <w:pPr>
              <w:spacing w:after="0" w:line="240" w:lineRule="auto"/>
              <w:jc w:val="center"/>
            </w:pPr>
            <w:r/>
            <w:r>
              <w:rPr>
                <w:rFonts w:ascii="Calibri" w:hAnsi="Calibri"/>
                <w:b/>
                <w:i w:val="0"/>
                <w:color w:val="FFFFFF"/>
                <w:sz w:val="14"/>
              </w:rPr>
              <w:t>Key</w:t>
            </w:r>
          </w:p>
        </w:tc>
        <w:tc>
          <w:tcPr>
            <w:tcW w:type="dxa" w:w="1045"/>
            <w:shd w:fill="102A4C"/>
          </w:tcPr>
          <w:p>
            <w:pPr>
              <w:spacing w:after="0" w:line="240" w:lineRule="auto"/>
              <w:jc w:val="center"/>
            </w:pPr>
            <w:r/>
            <w:r>
              <w:rPr>
                <w:rFonts w:ascii="Calibri" w:hAnsi="Calibri"/>
                <w:b/>
                <w:i w:val="0"/>
                <w:color w:val="FFFFFF"/>
                <w:sz w:val="14"/>
              </w:rPr>
              <w:t>#</w:t>
            </w:r>
          </w:p>
        </w:tc>
        <w:tc>
          <w:tcPr>
            <w:tcW w:type="dxa" w:w="1045"/>
            <w:shd w:fill="102A4C"/>
          </w:tcPr>
          <w:p>
            <w:pPr>
              <w:spacing w:after="0" w:line="240" w:lineRule="auto"/>
              <w:jc w:val="center"/>
            </w:pPr>
            <w:r/>
            <w:r>
              <w:rPr>
                <w:rFonts w:ascii="Calibri" w:hAnsi="Calibri"/>
                <w:b/>
                <w:i w:val="0"/>
                <w:color w:val="FFFFFF"/>
                <w:sz w:val="14"/>
              </w:rPr>
              <w:t>Key</w:t>
            </w:r>
          </w:p>
        </w:tc>
      </w:tr>
      <w:tr>
        <w:trPr>
          <w:cantSplit/>
        </w:trPr>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1</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A</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6</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D</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11</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C</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16</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A</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21</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A</w:t>
            </w:r>
          </w:p>
        </w:tc>
      </w:tr>
      <w:tr>
        <w:trPr>
          <w:cantSplit/>
        </w:trPr>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2</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C</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7</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A</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12</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D</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17</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B</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22</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C</w:t>
            </w:r>
          </w:p>
        </w:tc>
      </w:tr>
      <w:tr>
        <w:trPr>
          <w:cantSplit/>
        </w:trPr>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3</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B</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8</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B</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13</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B</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18</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D</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23</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D</w:t>
            </w:r>
          </w:p>
        </w:tc>
      </w:tr>
      <w:tr>
        <w:trPr>
          <w:cantSplit/>
        </w:trPr>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4</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D</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9</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C</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14</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D</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19</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B</w:t>
            </w:r>
          </w:p>
        </w:tc>
        <w:tc>
          <w:tcPr>
            <w:tcW w:type="dxa" w:w="1045"/>
            <w:shd w:fill="F1F3F6"/>
            <w:tcMar>
              <w:top w:w="45" w:type="dxa"/>
              <w:start w:w="35" w:type="dxa"/>
              <w:bottom w:w="45" w:type="dxa"/>
              <w:end w:w="35" w:type="dxa"/>
            </w:tcMar>
          </w:tcPr>
          <w:p>
            <w:pPr>
              <w:spacing w:after="0" w:line="240" w:lineRule="auto"/>
              <w:jc w:val="center"/>
            </w:pPr>
            <w:r/>
            <w:r>
              <w:rPr>
                <w:rFonts w:ascii="Calibri" w:hAnsi="Calibri"/>
                <w:b/>
                <w:i w:val="0"/>
                <w:color w:val="102A4C"/>
                <w:sz w:val="16"/>
              </w:rPr>
              <w:t>24</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A</w:t>
            </w:r>
          </w:p>
        </w:tc>
      </w:tr>
      <w:tr>
        <w:trPr>
          <w:cantSplit/>
        </w:trPr>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5</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A</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10</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A</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15</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C</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20</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C</w:t>
            </w:r>
          </w:p>
        </w:tc>
        <w:tc>
          <w:tcPr>
            <w:tcW w:type="dxa" w:w="1045"/>
            <w:shd w:fill="FFFFFF"/>
            <w:tcMar>
              <w:top w:w="45" w:type="dxa"/>
              <w:start w:w="35" w:type="dxa"/>
              <w:bottom w:w="45" w:type="dxa"/>
              <w:end w:w="35" w:type="dxa"/>
            </w:tcMar>
          </w:tcPr>
          <w:p>
            <w:pPr>
              <w:spacing w:after="0" w:line="240" w:lineRule="auto"/>
              <w:jc w:val="center"/>
            </w:pPr>
            <w:r/>
            <w:r>
              <w:rPr>
                <w:rFonts w:ascii="Calibri" w:hAnsi="Calibri"/>
                <w:b/>
                <w:i w:val="0"/>
                <w:color w:val="102A4C"/>
                <w:sz w:val="16"/>
              </w:rPr>
              <w:t>25</w:t>
            </w:r>
          </w:p>
        </w:tc>
        <w:tc>
          <w:tcPr>
            <w:tcW w:type="dxa" w:w="1045"/>
            <w:shd w:fill="EAF6EA"/>
            <w:tcMar>
              <w:top w:w="45" w:type="dxa"/>
              <w:start w:w="35" w:type="dxa"/>
              <w:bottom w:w="45" w:type="dxa"/>
              <w:end w:w="35" w:type="dxa"/>
            </w:tcMar>
          </w:tcPr>
          <w:p>
            <w:pPr>
              <w:spacing w:after="0" w:line="240" w:lineRule="auto"/>
              <w:jc w:val="center"/>
            </w:pPr>
            <w:r/>
            <w:r>
              <w:rPr>
                <w:rFonts w:ascii="Calibri" w:hAnsi="Calibri"/>
                <w:b/>
                <w:i w:val="0"/>
                <w:color w:val="10A79B"/>
                <w:sz w:val="17"/>
              </w:rPr>
              <w:t>B</w:t>
            </w:r>
          </w:p>
        </w:tc>
      </w:tr>
    </w:tbl>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267"/>
        <w:gridCol w:w="2232"/>
        <w:gridCol w:w="1181"/>
        <w:gridCol w:w="1800"/>
        <w:gridCol w:w="1267"/>
        <w:gridCol w:w="2088"/>
      </w:tblGrid>
      <w:tr>
        <w:trPr>
          <w:cantSplit/>
          <w:tblHeader/>
        </w:trPr>
        <w:tc>
          <w:tcPr>
            <w:tcW w:type="dxa" w:w="1742"/>
            <w:shd w:fill="102A4C"/>
            <w:tcMar>
              <w:top w:w="55" w:type="dxa"/>
              <w:start w:w="45" w:type="dxa"/>
              <w:bottom w:w="55" w:type="dxa"/>
              <w:end w:w="45" w:type="dxa"/>
            </w:tcMar>
          </w:tcPr>
          <w:p>
            <w:pPr>
              <w:spacing w:after="0" w:line="240" w:lineRule="auto"/>
              <w:jc w:val="center"/>
            </w:pPr>
            <w:r/>
            <w:r>
              <w:rPr>
                <w:rFonts w:ascii="Calibri" w:hAnsi="Calibri"/>
                <w:b/>
                <w:i w:val="0"/>
                <w:color w:val="FFFFFF"/>
                <w:sz w:val="15"/>
              </w:rPr>
              <w:t>Difficulty</w:t>
            </w:r>
          </w:p>
        </w:tc>
        <w:tc>
          <w:tcPr>
            <w:tcW w:type="dxa" w:w="1742"/>
            <w:shd w:fill="EAF2FC"/>
            <w:tcMar>
              <w:top w:w="55" w:type="dxa"/>
              <w:start w:w="45" w:type="dxa"/>
              <w:bottom w:w="55" w:type="dxa"/>
              <w:end w:w="45" w:type="dxa"/>
            </w:tcMar>
          </w:tcPr>
          <w:p>
            <w:pPr>
              <w:spacing w:after="0" w:line="240" w:lineRule="auto"/>
              <w:jc w:val="center"/>
            </w:pPr>
            <w:r/>
            <w:r>
              <w:rPr>
                <w:rFonts w:ascii="Calibri" w:hAnsi="Calibri"/>
                <w:b/>
                <w:i w:val="0"/>
                <w:color w:val="102A4C"/>
                <w:sz w:val="15"/>
              </w:rPr>
              <w:t>7 Foundational | 11 Moderate | 7 Advanced</w:t>
            </w:r>
          </w:p>
        </w:tc>
        <w:tc>
          <w:tcPr>
            <w:tcW w:type="dxa" w:w="1742"/>
            <w:shd w:fill="102A4C"/>
            <w:tcMar>
              <w:top w:w="55" w:type="dxa"/>
              <w:start w:w="45" w:type="dxa"/>
              <w:bottom w:w="55" w:type="dxa"/>
              <w:end w:w="45" w:type="dxa"/>
            </w:tcMar>
          </w:tcPr>
          <w:p>
            <w:pPr>
              <w:spacing w:after="0" w:line="240" w:lineRule="auto"/>
              <w:jc w:val="center"/>
            </w:pPr>
            <w:r/>
            <w:r>
              <w:rPr>
                <w:rFonts w:ascii="Calibri" w:hAnsi="Calibri"/>
                <w:b/>
                <w:i w:val="0"/>
                <w:color w:val="FFFFFF"/>
                <w:sz w:val="15"/>
              </w:rPr>
              <w:t>Emphasis</w:t>
            </w:r>
          </w:p>
        </w:tc>
        <w:tc>
          <w:tcPr>
            <w:tcW w:type="dxa" w:w="1742"/>
            <w:shd w:fill="EAF2FC"/>
            <w:tcMar>
              <w:top w:w="55" w:type="dxa"/>
              <w:start w:w="45" w:type="dxa"/>
              <w:bottom w:w="55" w:type="dxa"/>
              <w:end w:w="45" w:type="dxa"/>
            </w:tcMar>
          </w:tcPr>
          <w:p>
            <w:pPr>
              <w:spacing w:after="0" w:line="240" w:lineRule="auto"/>
              <w:jc w:val="center"/>
            </w:pPr>
            <w:r/>
            <w:r>
              <w:rPr>
                <w:rFonts w:ascii="Calibri" w:hAnsi="Calibri"/>
                <w:b/>
                <w:i w:val="0"/>
                <w:color w:val="102A4C"/>
                <w:sz w:val="15"/>
              </w:rPr>
              <w:t>15 Law | 10 Ethics</w:t>
            </w:r>
          </w:p>
        </w:tc>
        <w:tc>
          <w:tcPr>
            <w:tcW w:type="dxa" w:w="1742"/>
            <w:shd w:fill="102A4C"/>
            <w:tcMar>
              <w:top w:w="55" w:type="dxa"/>
              <w:start w:w="45" w:type="dxa"/>
              <w:bottom w:w="55" w:type="dxa"/>
              <w:end w:w="45" w:type="dxa"/>
            </w:tcMar>
          </w:tcPr>
          <w:p>
            <w:pPr>
              <w:spacing w:after="0" w:line="240" w:lineRule="auto"/>
              <w:jc w:val="center"/>
            </w:pPr>
            <w:r/>
            <w:r>
              <w:rPr>
                <w:rFonts w:ascii="Calibri" w:hAnsi="Calibri"/>
                <w:b/>
                <w:i w:val="0"/>
                <w:color w:val="FFFFFF"/>
                <w:sz w:val="15"/>
              </w:rPr>
              <w:t>Answer keys</w:t>
            </w:r>
          </w:p>
        </w:tc>
        <w:tc>
          <w:tcPr>
            <w:tcW w:type="dxa" w:w="1742"/>
            <w:shd w:fill="EAF2FC"/>
            <w:tcMar>
              <w:top w:w="55" w:type="dxa"/>
              <w:start w:w="45" w:type="dxa"/>
              <w:bottom w:w="55" w:type="dxa"/>
              <w:end w:w="45" w:type="dxa"/>
            </w:tcMar>
          </w:tcPr>
          <w:p>
            <w:pPr>
              <w:spacing w:after="0" w:line="240" w:lineRule="auto"/>
              <w:jc w:val="center"/>
            </w:pPr>
            <w:r/>
            <w:r>
              <w:rPr>
                <w:rFonts w:ascii="Calibri" w:hAnsi="Calibri"/>
                <w:b/>
                <w:i w:val="0"/>
                <w:color w:val="102A4C"/>
                <w:sz w:val="15"/>
              </w:rPr>
              <w:t>A 7 | B 6 | C 6 | D 6</w:t>
            </w:r>
          </w:p>
        </w:tc>
      </w:tr>
      <w:tr>
        <w:trPr>
          <w:cantSplit/>
        </w:trPr>
        <w:tc>
          <w:tcPr>
            <w:tcW w:type="dxa" w:w="3484"/>
            <w:gridSpan w:val="2"/>
            <w:shd w:fill="FFFFFF"/>
          </w:tcPr>
          <w:p>
            <w:pPr>
              <w:spacing w:after="0" w:line="240" w:lineRule="auto"/>
              <w:jc w:val="center"/>
            </w:pPr>
            <w:r/>
            <w:r>
              <w:rPr>
                <w:rFonts w:ascii="Calibri" w:hAnsi="Calibri"/>
                <w:b w:val="0"/>
                <w:i/>
                <w:color w:val="5E6670"/>
                <w:sz w:val="14"/>
              </w:rPr>
              <w:t>The form uses a planned progression from foundational distinctions to integrated application.</w:t>
            </w:r>
          </w:p>
        </w:tc>
        <w:tc>
          <w:tcPr>
            <w:tcW w:type="dxa" w:w="3484"/>
            <w:gridSpan w:val="2"/>
            <w:shd w:fill="F1F3F6"/>
          </w:tcPr>
          <w:p>
            <w:pPr>
              <w:spacing w:after="0" w:line="240" w:lineRule="auto"/>
              <w:jc w:val="center"/>
            </w:pPr>
            <w:r/>
            <w:r>
              <w:rPr>
                <w:rFonts w:ascii="Calibri" w:hAnsi="Calibri"/>
                <w:b w:val="0"/>
                <w:i/>
                <w:color w:val="5E6670"/>
                <w:sz w:val="14"/>
              </w:rPr>
              <w:t>Law and ethics are separate source classes; ethics does not substitute for legal authority.</w:t>
            </w:r>
          </w:p>
        </w:tc>
        <w:tc>
          <w:tcPr>
            <w:tcW w:type="dxa" w:w="3484"/>
            <w:gridSpan w:val="2"/>
            <w:shd w:fill="FFFFFF"/>
          </w:tcPr>
          <w:p>
            <w:pPr>
              <w:spacing w:after="0" w:line="240" w:lineRule="auto"/>
              <w:jc w:val="center"/>
            </w:pPr>
            <w:r/>
            <w:r>
              <w:rPr>
                <w:rFonts w:ascii="Calibri" w:hAnsi="Calibri"/>
                <w:b w:val="0"/>
                <w:i/>
                <w:color w:val="5E6670"/>
                <w:sz w:val="14"/>
              </w:rPr>
              <w:t>Correct-answer positions are deliberately balanced; no visible answer pattern should guide selection.</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2FC"/>
            <w:tcMar>
              <w:top w:w="80" w:type="dxa"/>
              <w:start w:w="95" w:type="dxa"/>
              <w:bottom w:w="80" w:type="dxa"/>
              <w:end w:w="95" w:type="dxa"/>
            </w:tcMar>
          </w:tcPr>
          <w:p>
            <w:pPr>
              <w:spacing w:after="0" w:line="240" w:lineRule="auto"/>
            </w:pPr>
            <w:r>
              <w:rPr>
                <w:rFonts w:ascii="Calibri" w:hAnsi="Calibri"/>
                <w:b/>
                <w:i w:val="0"/>
                <w:color w:val="102A4C"/>
                <w:sz w:val="17"/>
              </w:rPr>
              <w:t xml:space="preserve">SCORING AND REVIEW </w:t>
            </w:r>
            <w:r>
              <w:rPr>
                <w:rFonts w:ascii="Calibri" w:hAnsi="Calibri"/>
                <w:b w:val="0"/>
                <w:i w:val="0"/>
                <w:color w:val="111111"/>
                <w:sz w:val="17"/>
              </w:rPr>
              <w:t>Use raw score only as a starting point. The controlled review must also examine confidence, error type, source hierarchy, sequencing, profession/status accuracy, and whether the candidate selected a reasonable but mistimed distractor. No pass guarantee or official cut score is implied.</w:t>
            </w:r>
          </w:p>
        </w:tc>
      </w:tr>
    </w:tbl>
    <w:p>
      <w:pPr>
        <w:pStyle w:val="Heading2"/>
      </w:pPr>
      <w:r>
        <w:t>Source-control normalization</w:t>
      </w:r>
    </w:p>
    <w:p>
      <w:pPr>
        <w:spacing w:after="80"/>
      </w:pPr>
      <w:r>
        <w:rPr>
          <w:rFonts w:ascii="Calibri" w:hAnsi="Calibri"/>
          <w:b/>
          <w:i w:val="0"/>
          <w:color w:val="102A4C"/>
          <w:sz w:val="17"/>
        </w:rPr>
        <w:t xml:space="preserve">Item 18 citation correction. </w:t>
      </w:r>
      <w:r>
        <w:rPr>
          <w:rFonts w:ascii="Calibri" w:hAnsi="Calibri"/>
          <w:b w:val="0"/>
          <w:i w:val="0"/>
          <w:color w:val="111111"/>
          <w:sz w:val="17"/>
        </w:rPr>
        <w:t>The internal blueprint labeled BPC section 4996.9 as the source for the LCSW record-retention item. The exact retention authority is BPC section 4993(a)-(b). The stem, answer choices, correct answer, and teaching rationale are unchanged; only the internal citation is normalized.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FFF4D2"/>
            <w:tcMar>
              <w:top w:w="80" w:type="dxa"/>
              <w:start w:w="95" w:type="dxa"/>
              <w:bottom w:w="80" w:type="dxa"/>
              <w:end w:w="95" w:type="dxa"/>
            </w:tcMar>
          </w:tcPr>
          <w:p>
            <w:pPr>
              <w:spacing w:after="0" w:line="240" w:lineRule="auto"/>
            </w:pPr>
            <w:r>
              <w:rPr>
                <w:rFonts w:ascii="Calibri" w:hAnsi="Calibri"/>
                <w:b/>
                <w:i w:val="0"/>
                <w:color w:val="102A4C"/>
                <w:sz w:val="17"/>
              </w:rPr>
              <w:t>CURRENTNESS CONTROL Advertising, telehealth, ASW pathway, supervision, examination administration, and other high-change sources were rechecked August 7, 2026 and require another official-source check within 30 days of public release.</w:t>
            </w:r>
            <w:r>
              <w:rPr>
                <w:rFonts w:ascii="Calibri" w:hAnsi="Calibri"/>
                <w:b w:val="0"/>
                <w:i w:val="0"/>
                <w:color w:val="111111"/>
                <w:sz w:val="17"/>
              </w:rPr>
            </w:r>
          </w:p>
        </w:tc>
      </w:tr>
    </w:tbl>
    <w:p>
      <w:r>
        <w:br w:type="page"/>
      </w:r>
    </w:p>
    <w:p>
      <w:pPr>
        <w:pStyle w:val="Heading1"/>
      </w:pPr>
      <w:r>
        <w:t>Item 1 -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CTA-EP-002-LS-Q001</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1 | Lesson 1.1-1.2</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Foundational | Concept Distinction</w:t>
            </w:r>
          </w:p>
        </w:tc>
      </w:tr>
      <w:tr>
        <w:trPr>
          <w:cantSplit/>
        </w:trPr>
        <w:tc>
          <w:tcPr>
            <w:tcW w:type="dxa" w:w="10452"/>
            <w:gridSpan w:val="6"/>
            <w:shd w:fill="FFFFFF"/>
          </w:tcPr>
          <w:p>
            <w:pPr>
              <w:spacing w:after="0" w:line="240" w:lineRule="auto"/>
            </w:pPr>
            <w:r/>
            <w:r>
              <w:rPr>
                <w:rFonts w:ascii="Calibri" w:hAnsi="Calibri"/>
                <w:b w:val="0"/>
                <w:i w:val="0"/>
                <w:color w:val="111111"/>
                <w:sz w:val="15"/>
              </w:rPr>
              <w:t>Objective: Select the highest-authority current source that applies to the actor, setting, issue, and jurisdiction.</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old agency manual conflicts with a current California statute and an effective Board of Behavioral Sciences regulation that directly address an ASW's legal duty. Which source should control the legal conclusion?</w:t>
      </w:r>
    </w:p>
    <w:p>
      <w:pPr>
        <w:keepLines/>
        <w:spacing w:after="20" w:line="240" w:lineRule="auto"/>
        <w:ind w:left="288" w:hanging="288"/>
      </w:pPr>
      <w:r>
        <w:rPr>
          <w:rFonts w:ascii="Calibri" w:hAnsi="Calibri"/>
          <w:b/>
          <w:i w:val="0"/>
          <w:color w:val="10A79B"/>
          <w:sz w:val="16"/>
        </w:rPr>
        <w:t xml:space="preserve">A. </w:t>
      </w:r>
      <w:r>
        <w:rPr>
          <w:rFonts w:ascii="Calibri" w:hAnsi="Calibri"/>
          <w:b/>
          <w:i w:val="0"/>
          <w:color w:val="111111"/>
          <w:sz w:val="16"/>
        </w:rPr>
        <w:t>The current statute and effective regulation that apply to the issue.</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The agency manual because employer policies control employee conduct.</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The NASW Code of Ethics because ethical standards always supersede law.</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The CTA study module because it is designed for examination preparation.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A </w:t>
            </w:r>
            <w:r>
              <w:rPr>
                <w:rFonts w:ascii="Calibri" w:hAnsi="Calibri"/>
                <w:b w:val="0"/>
                <w:i w:val="0"/>
                <w:color w:val="111111"/>
                <w:sz w:val="16"/>
              </w:rPr>
              <w:t>Current enacted law and effective regulation control the legal duty. Board guidance, professional ethics, employer policy, and CTA materials serve different and subordinate functions.</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A</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The applicable current statute and effective regulation are the highest-authority sources listed in the facts.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Employer policy may organize work but cannot override a controlling legal duty.</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Professional ethics may be broader than law, but they do not automatically displace a legal mandate.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CTA materials are educational controls and cannot create or replace legal authority.</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Classify the source before applying it: law and effective regulation first for legal conclusions.</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Clinical Social Worker Practice Act (BPC ch. 14); Title 16, Division 18 BBS regulations; current BBS guidance; NASW Code of Ethics treated as a separate ethics source. Currency control: Current-law hierarchy; recheck source dates at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1, Lessons 1.1-1.2 | Error category: source hierarchy reversed | Flashcard: FC-LS-001</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2 -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CTA-EP-002-LS-Q002</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1 | Lesson 1.2-1.3</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Moderate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Classify law, ethics, policy, and best practice and use the conflict-resolution sequence.</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agency policy directs social workers to send a client's complete psychotherapy record to a partner program whenever “care coordination” is requested. No authorization, legal mandate, or other disclosure basis is documented. What should the LCSW do NEXT?</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Follow the policy after confirming that the request came from another licensed clinician and document routine coordination.</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Refuse all future collaboration because psychotherapy records may never be shared with another program.</w:t>
      </w:r>
    </w:p>
    <w:p>
      <w:pPr>
        <w:keepLines/>
        <w:spacing w:after="20" w:line="240" w:lineRule="auto"/>
        <w:ind w:left="288" w:hanging="288"/>
      </w:pPr>
      <w:r>
        <w:rPr>
          <w:rFonts w:ascii="Calibri" w:hAnsi="Calibri"/>
          <w:b/>
          <w:i w:val="0"/>
          <w:color w:val="10A79B"/>
          <w:sz w:val="16"/>
        </w:rPr>
        <w:t xml:space="preserve">C. </w:t>
      </w:r>
      <w:r>
        <w:rPr>
          <w:rFonts w:ascii="Calibri" w:hAnsi="Calibri"/>
          <w:b/>
          <w:i w:val="0"/>
          <w:color w:val="111111"/>
          <w:sz w:val="16"/>
        </w:rPr>
        <w:t>Pause the nonurgent disclosure, verify legal authority and applicability, then share only what is authorized and needed while documenting the reasoning.</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Send the complete record but ask the partner program to limit access and delete unnecessary pages after review.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C </w:t>
            </w:r>
            <w:r>
              <w:rPr>
                <w:rFonts w:ascii="Calibri" w:hAnsi="Calibri"/>
                <w:b w:val="0"/>
                <w:i w:val="0"/>
                <w:color w:val="111111"/>
                <w:sz w:val="16"/>
              </w:rPr>
              <w:t>A purpose description and an employer policy do not independently create disclosure authority. The LCSW should verify authority, limit any authorized disclosure, and preserve accountability.</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requester's license and an agency policy do not by themselves establish legal authority for a full-record disclosure.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This is overbroad. Lawful and ethical collaboration can include authorized, limited information sharing.</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C</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separates policy from authority, prevents a premature disclosure, and preserves minimum-necessary ethical reasoning and documentation.</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Security promises after disclosure do not cure the absence of authority before disclosure.</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When authority is unclear and the disclosure is not urgent, pause, verify, then disclose only what is authorized and needed.</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Applicable California confidentiality and record-disclosure authority; setting-dependent federal privacy overlay; NASW Standards 1.01 and 1.07; employer policy remains subordinate to controlling law. Currency control: High-change privacy overlay; verify applicable law before rationale lock.</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1, Lessons 1.2-1.3 | Error category: purpose mistaken for authority | Flashcard: FC-LS-002</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3 -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CTA-EP-002-LS-Q003</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2 | Lesson 2.1</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Foundational | Concept Distinction</w:t>
            </w:r>
          </w:p>
        </w:tc>
      </w:tr>
      <w:tr>
        <w:trPr>
          <w:cantSplit/>
        </w:trPr>
        <w:tc>
          <w:tcPr>
            <w:tcW w:type="dxa" w:w="10452"/>
            <w:gridSpan w:val="6"/>
            <w:shd w:fill="FFFFFF"/>
          </w:tcPr>
          <w:p>
            <w:pPr>
              <w:spacing w:after="0" w:line="240" w:lineRule="auto"/>
            </w:pPr>
            <w:r/>
            <w:r>
              <w:rPr>
                <w:rFonts w:ascii="Calibri" w:hAnsi="Calibri"/>
                <w:b w:val="0"/>
                <w:i w:val="0"/>
                <w:color w:val="111111"/>
                <w:sz w:val="15"/>
              </w:rPr>
              <w:t>Objective: Distinguish legal status from examination progress, experience, setting, supervision, and role.</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Which statement about California ASW and LCSW status is accurate?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An ASW may practice independently after passing the California Law and Ethics Examination if the profile says “LCSW Candidate.”</w:t>
      </w:r>
    </w:p>
    <w:p>
      <w:pPr>
        <w:keepLines/>
        <w:spacing w:after="20" w:line="240" w:lineRule="auto"/>
        <w:ind w:left="288" w:hanging="288"/>
      </w:pPr>
      <w:r>
        <w:rPr>
          <w:rFonts w:ascii="Calibri" w:hAnsi="Calibri"/>
          <w:b/>
          <w:i w:val="0"/>
          <w:color w:val="10A79B"/>
          <w:sz w:val="16"/>
        </w:rPr>
        <w:t xml:space="preserve">B. </w:t>
      </w:r>
      <w:r>
        <w:rPr>
          <w:rFonts w:ascii="Calibri" w:hAnsi="Calibri"/>
          <w:b/>
          <w:i w:val="0"/>
          <w:color w:val="111111"/>
          <w:sz w:val="16"/>
        </w:rPr>
        <w:t>An ASW remains registered and supervised until the Board issues the LCSW license, even after the examination or experience requirements are completed.</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A qualified supervisor may authorize independent practice once the ASW has completed the required supervised hours.</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An ASW registration automatically converts to an LCSW license when the Application for Licensure is submitted.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B </w:t>
            </w:r>
            <w:r>
              <w:rPr>
                <w:rFonts w:ascii="Calibri" w:hAnsi="Calibri"/>
                <w:b w:val="0"/>
                <w:i w:val="0"/>
                <w:color w:val="111111"/>
                <w:sz w:val="16"/>
              </w:rPr>
              <w:t>Only Board issuance changes the person's legal status to LCSW. Examination progress, completed hours, supervisor approval, and application filing do not independently create licensure.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“Candidate” does not create a protected license status or independent-practice authority.</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B</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The person remains an ASW and must continue within registered, supervised practice until the license is issued.</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supervisor cannot grant a license or waive the Board's licensure process.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Filing an application does not itself issue a license.</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Separate milestones from status: passed exam, completed hours, applied, approved, and licensed are not interchangeable.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sections 4996(a)-(b), 4996.18, and related BBS LCSW applicant and ASW-status guidance. Currency control: Current licensure pathway; recheck BBS applicant guidance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2, Lesson 2.1 | Error category: milestone treated as licensure | Flashcard: FC-LS-003</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4 -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2 | Lesson 2.2-2.4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Describe the statutory scope of clinical social work and distinguish it from individual competence.</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 clinic manager tells an LCSW that psychotherapy with families is outside clinical social work because family treatment belongs only to LMFTs. What is the BEST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Refer every family case to an LMFT because clinical social work is limited to individual psychotherapy.</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Limit services to case management because counseling and psychotherapy are not part of California clinical social work.</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Accept every family case because the LCSW title alone establishes competence for all relational treatment.</w:t>
      </w:r>
    </w:p>
    <w:p>
      <w:pPr>
        <w:keepLines/>
        <w:spacing w:after="20" w:line="240" w:lineRule="auto"/>
        <w:ind w:left="288" w:hanging="288"/>
      </w:pPr>
      <w:r>
        <w:rPr>
          <w:rFonts w:ascii="Calibri" w:hAnsi="Calibri"/>
          <w:b/>
          <w:i w:val="0"/>
          <w:color w:val="10A79B"/>
          <w:sz w:val="16"/>
        </w:rPr>
        <w:t xml:space="preserve">D. </w:t>
      </w:r>
      <w:r>
        <w:rPr>
          <w:rFonts w:ascii="Calibri" w:hAnsi="Calibri"/>
          <w:b/>
          <w:i w:val="0"/>
          <w:color w:val="111111"/>
          <w:sz w:val="16"/>
        </w:rPr>
        <w:t>Explain that clinical social work may include counseling and nonmedical psychotherapy with individuals, families, or groups, while still requiring competence, valid consent, lawful status, and role clarity.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D </w:t>
            </w:r>
            <w:r>
              <w:rPr>
                <w:rFonts w:ascii="Calibri" w:hAnsi="Calibri"/>
                <w:b w:val="0"/>
                <w:i w:val="0"/>
                <w:color w:val="111111"/>
                <w:sz w:val="16"/>
              </w:rPr>
              <w:t>California clinical social work includes family and group work, but profession-wide scope does not eliminate the separate requirements of competence, consent, status, and role clarity.</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It falsely excludes family work from the profession-wide statutory scope.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California clinical social work includes counseling and nonmedical psychotherapy.</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Licensure establishes legal status, not universal competence for every method or population.</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D</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states the broad scope accurately and preserves the separate competence and practice safeguards.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Use a two-step analysis: profession-wide scope first, then individual competence and present authority.</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4996.9 (clinical social work and psychotherapy defined). Currency control: Durable statutory scope; recheck current statutory text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2, Lessons 2.2-2.4 | Error category: scope narrowed or competence ignored | Flashcard: FC-LS-004</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5 -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CTA-EP-002-LS-Q005</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2 | Lesson 2.5</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Role Clarification</w:t>
            </w:r>
          </w:p>
        </w:tc>
      </w:tr>
      <w:tr>
        <w:trPr>
          <w:cantSplit/>
        </w:trPr>
        <w:tc>
          <w:tcPr>
            <w:tcW w:type="dxa" w:w="10452"/>
            <w:gridSpan w:val="6"/>
            <w:shd w:fill="FFFFFF"/>
          </w:tcPr>
          <w:p>
            <w:pPr>
              <w:spacing w:after="0" w:line="240" w:lineRule="auto"/>
            </w:pPr>
            <w:r/>
            <w:r>
              <w:rPr>
                <w:rFonts w:ascii="Calibri" w:hAnsi="Calibri"/>
                <w:b w:val="0"/>
                <w:i w:val="0"/>
                <w:color w:val="111111"/>
                <w:sz w:val="15"/>
              </w:rPr>
              <w:t>Objective: Distinguish professional roles and clarify client, purpose, confidentiality, and use of information.</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LCSW who is treating an employee is asked by the employer to provide a “neutral fitness evaluation” for an employment decision. What should the LCSW do FIRST?</w:t>
      </w:r>
    </w:p>
    <w:p>
      <w:pPr>
        <w:keepLines/>
        <w:spacing w:after="20" w:line="240" w:lineRule="auto"/>
        <w:ind w:left="288" w:hanging="288"/>
      </w:pPr>
      <w:r>
        <w:rPr>
          <w:rFonts w:ascii="Calibri" w:hAnsi="Calibri"/>
          <w:b/>
          <w:i w:val="0"/>
          <w:color w:val="10A79B"/>
          <w:sz w:val="16"/>
        </w:rPr>
        <w:t xml:space="preserve">A. </w:t>
      </w:r>
      <w:r>
        <w:rPr>
          <w:rFonts w:ascii="Calibri" w:hAnsi="Calibri"/>
          <w:b/>
          <w:i w:val="0"/>
          <w:color w:val="111111"/>
          <w:sz w:val="16"/>
        </w:rPr>
        <w:t>Clarify the proposed role, who the client would be, how information would be used, applicable confidentiality limits, and whether the treatment and evaluation roles can be separated without conflict.</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Accept the evaluation because an LCSW license authorizes both treatment and evaluative work.</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Obtain a general release from the employee and proceed without further role analysis.</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Treat the request as administrative rather than clinical so ordinary professional-role duties do not apply.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A </w:t>
            </w:r>
            <w:r>
              <w:rPr>
                <w:rFonts w:ascii="Calibri" w:hAnsi="Calibri"/>
                <w:b w:val="0"/>
                <w:i w:val="0"/>
                <w:color w:val="111111"/>
                <w:sz w:val="16"/>
              </w:rPr>
              <w:t>The first task is to define the proposed service and its consequences. A release or license does not resolve incompatible roles, unclear client identity, or foreseeable misuse of treatment information.</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A</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identifies the foundational role, client, confidentiality, use, and conflict questions before a commitment is made.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Scope does not make simultaneous treatment and neutral evaluation appropriate in every case.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general release does not cure role conflict or unclear purpose and audience.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Calling the task administrative does not remove professional and legal obligations.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Before choosing a role, define the client, purpose, audience, confidentiality, and conflict structure.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4996.9; NASW standards on informed consent, conflicts of interest, privacy/confidentiality, and evaluative roles. Currency control: Current professional-role analysis; no date-sensitive fact in stem.</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2, Lesson 2.5 | Error category: release substituted for role analysis | Flashcard: FC-LS-005</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6 -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CTA-EP-002-LS-Q006</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2 | Lesson 2.4 and 2.6</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Advanced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Select supervision, education, referral, limitation, or continuity steps when competence is incomplete.</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ASW in a county clinic is assigned a specialized exposure-based trauma intervention after attending one introductory webinar. The service is within the broad field of clinical social work, but the ASW has not completed method-specific training or supervised practice. What is the BEST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Begin the intervention after telling the client that the ASW is still learning the method.</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Terminate the client immediately because any competence gap requires ending the professional relationship.</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Proceed as assigned because a qualified supervisor's approval transfers the supervisor's competence to the ASW.</w:t>
      </w:r>
    </w:p>
    <w:p>
      <w:pPr>
        <w:keepLines/>
        <w:spacing w:after="20" w:line="240" w:lineRule="auto"/>
        <w:ind w:left="288" w:hanging="288"/>
      </w:pPr>
      <w:r>
        <w:rPr>
          <w:rFonts w:ascii="Calibri" w:hAnsi="Calibri"/>
          <w:b/>
          <w:i w:val="0"/>
          <w:color w:val="10A79B"/>
          <w:sz w:val="16"/>
        </w:rPr>
        <w:t xml:space="preserve">D. </w:t>
      </w:r>
      <w:r>
        <w:rPr>
          <w:rFonts w:ascii="Calibri" w:hAnsi="Calibri"/>
          <w:b/>
          <w:i w:val="0"/>
          <w:color w:val="111111"/>
          <w:sz w:val="16"/>
        </w:rPr>
        <w:t>Discuss the competence gap with the supervisor, obtain appropriate training and supervised practice or arrange qualified referral or consultation, and preserve safe continuity while the plan is implemented.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D </w:t>
            </w:r>
            <w:r>
              <w:rPr>
                <w:rFonts w:ascii="Calibri" w:hAnsi="Calibri"/>
                <w:b w:val="0"/>
                <w:i w:val="0"/>
                <w:color w:val="111111"/>
                <w:sz w:val="16"/>
              </w:rPr>
              <w:t>The response must protect the client without confusing broad scope with present competence or using abrupt withdrawal as the solution. Supervision, training, consultation, referral, and continuity should be matched to the facts.</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Disclosure of inexperience does not establish competence or make the intervention safe.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Immediate termination is overbroad and may create an avoidable continuity problem.</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Supervisor approval does not transfer method-specific competence to the supervisee.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D</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addresses competence, supervision, access, and continuity together.</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Within scope does not mean within competence. Repair the competence gap while protecting continuity.</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sections 4992.3(t)-(u) and 4996.9; applicable ASW supervision law; NASW competence, consultation/referral, and continuity standards. Currency control: Current competence and supervision principles; recheck dependent supervision rules at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2, Lessons 2.4 and 2.6 | Error category: scope mistaken for competence | Flashcard: FC-LS-006</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7 -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CTA-EP-002-LS-Q007</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3 | Lesson 3.2-3.3</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Foundational | Knowledge and Recall</w:t>
            </w:r>
          </w:p>
        </w:tc>
      </w:tr>
      <w:tr>
        <w:trPr>
          <w:cantSplit/>
        </w:trPr>
        <w:tc>
          <w:tcPr>
            <w:tcW w:type="dxa" w:w="10452"/>
            <w:gridSpan w:val="6"/>
            <w:shd w:fill="FFFFFF"/>
          </w:tcPr>
          <w:p>
            <w:pPr>
              <w:spacing w:after="0" w:line="240" w:lineRule="auto"/>
            </w:pPr>
            <w:r/>
            <w:r>
              <w:rPr>
                <w:rFonts w:ascii="Calibri" w:hAnsi="Calibri"/>
                <w:b w:val="0"/>
                <w:i w:val="0"/>
                <w:color w:val="111111"/>
                <w:sz w:val="15"/>
              </w:rPr>
              <w:t>Objective: Apply the 90-day rule only when timing, workplace, supervision, Live Scan, and later-registration conditions are met.</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Which description most accurately states the California ASW 90-day rule for a recent graduate whose degree was awarded after January 1, 2020?</w:t>
      </w:r>
    </w:p>
    <w:p>
      <w:pPr>
        <w:keepLines/>
        <w:spacing w:after="20" w:line="240" w:lineRule="auto"/>
        <w:ind w:left="288" w:hanging="288"/>
      </w:pPr>
      <w:r>
        <w:rPr>
          <w:rFonts w:ascii="Calibri" w:hAnsi="Calibri"/>
          <w:b/>
          <w:i w:val="0"/>
          <w:color w:val="10A79B"/>
          <w:sz w:val="16"/>
        </w:rPr>
        <w:t xml:space="preserve">A. </w:t>
      </w:r>
      <w:r>
        <w:rPr>
          <w:rFonts w:ascii="Calibri" w:hAnsi="Calibri"/>
          <w:b/>
          <w:i w:val="0"/>
          <w:color w:val="111111"/>
          <w:sz w:val="16"/>
        </w:rPr>
        <w:t>The Board must receive the ASW application within 90 days of the degree; registration must later be granted; all experience and supervision rules must be met; and pre-registration hours require qualifying employer Live Scan documentation.</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All postdegree hours count automatically for 90 days after graduation, even if the ASW application is filed later or registration is denied.</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The rule allows the graduate to begin private-practice work before the ASW number is issued as long as an LCSW provides consultation.</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The rule waives registration, supervision, and fingerprinting requirements for nonprofit and county settings.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A </w:t>
            </w:r>
            <w:r>
              <w:rPr>
                <w:rFonts w:ascii="Calibri" w:hAnsi="Calibri"/>
                <w:b w:val="0"/>
                <w:i w:val="0"/>
                <w:color w:val="111111"/>
                <w:sz w:val="16"/>
              </w:rPr>
              <w:t>The 90-day rule is a conditional crediting rule, not temporary registration. Timing, later issuance, supervision, workplace, and Live Scan requirements remain material.</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A</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includes the required timing, later registration, experience/supervision, and Live Scan conditions.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Hours do not count automatically, and later registration is required.</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rule does not authorize private-practice work before registration issuance.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rule does not waive registration, supervision, or fingerprinting conditions.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Remember: the 90-day rule credits qualifying hours; it does not create ASW status or private-practice authority.</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4996.23(b)-(c); BBS ASW FAQ and 90-Day Rule guidance revised January 2026. Currency control: High-change pathway rule; recheck BBS FAQ and current statute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3, Lessons 3.2-3.3 | Error category: crediting rule treated as registration | Flashcard: FC-LS-007</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8 -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CTA-EP-002-LS-Q008</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3 | Lesson 3.4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Sequencing</w:t>
            </w:r>
          </w:p>
        </w:tc>
      </w:tr>
      <w:tr>
        <w:trPr>
          <w:cantSplit/>
        </w:trPr>
        <w:tc>
          <w:tcPr>
            <w:tcW w:type="dxa" w:w="10452"/>
            <w:gridSpan w:val="6"/>
            <w:shd w:fill="FFFFFF"/>
          </w:tcPr>
          <w:p>
            <w:pPr>
              <w:spacing w:after="0" w:line="240" w:lineRule="auto"/>
            </w:pPr>
            <w:r/>
            <w:r>
              <w:rPr>
                <w:rFonts w:ascii="Calibri" w:hAnsi="Calibri"/>
                <w:b w:val="0"/>
                <w:i w:val="0"/>
                <w:color w:val="111111"/>
                <w:sz w:val="15"/>
              </w:rPr>
              <w:t>Objective: Sequence annual registration renewal, California Law and Ethics CE, examination participation, and retake timing accurately.</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ASW has not yet passed the California Law and Ethics Examination and the one-year registration renewal is approaching. Which plan BEST matches the module's current renewal controls?</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Renew without Law and Ethics continuing education because sitting for the examination replaces the education requirement.</w:t>
      </w:r>
    </w:p>
    <w:p>
      <w:pPr>
        <w:keepLines/>
        <w:spacing w:after="20" w:line="240" w:lineRule="auto"/>
        <w:ind w:left="288" w:hanging="288"/>
      </w:pPr>
      <w:r>
        <w:rPr>
          <w:rFonts w:ascii="Calibri" w:hAnsi="Calibri"/>
          <w:b/>
          <w:i w:val="0"/>
          <w:color w:val="10A79B"/>
          <w:sz w:val="16"/>
        </w:rPr>
        <w:t xml:space="preserve">B. </w:t>
      </w:r>
      <w:r>
        <w:rPr>
          <w:rFonts w:ascii="Calibri" w:hAnsi="Calibri"/>
          <w:b/>
          <w:i w:val="0"/>
          <w:color w:val="111111"/>
          <w:sz w:val="16"/>
        </w:rPr>
        <w:t>Complete the required California Law and Ethics education, renew annually, and document at least one examination attempt during the renewal cycle until the examination is passed; observe the 90-day retake interval after an unsuccessful attempt.</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Wait to renew until the examination is passed because an unsuccessful candidate cannot renew an ordinary ASW registration.</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Renew every two years and take the examination only during the final renewal cycle.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B </w:t>
            </w:r>
            <w:r>
              <w:rPr>
                <w:rFonts w:ascii="Calibri" w:hAnsi="Calibri"/>
                <w:b w:val="0"/>
                <w:i w:val="0"/>
                <w:color w:val="111111"/>
                <w:sz w:val="16"/>
              </w:rPr>
              <w:t>The current pathway separates annual renewal, required California Law and Ethics education, the examination-attempt duty until passage, and the retake waiting period.</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Examination participation does not replace the separate education requirement.</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B</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accurately sequences the recurring renewal, education, attempt, and retake controls.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Passage is not stated as a condition for each ordinary annual renewal; the attempt duty applies until passage.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ASW registration is renewed annually, not every two years.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Keep four clocks separate: registration renewal, required education, exam attempt, and 90-day retake.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sections 4992.09(b)-(e), 4996.22, and 4996.28(a); 16 CCR section 1805.05; current BBS registration and re-examination guidance. Currency control: High-change renewal/examination rule;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3, Lesson 3.4 | Error category: pathway clocks collapsed | Flashcard: FC-LS-008</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9 -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CTA-EP-002-LS-Q009</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3 | Lesson 3.5-3.6</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Advanced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Sequence the six-year limit, subsequent registration, examination passage, and independent-practice boundary.</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ASW reaches the end of the six-year registration lifespan, has passed the California Law and Ethics Examination, still needs qualifying experience, and wants to continue in a private practice under a new ASW number. What is the BEST analysis?</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The existing registration may be renewed indefinitely after the examination is passed.</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A subsequent ASW number permits private-practice work because it replaces the original registration.</w:t>
      </w:r>
    </w:p>
    <w:p>
      <w:pPr>
        <w:keepLines/>
        <w:spacing w:after="20" w:line="240" w:lineRule="auto"/>
        <w:ind w:left="288" w:hanging="288"/>
      </w:pPr>
      <w:r>
        <w:rPr>
          <w:rFonts w:ascii="Calibri" w:hAnsi="Calibri"/>
          <w:b/>
          <w:i w:val="0"/>
          <w:color w:val="10A79B"/>
          <w:sz w:val="16"/>
        </w:rPr>
        <w:t xml:space="preserve">C. </w:t>
      </w:r>
      <w:r>
        <w:rPr>
          <w:rFonts w:ascii="Calibri" w:hAnsi="Calibri"/>
          <w:b/>
          <w:i w:val="0"/>
          <w:color w:val="111111"/>
          <w:sz w:val="16"/>
        </w:rPr>
        <w:t>The person may seek a subsequent registration if current requirements are met, but the subsequent number may not be used for private-practice or professional-corporation work, and independent practice still requires LCSW license issuance.</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Passing the California Law and Ethics Examination automatically creates LCSW status when the six-year period ends.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C </w:t>
            </w:r>
            <w:r>
              <w:rPr>
                <w:rFonts w:ascii="Calibri" w:hAnsi="Calibri"/>
                <w:b w:val="0"/>
                <w:i w:val="0"/>
                <w:color w:val="111111"/>
                <w:sz w:val="16"/>
              </w:rPr>
              <w:t>The six-year limit and subsequent-registration rules are distinct from licensure. A later number may allow continued qualifying work in permitted settings but does not authorize private practice or independent LCSW practice.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ordinary registration cannot be renewed beyond the statutory lifespan.</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module identifies a private-practice prohibition for a subsequent ASW number.</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C</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preserves the current subsequent-registration, setting, and licensure boundaries.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Examination passage does not itself issue an LCSW license.</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Do not let “subsequent registration” or “passed exam” become shorthand for private or independent practice.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4996.28(c) (six-year limit and subsequent registration; private-practice prohibition). Currency control: High-change subsequent-registration rule; recheck current law and BBS guidance.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3, Lessons 3.5-3.6 | Error category: subsequent number treated as license | Flashcard: FC-LS-009</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10 -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CTA-EP-002-LS-Q010</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4 | Lesson 4.4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Foundational | Knowledge and Recall</w:t>
            </w:r>
          </w:p>
        </w:tc>
      </w:tr>
      <w:tr>
        <w:trPr>
          <w:cantSplit/>
        </w:trPr>
        <w:tc>
          <w:tcPr>
            <w:tcW w:type="dxa" w:w="10452"/>
            <w:gridSpan w:val="6"/>
            <w:shd w:fill="FFFFFF"/>
          </w:tcPr>
          <w:p>
            <w:pPr>
              <w:spacing w:after="0" w:line="240" w:lineRule="auto"/>
            </w:pPr>
            <w:r/>
            <w:r>
              <w:rPr>
                <w:rFonts w:ascii="Calibri" w:hAnsi="Calibri"/>
                <w:b w:val="0"/>
                <w:i w:val="0"/>
                <w:color w:val="111111"/>
                <w:sz w:val="15"/>
              </w:rPr>
              <w:t>Objective: Identify every required component of current ASW advertising.</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Which advertisement contains the complete minimum ASW status information taught in the module?</w:t>
      </w:r>
    </w:p>
    <w:p>
      <w:pPr>
        <w:keepLines/>
        <w:spacing w:after="20" w:line="240" w:lineRule="auto"/>
        <w:ind w:left="288" w:hanging="288"/>
      </w:pPr>
      <w:r>
        <w:rPr>
          <w:rFonts w:ascii="Calibri" w:hAnsi="Calibri"/>
          <w:b/>
          <w:i w:val="0"/>
          <w:color w:val="10A79B"/>
          <w:sz w:val="16"/>
        </w:rPr>
        <w:t xml:space="preserve">A. </w:t>
      </w:r>
      <w:r>
        <w:rPr>
          <w:rFonts w:ascii="Calibri" w:hAnsi="Calibri"/>
          <w:b/>
          <w:i w:val="0"/>
          <w:color w:val="111111"/>
          <w:sz w:val="16"/>
        </w:rPr>
        <w:t>Full name as filed with BBS; “Registered Associate Clinical Social Worker”; registration number; employer or volunteer entity; and a statement that the ASW is supervised by a licensed person.</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Full name; “ASW”; a number labeled as a license number; and the name of the clinical specialty.</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Full registered title and registration number, with employer and supervision information omitted because the page belongs to the agency.</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Full name; “LCSW Candidate”; employer name; and the supervisor's professional title without an ASW registration number.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A </w:t>
            </w:r>
            <w:r>
              <w:rPr>
                <w:rFonts w:ascii="Calibri" w:hAnsi="Calibri"/>
                <w:b w:val="0"/>
                <w:i w:val="0"/>
                <w:color w:val="111111"/>
                <w:sz w:val="16"/>
              </w:rPr>
              <w:t>Current ASW advertising requires the filed name, full registered title, registration number, employer/volunteer entity, and supervised-status statement.</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A</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includes all module-listed minimum ASW advertising components.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abbreviation alone is insufficient, and a registration number should not be described as a license number.</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Employer authorship does not remove the ASW employer/entity and supervision requirements.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“LCSW Candidate” is not a substitute for the ASW's current registered identity and number.</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Use the ASW advertising checklist: filed name + full title + registration number + entity + supervised status.</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16 CCR section 1811(a)-(b), operative April 1, 2026; BBS Advertising Requirements Fact Sheet and examples. Currency control: Advertising rules effective April 1, 2026; mandatory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4, Lesson 4.4 | Error category: ASW advertising component omitted | Flashcard: FC-LS-010</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11 -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CTA-EP-002-LS-Q011</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4 | Lesson 3.3 and 4.4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Evaluate pending-registration representation for status confusion or incomplete disclosure.</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 graduate has submitted an ASW application, but the Board has not issued a registration number. The clinic wants the website to say “Taylor Nguyen, ASW” because the person is working under the 90-day rule. What is the BEST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Use “ASW” because a timely application creates temporary registered status.</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Use “Clinical Social Worker” without any status statement because the clinic is supervising the graduate.</w:t>
      </w:r>
    </w:p>
    <w:p>
      <w:pPr>
        <w:keepLines/>
        <w:spacing w:after="20" w:line="240" w:lineRule="auto"/>
        <w:ind w:left="288" w:hanging="288"/>
      </w:pPr>
      <w:r>
        <w:rPr>
          <w:rFonts w:ascii="Calibri" w:hAnsi="Calibri"/>
          <w:b/>
          <w:i w:val="0"/>
          <w:color w:val="10A79B"/>
          <w:sz w:val="16"/>
        </w:rPr>
        <w:t xml:space="preserve">C. </w:t>
      </w:r>
      <w:r>
        <w:rPr>
          <w:rFonts w:ascii="Calibri" w:hAnsi="Calibri"/>
          <w:b/>
          <w:i w:val="0"/>
          <w:color w:val="111111"/>
          <w:sz w:val="16"/>
        </w:rPr>
        <w:t>Do not claim ASW registration; use an accurate pending, unlicensed, and supervised description that does not imply independent registration or licensure, then update all advertising after the number is issued.</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Create a temporary registration number for the website and replace it when the Board issues the official number.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C </w:t>
            </w:r>
            <w:r>
              <w:rPr>
                <w:rFonts w:ascii="Calibri" w:hAnsi="Calibri"/>
                <w:b w:val="0"/>
                <w:i w:val="0"/>
                <w:color w:val="111111"/>
                <w:sz w:val="16"/>
              </w:rPr>
              <w:t>The 90-day rule may allow later credit for qualifying hours, but it does not make the applicant a registered ASW before issuance.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timely application does not itself create registered status.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Omitting status can still mislead the public about licensure and supervision.</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C</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preserves accurate present status and anticipates the required update after issuance.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clinician or employer may not invent a Board registration number.</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Pending is not registered. Describe the present status accurately and update the record when status changes.</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4996.23(b); 16 CCR section 1811; BBS 90-Day Rule, ASW FAQ, and pending-registration advertising guidance. Currency control: Advertising guidance revised March 2026; mandatory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4, Lessons 3.3 and 4.4 | Error category: 90-day rule treated as title authority | Flashcard: FC-LS-011</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12 -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CTA-EP-002-LS-Q012</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4 | Lesson 4.2 and 4.5</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Moderate | First-Step</w:t>
            </w:r>
          </w:p>
        </w:tc>
      </w:tr>
      <w:tr>
        <w:trPr>
          <w:cantSplit/>
        </w:trPr>
        <w:tc>
          <w:tcPr>
            <w:tcW w:type="dxa" w:w="10452"/>
            <w:gridSpan w:val="6"/>
            <w:shd w:fill="FFFFFF"/>
          </w:tcPr>
          <w:p>
            <w:pPr>
              <w:spacing w:after="0" w:line="240" w:lineRule="auto"/>
            </w:pPr>
            <w:r/>
            <w:r>
              <w:rPr>
                <w:rFonts w:ascii="Calibri" w:hAnsi="Calibri"/>
                <w:b w:val="0"/>
                <w:i w:val="0"/>
                <w:color w:val="111111"/>
                <w:sz w:val="15"/>
              </w:rPr>
              <w:t>Objective: Evaluate employer-created and digital content for misleading omissions and select prompt correction.</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employer posts “Jordan Patel, ASW, Trauma Therapist.” The page lists Jordan's registration number but omits the full registered title, the employer or volunteer entity within the profile, and the supervised-status statement. Jordan notices the page after a client mentions it. What should Jordan do FIRST?</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Ignore the profile because the employer, not Jordan, authored it.</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Wait until the next annual website review so all staff profiles can be updated together.</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Give the client a complete verbal disclosure at the next session and leave the public page unchanged.</w:t>
      </w:r>
    </w:p>
    <w:p>
      <w:pPr>
        <w:keepLines/>
        <w:spacing w:after="20" w:line="240" w:lineRule="auto"/>
        <w:ind w:left="288" w:hanging="288"/>
      </w:pPr>
      <w:r>
        <w:rPr>
          <w:rFonts w:ascii="Calibri" w:hAnsi="Calibri"/>
          <w:b/>
          <w:i w:val="0"/>
          <w:color w:val="10A79B"/>
          <w:sz w:val="16"/>
        </w:rPr>
        <w:t xml:space="preserve">D. </w:t>
      </w:r>
      <w:r>
        <w:rPr>
          <w:rFonts w:ascii="Calibri" w:hAnsi="Calibri"/>
          <w:b/>
          <w:i w:val="0"/>
          <w:color w:val="111111"/>
          <w:sz w:val="16"/>
        </w:rPr>
        <w:t>Promptly contain and correct the continuing public misrepresentation, then communicate with the employer, document the response, assess impact, and repair the process that produced the error.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D </w:t>
            </w:r>
            <w:r>
              <w:rPr>
                <w:rFonts w:ascii="Calibri" w:hAnsi="Calibri"/>
                <w:b w:val="0"/>
                <w:i w:val="0"/>
                <w:color w:val="111111"/>
                <w:sz w:val="16"/>
              </w:rPr>
              <w:t>Known misleading public content is an active problem. Employer authorship does not remove the clinician's responsibility to correct it promptly.</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clinician cannot avoid responsibility for known employer-produced advertising.</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Delaying allows the misrepresentation to continue.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private disclosure to one client does not correct the public-facing advertisement.</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D</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sequences containment first and then communication, documentation, impact review, and system repair.</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When public misrepresentation is active and known, contain and correct it before routine policy repair.</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16 CCR section 1811; BPC sections 4992.3(g) and 4992.3(q); BBS Advertising Requirements Fact Sheet effective April 1, 2026. Currency control: Advertising rules effective April 1, 2026; mandatory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4, Lessons 4.2 and 4.5 | Error category: employer authorship treated as defense | Flashcard: FC-LS-012</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13 -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CTA-EP-002-LS-Q013</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4 | Lesson 4.6</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Advanced | First-Step</w:t>
            </w:r>
          </w:p>
        </w:tc>
      </w:tr>
      <w:tr>
        <w:trPr>
          <w:cantSplit/>
        </w:trPr>
        <w:tc>
          <w:tcPr>
            <w:tcW w:type="dxa" w:w="10452"/>
            <w:gridSpan w:val="6"/>
            <w:shd w:fill="FFFFFF"/>
          </w:tcPr>
          <w:p>
            <w:pPr>
              <w:spacing w:after="0" w:line="240" w:lineRule="auto"/>
            </w:pPr>
            <w:r/>
            <w:r>
              <w:rPr>
                <w:rFonts w:ascii="Calibri" w:hAnsi="Calibri"/>
                <w:b w:val="0"/>
                <w:i w:val="0"/>
                <w:color w:val="111111"/>
                <w:sz w:val="15"/>
              </w:rPr>
              <w:t>Objective: Apply telehealth identity, current location, safety, jurisdiction, supervision, privacy, and continuity controls.</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At the start of a scheduled video session, an ASW learns that the client is temporarily staying in another state. The client is distressed but denies an immediate emergency, and the ASW has not verified whether practice is lawful in that location. What should the ASW do FIRST?</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Proceed with routine psychotherapy because the treatment relationship began while the client was in California.</w:t>
      </w:r>
    </w:p>
    <w:p>
      <w:pPr>
        <w:keepLines/>
        <w:spacing w:after="20" w:line="240" w:lineRule="auto"/>
        <w:ind w:left="288" w:hanging="288"/>
      </w:pPr>
      <w:r>
        <w:rPr>
          <w:rFonts w:ascii="Calibri" w:hAnsi="Calibri"/>
          <w:b/>
          <w:i w:val="0"/>
          <w:color w:val="10A79B"/>
          <w:sz w:val="16"/>
        </w:rPr>
        <w:t xml:space="preserve">B. </w:t>
      </w:r>
      <w:r>
        <w:rPr>
          <w:rFonts w:ascii="Calibri" w:hAnsi="Calibri"/>
          <w:b/>
          <w:i w:val="0"/>
          <w:color w:val="111111"/>
          <w:sz w:val="16"/>
        </w:rPr>
        <w:t>Verify the client's current location, immediate safety, jurisdictional authority, supervision requirements, and available emergency resources before providing routine psychotherapy, while using a lawful continuity plan.</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End the professional relationship immediately because any interstate travel permanently terminates telehealth treatment.</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Use the client's California home address as the service location so the scheduled session can continue.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B </w:t>
            </w:r>
            <w:r>
              <w:rPr>
                <w:rFonts w:ascii="Calibri" w:hAnsi="Calibri"/>
                <w:b w:val="0"/>
                <w:i w:val="0"/>
                <w:color w:val="111111"/>
                <w:sz w:val="16"/>
              </w:rPr>
              <w:t>The ASW must resolve actual location, risk, authority, supervision, emergency planning, and continuity. A prior relationship or home address does not establish present authority.</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preexisting relationship does not waive current jurisdictional requirements.</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B</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addresses the immediate factual, legal, safety, supervision, and continuity questions in the proper sequence.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Immediate permanent termination is overbroad and may create avoidable abandonment or continuity problems.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client's current physical location, not a preferred address, controls the jurisdictional inquiry.</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Telehealth begins with present location and safety, then authority, supervision, privacy, and continuity.</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16 CCR section 1815.5(d)-(e), effective January 1, 2026; BPC section 2290.5; law of the jurisdiction where the client is physically located; NASW technology, competence, and continuity standards. Currency control: Telehealth regulations effective January 1, 2026; mandatory jurisdiction and source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4, Lesson 4.6 | Error category: home state treated as current location | Flashcard: FC-LS-013</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14 -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5 | Lesson 5.1 and 5.3</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Foundational | Concept Distinction</w:t>
            </w:r>
          </w:p>
        </w:tc>
      </w:tr>
      <w:tr>
        <w:trPr>
          <w:cantSplit/>
        </w:trPr>
        <w:tc>
          <w:tcPr>
            <w:tcW w:type="dxa" w:w="10452"/>
            <w:gridSpan w:val="6"/>
            <w:shd w:fill="FFFFFF"/>
          </w:tcPr>
          <w:p>
            <w:pPr>
              <w:spacing w:after="0" w:line="240" w:lineRule="auto"/>
            </w:pPr>
            <w:r/>
            <w:r>
              <w:rPr>
                <w:rFonts w:ascii="Calibri" w:hAnsi="Calibri"/>
                <w:b w:val="0"/>
                <w:i w:val="0"/>
                <w:color w:val="111111"/>
                <w:sz w:val="15"/>
              </w:rPr>
              <w:t>Objective: Determine whether an ASW arrangement is lawful employee or volunteer service rather than independent contracting.</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 private-practice owner offers an ASW a 1099 contractor position and promises weekly supervision. Which response BEST reflects the module?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Accept because tax classification does not matter when a qualified supervisor is available.</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Accept if the ASW signs a supervision agreement and limits the caseload to six clients.</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Form a separate business entity so the contractor arrangement becomes an approved professional corporation structure.</w:t>
      </w:r>
    </w:p>
    <w:p>
      <w:pPr>
        <w:keepLines/>
        <w:spacing w:after="20" w:line="240" w:lineRule="auto"/>
        <w:ind w:left="288" w:hanging="288"/>
      </w:pPr>
      <w:r>
        <w:rPr>
          <w:rFonts w:ascii="Calibri" w:hAnsi="Calibri"/>
          <w:b/>
          <w:i w:val="0"/>
          <w:color w:val="10A79B"/>
          <w:sz w:val="16"/>
        </w:rPr>
        <w:t xml:space="preserve">D. </w:t>
      </w:r>
      <w:r>
        <w:rPr>
          <w:rFonts w:ascii="Calibri" w:hAnsi="Calibri"/>
          <w:b/>
          <w:i w:val="0"/>
          <w:color w:val="111111"/>
          <w:sz w:val="16"/>
        </w:rPr>
        <w:t>Do not begin under the contractor arrangement; the work must be restructured as lawful employee or volunteer service with all setting, supervision, oversight, and documentation requirements satisfied.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D </w:t>
            </w:r>
            <w:r>
              <w:rPr>
                <w:rFonts w:ascii="Calibri" w:hAnsi="Calibri"/>
                <w:b w:val="0"/>
                <w:i w:val="0"/>
                <w:color w:val="111111"/>
                <w:sz w:val="16"/>
              </w:rPr>
              <w:t>An ASW may provide services as an employee or volunteer, not as an independent contractor. Supervision does not cure the wrong legal structure.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contractor structure is not made lawful merely by available supervision.</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Agreements and caseload size do not convert independent contracting into employment or volunteer service.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An ASW cannot create independent-practice authority by forming a business entity.</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D</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addresses the legal work relationship and the dependent supervision and oversight requirements.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Ask employment or volunteer first; supervision is necessary but does not repair an independent-contractor structure.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4996.23.2(a)-(c) (employee/volunteer status, private-practice timing, and acceptable settings); BBS ASW FAQ. Currency control: Current employment/volunteer rule;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5, Lessons 5.1 and 5.3 | Error category: supervision treated as cure-all | Flashcard: FC-LS-014</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15 -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CTA-EP-002-LS-Q015</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5 | Lesson 5.7</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First-Step</w:t>
            </w:r>
          </w:p>
        </w:tc>
      </w:tr>
      <w:tr>
        <w:trPr>
          <w:cantSplit/>
        </w:trPr>
        <w:tc>
          <w:tcPr>
            <w:tcW w:type="dxa" w:w="10452"/>
            <w:gridSpan w:val="6"/>
            <w:shd w:fill="FFFFFF"/>
          </w:tcPr>
          <w:p>
            <w:pPr>
              <w:spacing w:after="0" w:line="240" w:lineRule="auto"/>
            </w:pPr>
            <w:r/>
            <w:r>
              <w:rPr>
                <w:rFonts w:ascii="Calibri" w:hAnsi="Calibri"/>
                <w:b w:val="0"/>
                <w:i w:val="0"/>
                <w:color w:val="111111"/>
                <w:sz w:val="15"/>
              </w:rPr>
              <w:t>Objective: Identify prohibited direct-client-payment and employer-obligation arrangements.</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agency billing system fails. The supervisor instructs an ASW to accept direct electronic payments from clients for two weeks, save the receipts, and transfer the money to the agency later. What should the ASW do FIRST?</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Accept the payments because preserving appointments is more important than the temporary payment route.</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Collect cash instead of electronic payments so the arrangement is easier to document.</w:t>
      </w:r>
    </w:p>
    <w:p>
      <w:pPr>
        <w:keepLines/>
        <w:spacing w:after="20" w:line="240" w:lineRule="auto"/>
        <w:ind w:left="288" w:hanging="288"/>
      </w:pPr>
      <w:r>
        <w:rPr>
          <w:rFonts w:ascii="Calibri" w:hAnsi="Calibri"/>
          <w:b/>
          <w:i w:val="0"/>
          <w:color w:val="10A79B"/>
          <w:sz w:val="16"/>
        </w:rPr>
        <w:t xml:space="preserve">C. </w:t>
      </w:r>
      <w:r>
        <w:rPr>
          <w:rFonts w:ascii="Calibri" w:hAnsi="Calibri"/>
          <w:b/>
          <w:i w:val="0"/>
          <w:color w:val="111111"/>
          <w:sz w:val="16"/>
        </w:rPr>
        <w:t>Stop the direct-client-payment arrangement and coordinate with the employer and supervisor on a lawful continuity and billing plan that does not require the ASW to receive client remuneration.</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Ask clients to pay the supervisor personally until the agency system is restored.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C </w:t>
            </w:r>
            <w:r>
              <w:rPr>
                <w:rFonts w:ascii="Calibri" w:hAnsi="Calibri"/>
                <w:b w:val="0"/>
                <w:i w:val="0"/>
                <w:color w:val="111111"/>
                <w:sz w:val="16"/>
              </w:rPr>
              <w:t>An ASW may not receive remuneration directly from clients and, when paid, is paid by the employer. Continuity must be designed around that boundary rather than used to excuse it.</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temporary business problem does not authorize direct client remuneration to the ASW.</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Cash remains direct payment from the client to the ASW.</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C</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stops the prohibited route and preserves continuity through the employer's lawful billing structure.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Personal payment to the supervisor is not a substitute for employer-managed billing.</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When a known payment structure is prohibited, stop it first and then build lawful continuity.</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4996.23.2(h)-(i) (no remuneration directly from clients; employer payment and proprietary-interest limits). Currency control: Current payment rule; recheck statutory text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5, Lesson 5.7 | Error category: continuity used to excuse direct payment | Flashcard: FC-LS-015</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16 -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CTA-EP-002-LS-Q016</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5 | Lesson 5.5</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Application</w:t>
            </w:r>
          </w:p>
        </w:tc>
      </w:tr>
      <w:tr>
        <w:trPr>
          <w:cantSplit/>
        </w:trPr>
        <w:tc>
          <w:tcPr>
            <w:tcW w:type="dxa" w:w="10452"/>
            <w:gridSpan w:val="6"/>
            <w:shd w:fill="FFFFFF"/>
          </w:tcPr>
          <w:p>
            <w:pPr>
              <w:spacing w:after="0" w:line="240" w:lineRule="auto"/>
            </w:pPr>
            <w:r/>
            <w:r>
              <w:rPr>
                <w:rFonts w:ascii="Calibri" w:hAnsi="Calibri"/>
                <w:b w:val="0"/>
                <w:i w:val="0"/>
                <w:color w:val="111111"/>
                <w:sz w:val="15"/>
              </w:rPr>
              <w:t>Objective: Calculate required direct supervisor contact for each setting and week.</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During one week in one setting, an ASW performs 14 hours of qualifying clinical psychosocial diagnosis, assessment, and treatment and receives one hour of individual supervision. What supervision issue must be corrected?</w:t>
      </w:r>
    </w:p>
    <w:p>
      <w:pPr>
        <w:keepLines/>
        <w:spacing w:after="20" w:line="240" w:lineRule="auto"/>
        <w:ind w:left="288" w:hanging="288"/>
      </w:pPr>
      <w:r>
        <w:rPr>
          <w:rFonts w:ascii="Calibri" w:hAnsi="Calibri"/>
          <w:b/>
          <w:i w:val="0"/>
          <w:color w:val="10A79B"/>
          <w:sz w:val="16"/>
        </w:rPr>
        <w:t xml:space="preserve">A. </w:t>
      </w:r>
      <w:r>
        <w:rPr>
          <w:rFonts w:ascii="Calibri" w:hAnsi="Calibri"/>
          <w:b/>
          <w:i w:val="0"/>
          <w:color w:val="111111"/>
          <w:sz w:val="16"/>
        </w:rPr>
        <w:t>An additional hour of qualifying direct supervisor contact is required in that same week because the ASW performed more than 10 qualifying clinical-service hours in the setting.</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The missing supervision may be added during the following week as long as the monthly total is sufficient.</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One hour is sufficient because a second hour is not required until the ASW exceeds 20 clinical-service hours.</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All supervision must be individual; triadic or properly constituted group supervision can never satisfy any part of the requirement.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A </w:t>
            </w:r>
            <w:r>
              <w:rPr>
                <w:rFonts w:ascii="Calibri" w:hAnsi="Calibri"/>
                <w:b w:val="0"/>
                <w:i w:val="0"/>
                <w:color w:val="111111"/>
                <w:sz w:val="16"/>
              </w:rPr>
              <w:t>The module requires one hour in each week and setting in which experience is credited, with an additional hour when more than 10 qualifying clinical-service hours are performed. The additional contact must occur in the same week.</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A</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applies both the more-than-10-hours trigger and the same-week requirement.</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Direct supervisor contact must occur in the same week as the hours claimed.</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trigger is more than 10 qualifying hours, not more than 20.</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Proper individual, triadic, or group equivalents may be used as allowed; the issue here is the amount and timing.</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Calculate supervision by week and setting, then check whether qualifying clinical hours exceed 10.</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4996.23.1(a)(1)-(2); BBS ASW FAQ supervision-ratio guidance revised January 2026. Currency control: Current supervision-ratio rule; mandatory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5, Lesson 5.5 | Error category: supervision averaged across weeks | Flashcard: FC-LS-016</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17 -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CTA-EP-002-LS-Q017</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5 | Lesson 5.4 plus Unit 2 competence control</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Advanced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Distinguish supervision from permission to practice beyond competence and protect the client when supervision is inadequate.</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 supervisor orders an ASW to complete a specialized forensic evaluation outside the ASW's training and says the supervisor's signature will make the service acceptable. What is the BEST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Complete the evaluation because a supervisor assumes all responsibility for the supervisee's professional decisions.</w:t>
      </w:r>
    </w:p>
    <w:p>
      <w:pPr>
        <w:keepLines/>
        <w:spacing w:after="20" w:line="240" w:lineRule="auto"/>
        <w:ind w:left="288" w:hanging="288"/>
      </w:pPr>
      <w:r>
        <w:rPr>
          <w:rFonts w:ascii="Calibri" w:hAnsi="Calibri"/>
          <w:b/>
          <w:i w:val="0"/>
          <w:color w:val="10A79B"/>
          <w:sz w:val="16"/>
        </w:rPr>
        <w:t xml:space="preserve">B. </w:t>
      </w:r>
      <w:r>
        <w:rPr>
          <w:rFonts w:ascii="Calibri" w:hAnsi="Calibri"/>
          <w:b/>
          <w:i w:val="0"/>
          <w:color w:val="111111"/>
          <w:sz w:val="16"/>
        </w:rPr>
        <w:t>Identify the competence and role problem, decline or limit the unsafe assignment, seek appropriate supervision or consultation, arrange qualified referral or coverage, document the response, and escalate if client or public protection remains at risk.</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Use the supervisor's name as the evaluator and complete the report without identifying the ASW's role.</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Resign immediately without addressing the client's current needs or the pending evaluation.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B </w:t>
            </w:r>
            <w:r>
              <w:rPr>
                <w:rFonts w:ascii="Calibri" w:hAnsi="Calibri"/>
                <w:b w:val="0"/>
                <w:i w:val="0"/>
                <w:color w:val="111111"/>
                <w:sz w:val="16"/>
              </w:rPr>
              <w:t>Supervision is an accountability structure, not permission to misrepresent role or perform beyond competence. The response should protect the client, preserve continuity, and use escalation proportionate to the risk.</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Supervision does not eliminate the ASW's responsibility to identify and respond to a competence limit.</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B</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addresses competence, role, client protection, continuity, documentation, and escalation in a defensible sequence.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Concealing the ASW's role creates additional integrity and representation problems.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Immediate resignation without continuity planning is overbroad and may leave the client or system unprotected.</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Supervisor direction does not replace competence, role clarity, or client protection.</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sections 4992.3(t)-(u), 4996.9, 4996.23.1, and 4996.23.2; NASW competence, supervision, integrity, and client-welfare standards. Currency control: Current competence/supervision principles; recheck dependent rules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5, Lesson 5.4 and Unit 2, Lesson 2.4 | Error category: supervision mistaken for transferred competence | Flashcard: FC-LS-017</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18 -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CTA-EP-002-LS-Q018</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6 | Lesson 6.4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Foundational | Knowledge and Recall</w:t>
            </w:r>
          </w:p>
        </w:tc>
      </w:tr>
      <w:tr>
        <w:trPr>
          <w:cantSplit/>
        </w:trPr>
        <w:tc>
          <w:tcPr>
            <w:tcW w:type="dxa" w:w="10452"/>
            <w:gridSpan w:val="6"/>
            <w:shd w:fill="FFFFFF"/>
          </w:tcPr>
          <w:p>
            <w:pPr>
              <w:spacing w:after="0" w:line="240" w:lineRule="auto"/>
            </w:pPr>
            <w:r/>
            <w:r>
              <w:rPr>
                <w:rFonts w:ascii="Calibri" w:hAnsi="Calibri"/>
                <w:b w:val="0"/>
                <w:i w:val="0"/>
                <w:color w:val="111111"/>
                <w:sz w:val="15"/>
              </w:rPr>
              <w:t>Objective: Recognize the module's California LCSW record-retention minimums.</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Which statement accurately reflects the California LCSW health-service record-retention minimum taught in the module?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Retain every record for five years after the final session, regardless of the client's age.</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Retain adult records for seven years from the first session and minor records until the client reaches age 18.</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Follow the employer's destruction schedule even when it is shorter than the applicable professional minimum.</w:t>
      </w:r>
    </w:p>
    <w:p>
      <w:pPr>
        <w:keepLines/>
        <w:spacing w:after="20" w:line="240" w:lineRule="auto"/>
        <w:ind w:left="288" w:hanging="288"/>
      </w:pPr>
      <w:r>
        <w:rPr>
          <w:rFonts w:ascii="Calibri" w:hAnsi="Calibri"/>
          <w:b/>
          <w:i w:val="0"/>
          <w:color w:val="10A79B"/>
          <w:sz w:val="16"/>
        </w:rPr>
        <w:t xml:space="preserve">D. </w:t>
      </w:r>
      <w:r>
        <w:rPr>
          <w:rFonts w:ascii="Calibri" w:hAnsi="Calibri"/>
          <w:b/>
          <w:i w:val="0"/>
          <w:color w:val="111111"/>
          <w:sz w:val="16"/>
        </w:rPr>
        <w:t>Retain adult records for at least seven years after therapy terminates; for a minor, the minimum period runs seven years from the date the client reaches age 18.</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D </w:t>
            </w:r>
            <w:r>
              <w:rPr>
                <w:rFonts w:ascii="Calibri" w:hAnsi="Calibri"/>
                <w:b w:val="0"/>
                <w:i w:val="0"/>
                <w:color w:val="111111"/>
                <w:sz w:val="16"/>
              </w:rPr>
              <w:t>The module states a seven-year post-termination minimum for adults and a seven-year-from-age-18 minimum for minors.</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Five years is shorter than the module's stated minimum.</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adult period runs from termination, and the minor period extends beyond age 18.</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Employer policy cannot shorten a controlling professional minimum.</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D</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states both adult and minor calculations as taught.</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Anchor the calculation to termination for adults and to the client reaching age 18 for minors.</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4993(a)-(b) (LCSW client-record retention). Source-control correction from the blueprint label BPC 4996.9; the stem, options, key, and rationale are unchanged. Currency control: Current statutory minimum; recheck statute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6, Lesson 6.4 | Error category: retention clock started at wrong event | Flashcard: FC-LS-018</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19 -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CTA-EP-002-LS-Q019</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6 | Lesson 6.3</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Recognize improper referral compensation and distinguish it from payment for actual professional services.</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 treatment center offers an LCSW $200 for every client referred to the center. The LCSW would provide no consultation, assessment, or other professional service connected to the payment. What is the MOST appropriate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Accept the payment if the client is told about it before the referral is made.</w:t>
      </w:r>
    </w:p>
    <w:p>
      <w:pPr>
        <w:keepLines/>
        <w:spacing w:after="20" w:line="240" w:lineRule="auto"/>
        <w:ind w:left="288" w:hanging="288"/>
      </w:pPr>
      <w:r>
        <w:rPr>
          <w:rFonts w:ascii="Calibri" w:hAnsi="Calibri"/>
          <w:b/>
          <w:i w:val="0"/>
          <w:color w:val="10A79B"/>
          <w:sz w:val="16"/>
        </w:rPr>
        <w:t xml:space="preserve">B. </w:t>
      </w:r>
      <w:r>
        <w:rPr>
          <w:rFonts w:ascii="Calibri" w:hAnsi="Calibri"/>
          <w:b/>
          <w:i w:val="0"/>
          <w:color w:val="111111"/>
          <w:sz w:val="16"/>
        </w:rPr>
        <w:t>Decline the referral payment, preserve the client's informed choice, and use compensation only when it reflects an actual professional service and is handled with the required transparency.</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Accept the payment and donate it to a client-assistance fund so the LCSW does not personally benefit.</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Accept the payment only for former clients because the professional relationship has ended.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B </w:t>
            </w:r>
            <w:r>
              <w:rPr>
                <w:rFonts w:ascii="Calibri" w:hAnsi="Calibri"/>
                <w:b w:val="0"/>
                <w:i w:val="0"/>
                <w:color w:val="111111"/>
                <w:sz w:val="16"/>
              </w:rPr>
              <w:t>Disclosure or donation does not convert a payment for referrals into payment for actual professional services. The referral should remain based on client need and informed choice.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Disclosure alone does not cure consideration paid solely for the referral.</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B</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separates improper referral compensation from legitimate payment for actual disclosed professional services.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Donating the money does not change the nature of the payment arrangement.</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Former-client status does not create permission to accept a referral fee without a professional service.</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Ask what service supports the payment. A referral itself is not the professional service.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 4992.3(p) (referral compensation must relate to professional counseling services actually provided); NASW client-interest and conflict-of-interest standards. Currency control: Current fee/referral rule; recheck applicable statute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6, Lesson 6.3 | Error category: disclosure treated as cure for referral payment | Flashcard: FC-LS-019</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20 -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CTA-EP-002-LS-Q020</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6 | Lesson 6.5</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Advanced | First-Step</w:t>
            </w:r>
          </w:p>
        </w:tc>
      </w:tr>
      <w:tr>
        <w:trPr>
          <w:cantSplit/>
        </w:trPr>
        <w:tc>
          <w:tcPr>
            <w:tcW w:type="dxa" w:w="10452"/>
            <w:gridSpan w:val="6"/>
            <w:shd w:fill="FFFFFF"/>
          </w:tcPr>
          <w:p>
            <w:pPr>
              <w:spacing w:after="0" w:line="240" w:lineRule="auto"/>
            </w:pPr>
            <w:r/>
            <w:r>
              <w:rPr>
                <w:rFonts w:ascii="Calibri" w:hAnsi="Calibri"/>
                <w:b w:val="0"/>
                <w:i w:val="0"/>
                <w:color w:val="111111"/>
                <w:sz w:val="15"/>
              </w:rPr>
              <w:t>Objective: Select prompt containment, client protection, consultation, correction, documentation, and continuity responses when functioning is impaired.</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LCSW experiencing medication-related sedation emails a draft assessment summary to the wrong client and notices the error minutes later. Another clinical appointment is scheduled in 30 minutes. What should occur FIRST?</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Complete the remaining appointment schedule and address the disclosure after the workday ends.</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Delete the sent message from the LCSW's account and continue working because the error was noticed quickly.</w:t>
      </w:r>
    </w:p>
    <w:p>
      <w:pPr>
        <w:keepLines/>
        <w:spacing w:after="20" w:line="240" w:lineRule="auto"/>
        <w:ind w:left="288" w:hanging="288"/>
      </w:pPr>
      <w:r>
        <w:rPr>
          <w:rFonts w:ascii="Calibri" w:hAnsi="Calibri"/>
          <w:b/>
          <w:i w:val="0"/>
          <w:color w:val="10A79B"/>
          <w:sz w:val="16"/>
        </w:rPr>
        <w:t xml:space="preserve">C. </w:t>
      </w:r>
      <w:r>
        <w:rPr>
          <w:rFonts w:ascii="Calibri" w:hAnsi="Calibri"/>
          <w:b/>
          <w:i w:val="0"/>
          <w:color w:val="111111"/>
          <w:sz w:val="16"/>
        </w:rPr>
        <w:t>Contain the disclosure, stop or limit unsafe practice, obtain assistance and coverage, assess required notification or reporting steps, and document the response and continuity plan.</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Wait until a routine supervision meeting because medication effects are private health information.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C </w:t>
            </w:r>
            <w:r>
              <w:rPr>
                <w:rFonts w:ascii="Calibri" w:hAnsi="Calibri"/>
                <w:b w:val="0"/>
                <w:i w:val="0"/>
                <w:color w:val="111111"/>
                <w:sz w:val="16"/>
              </w:rPr>
              <w:t>The scenario presents both an active disclosure and evidence of current unsafe functioning. Immediate containment and prevention of a second client-safety error come before routine scheduling or delayed consultation.</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Continuing to practice while current impairment is affecting performance creates additional risk.</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Deleting a local copy does not contain a message already sent or address the impairment.</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C</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integrates containment, impairment response, assistance, continuity, notification analysis, and documentation.</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Privacy about the clinician's health does not justify delaying immediate client-protection steps.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When impairment and a confidentiality incident are both active, contain and protect before routine consultation.</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sections 4992.3(c)-(d), 4992.3(n), and 4992.3(w); applicable incident-notification law; NASW impairment, competence, confidentiality, and client-protection standards. Currency control: Privacy applicability may vary by setting;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6, Lesson 6.5 | Error category: private cause used to delay public protection | Flashcard: FC-LS-020</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21 -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CTA-EP-002-LS-Q021</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7 | Lesson 7.1</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Foundational | Concept Distinction</w:t>
            </w:r>
          </w:p>
        </w:tc>
      </w:tr>
      <w:tr>
        <w:trPr>
          <w:cantSplit/>
        </w:trPr>
        <w:tc>
          <w:tcPr>
            <w:tcW w:type="dxa" w:w="10452"/>
            <w:gridSpan w:val="6"/>
            <w:shd w:fill="FFFFFF"/>
          </w:tcPr>
          <w:p>
            <w:pPr>
              <w:spacing w:after="0" w:line="240" w:lineRule="auto"/>
            </w:pPr>
            <w:r/>
            <w:r>
              <w:rPr>
                <w:rFonts w:ascii="Calibri" w:hAnsi="Calibri"/>
                <w:b w:val="0"/>
                <w:i w:val="0"/>
                <w:color w:val="111111"/>
                <w:sz w:val="15"/>
              </w:rPr>
              <w:t>Objective: Apply the NASW ethical framework while distinguishing it from California legal mandates.</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Which statement BEST describes the relationship between the NASW Code of Ethics and California law in the module?</w:t>
      </w:r>
    </w:p>
    <w:p>
      <w:pPr>
        <w:keepLines/>
        <w:spacing w:after="20" w:line="240" w:lineRule="auto"/>
        <w:ind w:left="288" w:hanging="288"/>
      </w:pPr>
      <w:r>
        <w:rPr>
          <w:rFonts w:ascii="Calibri" w:hAnsi="Calibri"/>
          <w:b/>
          <w:i w:val="0"/>
          <w:color w:val="10A79B"/>
          <w:sz w:val="16"/>
        </w:rPr>
        <w:t xml:space="preserve">A. </w:t>
      </w:r>
      <w:r>
        <w:rPr>
          <w:rFonts w:ascii="Calibri" w:hAnsi="Calibri"/>
          <w:b/>
          <w:i w:val="0"/>
          <w:color w:val="111111"/>
          <w:sz w:val="16"/>
        </w:rPr>
        <w:t>The NASW Code guides professional reasoning and may set broader ethical expectations, while current law and regulation control legal mandates and limits.</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The NASW Code automatically overrides any California law that appears less protective of the client.</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Once minimum legal compliance is achieved, no additional ethical analysis is necessary.</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Employer policy determines whether the social worker should follow law or the NASW Code in a particular case.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A </w:t>
            </w:r>
            <w:r>
              <w:rPr>
                <w:rFonts w:ascii="Calibri" w:hAnsi="Calibri"/>
                <w:b w:val="0"/>
                <w:i w:val="0"/>
                <w:color w:val="111111"/>
                <w:sz w:val="16"/>
              </w:rPr>
              <w:t>Law and professional ethics are separate source classes. Legal compliance may not exhaust ethical responsibility, but ethics does not create legal authority to disregard a mandate.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A</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preserves both the controlling legal role of law and the broader professional role of ethics.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Ethical preference does not automatically override legal mandates or limits.</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Minimum legal compliance can leave additional ethical questions about dignity, autonomy, equity, confidentiality, and continuity.</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Employer policy is subordinate to controlling law and independent professional obligations.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Separate the questions: what does law require, and what does ethical practice require within that lawful boundary?</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NASW Code of Ethics, Purpose and Ethical Standards; applicable California law and regulation remain separately controlling for legal duties. Currency control: NASW current 2021 update and current California law; recheck at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7, Lesson 7.1 | Error category: law and ethics collapsed | Flashcard: FC-LS-021</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22 -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CTA-EP-002-LS-Q022</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7 | Lesson 7.2 and 7.4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Moderate | Scenario-Based</w:t>
            </w:r>
          </w:p>
        </w:tc>
      </w:tr>
      <w:tr>
        <w:trPr>
          <w:cantSplit/>
        </w:trPr>
        <w:tc>
          <w:tcPr>
            <w:tcW w:type="dxa" w:w="10452"/>
            <w:gridSpan w:val="6"/>
            <w:shd w:fill="FFFFFF"/>
          </w:tcPr>
          <w:p>
            <w:pPr>
              <w:spacing w:after="0" w:line="240" w:lineRule="auto"/>
            </w:pPr>
            <w:r/>
            <w:r>
              <w:rPr>
                <w:rFonts w:ascii="Calibri" w:hAnsi="Calibri"/>
                <w:b w:val="0"/>
                <w:i w:val="0"/>
                <w:color w:val="111111"/>
                <w:sz w:val="15"/>
              </w:rPr>
              <w:t>Objective: Balance self-determination and cultural humility without imposing stereotypes or coercion.</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adult client from a family-centered cultural community declines the LCSW's recommendation to invite relatives into treatment. The LCSW believes family participation could be helpful. What is the MOST ethical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Require family participation because culturally responsive treatment should prioritize the community's collective values.</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Assume the refusal reflects internalized stigma and continue persuading the client until consent is obtained.</w:t>
      </w:r>
    </w:p>
    <w:p>
      <w:pPr>
        <w:keepLines/>
        <w:spacing w:after="20" w:line="240" w:lineRule="auto"/>
        <w:ind w:left="288" w:hanging="288"/>
      </w:pPr>
      <w:r>
        <w:rPr>
          <w:rFonts w:ascii="Calibri" w:hAnsi="Calibri"/>
          <w:b/>
          <w:i w:val="0"/>
          <w:color w:val="10A79B"/>
          <w:sz w:val="16"/>
        </w:rPr>
        <w:t xml:space="preserve">C. </w:t>
      </w:r>
      <w:r>
        <w:rPr>
          <w:rFonts w:ascii="Calibri" w:hAnsi="Calibri"/>
          <w:b/>
          <w:i w:val="0"/>
          <w:color w:val="111111"/>
          <w:sz w:val="16"/>
        </w:rPr>
        <w:t>Respect the client's informed decision, explore the meaning and context with cultural humility, and keep the option open without coercion or stereotyping.</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Terminate treatment because the client rejected an intervention the LCSW believes is clinically indicated.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C </w:t>
            </w:r>
            <w:r>
              <w:rPr>
                <w:rFonts w:ascii="Calibri" w:hAnsi="Calibri"/>
                <w:b w:val="0"/>
                <w:i w:val="0"/>
                <w:color w:val="111111"/>
                <w:sz w:val="16"/>
              </w:rPr>
              <w:t>Cultural responsiveness is individualized and collaborative. It does not authorize the social worker to impose a stereotype or substitute professional preference for informed client choice.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It converts a cultural generalization into coercion and overrides the adult client's informed choice.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It assumes the meaning of the client's decision and uses pressure rather than humility.</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C</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preserves self-determination, cultural curiosity, and future clinical flexibility.</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Termination is unsupported and may create an avoidable continuity problem.</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Cultural humility asks; it does not presume. Respect informed choice unless a controlling safety or legal limit applies.</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NASW Standards 1.01, 1.02, 1.03, and 1.05 on client welfare, self-determination, informed consent, and cultural competence/humility. Currency control: Current NASW Code; no date-sensitive California rule in stem.</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7, Lessons 7.2 and 7.4 | Error category: stereotype substituted for client meaning | Flashcard: FC-LS-022</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23 -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CTA-EP-002-LS-Q023</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7 | Lesson 7.5-7.6</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Advanced | Integrated Challenge</w:t>
            </w:r>
          </w:p>
        </w:tc>
      </w:tr>
      <w:tr>
        <w:trPr>
          <w:cantSplit/>
        </w:trPr>
        <w:tc>
          <w:tcPr>
            <w:tcW w:type="dxa" w:w="10452"/>
            <w:gridSpan w:val="6"/>
            <w:shd w:fill="FFFFFF"/>
          </w:tcPr>
          <w:p>
            <w:pPr>
              <w:spacing w:after="0" w:line="240" w:lineRule="auto"/>
            </w:pPr>
            <w:r/>
            <w:r>
              <w:rPr>
                <w:rFonts w:ascii="Calibri" w:hAnsi="Calibri"/>
                <w:b w:val="0"/>
                <w:i w:val="0"/>
                <w:color w:val="111111"/>
                <w:sz w:val="15"/>
              </w:rPr>
              <w:t>Objective: Use advocacy, organizational escalation, access analysis, and continuity planning in ethically complex cases.</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agency instructs social workers to close every case after two missed appointments without reviewing risk, disability access, language needs, transportation barriers, technology access, or continuity. An LCSW identifies several high-risk clients who could be harmed by automatic closure. What is the BEST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Apply the policy exactly because consistency is more ethical than individualized professional judgment.</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Ignore the policy privately for selected clients and avoid documenting the exception so management will not object.</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File an external complaint immediately without first protecting current clients or clarifying the legal, clinical, and organizational facts.</w:t>
      </w:r>
    </w:p>
    <w:p>
      <w:pPr>
        <w:keepLines/>
        <w:spacing w:after="20" w:line="240" w:lineRule="auto"/>
        <w:ind w:left="288" w:hanging="288"/>
      </w:pPr>
      <w:r>
        <w:rPr>
          <w:rFonts w:ascii="Calibri" w:hAnsi="Calibri"/>
          <w:b/>
          <w:i w:val="0"/>
          <w:color w:val="10A79B"/>
          <w:sz w:val="16"/>
        </w:rPr>
        <w:t xml:space="preserve">D. </w:t>
      </w:r>
      <w:r>
        <w:rPr>
          <w:rFonts w:ascii="Calibri" w:hAnsi="Calibri"/>
          <w:b/>
          <w:i w:val="0"/>
          <w:color w:val="111111"/>
          <w:sz w:val="16"/>
        </w:rPr>
        <w:t>Assess and protect the affected clients, identify controlling duties, document barriers and risk, raise the ethical conflict through appropriate supervisory and organizational channels, and advocate for a policy that includes access, equity, safety, and continuity review.</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D </w:t>
            </w:r>
            <w:r>
              <w:rPr>
                <w:rFonts w:ascii="Calibri" w:hAnsi="Calibri"/>
                <w:b w:val="0"/>
                <w:i w:val="0"/>
                <w:color w:val="111111"/>
                <w:sz w:val="16"/>
              </w:rPr>
              <w:t>A strong response addresses immediate client protection and the system that creates the risk. It uses transparent, proportionate escalation and advocacy rather than blind compliance or secret noncompliance.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Uniform application does not excuse foreseeable harm, discrimination, or abandonment risk.</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Secret noncompliance avoids accountability and leaves the harmful system unchanged.</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External reporting may become appropriate, but the answer skips immediate protection and fact/authority clarification.</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D</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integrates current client protection, documentation, internal escalation, equity, advocacy, and policy repair.</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In organizational conflicts, protect the client now and repair the system through documented, proportionate escalation.</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NASW standards on client welfare, access/nondiscrimination, administration, employer commitments, integrity, advocacy, and continuity; applicable California duties as case facts require. Currency control: Organizational ethics framework; recheck any law-specific implementation used in rationale.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7, Lessons 7.5-7.6 | Error category: compliance or secrecy substituted for ethical escalation | Flashcard: FC-LS-023</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24 -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CTA-EP-002-LS-Q024</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8 | Lesson 8.1 and Case 8A</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Law | Moderate | Integrated Challenge</w:t>
            </w:r>
          </w:p>
        </w:tc>
      </w:tr>
      <w:tr>
        <w:trPr>
          <w:cantSplit/>
        </w:trPr>
        <w:tc>
          <w:tcPr>
            <w:tcW w:type="dxa" w:w="10452"/>
            <w:gridSpan w:val="6"/>
            <w:shd w:fill="FFFFFF"/>
          </w:tcPr>
          <w:p>
            <w:pPr>
              <w:spacing w:after="0" w:line="240" w:lineRule="auto"/>
            </w:pPr>
            <w:r/>
            <w:r>
              <w:rPr>
                <w:rFonts w:ascii="Calibri" w:hAnsi="Calibri"/>
                <w:b w:val="0"/>
                <w:i w:val="0"/>
                <w:color w:val="111111"/>
                <w:sz w:val="15"/>
              </w:rPr>
              <w:t>Objective: Use the integrated sequence to identify status and stop a misleading independent-practice representation.</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ASW has passed the California Law and Ethics Examination, completed 2,900 qualifying hours, and changed an online profile to “LCSW Candidate - Independent Social Worker” after a supervisor said the remaining requirements were technicalities. What should occur FIRST?</w:t>
      </w:r>
    </w:p>
    <w:p>
      <w:pPr>
        <w:keepLines/>
        <w:spacing w:after="20" w:line="240" w:lineRule="auto"/>
        <w:ind w:left="288" w:hanging="288"/>
      </w:pPr>
      <w:r>
        <w:rPr>
          <w:rFonts w:ascii="Calibri" w:hAnsi="Calibri"/>
          <w:b/>
          <w:i w:val="0"/>
          <w:color w:val="10A79B"/>
          <w:sz w:val="16"/>
        </w:rPr>
        <w:t xml:space="preserve">A. </w:t>
      </w:r>
      <w:r>
        <w:rPr>
          <w:rFonts w:ascii="Calibri" w:hAnsi="Calibri"/>
          <w:b/>
          <w:i w:val="0"/>
          <w:color w:val="111111"/>
          <w:sz w:val="16"/>
        </w:rPr>
        <w:t>Stop and correct the misleading independent-LCSW representation and continue only within lawful ASW status and supervision until the Board issues the license, then complete communication and documentation.</w:t>
      </w:r>
    </w:p>
    <w:p>
      <w:pPr>
        <w:keepLines/>
        <w:spacing w:after="20" w:line="240" w:lineRule="auto"/>
        <w:ind w:left="288" w:hanging="288"/>
      </w:pPr>
      <w:r>
        <w:rPr>
          <w:rFonts w:ascii="Calibri" w:hAnsi="Calibri"/>
          <w:b/>
          <w:i w:val="0"/>
          <w:color w:val="102A4C"/>
          <w:sz w:val="16"/>
        </w:rPr>
        <w:t xml:space="preserve">B. </w:t>
      </w:r>
      <w:r>
        <w:rPr>
          <w:rFonts w:ascii="Calibri" w:hAnsi="Calibri"/>
          <w:b w:val="0"/>
          <w:i w:val="0"/>
          <w:color w:val="111111"/>
          <w:sz w:val="16"/>
        </w:rPr>
        <w:t>Keep the profile because “candidate” tells the public that the person is not fully licensed.</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Begin independent work because a qualified supervisor may authorize practice after the Law and Ethics Examination is passed.</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Stop all social-work employment because an ASW may not provide any clinical service before LCSW licensure.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A </w:t>
            </w:r>
            <w:r>
              <w:rPr>
                <w:rFonts w:ascii="Calibri" w:hAnsi="Calibri"/>
                <w:b w:val="0"/>
                <w:i w:val="0"/>
                <w:color w:val="111111"/>
                <w:sz w:val="16"/>
              </w:rPr>
              <w:t>The active problem is misleading public representation and unauthorized independent-practice language. The ASW may continue lawful supervised work but cannot use “candidate” to create licensure or independence.</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A</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contains the immediate misrepresentation and restores the correct status and supervision boundary.</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B</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“Candidate” does not cure the false implication of licensed independent practice.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 supervisor cannot grant a license or independent-practice authority.</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ASW may provide lawful supervised services; the problem is the independent and misleading representation.</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In integrated cases, correct the active unlawful or misleading condition before later paperwork and policy repair.</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BPC sections 4996(a)-(b), 4992.3(g), 4992.3(q), 4996.23, and 4996.28; 16 CCR section 1811; BBS ASW pathway and advertising guidance. Currency control: High-change pathway/advertising interface; recheck before release.</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8, Case 8A | Error category: “candidate” treated as legal status | Flashcard: FC-LS-024</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Item 25 - Controlled Rationale</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835"/>
        <w:gridCol w:w="1512"/>
        <w:gridCol w:w="792"/>
        <w:gridCol w:w="1080"/>
        <w:gridCol w:w="835"/>
        <w:gridCol w:w="5328"/>
      </w:tblGrid>
      <w:tr>
        <w:trPr>
          <w:cantSplit/>
          <w:tblHeader/>
        </w:trPr>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ID</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CTA-EP-002-LS-Q025</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Unit</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8 | Lesson 8.1 and Case 8D</w:t>
            </w:r>
          </w:p>
        </w:tc>
        <w:tc>
          <w:tcPr>
            <w:tcW w:type="dxa" w:w="1742"/>
            <w:shd w:fill="102A4C"/>
            <w:tcMar>
              <w:top w:w="42" w:type="dxa"/>
              <w:start w:w="38" w:type="dxa"/>
              <w:bottom w:w="42" w:type="dxa"/>
              <w:end w:w="38" w:type="dxa"/>
            </w:tcMar>
          </w:tcPr>
          <w:p>
            <w:pPr>
              <w:spacing w:after="0" w:line="240" w:lineRule="auto"/>
              <w:jc w:val="center"/>
            </w:pPr>
            <w:r/>
            <w:r>
              <w:rPr>
                <w:rFonts w:ascii="Calibri" w:hAnsi="Calibri"/>
                <w:b/>
                <w:i w:val="0"/>
                <w:color w:val="FFFFFF"/>
                <w:sz w:val="14"/>
              </w:rPr>
              <w:t>Control</w:t>
            </w:r>
          </w:p>
        </w:tc>
        <w:tc>
          <w:tcPr>
            <w:tcW w:type="dxa" w:w="1742"/>
            <w:shd w:fill="EAF2FC"/>
            <w:tcMar>
              <w:top w:w="42" w:type="dxa"/>
              <w:start w:w="40" w:type="dxa"/>
              <w:bottom w:w="42" w:type="dxa"/>
              <w:end w:w="40" w:type="dxa"/>
            </w:tcMar>
          </w:tcPr>
          <w:p>
            <w:pPr>
              <w:spacing w:after="0" w:line="240" w:lineRule="auto"/>
              <w:jc w:val="center"/>
            </w:pPr>
            <w:r/>
            <w:r>
              <w:rPr>
                <w:rFonts w:ascii="Calibri" w:hAnsi="Calibri"/>
                <w:b/>
                <w:i w:val="0"/>
                <w:color w:val="102A4C"/>
                <w:sz w:val="14"/>
              </w:rPr>
              <w:t>Ethics | Advanced | Integrated Challenge</w:t>
            </w:r>
          </w:p>
        </w:tc>
      </w:tr>
      <w:tr>
        <w:trPr>
          <w:cantSplit/>
        </w:trPr>
        <w:tc>
          <w:tcPr>
            <w:tcW w:type="dxa" w:w="10452"/>
            <w:gridSpan w:val="6"/>
            <w:shd w:fill="FFFFFF"/>
          </w:tcPr>
          <w:p>
            <w:pPr>
              <w:spacing w:after="0" w:line="240" w:lineRule="auto"/>
            </w:pPr>
            <w:r/>
            <w:r>
              <w:rPr>
                <w:rFonts w:ascii="Calibri" w:hAnsi="Calibri"/>
                <w:b w:val="0"/>
                <w:i w:val="0"/>
                <w:color w:val="111111"/>
                <w:sz w:val="15"/>
              </w:rPr>
              <w:t>Objective: Distinguish the immediate legal duty from later consultation, communication, documentation, and advocacy.</w:t>
            </w:r>
          </w:p>
        </w:tc>
      </w:tr>
    </w:tbl>
    <w:p>
      <w:pPr>
        <w:keepNext/>
        <w:spacing w:before="100" w:after="40" w:line="240" w:lineRule="auto"/>
      </w:pPr>
      <w:r>
        <w:rPr>
          <w:rFonts w:ascii="Calibri" w:hAnsi="Calibri"/>
          <w:b/>
          <w:i w:val="0"/>
          <w:color w:val="102A4C"/>
          <w:sz w:val="17"/>
        </w:rPr>
        <w:t xml:space="preserve">Stem: </w:t>
      </w:r>
      <w:r>
        <w:rPr>
          <w:rFonts w:ascii="Calibri" w:hAnsi="Calibri"/>
          <w:b/>
          <w:i w:val="0"/>
          <w:color w:val="111111"/>
          <w:sz w:val="17"/>
        </w:rPr>
        <w:t>An ASW concludes that a current legal reporting threshold has been met. The client asks the ASW to wait until the regular supervisor returns the next day and says an immediate report will damage trust. What is the BEST response?</w:t>
      </w:r>
    </w:p>
    <w:p>
      <w:pPr>
        <w:keepLines/>
        <w:spacing w:after="20" w:line="240" w:lineRule="auto"/>
        <w:ind w:left="288" w:hanging="288"/>
      </w:pPr>
      <w:r>
        <w:rPr>
          <w:rFonts w:ascii="Calibri" w:hAnsi="Calibri"/>
          <w:b/>
          <w:i w:val="0"/>
          <w:color w:val="102A4C"/>
          <w:sz w:val="16"/>
        </w:rPr>
        <w:t xml:space="preserve">A. </w:t>
      </w:r>
      <w:r>
        <w:rPr>
          <w:rFonts w:ascii="Calibri" w:hAnsi="Calibri"/>
          <w:b w:val="0"/>
          <w:i w:val="0"/>
          <w:color w:val="111111"/>
          <w:sz w:val="16"/>
        </w:rPr>
        <w:t>Delay the report because preserving the therapeutic alliance is the primary ethical obligation.</w:t>
      </w:r>
    </w:p>
    <w:p>
      <w:pPr>
        <w:keepLines/>
        <w:spacing w:after="20" w:line="240" w:lineRule="auto"/>
        <w:ind w:left="288" w:hanging="288"/>
      </w:pPr>
      <w:r>
        <w:rPr>
          <w:rFonts w:ascii="Calibri" w:hAnsi="Calibri"/>
          <w:b/>
          <w:i w:val="0"/>
          <w:color w:val="10A79B"/>
          <w:sz w:val="16"/>
        </w:rPr>
        <w:t xml:space="preserve">B. </w:t>
      </w:r>
      <w:r>
        <w:rPr>
          <w:rFonts w:ascii="Calibri" w:hAnsi="Calibri"/>
          <w:b/>
          <w:i w:val="0"/>
          <w:color w:val="111111"/>
          <w:sz w:val="16"/>
        </w:rPr>
        <w:t>Complete the required action without avoidable delay, explain the duty as transparently as the situation permits, limit the disclosure to what is required, address immediate safety and continuity, seek consultation that does not delay the duty, and document the response.</w:t>
      </w:r>
    </w:p>
    <w:p>
      <w:pPr>
        <w:keepLines/>
        <w:spacing w:after="20" w:line="240" w:lineRule="auto"/>
        <w:ind w:left="288" w:hanging="288"/>
      </w:pPr>
      <w:r>
        <w:rPr>
          <w:rFonts w:ascii="Calibri" w:hAnsi="Calibri"/>
          <w:b/>
          <w:i w:val="0"/>
          <w:color w:val="102A4C"/>
          <w:sz w:val="16"/>
        </w:rPr>
        <w:t xml:space="preserve">C. </w:t>
      </w:r>
      <w:r>
        <w:rPr>
          <w:rFonts w:ascii="Calibri" w:hAnsi="Calibri"/>
          <w:b w:val="0"/>
          <w:i w:val="0"/>
          <w:color w:val="111111"/>
          <w:sz w:val="16"/>
        </w:rPr>
        <w:t>Ask the client to sign a release so the report becomes voluntary rather than mandatory.</w:t>
      </w:r>
    </w:p>
    <w:p>
      <w:pPr>
        <w:keepLines/>
        <w:spacing w:after="20" w:line="240" w:lineRule="auto"/>
        <w:ind w:left="288" w:hanging="288"/>
      </w:pPr>
      <w:r>
        <w:rPr>
          <w:rFonts w:ascii="Calibri" w:hAnsi="Calibri"/>
          <w:b/>
          <w:i w:val="0"/>
          <w:color w:val="102A4C"/>
          <w:sz w:val="16"/>
        </w:rPr>
        <w:t xml:space="preserve">D. </w:t>
      </w:r>
      <w:r>
        <w:rPr>
          <w:rFonts w:ascii="Calibri" w:hAnsi="Calibri"/>
          <w:b w:val="0"/>
          <w:i w:val="0"/>
          <w:color w:val="111111"/>
          <w:sz w:val="16"/>
        </w:rPr>
        <w:t>End services immediately after making the report because the client objected to the social worker's legal duty.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6EA"/>
            <w:tcMar>
              <w:top w:w="80" w:type="dxa"/>
              <w:start w:w="95" w:type="dxa"/>
              <w:bottom w:w="80" w:type="dxa"/>
              <w:end w:w="95" w:type="dxa"/>
            </w:tcMar>
          </w:tcPr>
          <w:p>
            <w:pPr>
              <w:spacing w:after="0" w:line="240" w:lineRule="auto"/>
            </w:pPr>
            <w:r>
              <w:rPr>
                <w:rFonts w:ascii="Calibri" w:hAnsi="Calibri"/>
                <w:b/>
                <w:i w:val="0"/>
                <w:color w:val="102A4C"/>
                <w:sz w:val="16"/>
              </w:rPr>
              <w:t xml:space="preserve">CORRECT ANSWER B </w:t>
            </w:r>
            <w:r>
              <w:rPr>
                <w:rFonts w:ascii="Calibri" w:hAnsi="Calibri"/>
                <w:b w:val="0"/>
                <w:i w:val="0"/>
                <w:color w:val="111111"/>
                <w:sz w:val="16"/>
              </w:rPr>
              <w:t>Once the controlling threshold is established, routine consultation and alliance concerns do not justify avoidable delay. Ethical practice shapes how the duty is completed: transparently, narrowly, safely, and with continuity.</w:t>
            </w:r>
          </w:p>
        </w:tc>
      </w:tr>
    </w:tbl>
    <w:p>
      <w:pPr>
        <w:keepNext/>
        <w:spacing w:before="80" w:after="40"/>
      </w:pPr>
      <w:r>
        <w:rPr>
          <w:rFonts w:ascii="Calibri" w:hAnsi="Calibri"/>
          <w:b/>
          <w:i w:val="0"/>
          <w:color w:val="10A79B"/>
          <w:sz w:val="18"/>
        </w:rPr>
        <w:t>Option-by-option analysis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1181"/>
        <w:gridCol w:w="8611"/>
      </w:tblGrid>
      <w:tr>
        <w:trPr>
          <w:tblHeader w:val="true"/>
        </w:trPr>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Option</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Result</w:t>
            </w:r>
          </w:p>
        </w:tc>
        <w:tc>
          <w:tcPr>
            <w:tcW w:type="dxa" w:w="3485"/>
            <w:shd w:fill="102A4C"/>
            <w:tcMar>
              <w:top w:w="48" w:type="dxa"/>
              <w:start w:w="45" w:type="dxa"/>
              <w:bottom w:w="48" w:type="dxa"/>
              <w:end w:w="45" w:type="dxa"/>
            </w:tcMar>
          </w:tcPr>
          <w:p>
            <w:pPr>
              <w:spacing w:after="0" w:line="240" w:lineRule="auto"/>
              <w:jc w:val="center"/>
            </w:pPr>
            <w:r/>
            <w:r>
              <w:rPr>
                <w:rFonts w:ascii="Calibri" w:hAnsi="Calibri"/>
                <w:b/>
                <w:i w:val="0"/>
                <w:color w:val="FFFFFF"/>
                <w:sz w:val="15"/>
              </w:rPr>
              <w:t>Controlled rationale</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A</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The alliance does not authorize delay of a current legal duty.</w:t>
            </w:r>
          </w:p>
        </w:tc>
      </w:tr>
      <w:tr>
        <w:trPr>
          <w:cantSplit/>
        </w:trPr>
        <w:tc>
          <w:tcPr>
            <w:tcW w:type="dxa" w:w="605"/>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6"/>
              </w:rPr>
              <w:t>B</w:t>
            </w:r>
          </w:p>
        </w:tc>
        <w:tc>
          <w:tcPr>
            <w:tcW w:type="dxa" w:w="1181"/>
            <w:shd w:fill="EAF6EA"/>
            <w:tcMar>
              <w:top w:w="48" w:type="dxa"/>
              <w:start w:w="55" w:type="dxa"/>
              <w:bottom w:w="48" w:type="dxa"/>
              <w:end w:w="55" w:type="dxa"/>
            </w:tcMar>
            <w:vAlign w:val="top"/>
          </w:tcPr>
          <w:p>
            <w:pPr>
              <w:spacing w:after="0" w:line="240" w:lineRule="auto"/>
              <w:jc w:val="center"/>
            </w:pPr>
            <w:r/>
            <w:r>
              <w:rPr>
                <w:rFonts w:ascii="Calibri" w:hAnsi="Calibri"/>
                <w:b/>
                <w:i w:val="0"/>
                <w:color w:val="10A79B"/>
                <w:sz w:val="14"/>
              </w:rPr>
              <w:t>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Correct. It completes the immediate duty while preserving dignity, minimum necessary disclosure, consultation, safety, continuity, and documentation.</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C</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FFFFF"/>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Client authorization is not the source of authority for a mandatory report.</w:t>
            </w:r>
          </w:p>
        </w:tc>
      </w:tr>
      <w:tr>
        <w:trPr>
          <w:cantSplit/>
        </w:trPr>
        <w:tc>
          <w:tcPr>
            <w:tcW w:type="dxa" w:w="605"/>
            <w:shd w:fill="EAF2FC"/>
            <w:tcMar>
              <w:top w:w="48" w:type="dxa"/>
              <w:start w:w="55" w:type="dxa"/>
              <w:bottom w:w="48" w:type="dxa"/>
              <w:end w:w="55" w:type="dxa"/>
            </w:tcMar>
            <w:vAlign w:val="top"/>
          </w:tcPr>
          <w:p>
            <w:pPr>
              <w:spacing w:after="0" w:line="240" w:lineRule="auto"/>
              <w:jc w:val="center"/>
            </w:pPr>
            <w:r/>
            <w:r>
              <w:rPr>
                <w:rFonts w:ascii="Calibri" w:hAnsi="Calibri"/>
                <w:b/>
                <w:i w:val="0"/>
                <w:color w:val="102A4C"/>
                <w:sz w:val="16"/>
              </w:rPr>
              <w:t>D</w:t>
            </w:r>
          </w:p>
        </w:tc>
        <w:tc>
          <w:tcPr>
            <w:tcW w:type="dxa" w:w="1181"/>
            <w:shd w:fill="FDECEC"/>
            <w:tcMar>
              <w:top w:w="48" w:type="dxa"/>
              <w:start w:w="55" w:type="dxa"/>
              <w:bottom w:w="48" w:type="dxa"/>
              <w:end w:w="55" w:type="dxa"/>
            </w:tcMar>
            <w:vAlign w:val="top"/>
          </w:tcPr>
          <w:p>
            <w:pPr>
              <w:spacing w:after="0" w:line="240" w:lineRule="auto"/>
              <w:jc w:val="center"/>
            </w:pPr>
            <w:r/>
            <w:r>
              <w:rPr>
                <w:rFonts w:ascii="Calibri" w:hAnsi="Calibri"/>
                <w:b/>
                <w:i w:val="0"/>
                <w:color w:val="5E6670"/>
                <w:sz w:val="14"/>
              </w:rPr>
              <w:t>INCORRECT</w:t>
            </w:r>
          </w:p>
        </w:tc>
        <w:tc>
          <w:tcPr>
            <w:tcW w:type="dxa" w:w="8611"/>
            <w:shd w:fill="F1F3F6"/>
            <w:tcMar>
              <w:top w:w="48" w:type="dxa"/>
              <w:start w:w="55" w:type="dxa"/>
              <w:bottom w:w="48" w:type="dxa"/>
              <w:end w:w="55" w:type="dxa"/>
            </w:tcMar>
            <w:vAlign w:val="top"/>
          </w:tcPr>
          <w:p>
            <w:pPr>
              <w:spacing w:after="0" w:line="240" w:lineRule="auto"/>
            </w:pPr>
            <w:r/>
            <w:r>
              <w:rPr>
                <w:rFonts w:ascii="Calibri" w:hAnsi="Calibri"/>
                <w:b w:val="0"/>
                <w:i w:val="0"/>
                <w:color w:val="111111"/>
                <w:sz w:val="15"/>
              </w:rPr>
              <w:t>Incorrect. Automatic termination is punitive and may create additional continuity and abandonment concerns.</w:t>
            </w:r>
          </w:p>
        </w:tc>
      </w:tr>
    </w:tbl>
    <w:p>
      <w:pPr>
        <w:keepNext/>
        <w:spacing w:before="80" w:after="40"/>
      </w:pPr>
      <w:r>
        <w:rPr>
          <w:rFonts w:ascii="Calibri" w:hAnsi="Calibri"/>
          <w:b/>
          <w:i w:val="0"/>
          <w:color w:val="10A79B"/>
          <w:sz w:val="18"/>
        </w:rPr>
        <w:t>Internal strategy, source, and remediation controls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1944"/>
        <w:gridCol w:w="8453"/>
      </w:tblGrid>
      <w:tr>
        <w:trPr>
          <w:cantSplit/>
          <w:tblHeader/>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CTA exam strategy</w:t>
            </w:r>
          </w:p>
        </w:tc>
        <w:tc>
          <w:tcPr>
            <w:tcW w:type="dxa" w:w="5227"/>
            <w:shd w:fill="E8F7F4"/>
            <w:tcMar>
              <w:top w:w="48" w:type="dxa"/>
              <w:start w:w="58" w:type="dxa"/>
              <w:bottom w:w="48" w:type="dxa"/>
              <w:end w:w="58" w:type="dxa"/>
            </w:tcMar>
            <w:vAlign w:val="top"/>
          </w:tcPr>
          <w:p>
            <w:pPr>
              <w:spacing w:after="0" w:line="240" w:lineRule="auto"/>
            </w:pPr>
            <w:r/>
            <w:r>
              <w:rPr>
                <w:rFonts w:ascii="Calibri" w:hAnsi="Calibri"/>
                <w:b w:val="0"/>
                <w:i w:val="0"/>
                <w:color w:val="111111"/>
                <w:sz w:val="15"/>
              </w:rPr>
              <w:t>When the legal threshold is already met, act without avoidable delay and use ethics to shape the least harmful lawful implementation.</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Authority &amp; currency</w:t>
            </w:r>
          </w:p>
        </w:tc>
        <w:tc>
          <w:tcPr>
            <w:tcW w:type="dxa" w:w="5227"/>
            <w:shd w:fill="FFF4D2"/>
            <w:tcMar>
              <w:top w:w="48" w:type="dxa"/>
              <w:start w:w="58" w:type="dxa"/>
              <w:bottom w:w="48" w:type="dxa"/>
              <w:end w:w="58" w:type="dxa"/>
            </w:tcMar>
            <w:vAlign w:val="top"/>
          </w:tcPr>
          <w:p>
            <w:pPr>
              <w:spacing w:after="0" w:line="240" w:lineRule="auto"/>
            </w:pPr>
            <w:r/>
            <w:r>
              <w:rPr>
                <w:rFonts w:ascii="Calibri" w:hAnsi="Calibri"/>
                <w:b w:val="0"/>
                <w:i w:val="0"/>
                <w:color w:val="111111"/>
                <w:sz w:val="15"/>
              </w:rPr>
              <w:t>Applicable California reporting statute once identified by the case (including BPC section 4992.3(x) or (y) when relevant); NASW confidentiality, self-determination, client-welfare, and legal-obligation standards. Currency control: The specific reporting law must be identified and rechecked in any released adaptation; this item assumes the threshold is already established.</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Remediation route</w:t>
            </w:r>
          </w:p>
        </w:tc>
        <w:tc>
          <w:tcPr>
            <w:tcW w:type="dxa" w:w="5227"/>
            <w:shd w:fill="EAF2FC"/>
            <w:tcMar>
              <w:top w:w="48" w:type="dxa"/>
              <w:start w:w="58" w:type="dxa"/>
              <w:bottom w:w="48" w:type="dxa"/>
              <w:end w:w="58" w:type="dxa"/>
            </w:tcMar>
            <w:vAlign w:val="top"/>
          </w:tcPr>
          <w:p>
            <w:pPr>
              <w:spacing w:after="0" w:line="240" w:lineRule="auto"/>
            </w:pPr>
            <w:r/>
            <w:r>
              <w:rPr>
                <w:rFonts w:ascii="Calibri" w:hAnsi="Calibri"/>
                <w:b w:val="0"/>
                <w:i w:val="0"/>
                <w:color w:val="111111"/>
                <w:sz w:val="15"/>
              </w:rPr>
              <w:t>Unit 8, Case 8D | Error category: consultation or alliance used to delay immediate duty | Flashcard: FC-LS-025</w:t>
            </w:r>
          </w:p>
        </w:tc>
      </w:tr>
      <w:tr>
        <w:trPr>
          <w:cantSplit/>
        </w:trPr>
        <w:tc>
          <w:tcPr>
            <w:tcW w:type="dxa" w:w="5227"/>
            <w:shd w:fill="102A4C"/>
            <w:tcMar>
              <w:top w:w="48" w:type="dxa"/>
              <w:start w:w="58" w:type="dxa"/>
              <w:bottom w:w="48" w:type="dxa"/>
              <w:end w:w="58" w:type="dxa"/>
            </w:tcMar>
            <w:vAlign w:val="top"/>
          </w:tcPr>
          <w:p>
            <w:pPr>
              <w:spacing w:after="0" w:line="240" w:lineRule="auto"/>
            </w:pPr>
            <w:r/>
            <w:r>
              <w:rPr>
                <w:rFonts w:ascii="Calibri" w:hAnsi="Calibri"/>
                <w:b/>
                <w:i w:val="0"/>
                <w:color w:val="FFFFFF"/>
                <w:sz w:val="14"/>
              </w:rPr>
              <w:t>Mastery prompt</w:t>
            </w:r>
          </w:p>
        </w:tc>
        <w:tc>
          <w:tcPr>
            <w:tcW w:type="dxa" w:w="5227"/>
            <w:shd w:fill="F1F3F6"/>
            <w:tcMar>
              <w:top w:w="48" w:type="dxa"/>
              <w:start w:w="58" w:type="dxa"/>
              <w:bottom w:w="48" w:type="dxa"/>
              <w:end w:w="58" w:type="dxa"/>
            </w:tcMar>
            <w:vAlign w:val="top"/>
          </w:tcPr>
          <w:p>
            <w:pPr>
              <w:spacing w:after="0" w:line="240" w:lineRule="auto"/>
            </w:pPr>
            <w:r/>
            <w:r>
              <w:rPr>
                <w:rFonts w:ascii="Calibri" w:hAnsi="Calibri"/>
                <w:b w:val="0"/>
                <w:i w:val="0"/>
                <w:color w:val="111111"/>
                <w:sz w:val="15"/>
              </w:rPr>
              <w:t>Explain why the keyed response is best at the tested decision point and why the strongest competing option is weaker.</w:t>
            </w:r>
          </w:p>
        </w:tc>
      </w:tr>
    </w:tbl>
    <w:p>
      <w:r>
        <w:br w:type="page"/>
      </w:r>
    </w:p>
    <w:p>
      <w:pPr>
        <w:pStyle w:val="Heading1"/>
      </w:pPr>
      <w:r>
        <w:t>Controlled remediation index</w:t>
      </w:r>
    </w:p>
    <w:p>
      <w:pPr>
        <w:spacing w:after="120"/>
      </w:pPr>
      <w:r>
        <w:t>Use this index after the candidate reviews the full option-by-option rationale. Route low-confidence correct answers as well as missed answers to the listed lesson, error category, and synchronized flashcard.</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605"/>
        <w:gridCol w:w="792"/>
        <w:gridCol w:w="2376"/>
        <w:gridCol w:w="5443"/>
        <w:gridCol w:w="1037"/>
      </w:tblGrid>
      <w:tr>
        <w:trPr>
          <w:tblHeader w:val="true"/>
        </w:trPr>
        <w:tc>
          <w:tcPr>
            <w:tcW w:type="dxa" w:w="2091"/>
            <w:shd w:fill="102A4C"/>
            <w:tcMar>
              <w:top w:w="50" w:type="dxa"/>
              <w:start w:w="42" w:type="dxa"/>
              <w:bottom w:w="50" w:type="dxa"/>
              <w:end w:w="42" w:type="dxa"/>
            </w:tcMar>
          </w:tcPr>
          <w:p>
            <w:pPr>
              <w:spacing w:after="0" w:line="240" w:lineRule="auto"/>
              <w:jc w:val="center"/>
            </w:pPr>
            <w:r/>
            <w:r>
              <w:rPr>
                <w:rFonts w:ascii="Calibri" w:hAnsi="Calibri"/>
                <w:b/>
                <w:i w:val="0"/>
                <w:color w:val="FFFFFF"/>
                <w:sz w:val="15"/>
              </w:rPr>
              <w:t>Item</w:t>
            </w:r>
          </w:p>
        </w:tc>
        <w:tc>
          <w:tcPr>
            <w:tcW w:type="dxa" w:w="2091"/>
            <w:shd w:fill="102A4C"/>
            <w:tcMar>
              <w:top w:w="50" w:type="dxa"/>
              <w:start w:w="42" w:type="dxa"/>
              <w:bottom w:w="50" w:type="dxa"/>
              <w:end w:w="42" w:type="dxa"/>
            </w:tcMar>
          </w:tcPr>
          <w:p>
            <w:pPr>
              <w:spacing w:after="0" w:line="240" w:lineRule="auto"/>
              <w:jc w:val="center"/>
            </w:pPr>
            <w:r/>
            <w:r>
              <w:rPr>
                <w:rFonts w:ascii="Calibri" w:hAnsi="Calibri"/>
                <w:b/>
                <w:i w:val="0"/>
                <w:color w:val="FFFFFF"/>
                <w:sz w:val="15"/>
              </w:rPr>
              <w:t>Key</w:t>
            </w:r>
          </w:p>
        </w:tc>
        <w:tc>
          <w:tcPr>
            <w:tcW w:type="dxa" w:w="2091"/>
            <w:shd w:fill="102A4C"/>
            <w:tcMar>
              <w:top w:w="50" w:type="dxa"/>
              <w:start w:w="42" w:type="dxa"/>
              <w:bottom w:w="50" w:type="dxa"/>
              <w:end w:w="42" w:type="dxa"/>
            </w:tcMar>
          </w:tcPr>
          <w:p>
            <w:pPr>
              <w:spacing w:after="0" w:line="240" w:lineRule="auto"/>
              <w:jc w:val="center"/>
            </w:pPr>
            <w:r/>
            <w:r>
              <w:rPr>
                <w:rFonts w:ascii="Calibri" w:hAnsi="Calibri"/>
                <w:b/>
                <w:i w:val="0"/>
                <w:color w:val="FFFFFF"/>
                <w:sz w:val="15"/>
              </w:rPr>
              <w:t>Unit / lesson</w:t>
            </w:r>
          </w:p>
        </w:tc>
        <w:tc>
          <w:tcPr>
            <w:tcW w:type="dxa" w:w="2091"/>
            <w:shd w:fill="102A4C"/>
            <w:tcMar>
              <w:top w:w="50" w:type="dxa"/>
              <w:start w:w="42" w:type="dxa"/>
              <w:bottom w:w="50" w:type="dxa"/>
              <w:end w:w="42" w:type="dxa"/>
            </w:tcMar>
          </w:tcPr>
          <w:p>
            <w:pPr>
              <w:spacing w:after="0" w:line="240" w:lineRule="auto"/>
              <w:jc w:val="center"/>
            </w:pPr>
            <w:r/>
            <w:r>
              <w:rPr>
                <w:rFonts w:ascii="Calibri" w:hAnsi="Calibri"/>
                <w:b/>
                <w:i w:val="0"/>
                <w:color w:val="FFFFFF"/>
                <w:sz w:val="15"/>
              </w:rPr>
              <w:t>Primary error category</w:t>
            </w:r>
          </w:p>
        </w:tc>
        <w:tc>
          <w:tcPr>
            <w:tcW w:type="dxa" w:w="2091"/>
            <w:shd w:fill="102A4C"/>
            <w:tcMar>
              <w:top w:w="50" w:type="dxa"/>
              <w:start w:w="42" w:type="dxa"/>
              <w:bottom w:w="50" w:type="dxa"/>
              <w:end w:w="42" w:type="dxa"/>
            </w:tcMar>
          </w:tcPr>
          <w:p>
            <w:pPr>
              <w:spacing w:after="0" w:line="240" w:lineRule="auto"/>
              <w:jc w:val="center"/>
            </w:pPr>
            <w:r/>
            <w:r>
              <w:rPr>
                <w:rFonts w:ascii="Calibri" w:hAnsi="Calibri"/>
                <w:b/>
                <w:i w:val="0"/>
                <w:color w:val="FFFFFF"/>
                <w:sz w:val="15"/>
              </w:rPr>
              <w:t>Flashcard</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A</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1, Lessons 1.1-1.2</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source hierarchy reversed</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FC-LS-001</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2</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C</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1, Lessons 1.2-1.3</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purpose mistaken for authority</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FC-LS-002</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3</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B</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2, Lesson 2.1</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milestone treated as licensure</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FC-LS-003</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4</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D</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2, Lessons 2.2-2.4</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scope narrowed or competence ignored</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FC-LS-004</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5</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A</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2, Lesson 2.5</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release substituted for role analysis</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FC-LS-005</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6</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D</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2, Lessons 2.4 and 2.6</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scope mistaken for competence</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FC-LS-006</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7</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A</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3, Lessons 3.2-3.3</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crediting rule treated as registration</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FC-LS-007</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8</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B</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3, Lesson 3.4</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pathway clocks collapsed</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FC-LS-008</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9</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C</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3, Lessons 3.5-3.6</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subsequent number treated as license</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FC-LS-009</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10</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A</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4, Lesson 4.4</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ASW advertising component omitted</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FC-LS-010</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11</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C</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4, Lessons 3.3 and 4.4</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90-day rule treated as title authority</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FC-LS-011</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12</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D</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4, Lessons 4.2 and 4.5</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employer authorship treated as defense</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FC-LS-012</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13</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B</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4, Lesson 4.6</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home state treated as current location</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FC-LS-013</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14</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D</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5, Lessons 5.1 and 5.3</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supervision treated as cure-all</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FC-LS-014</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15</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C</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5, Lesson 5.7</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continuity used to excuse direct payment</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FC-LS-015</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16</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A</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5, Lesson 5.5</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supervision averaged across weeks</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FC-LS-016</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17</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B</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5, Lesson 5.4 and Unit 2, Lesson 2.4</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supervision mistaken for transferred competence</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FC-LS-017</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18</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D</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6, Lesson 6.4</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retention clock started at wrong event</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FC-LS-018</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19</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B</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6, Lesson 6.3</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disclosure treated as cure for referral payment</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FC-LS-019</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20</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C</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6, Lesson 6.5</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private cause used to delay public protection</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FC-LS-020</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21</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A</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7, Lesson 7.1</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law and ethics collapsed</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FC-LS-021</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22</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C</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7, Lessons 7.2 and 7.4</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stereotype substituted for client meaning</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FC-LS-022</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23</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D</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7, Lessons 7.5-7.6</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compliance or secrecy substituted for ethical escalation</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FC-LS-023</w:t>
            </w:r>
          </w:p>
        </w:tc>
      </w:tr>
      <w:tr>
        <w:trPr>
          <w:cantSplit/>
        </w:trPr>
        <w:tc>
          <w:tcPr>
            <w:tcW w:type="dxa" w:w="605"/>
            <w:shd w:fill="F1F3F6"/>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24</w:t>
            </w:r>
          </w:p>
        </w:tc>
        <w:tc>
          <w:tcPr>
            <w:tcW w:type="dxa" w:w="792"/>
            <w:shd w:fill="F1F3F6"/>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A</w:t>
            </w:r>
          </w:p>
        </w:tc>
        <w:tc>
          <w:tcPr>
            <w:tcW w:type="dxa" w:w="2376"/>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Unit 8, Case 8A</w:t>
            </w:r>
          </w:p>
        </w:tc>
        <w:tc>
          <w:tcPr>
            <w:tcW w:type="dxa" w:w="5443"/>
            <w:shd w:fill="F1F3F6"/>
            <w:tcMar>
              <w:top w:w="45" w:type="dxa"/>
              <w:start w:w="48" w:type="dxa"/>
              <w:bottom w:w="45" w:type="dxa"/>
              <w:end w:w="48" w:type="dxa"/>
            </w:tcMar>
            <w:vAlign w:val="top"/>
          </w:tcPr>
          <w:p>
            <w:pPr>
              <w:spacing w:after="0" w:line="240" w:lineRule="auto"/>
            </w:pPr>
            <w:r/>
            <w:r>
              <w:rPr>
                <w:rFonts w:ascii="Calibri" w:hAnsi="Calibri"/>
                <w:b w:val="0"/>
                <w:i w:val="0"/>
                <w:color w:val="111111"/>
                <w:sz w:val="14"/>
              </w:rPr>
              <w:t>“candidate” treated as legal status</w:t>
            </w:r>
          </w:p>
        </w:tc>
        <w:tc>
          <w:tcPr>
            <w:tcW w:type="dxa" w:w="1037"/>
            <w:shd w:fill="F1F3F6"/>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FC-LS-024</w:t>
            </w:r>
          </w:p>
        </w:tc>
      </w:tr>
      <w:tr>
        <w:trPr>
          <w:cantSplit/>
        </w:trPr>
        <w:tc>
          <w:tcPr>
            <w:tcW w:type="dxa" w:w="605"/>
            <w:shd w:fill="FFFFFF"/>
            <w:tcMar>
              <w:top w:w="45" w:type="dxa"/>
              <w:start w:w="48" w:type="dxa"/>
              <w:bottom w:w="45" w:type="dxa"/>
              <w:end w:w="48" w:type="dxa"/>
            </w:tcMar>
            <w:vAlign w:val="top"/>
          </w:tcPr>
          <w:p>
            <w:pPr>
              <w:spacing w:after="0" w:line="240" w:lineRule="auto"/>
              <w:jc w:val="center"/>
            </w:pPr>
            <w:r/>
            <w:r>
              <w:rPr>
                <w:rFonts w:ascii="Calibri" w:hAnsi="Calibri"/>
                <w:b/>
                <w:i w:val="0"/>
                <w:color w:val="111111"/>
                <w:sz w:val="14"/>
              </w:rPr>
              <w:t>25</w:t>
            </w:r>
          </w:p>
        </w:tc>
        <w:tc>
          <w:tcPr>
            <w:tcW w:type="dxa" w:w="792"/>
            <w:shd w:fill="FFFFFF"/>
            <w:tcMar>
              <w:top w:w="45" w:type="dxa"/>
              <w:start w:w="48" w:type="dxa"/>
              <w:bottom w:w="45" w:type="dxa"/>
              <w:end w:w="48" w:type="dxa"/>
            </w:tcMar>
            <w:vAlign w:val="top"/>
          </w:tcPr>
          <w:p>
            <w:pPr>
              <w:spacing w:after="0" w:line="240" w:lineRule="auto"/>
              <w:jc w:val="center"/>
            </w:pPr>
            <w:r/>
            <w:r>
              <w:rPr>
                <w:rFonts w:ascii="Calibri" w:hAnsi="Calibri"/>
                <w:b/>
                <w:i w:val="0"/>
                <w:color w:val="10A79B"/>
                <w:sz w:val="14"/>
              </w:rPr>
              <w:t>B</w:t>
            </w:r>
          </w:p>
        </w:tc>
        <w:tc>
          <w:tcPr>
            <w:tcW w:type="dxa" w:w="2376"/>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Unit 8, Case 8D</w:t>
            </w:r>
          </w:p>
        </w:tc>
        <w:tc>
          <w:tcPr>
            <w:tcW w:type="dxa" w:w="5443"/>
            <w:shd w:fill="FFFFFF"/>
            <w:tcMar>
              <w:top w:w="45" w:type="dxa"/>
              <w:start w:w="48" w:type="dxa"/>
              <w:bottom w:w="45" w:type="dxa"/>
              <w:end w:w="48" w:type="dxa"/>
            </w:tcMar>
            <w:vAlign w:val="top"/>
          </w:tcPr>
          <w:p>
            <w:pPr>
              <w:spacing w:after="0" w:line="240" w:lineRule="auto"/>
            </w:pPr>
            <w:r/>
            <w:r>
              <w:rPr>
                <w:rFonts w:ascii="Calibri" w:hAnsi="Calibri"/>
                <w:b w:val="0"/>
                <w:i w:val="0"/>
                <w:color w:val="111111"/>
                <w:sz w:val="14"/>
              </w:rPr>
              <w:t>consultation or alliance used to delay immediate duty</w:t>
            </w:r>
          </w:p>
        </w:tc>
        <w:tc>
          <w:tcPr>
            <w:tcW w:type="dxa" w:w="1037"/>
            <w:shd w:fill="FFFFFF"/>
            <w:tcMar>
              <w:top w:w="45" w:type="dxa"/>
              <w:start w:w="48" w:type="dxa"/>
              <w:bottom w:w="45" w:type="dxa"/>
              <w:end w:w="48" w:type="dxa"/>
            </w:tcMar>
            <w:vAlign w:val="top"/>
          </w:tcPr>
          <w:p>
            <w:pPr>
              <w:spacing w:after="0" w:line="240" w:lineRule="auto"/>
              <w:jc w:val="center"/>
            </w:pPr>
            <w:r/>
            <w:r>
              <w:rPr>
                <w:rFonts w:ascii="Calibri" w:hAnsi="Calibri"/>
                <w:b w:val="0"/>
                <w:i w:val="0"/>
                <w:color w:val="111111"/>
                <w:sz w:val="14"/>
              </w:rPr>
              <w:t>FC-LS-025</w:t>
            </w:r>
          </w:p>
        </w:tc>
      </w:tr>
    </w:tbl>
    <w:p>
      <w:r>
        <w:br w:type="page"/>
      </w:r>
    </w:p>
    <w:p>
      <w:pPr>
        <w:pStyle w:val="Heading1"/>
      </w:pPr>
      <w:r>
        <w:t>Controlled source and synchronization record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15"/>
        <w:gridCol w:w="10339"/>
      </w:tblGrid>
      <w:tr>
        <w:trPr>
          <w:cantSplit/>
          <w:tblHeader/>
        </w:trPr>
        <w:tc>
          <w:tcPr>
            <w:tcW w:type="dxa" w:w="5227"/>
            <w:shd w:fill="10A79B"/>
            <w:tcMar>
              <w:top w:w="0" w:type="dxa"/>
              <w:start w:w="0" w:type="dxa"/>
              <w:bottom w:w="0" w:type="dxa"/>
              <w:end w:w="0" w:type="dxa"/>
            </w:tcMar>
          </w:tcPr>
          <w:p/>
        </w:tc>
        <w:tc>
          <w:tcPr>
            <w:tcW w:type="dxa" w:w="5227"/>
            <w:shd w:fill="EAF2FC"/>
            <w:tcMar>
              <w:top w:w="80" w:type="dxa"/>
              <w:start w:w="95" w:type="dxa"/>
              <w:bottom w:w="80" w:type="dxa"/>
              <w:end w:w="95" w:type="dxa"/>
            </w:tcMar>
          </w:tcPr>
          <w:p>
            <w:pPr>
              <w:spacing w:after="0" w:line="240" w:lineRule="auto"/>
            </w:pPr>
            <w:r>
              <w:rPr>
                <w:rFonts w:ascii="Calibri" w:hAnsi="Calibri"/>
                <w:b/>
                <w:i w:val="0"/>
                <w:color w:val="102A4C"/>
                <w:sz w:val="17"/>
              </w:rPr>
              <w:t xml:space="preserve">SOURCE HIERARCHY </w:t>
            </w:r>
            <w:r>
              <w:rPr>
                <w:rFonts w:ascii="Calibri" w:hAnsi="Calibri"/>
                <w:b w:val="0"/>
                <w:i w:val="0"/>
                <w:color w:val="111111"/>
                <w:sz w:val="17"/>
              </w:rPr>
              <w:t>Current codified law and effective regulation control legal conclusions. Current BBS guidance explains implementation but does not replace primary authority. NASW ethics is a separate professional-ethics source. CTA materials control instructional architecture and do not create legal authority.</w:t>
            </w:r>
          </w:p>
        </w:tc>
      </w:tr>
    </w:tbl>
    <w:p>
      <w:pPr>
        <w:pStyle w:val="Heading2"/>
      </w:pPr>
      <w:r>
        <w:t>Authoritative build inputs</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4104"/>
        <w:gridCol w:w="1656"/>
        <w:gridCol w:w="4637"/>
      </w:tblGrid>
      <w:tr>
        <w:trPr>
          <w:tblHeader w:val="true"/>
        </w:trPr>
        <w:tc>
          <w:tcPr>
            <w:tcW w:type="dxa" w:w="3485"/>
            <w:shd w:fill="102A4C"/>
            <w:tcMar>
              <w:top w:w="70" w:type="dxa"/>
              <w:start w:w="80" w:type="dxa"/>
              <w:bottom w:w="70" w:type="dxa"/>
              <w:end w:w="80" w:type="dxa"/>
            </w:tcMar>
          </w:tcPr>
          <w:p>
            <w:pPr>
              <w:spacing w:after="0" w:line="240" w:lineRule="auto"/>
            </w:pPr>
            <w:r/>
            <w:r>
              <w:rPr>
                <w:rFonts w:ascii="Calibri" w:hAnsi="Calibri"/>
                <w:b/>
                <w:i w:val="0"/>
                <w:color w:val="FFFFFF"/>
                <w:sz w:val="15"/>
              </w:rPr>
              <w:t>Controlled input</w:t>
            </w:r>
          </w:p>
        </w:tc>
        <w:tc>
          <w:tcPr>
            <w:tcW w:type="dxa" w:w="3485"/>
            <w:shd w:fill="102A4C"/>
            <w:tcMar>
              <w:top w:w="70" w:type="dxa"/>
              <w:start w:w="80" w:type="dxa"/>
              <w:bottom w:w="70" w:type="dxa"/>
              <w:end w:w="80" w:type="dxa"/>
            </w:tcMar>
          </w:tcPr>
          <w:p>
            <w:pPr>
              <w:spacing w:after="0" w:line="240" w:lineRule="auto"/>
            </w:pPr>
            <w:r/>
            <w:r>
              <w:rPr>
                <w:rFonts w:ascii="Calibri" w:hAnsi="Calibri"/>
                <w:b/>
                <w:i w:val="0"/>
                <w:color w:val="FFFFFF"/>
                <w:sz w:val="15"/>
              </w:rPr>
              <w:t>Version / date</w:t>
            </w:r>
          </w:p>
        </w:tc>
        <w:tc>
          <w:tcPr>
            <w:tcW w:type="dxa" w:w="3485"/>
            <w:shd w:fill="102A4C"/>
            <w:tcMar>
              <w:top w:w="70" w:type="dxa"/>
              <w:start w:w="80" w:type="dxa"/>
              <w:bottom w:w="70" w:type="dxa"/>
              <w:end w:w="80" w:type="dxa"/>
            </w:tcMar>
          </w:tcPr>
          <w:p>
            <w:pPr>
              <w:spacing w:after="0" w:line="240" w:lineRule="auto"/>
            </w:pPr>
            <w:r/>
            <w:r>
              <w:rPr>
                <w:rFonts w:ascii="Calibri" w:hAnsi="Calibri"/>
                <w:b/>
                <w:i w:val="0"/>
                <w:color w:val="FFFFFF"/>
                <w:sz w:val="15"/>
              </w:rPr>
              <w:t>Use in this file</w:t>
            </w:r>
          </w:p>
        </w:tc>
      </w:tr>
      <w:tr>
        <w:trPr>
          <w:cantSplit/>
        </w:trPr>
        <w:tc>
          <w:tcPr>
            <w:tcW w:type="dxa" w:w="4104"/>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CTA_LCSW_Law_and_Ethics_EP_License_Specific_Module_25_Question_Candidate_Assessment_v1.0.docx</w:t>
            </w:r>
          </w:p>
        </w:tc>
        <w:tc>
          <w:tcPr>
            <w:tcW w:type="dxa" w:w="1656"/>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v1.0 | 2026-08-05</w:t>
            </w:r>
          </w:p>
        </w:tc>
        <w:tc>
          <w:tcPr>
            <w:tcW w:type="dxa" w:w="4637"/>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Exact question stems and A-D options; answer-hidden learner form.</w:t>
            </w:r>
          </w:p>
        </w:tc>
      </w:tr>
      <w:tr>
        <w:trPr>
          <w:cantSplit/>
        </w:trPr>
        <w:tc>
          <w:tcPr>
            <w:tcW w:type="dxa" w:w="4104"/>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CTA_LCSW_Law_and_Ethics_EP_License_Specific_Module_25_Question_Internal_Blueprint_v1.0.json</w:t>
            </w:r>
          </w:p>
        </w:tc>
        <w:tc>
          <w:tcPr>
            <w:tcW w:type="dxa" w:w="1656"/>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v1.0 | 2026-08-05</w:t>
            </w:r>
          </w:p>
        </w:tc>
        <w:tc>
          <w:tcPr>
            <w:tcW w:type="dxa" w:w="4637"/>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Item IDs, keys, objective mapping, difficulty, type, source family, rationales, strategy, and remediation.</w:t>
            </w:r>
          </w:p>
        </w:tc>
      </w:tr>
      <w:tr>
        <w:trPr>
          <w:cantSplit/>
        </w:trPr>
        <w:tc>
          <w:tcPr>
            <w:tcW w:type="dxa" w:w="4104"/>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CTA_LCSW_Law_and_Ethics_EP_LCSW_Practice_Act_ASW_Professional_Identity_Social_Work_Ethics_and_California_Examination_Distinctions_Module_v1.0.docx</w:t>
            </w:r>
          </w:p>
        </w:tc>
        <w:tc>
          <w:tcPr>
            <w:tcW w:type="dxa" w:w="1656"/>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v1.0 | 2026-08-05</w:t>
            </w:r>
          </w:p>
        </w:tc>
        <w:tc>
          <w:tcPr>
            <w:tcW w:type="dxa" w:w="4637"/>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Instructional terminology, unit/lesson sequence, and taught content.</w:t>
            </w:r>
          </w:p>
        </w:tc>
      </w:tr>
      <w:tr>
        <w:trPr>
          <w:cantSplit/>
        </w:trPr>
        <w:tc>
          <w:tcPr>
            <w:tcW w:type="dxa" w:w="4104"/>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CTA_LCSW_Law_and_Ethics_EP_Stage2_Official_Source_Register_and_Dated_Legal_Ethical_and_Examination_Update_Log_v1.0.docx</w:t>
            </w:r>
          </w:p>
        </w:tc>
        <w:tc>
          <w:tcPr>
            <w:tcW w:type="dxa" w:w="1656"/>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v1.0 | 2026-08-04</w:t>
            </w:r>
          </w:p>
        </w:tc>
        <w:tc>
          <w:tcPr>
            <w:tcW w:type="dxa" w:w="4637"/>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Source hierarchy, official-source inventory, current-change flags, and recheck gates.</w:t>
            </w:r>
          </w:p>
        </w:tc>
      </w:tr>
      <w:tr>
        <w:trPr>
          <w:cantSplit/>
        </w:trPr>
        <w:tc>
          <w:tcPr>
            <w:tcW w:type="dxa" w:w="4104"/>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California BBS Statutes and Regulations</w:t>
            </w:r>
          </w:p>
        </w:tc>
        <w:tc>
          <w:tcPr>
            <w:tcW w:type="dxa" w:w="1656"/>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January 2026 baseline</w:t>
            </w:r>
          </w:p>
        </w:tc>
        <w:tc>
          <w:tcPr>
            <w:tcW w:type="dxa" w:w="4637"/>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Current codified Clinical Social Worker Practice Act and Title 16 regulations.</w:t>
            </w:r>
          </w:p>
        </w:tc>
      </w:tr>
      <w:tr>
        <w:trPr>
          <w:cantSplit/>
        </w:trPr>
        <w:tc>
          <w:tcPr>
            <w:tcW w:type="dxa" w:w="4104"/>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BBS ASW FAQ and 90-Day Rule guidance</w:t>
            </w:r>
          </w:p>
        </w:tc>
        <w:tc>
          <w:tcPr>
            <w:tcW w:type="dxa" w:w="1656"/>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January 2026</w:t>
            </w:r>
          </w:p>
        </w:tc>
        <w:tc>
          <w:tcPr>
            <w:tcW w:type="dxa" w:w="4637"/>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Registration, hours, supervision, settings, employment, and pathway implementation.</w:t>
            </w:r>
          </w:p>
        </w:tc>
      </w:tr>
      <w:tr>
        <w:trPr>
          <w:cantSplit/>
        </w:trPr>
        <w:tc>
          <w:tcPr>
            <w:tcW w:type="dxa" w:w="4104"/>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16 CCR section 1811 / BBS Advertising Fact Sheet</w:t>
            </w:r>
          </w:p>
        </w:tc>
        <w:tc>
          <w:tcPr>
            <w:tcW w:type="dxa" w:w="1656"/>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Effective 2026-04-01</w:t>
            </w:r>
          </w:p>
        </w:tc>
        <w:tc>
          <w:tcPr>
            <w:tcW w:type="dxa" w:w="4637"/>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Current ASW/LCSW advertising and public-representation controls.</w:t>
            </w:r>
          </w:p>
        </w:tc>
      </w:tr>
      <w:tr>
        <w:trPr>
          <w:cantSplit/>
        </w:trPr>
        <w:tc>
          <w:tcPr>
            <w:tcW w:type="dxa" w:w="4104"/>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16 CCR section 1815.5 / BBS telehealth adoption record</w:t>
            </w:r>
          </w:p>
        </w:tc>
        <w:tc>
          <w:tcPr>
            <w:tcW w:type="dxa" w:w="1656"/>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Effective 2026-01-01</w:t>
            </w:r>
          </w:p>
        </w:tc>
        <w:tc>
          <w:tcPr>
            <w:tcW w:type="dxa" w:w="4637"/>
            <w:shd w:fill="F1F3F6"/>
            <w:tcMar>
              <w:top w:w="50" w:type="dxa"/>
              <w:start w:w="52" w:type="dxa"/>
              <w:bottom w:w="50" w:type="dxa"/>
              <w:end w:w="52" w:type="dxa"/>
            </w:tcMar>
            <w:vAlign w:val="top"/>
          </w:tcPr>
          <w:p>
            <w:pPr>
              <w:spacing w:after="0" w:line="240" w:lineRule="auto"/>
            </w:pPr>
            <w:r/>
            <w:r>
              <w:rPr>
                <w:rFonts w:ascii="Calibri" w:hAnsi="Calibri"/>
                <w:b w:val="0"/>
                <w:i w:val="0"/>
                <w:color w:val="111111"/>
                <w:sz w:val="14"/>
              </w:rPr>
              <w:t>Telehealth location, appropriateness, privacy/security, jurisdiction, and emergency-resource controls.</w:t>
            </w:r>
          </w:p>
        </w:tc>
      </w:tr>
      <w:tr>
        <w:trPr>
          <w:cantSplit/>
        </w:trPr>
        <w:tc>
          <w:tcPr>
            <w:tcW w:type="dxa" w:w="4104"/>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NASW Code of Ethics</w:t>
            </w:r>
          </w:p>
        </w:tc>
        <w:tc>
          <w:tcPr>
            <w:tcW w:type="dxa" w:w="1656"/>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Current 2021 update</w:t>
            </w:r>
          </w:p>
        </w:tc>
        <w:tc>
          <w:tcPr>
            <w:tcW w:type="dxa" w:w="4637"/>
            <w:shd w:fill="FFFFFF"/>
            <w:tcMar>
              <w:top w:w="50" w:type="dxa"/>
              <w:start w:w="52" w:type="dxa"/>
              <w:bottom w:w="50" w:type="dxa"/>
              <w:end w:w="52" w:type="dxa"/>
            </w:tcMar>
            <w:vAlign w:val="top"/>
          </w:tcPr>
          <w:p>
            <w:pPr>
              <w:spacing w:after="0" w:line="240" w:lineRule="auto"/>
            </w:pPr>
            <w:r/>
            <w:r>
              <w:rPr>
                <w:rFonts w:ascii="Calibri" w:hAnsi="Calibri"/>
                <w:b w:val="0"/>
                <w:i w:val="0"/>
                <w:color w:val="111111"/>
                <w:sz w:val="14"/>
              </w:rPr>
              <w:t>Social-work values and ethical standards; cited separately from California law.</w:t>
            </w:r>
          </w:p>
        </w:tc>
      </w:tr>
    </w:tbl>
    <w:p>
      <w:pPr>
        <w:pStyle w:val="Heading2"/>
      </w:pPr>
      <w:r>
        <w:t>Source-control correction record</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936"/>
        <w:gridCol w:w="2160"/>
        <w:gridCol w:w="3024"/>
        <w:gridCol w:w="4248"/>
      </w:tblGrid>
      <w:tr>
        <w:trPr>
          <w:tblHeader w:val="true"/>
        </w:trPr>
        <w:tc>
          <w:tcPr>
            <w:tcW w:type="dxa" w:w="2613"/>
            <w:shd w:fill="102A4C"/>
            <w:tcMar>
              <w:top w:w="70" w:type="dxa"/>
              <w:start w:w="80" w:type="dxa"/>
              <w:bottom w:w="70" w:type="dxa"/>
              <w:end w:w="80" w:type="dxa"/>
            </w:tcMar>
          </w:tcPr>
          <w:p>
            <w:pPr>
              <w:spacing w:after="0" w:line="240" w:lineRule="auto"/>
            </w:pPr>
            <w:r/>
            <w:r>
              <w:rPr>
                <w:rFonts w:ascii="Calibri" w:hAnsi="Calibri"/>
                <w:b/>
                <w:i w:val="0"/>
                <w:color w:val="FFFFFF"/>
                <w:sz w:val="15"/>
              </w:rPr>
              <w:t>Item</w:t>
            </w:r>
          </w:p>
        </w:tc>
        <w:tc>
          <w:tcPr>
            <w:tcW w:type="dxa" w:w="2613"/>
            <w:shd w:fill="102A4C"/>
            <w:tcMar>
              <w:top w:w="70" w:type="dxa"/>
              <w:start w:w="80" w:type="dxa"/>
              <w:bottom w:w="70" w:type="dxa"/>
              <w:end w:w="80" w:type="dxa"/>
            </w:tcMar>
          </w:tcPr>
          <w:p>
            <w:pPr>
              <w:spacing w:after="0" w:line="240" w:lineRule="auto"/>
            </w:pPr>
            <w:r/>
            <w:r>
              <w:rPr>
                <w:rFonts w:ascii="Calibri" w:hAnsi="Calibri"/>
                <w:b/>
                <w:i w:val="0"/>
                <w:color w:val="FFFFFF"/>
                <w:sz w:val="15"/>
              </w:rPr>
              <w:t>Blueprint label</w:t>
            </w:r>
          </w:p>
        </w:tc>
        <w:tc>
          <w:tcPr>
            <w:tcW w:type="dxa" w:w="2613"/>
            <w:shd w:fill="102A4C"/>
            <w:tcMar>
              <w:top w:w="70" w:type="dxa"/>
              <w:start w:w="80" w:type="dxa"/>
              <w:bottom w:w="70" w:type="dxa"/>
              <w:end w:w="80" w:type="dxa"/>
            </w:tcMar>
          </w:tcPr>
          <w:p>
            <w:pPr>
              <w:spacing w:after="0" w:line="240" w:lineRule="auto"/>
            </w:pPr>
            <w:r/>
            <w:r>
              <w:rPr>
                <w:rFonts w:ascii="Calibri" w:hAnsi="Calibri"/>
                <w:b/>
                <w:i w:val="0"/>
                <w:color w:val="FFFFFF"/>
                <w:sz w:val="15"/>
              </w:rPr>
              <w:t>Corrected authority</w:t>
            </w:r>
          </w:p>
        </w:tc>
        <w:tc>
          <w:tcPr>
            <w:tcW w:type="dxa" w:w="2613"/>
            <w:shd w:fill="102A4C"/>
            <w:tcMar>
              <w:top w:w="70" w:type="dxa"/>
              <w:start w:w="80" w:type="dxa"/>
              <w:bottom w:w="70" w:type="dxa"/>
              <w:end w:w="80" w:type="dxa"/>
            </w:tcMar>
          </w:tcPr>
          <w:p>
            <w:pPr>
              <w:spacing w:after="0" w:line="240" w:lineRule="auto"/>
            </w:pPr>
            <w:r/>
            <w:r>
              <w:rPr>
                <w:rFonts w:ascii="Calibri" w:hAnsi="Calibri"/>
                <w:b/>
                <w:i w:val="0"/>
                <w:color w:val="FFFFFF"/>
                <w:sz w:val="15"/>
              </w:rPr>
              <w:t>Disposition</w:t>
            </w:r>
          </w:p>
        </w:tc>
      </w:tr>
      <w:tr>
        <w:tc>
          <w:tcPr>
            <w:tcW w:type="dxa" w:w="2613"/>
            <w:shd w:fill="FFF4D2"/>
            <w:tcMar>
              <w:top w:w="55" w:type="dxa"/>
              <w:start w:w="55" w:type="dxa"/>
              <w:bottom w:w="55" w:type="dxa"/>
              <w:end w:w="55" w:type="dxa"/>
            </w:tcMar>
          </w:tcPr>
          <w:p>
            <w:pPr>
              <w:spacing w:after="0" w:line="240" w:lineRule="auto"/>
            </w:pPr>
            <w:r/>
            <w:r>
              <w:rPr>
                <w:rFonts w:ascii="Calibri" w:hAnsi="Calibri"/>
                <w:b/>
                <w:i w:val="0"/>
                <w:color w:val="102A4C"/>
                <w:sz w:val="15"/>
              </w:rPr>
              <w:t>18</w:t>
            </w:r>
          </w:p>
        </w:tc>
        <w:tc>
          <w:tcPr>
            <w:tcW w:type="dxa" w:w="2613"/>
            <w:shd w:fill="FFF4D2"/>
            <w:tcMar>
              <w:top w:w="55" w:type="dxa"/>
              <w:start w:w="55" w:type="dxa"/>
              <w:bottom w:w="55" w:type="dxa"/>
              <w:end w:w="55" w:type="dxa"/>
            </w:tcMar>
          </w:tcPr>
          <w:p>
            <w:pPr>
              <w:spacing w:after="0" w:line="240" w:lineRule="auto"/>
            </w:pPr>
            <w:r/>
            <w:r>
              <w:rPr>
                <w:rFonts w:ascii="Calibri" w:hAnsi="Calibri"/>
                <w:b w:val="0"/>
                <w:i w:val="0"/>
                <w:color w:val="102A4C"/>
                <w:sz w:val="15"/>
              </w:rPr>
              <w:t>BPC 4996.9</w:t>
            </w:r>
          </w:p>
        </w:tc>
        <w:tc>
          <w:tcPr>
            <w:tcW w:type="dxa" w:w="2613"/>
            <w:shd w:fill="FFF4D2"/>
            <w:tcMar>
              <w:top w:w="55" w:type="dxa"/>
              <w:start w:w="55" w:type="dxa"/>
              <w:bottom w:w="55" w:type="dxa"/>
              <w:end w:w="55" w:type="dxa"/>
            </w:tcMar>
          </w:tcPr>
          <w:p>
            <w:pPr>
              <w:spacing w:after="0" w:line="240" w:lineRule="auto"/>
            </w:pPr>
            <w:r/>
            <w:r>
              <w:rPr>
                <w:rFonts w:ascii="Calibri" w:hAnsi="Calibri"/>
                <w:b w:val="0"/>
                <w:i w:val="0"/>
                <w:color w:val="102A4C"/>
                <w:sz w:val="15"/>
              </w:rPr>
              <w:t>BPC 4993(a)-(b)</w:t>
            </w:r>
          </w:p>
        </w:tc>
        <w:tc>
          <w:tcPr>
            <w:tcW w:type="dxa" w:w="2613"/>
            <w:shd w:fill="EAF2FC"/>
            <w:tcMar>
              <w:top w:w="55" w:type="dxa"/>
              <w:start w:w="55" w:type="dxa"/>
              <w:bottom w:w="55" w:type="dxa"/>
              <w:end w:w="55" w:type="dxa"/>
            </w:tcMar>
          </w:tcPr>
          <w:p>
            <w:pPr>
              <w:spacing w:after="0" w:line="240" w:lineRule="auto"/>
            </w:pPr>
            <w:r/>
            <w:r>
              <w:rPr>
                <w:rFonts w:ascii="Calibri" w:hAnsi="Calibri"/>
                <w:b w:val="0"/>
                <w:i w:val="0"/>
                <w:color w:val="111111"/>
                <w:sz w:val="15"/>
              </w:rPr>
              <w:t>Citation normalized to the exact LCSW record-retention statute. The stem, options, key, and rationale remain unchanged.</w:t>
            </w:r>
          </w:p>
        </w:tc>
      </w:tr>
    </w:tbl>
    <w:p>
      <w:pPr>
        <w:pStyle w:val="Heading2"/>
      </w:pPr>
      <w:r>
        <w:t>Release and answer-visibility controls</w:t>
      </w:r>
    </w:p>
    <w:p>
      <w:pPr>
        <w:pStyle w:val="ListBullet"/>
        <w:spacing w:after="40"/>
      </w:pPr>
      <w:r>
        <w:rPr>
          <w:rFonts w:ascii="Calibri" w:hAnsi="Calibri"/>
          <w:b w:val="0"/>
          <w:i w:val="0"/>
          <w:color w:val="111111"/>
          <w:sz w:val="17"/>
        </w:rPr>
        <w:t>Keep the candidate form answer-hidden and release this file only after the approved attempt/submission or authorized review trigger.</w:t>
      </w:r>
    </w:p>
    <w:p>
      <w:pPr>
        <w:pStyle w:val="ListBullet"/>
        <w:spacing w:after="40"/>
      </w:pPr>
      <w:r>
        <w:rPr>
          <w:rFonts w:ascii="Calibri" w:hAnsi="Calibri"/>
          <w:b w:val="0"/>
          <w:i w:val="0"/>
          <w:color w:val="111111"/>
          <w:sz w:val="17"/>
        </w:rPr>
        <w:t>Recheck high-change legal, regulatory, BBS, examination, and ethics sources before LMS build and within 30 days of public release.</w:t>
      </w:r>
    </w:p>
    <w:p>
      <w:pPr>
        <w:pStyle w:val="ListBullet"/>
        <w:spacing w:after="40"/>
      </w:pPr>
      <w:r>
        <w:rPr>
          <w:rFonts w:ascii="Calibri" w:hAnsi="Calibri"/>
          <w:b w:val="0"/>
          <w:i w:val="0"/>
          <w:color w:val="111111"/>
          <w:sz w:val="17"/>
        </w:rPr>
        <w:t>Synchronize any change across the candidate item, correct key, all four rationales, exam strategy, remediation route, flashcard, LMS item, and public/support copy.</w:t>
      </w:r>
    </w:p>
    <w:p>
      <w:pPr>
        <w:pStyle w:val="ListBullet"/>
        <w:spacing w:after="40"/>
      </w:pPr>
      <w:r>
        <w:rPr>
          <w:rFonts w:ascii="Calibri" w:hAnsi="Calibri"/>
          <w:b w:val="0"/>
          <w:i w:val="0"/>
          <w:color w:val="111111"/>
          <w:sz w:val="17"/>
        </w:rPr>
        <w:t>Do not place internal IDs, difficulty labels, source controls, answer allocation, or protected rationales in pre-attempt learner content.</w:t>
      </w:r>
    </w:p>
    <w:p>
      <w:pPr>
        <w:pStyle w:val="ListBullet"/>
        <w:spacing w:after="40"/>
      </w:pPr>
      <w:r>
        <w:rPr>
          <w:rFonts w:ascii="Calibri" w:hAnsi="Calibri"/>
          <w:b w:val="0"/>
          <w:i w:val="0"/>
          <w:color w:val="111111"/>
          <w:sz w:val="17"/>
        </w:rPr>
        <w:t>Archive superseded versions and retain a dated update record; no silent corrections are permitted.</w:t>
      </w:r>
    </w:p>
    <w:p>
      <w:pPr>
        <w:pStyle w:val="Heading2"/>
      </w:pPr>
      <w:r>
        <w:t>Final controlled QA record</w:t>
      </w:r>
    </w:p>
    <w:tbl>
      <w:tblPr>
        <w:tblW w:type="auto" w:w="0"/>
        <w:jc w:val="center"/>
        <w:tblLayout w:type="fixed"/>
        <w:tblLook w:firstColumn="1" w:firstRow="1" w:lastColumn="0" w:lastRow="0" w:noHBand="0" w:noVBand="1" w:val="04A0"/>
        <w:tblBorders>
          <w:top w:val="single" w:sz="4" w:space="0" w:color="AAB4C2"/>
          <w:left w:val="single" w:sz="4" w:space="0" w:color="AAB4C2"/>
          <w:bottom w:val="single" w:sz="4" w:space="0" w:color="AAB4C2"/>
          <w:right w:val="single" w:sz="4" w:space="0" w:color="AAB4C2"/>
          <w:insideH w:val="single" w:sz="4" w:space="0" w:color="AAB4C2"/>
          <w:insideV w:val="single" w:sz="4" w:space="0" w:color="AAB4C2"/>
        </w:tblBorders>
      </w:tblPr>
      <w:tblGrid>
        <w:gridCol w:w="3528"/>
        <w:gridCol w:w="6869"/>
      </w:tblGrid>
      <w:tr>
        <w:trPr>
          <w:tblHeader w:val="true"/>
        </w:trPr>
        <w:tc>
          <w:tcPr>
            <w:tcW w:type="dxa" w:w="5227"/>
            <w:shd w:fill="102A4C"/>
            <w:tcMar>
              <w:top w:w="70" w:type="dxa"/>
              <w:start w:w="80" w:type="dxa"/>
              <w:bottom w:w="70" w:type="dxa"/>
              <w:end w:w="80" w:type="dxa"/>
            </w:tcMar>
          </w:tcPr>
          <w:p>
            <w:pPr>
              <w:spacing w:after="0" w:line="240" w:lineRule="auto"/>
            </w:pPr>
            <w:r/>
            <w:r>
              <w:rPr>
                <w:rFonts w:ascii="Calibri" w:hAnsi="Calibri"/>
                <w:b/>
                <w:i w:val="0"/>
                <w:color w:val="FFFFFF"/>
                <w:sz w:val="15"/>
              </w:rPr>
              <w:t>Control</w:t>
            </w:r>
          </w:p>
        </w:tc>
        <w:tc>
          <w:tcPr>
            <w:tcW w:type="dxa" w:w="5227"/>
            <w:shd w:fill="102A4C"/>
            <w:tcMar>
              <w:top w:w="70" w:type="dxa"/>
              <w:start w:w="80" w:type="dxa"/>
              <w:bottom w:w="70" w:type="dxa"/>
              <w:end w:w="80" w:type="dxa"/>
            </w:tcMar>
          </w:tcPr>
          <w:p>
            <w:pPr>
              <w:spacing w:after="0" w:line="240" w:lineRule="auto"/>
            </w:pPr>
            <w:r/>
            <w:r>
              <w:rPr>
                <w:rFonts w:ascii="Calibri" w:hAnsi="Calibri"/>
                <w:b/>
                <w:i w:val="0"/>
                <w:color w:val="FFFFFF"/>
                <w:sz w:val="15"/>
              </w:rPr>
              <w:t>Status</w:t>
            </w:r>
          </w:p>
        </w:tc>
      </w:tr>
      <w:tr>
        <w:trPr>
          <w:cantSplit/>
        </w:trPr>
        <w:tc>
          <w:tcPr>
            <w:tcW w:type="dxa" w:w="3528"/>
            <w:shd w:fill="EAF2FC"/>
            <w:tcMar>
              <w:top w:w="52" w:type="dxa"/>
              <w:start w:w="58" w:type="dxa"/>
              <w:bottom w:w="52" w:type="dxa"/>
              <w:end w:w="58" w:type="dxa"/>
            </w:tcMar>
          </w:tcPr>
          <w:p>
            <w:pPr>
              <w:spacing w:after="0" w:line="240" w:lineRule="auto"/>
            </w:pPr>
            <w:r/>
            <w:r>
              <w:rPr>
                <w:rFonts w:ascii="Calibri" w:hAnsi="Calibri"/>
                <w:b/>
                <w:i w:val="0"/>
                <w:color w:val="102A4C"/>
                <w:sz w:val="15"/>
              </w:rPr>
              <w:t>Candidate-form synchronization</w:t>
            </w:r>
          </w:p>
        </w:tc>
        <w:tc>
          <w:tcPr>
            <w:tcW w:type="dxa" w:w="6869"/>
            <w:shd w:fill="FFFFFF"/>
            <w:tcMar>
              <w:top w:w="52" w:type="dxa"/>
              <w:start w:w="58" w:type="dxa"/>
              <w:bottom w:w="52" w:type="dxa"/>
              <w:end w:w="58" w:type="dxa"/>
            </w:tcMar>
          </w:tcPr>
          <w:p>
            <w:pPr>
              <w:spacing w:after="0" w:line="240" w:lineRule="auto"/>
            </w:pPr>
            <w:r/>
            <w:r>
              <w:rPr>
                <w:rFonts w:ascii="Calibri" w:hAnsi="Calibri"/>
                <w:b w:val="0"/>
                <w:i w:val="0"/>
                <w:color w:val="111111"/>
                <w:sz w:val="15"/>
              </w:rPr>
              <w:t>PASS - 25 stems and 100 answer choices reproduced from the v1.0 blueprint/candidate source.</w:t>
            </w:r>
          </w:p>
        </w:tc>
      </w:tr>
      <w:tr>
        <w:trPr>
          <w:cantSplit/>
        </w:trPr>
        <w:tc>
          <w:tcPr>
            <w:tcW w:type="dxa" w:w="3528"/>
            <w:shd w:fill="EAF2FC"/>
            <w:tcMar>
              <w:top w:w="52" w:type="dxa"/>
              <w:start w:w="58" w:type="dxa"/>
              <w:bottom w:w="52" w:type="dxa"/>
              <w:end w:w="58" w:type="dxa"/>
            </w:tcMar>
          </w:tcPr>
          <w:p>
            <w:pPr>
              <w:spacing w:after="0" w:line="240" w:lineRule="auto"/>
            </w:pPr>
            <w:r/>
            <w:r>
              <w:rPr>
                <w:rFonts w:ascii="Calibri" w:hAnsi="Calibri"/>
                <w:b/>
                <w:i w:val="0"/>
                <w:color w:val="102A4C"/>
                <w:sz w:val="15"/>
              </w:rPr>
              <w:t>Key balance and distribution</w:t>
            </w:r>
          </w:p>
        </w:tc>
        <w:tc>
          <w:tcPr>
            <w:tcW w:type="dxa" w:w="6869"/>
            <w:shd w:fill="F1F3F6"/>
            <w:tcMar>
              <w:top w:w="52" w:type="dxa"/>
              <w:start w:w="58" w:type="dxa"/>
              <w:bottom w:w="52" w:type="dxa"/>
              <w:end w:w="58" w:type="dxa"/>
            </w:tcMar>
          </w:tcPr>
          <w:p>
            <w:pPr>
              <w:spacing w:after="0" w:line="240" w:lineRule="auto"/>
            </w:pPr>
            <w:r/>
            <w:r>
              <w:rPr>
                <w:rFonts w:ascii="Calibri" w:hAnsi="Calibri"/>
                <w:b w:val="0"/>
                <w:i w:val="0"/>
                <w:color w:val="111111"/>
                <w:sz w:val="15"/>
              </w:rPr>
              <w:t>PASS - A 7, B 6, C 6, D 6; difficulty 7/11/7; emphasis 15 Law/10 Ethics.</w:t>
            </w:r>
          </w:p>
        </w:tc>
      </w:tr>
      <w:tr>
        <w:trPr>
          <w:cantSplit/>
        </w:trPr>
        <w:tc>
          <w:tcPr>
            <w:tcW w:type="dxa" w:w="3528"/>
            <w:shd w:fill="EAF2FC"/>
            <w:tcMar>
              <w:top w:w="52" w:type="dxa"/>
              <w:start w:w="58" w:type="dxa"/>
              <w:bottom w:w="52" w:type="dxa"/>
              <w:end w:w="58" w:type="dxa"/>
            </w:tcMar>
          </w:tcPr>
          <w:p>
            <w:pPr>
              <w:spacing w:after="0" w:line="240" w:lineRule="auto"/>
            </w:pPr>
            <w:r/>
            <w:r>
              <w:rPr>
                <w:rFonts w:ascii="Calibri" w:hAnsi="Calibri"/>
                <w:b/>
                <w:i w:val="0"/>
                <w:color w:val="102A4C"/>
                <w:sz w:val="15"/>
              </w:rPr>
              <w:t>Option-by-option feedback</w:t>
            </w:r>
          </w:p>
        </w:tc>
        <w:tc>
          <w:tcPr>
            <w:tcW w:type="dxa" w:w="6869"/>
            <w:shd w:fill="FFFFFF"/>
            <w:tcMar>
              <w:top w:w="52" w:type="dxa"/>
              <w:start w:w="58" w:type="dxa"/>
              <w:bottom w:w="52" w:type="dxa"/>
              <w:end w:w="58" w:type="dxa"/>
            </w:tcMar>
          </w:tcPr>
          <w:p>
            <w:pPr>
              <w:spacing w:after="0" w:line="240" w:lineRule="auto"/>
            </w:pPr>
            <w:r/>
            <w:r>
              <w:rPr>
                <w:rFonts w:ascii="Calibri" w:hAnsi="Calibri"/>
                <w:b w:val="0"/>
                <w:i w:val="0"/>
                <w:color w:val="111111"/>
                <w:sz w:val="15"/>
              </w:rPr>
              <w:t>PASS - every item explains the keyed answer and all three alternatives.</w:t>
            </w:r>
          </w:p>
        </w:tc>
      </w:tr>
      <w:tr>
        <w:trPr>
          <w:cantSplit/>
        </w:trPr>
        <w:tc>
          <w:tcPr>
            <w:tcW w:type="dxa" w:w="3528"/>
            <w:shd w:fill="EAF2FC"/>
            <w:tcMar>
              <w:top w:w="52" w:type="dxa"/>
              <w:start w:w="58" w:type="dxa"/>
              <w:bottom w:w="52" w:type="dxa"/>
              <w:end w:w="58" w:type="dxa"/>
            </w:tcMar>
          </w:tcPr>
          <w:p>
            <w:pPr>
              <w:spacing w:after="0" w:line="240" w:lineRule="auto"/>
            </w:pPr>
            <w:r/>
            <w:r>
              <w:rPr>
                <w:rFonts w:ascii="Calibri" w:hAnsi="Calibri"/>
                <w:b/>
                <w:i w:val="0"/>
                <w:color w:val="102A4C"/>
                <w:sz w:val="15"/>
              </w:rPr>
              <w:t>Remediation and flashcard routing</w:t>
            </w:r>
          </w:p>
        </w:tc>
        <w:tc>
          <w:tcPr>
            <w:tcW w:type="dxa" w:w="6869"/>
            <w:shd w:fill="F1F3F6"/>
            <w:tcMar>
              <w:top w:w="52" w:type="dxa"/>
              <w:start w:w="58" w:type="dxa"/>
              <w:bottom w:w="52" w:type="dxa"/>
              <w:end w:w="58" w:type="dxa"/>
            </w:tcMar>
          </w:tcPr>
          <w:p>
            <w:pPr>
              <w:spacing w:after="0" w:line="240" w:lineRule="auto"/>
            </w:pPr>
            <w:r/>
            <w:r>
              <w:rPr>
                <w:rFonts w:ascii="Calibri" w:hAnsi="Calibri"/>
                <w:b w:val="0"/>
                <w:i w:val="0"/>
                <w:color w:val="111111"/>
                <w:sz w:val="15"/>
              </w:rPr>
              <w:t>PASS - every item includes lesson, error category, and FC-LS-001 through FC-LS-025 route.</w:t>
            </w:r>
          </w:p>
        </w:tc>
      </w:tr>
      <w:tr>
        <w:trPr>
          <w:cantSplit/>
        </w:trPr>
        <w:tc>
          <w:tcPr>
            <w:tcW w:type="dxa" w:w="3528"/>
            <w:shd w:fill="EAF2FC"/>
            <w:tcMar>
              <w:top w:w="52" w:type="dxa"/>
              <w:start w:w="58" w:type="dxa"/>
              <w:bottom w:w="52" w:type="dxa"/>
              <w:end w:w="58" w:type="dxa"/>
            </w:tcMar>
          </w:tcPr>
          <w:p>
            <w:pPr>
              <w:spacing w:after="0" w:line="240" w:lineRule="auto"/>
            </w:pPr>
            <w:r/>
            <w:r>
              <w:rPr>
                <w:rFonts w:ascii="Calibri" w:hAnsi="Calibri"/>
                <w:b/>
                <w:i w:val="0"/>
                <w:color w:val="102A4C"/>
                <w:sz w:val="15"/>
              </w:rPr>
              <w:t>Source control</w:t>
            </w:r>
          </w:p>
        </w:tc>
        <w:tc>
          <w:tcPr>
            <w:tcW w:type="dxa" w:w="6869"/>
            <w:shd w:fill="FFFFFF"/>
            <w:tcMar>
              <w:top w:w="52" w:type="dxa"/>
              <w:start w:w="58" w:type="dxa"/>
              <w:bottom w:w="52" w:type="dxa"/>
              <w:end w:w="58" w:type="dxa"/>
            </w:tcMar>
          </w:tcPr>
          <w:p>
            <w:pPr>
              <w:spacing w:after="0" w:line="240" w:lineRule="auto"/>
            </w:pPr>
            <w:r/>
            <w:r>
              <w:rPr>
                <w:rFonts w:ascii="Calibri" w:hAnsi="Calibri"/>
                <w:b w:val="0"/>
                <w:i w:val="0"/>
                <w:color w:val="111111"/>
                <w:sz w:val="15"/>
              </w:rPr>
              <w:t>PASS WITH RELEASE RECHECK - current-source normalization recorded; high-change sources remain gated for pre-release refresh.</w:t>
            </w:r>
          </w:p>
        </w:tc>
      </w:tr>
      <w:tr>
        <w:trPr>
          <w:cantSplit/>
        </w:trPr>
        <w:tc>
          <w:tcPr>
            <w:tcW w:type="dxa" w:w="3528"/>
            <w:shd w:fill="EAF2FC"/>
            <w:tcMar>
              <w:top w:w="52" w:type="dxa"/>
              <w:start w:w="58" w:type="dxa"/>
              <w:bottom w:w="52" w:type="dxa"/>
              <w:end w:w="58" w:type="dxa"/>
            </w:tcMar>
          </w:tcPr>
          <w:p>
            <w:pPr>
              <w:spacing w:after="0" w:line="240" w:lineRule="auto"/>
            </w:pPr>
            <w:r/>
            <w:r>
              <w:rPr>
                <w:rFonts w:ascii="Calibri" w:hAnsi="Calibri"/>
                <w:b/>
                <w:i w:val="0"/>
                <w:color w:val="102A4C"/>
                <w:sz w:val="15"/>
              </w:rPr>
              <w:t>Public-release authorization</w:t>
            </w:r>
          </w:p>
        </w:tc>
        <w:tc>
          <w:tcPr>
            <w:tcW w:type="dxa" w:w="6869"/>
            <w:shd w:fill="F1F3F6"/>
            <w:tcMar>
              <w:top w:w="52" w:type="dxa"/>
              <w:start w:w="58" w:type="dxa"/>
              <w:bottom w:w="52" w:type="dxa"/>
              <w:end w:w="58" w:type="dxa"/>
            </w:tcMar>
          </w:tcPr>
          <w:p>
            <w:pPr>
              <w:spacing w:after="0" w:line="240" w:lineRule="auto"/>
            </w:pPr>
            <w:r/>
            <w:r>
              <w:rPr>
                <w:rFonts w:ascii="Calibri" w:hAnsi="Calibri"/>
                <w:b w:val="0"/>
                <w:i w:val="0"/>
                <w:color w:val="111111"/>
                <w:sz w:val="15"/>
              </w:rPr>
              <w:t>BLOCKED - flashcard build, LMS answer behavior, consistency review, learner-view testing, and owner release approval remain pending.</w:t>
            </w:r>
          </w:p>
        </w:tc>
      </w:tr>
    </w:tbl>
    <w:p>
      <w:pPr>
        <w:spacing w:before="200"/>
        <w:jc w:val="center"/>
      </w:pPr>
      <w:r>
        <w:rPr>
          <w:rFonts w:ascii="Calibri" w:hAnsi="Calibri"/>
          <w:b w:val="0"/>
          <w:i w:val="0"/>
          <w:color w:val="5E6670"/>
          <w:sz w:val="14"/>
        </w:rPr>
        <w:t>Copyright (c) 2026 Clinical Training &amp; Supervision Academy. All rights reserved.</w:t>
      </w:r>
    </w:p>
    <w:sectPr w:rsidR="00FC693F" w:rsidRPr="0006063C" w:rsidSect="00034616">
      <w:headerReference w:type="default" r:id="rId9"/>
      <w:footerReference w:type="default" r:id="rId10"/>
      <w:pgSz w:w="12240" w:h="15840"/>
      <w:pgMar w:top="835" w:right="893" w:bottom="835" w:left="893"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i w:val="0"/>
        <w:color w:val="5E6670"/>
        <w:sz w:val="14"/>
      </w:rPr>
      <w:t xml:space="preserve">LCSW CONTROLLED RATIONALES  |  v1.0  |  </w:t>
    </w:r>
    <w:r>
      <w:rPr>
        <w:rFonts w:ascii="Calibri" w:hAnsi="Calibri"/>
        <w:b/>
        <w:i w:val="0"/>
        <w:color w:val="5E6670"/>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102A4C"/>
        <w:sz w:val="14"/>
      </w:rPr>
      <w:t>CTA-EP-002  |  LCSW CALIFORNIA LAW &amp; ETHICS  |  CONTROLLED ANSWER KEY &amp; RATIONALES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Calibri" w:hAnsi="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sz w:val="1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102A4C"/>
      <w:sz w:val="31"/>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10A79B"/>
      <w:sz w:val="23"/>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102A4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102A4C"/>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5E6670"/>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LCSW/ASW License-Specific Module 25-Question Controlled Answer Key and Detailed Rationales</dc:title>
  <dc:subject>CTA-EP-002 LCSW California Law and Ethics Exam Preparation Program</dc:subject>
  <dc:creator>Clinical Training &amp; Supervision Academy</dc:creator>
  <cp:keywords>LCSW, ASW, California Law and Ethics, controlled answer key, rationales, remediation, CTA-EP-002</cp:keywords>
  <dc:description>Stage 3C controlled post-attempt rationale edition. Not learner-facing before the approved attempt/review trigger.</dc:description>
  <cp:lastModifiedBy/>
  <cp:revision>1</cp:revision>
  <dcterms:created xsi:type="dcterms:W3CDTF">2013-12-23T23:15:00Z</dcterms:created>
  <dcterms:modified xsi:type="dcterms:W3CDTF">2013-12-23T23:15:00Z</dcterms:modified>
  <cp:category/>
</cp:coreProperties>
</file>