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645920" cy="1132114"/>
            <wp:docPr id="1" name="Picture 1" descr="Image: image1.png"/>
            <wp:cNvGraphicFramePr>
              <a:graphicFrameLocks noChangeAspect="1"/>
            </wp:cNvGraphicFramePr>
            <a:graphic>
              <a:graphicData uri="http://schemas.openxmlformats.org/drawingml/2006/picture">
                <pic:pic>
                  <pic:nvPicPr>
                    <pic:cNvPr id="0" name="Primary Horizontal Logo.png"/>
                    <pic:cNvPicPr/>
                  </pic:nvPicPr>
                  <pic:blipFill>
                    <a:blip r:embed="rId10"/>
                    <a:stretch>
                      <a:fillRect/>
                    </a:stretch>
                  </pic:blipFill>
                  <pic:spPr>
                    <a:xfrm>
                      <a:off x="0" y="0"/>
                      <a:ext cx="1645920" cy="1132114"/>
                    </a:xfrm>
                    <a:prstGeom prst="rect"/>
                  </pic:spPr>
                </pic:pic>
              </a:graphicData>
            </a:graphic>
          </wp:inline>
        </w:drawing>
      </w:r>
    </w:p>
    <w:p>
      <w:pPr>
        <w:pStyle w:val="CTATitle"/>
      </w:pPr>
      <w:r>
        <w:t>LCSW California Law &amp; Ethics Exam Preparation</w:t>
      </w:r>
    </w:p>
    <w:p>
      <w:pPr>
        <w:pStyle w:val="CTASubtitle"/>
      </w:pPr>
      <w:r>
        <w:t>Workbook 3: Professional Competence</w:t>
      </w:r>
    </w:p>
    <w:p>
      <w:pPr>
        <w:pStyle w:val="CTAH2"/>
      </w:pPr>
      <w:r>
        <w:t>102-Question Controlled Answer Key and Detailed Rationales</w:t>
      </w:r>
    </w:p>
    <w:p>
      <w:pPr>
        <w:pStyle w:val="CTAMeta"/>
      </w:pPr>
      <w:r>
        <w:t>CTA-EP-002 | Version 1.0 | Source Review: August 7, 2026</w:t>
      </w:r>
    </w:p>
    <w:p>
      <w:pPr>
        <w:pStyle w:val="CTACallout"/>
      </w:pPr>
      <w:r>
        <w:t>EXAM PREPARATION ONLY | NO CE CREDIT OR CE CERTIFICATE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CONTROLLED MATERIAL: Release only after the learner completes the candidate assessment.</w:t>
            </w:r>
          </w:p>
        </w:tc>
        <w:trPr>
          <w:tblHeader/>
        </w:trPr>
      </w:tr>
    </w:tbl>
    <w:p>
      <w:pPr>
        <w:pStyle w:val="CTAH1"/>
      </w:pPr>
      <w:r>
        <w:t>Publication and Use Notice</w:t>
      </w:r>
    </w:p>
    <w:p>
      <w:pPr>
        <w:pStyle w:val="CTABody"/>
      </w:pPr>
      <w:r>
        <w:t>This resource is designed exclusively for the CTA LCSW California Law and Ethics Exam Preparation Program. It is exam preparation only, provides no CE credit or CE certificate, does not provide legal advice, and does not determine individual examination eligibility.</w:t>
      </w:r>
    </w:p>
    <w:p>
      <w:pPr>
        <w:pStyle w:val="CTABody"/>
      </w:pPr>
      <w:r>
        <w:t>CTA is not affiliated with, sponsored by, or endorsed by the California Board of Behavioral Sciences or its designated testing administrator. Practice performance does not guarantee examination passage.</w:t>
      </w:r>
    </w:p>
    <w:p>
      <w:pPr>
        <w:pStyle w:val="CTASmall"/>
      </w:pPr>
      <w:r>
        <w:t>© 2026 Clinical Training and Supervision Academy. Personal use by enrolled purchasers only. No sharing, resale, public posting, or commercial distribution.</w:t>
      </w:r>
    </w:p>
    <w:p>
      <w:pPr>
        <w:pStyle w:val="CTAH2"/>
      </w:pPr>
      <w:r>
        <w:t>Assessment Specifications</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792"/>
            <w:tcMar>
              <w:top w:w="60" w:type="dxa"/>
              <w:start w:w="80" w:type="dxa"/>
              <w:bottom w:w="60" w:type="dxa"/>
              <w:end w:w="80" w:type="dxa"/>
            </w:tcMar>
            <w:vAlign w:val="center"/>
            <w:shd w:fill="102A43"/>
          </w:tcPr>
          <w:p>
            <w:r>
              <w:rPr>
                <w:rFonts w:ascii="Arial" w:hAnsi="Arial"/>
                <w:b/>
                <w:color w:val="FFFFFF"/>
                <w:sz w:val="16"/>
              </w:rPr>
              <w:t>Chapter</w:t>
            </w:r>
          </w:p>
        </w:tc>
        <w:tc>
          <w:tcPr>
            <w:tcW w:type="dxa" w:w="4824"/>
            <w:tcMar>
              <w:top w:w="60" w:type="dxa"/>
              <w:start w:w="80" w:type="dxa"/>
              <w:bottom w:w="60" w:type="dxa"/>
              <w:end w:w="80" w:type="dxa"/>
            </w:tcMar>
            <w:vAlign w:val="center"/>
            <w:shd w:fill="102A43"/>
          </w:tcPr>
          <w:p>
            <w:r>
              <w:rPr>
                <w:rFonts w:ascii="Arial" w:hAnsi="Arial"/>
                <w:b/>
                <w:color w:val="FFFFFF"/>
                <w:sz w:val="16"/>
              </w:rPr>
              <w:t>Topic</w:t>
            </w:r>
          </w:p>
        </w:tc>
        <w:tc>
          <w:tcPr>
            <w:tcW w:type="dxa" w:w="792"/>
            <w:tcMar>
              <w:top w:w="60" w:type="dxa"/>
              <w:start w:w="80" w:type="dxa"/>
              <w:bottom w:w="60" w:type="dxa"/>
              <w:end w:w="80" w:type="dxa"/>
            </w:tcMar>
            <w:vAlign w:val="center"/>
            <w:shd w:fill="102A43"/>
          </w:tcPr>
          <w:p>
            <w:r>
              <w:rPr>
                <w:rFonts w:ascii="Arial" w:hAnsi="Arial"/>
                <w:b/>
                <w:color w:val="FFFFFF"/>
                <w:sz w:val="16"/>
              </w:rPr>
              <w:t>Items</w:t>
            </w:r>
          </w:p>
        </w:tc>
        <w:tc>
          <w:tcPr>
            <w:tcW w:type="dxa" w:w="936"/>
            <w:tcMar>
              <w:top w:w="60" w:type="dxa"/>
              <w:start w:w="80" w:type="dxa"/>
              <w:bottom w:w="60" w:type="dxa"/>
              <w:end w:w="80" w:type="dxa"/>
            </w:tcMar>
            <w:vAlign w:val="center"/>
            <w:shd w:fill="102A43"/>
          </w:tcPr>
          <w:p>
            <w:r>
              <w:rPr>
                <w:rFonts w:ascii="Arial" w:hAnsi="Arial"/>
                <w:b/>
                <w:color w:val="FFFFFF"/>
                <w:sz w:val="16"/>
              </w:rPr>
              <w:t>Easy</w:t>
            </w:r>
          </w:p>
        </w:tc>
        <w:tc>
          <w:tcPr>
            <w:tcW w:type="dxa" w:w="1224"/>
            <w:tcMar>
              <w:top w:w="60" w:type="dxa"/>
              <w:start w:w="80" w:type="dxa"/>
              <w:bottom w:w="60" w:type="dxa"/>
              <w:end w:w="80" w:type="dxa"/>
            </w:tcMar>
            <w:vAlign w:val="center"/>
            <w:shd w:fill="102A43"/>
          </w:tcPr>
          <w:p>
            <w:r>
              <w:rPr>
                <w:rFonts w:ascii="Arial" w:hAnsi="Arial"/>
                <w:b/>
                <w:color w:val="FFFFFF"/>
                <w:sz w:val="16"/>
              </w:rPr>
              <w:t>Moderate</w:t>
            </w:r>
          </w:p>
        </w:tc>
        <w:tc>
          <w:tcPr>
            <w:tcW w:type="dxa" w:w="1080"/>
            <w:tcMar>
              <w:top w:w="60" w:type="dxa"/>
              <w:start w:w="80" w:type="dxa"/>
              <w:bottom w:w="60" w:type="dxa"/>
              <w:end w:w="80" w:type="dxa"/>
            </w:tcMar>
            <w:vAlign w:val="center"/>
            <w:shd w:fill="102A43"/>
          </w:tcPr>
          <w:p>
            <w:r>
              <w:rPr>
                <w:rFonts w:ascii="Arial" w:hAnsi="Arial"/>
                <w:b/>
                <w:color w:val="FFFFFF"/>
                <w:sz w:val="16"/>
              </w:rPr>
              <w:t>Difficult</w:t>
            </w:r>
          </w:p>
        </w:tc>
      </w:tr>
      <w:tr>
        <w:tc>
          <w:tcPr>
            <w:tcW w:type="dxa" w:w="792"/>
            <w:tcMar>
              <w:top w:w="60" w:type="dxa"/>
              <w:start w:w="80" w:type="dxa"/>
              <w:bottom w:w="60" w:type="dxa"/>
              <w:end w:w="80" w:type="dxa"/>
            </w:tcMar>
            <w:vAlign w:val="center"/>
          </w:tcPr>
          <w:p>
            <w:r>
              <w:rPr>
                <w:rFonts w:ascii="Arial" w:hAnsi="Arial"/>
                <w:b w:val="0"/>
                <w:color w:val="1F2933"/>
                <w:sz w:val="16"/>
              </w:rPr>
              <w:t>1</w:t>
            </w:r>
          </w:p>
        </w:tc>
        <w:tc>
          <w:tcPr>
            <w:tcW w:type="dxa" w:w="4824"/>
            <w:tcMar>
              <w:top w:w="60" w:type="dxa"/>
              <w:start w:w="80" w:type="dxa"/>
              <w:bottom w:w="60" w:type="dxa"/>
              <w:end w:w="80" w:type="dxa"/>
            </w:tcMar>
            <w:vAlign w:val="center"/>
          </w:tcPr>
          <w:p>
            <w:r>
              <w:rPr>
                <w:rFonts w:ascii="Arial" w:hAnsi="Arial"/>
                <w:b w:val="0"/>
                <w:color w:val="1F2933"/>
                <w:sz w:val="16"/>
              </w:rPr>
              <w:t>Professional Competence Foundations</w:t>
            </w:r>
          </w:p>
        </w:tc>
        <w:tc>
          <w:tcPr>
            <w:tcW w:type="dxa" w:w="792"/>
            <w:tcMar>
              <w:top w:w="60" w:type="dxa"/>
              <w:start w:w="80" w:type="dxa"/>
              <w:bottom w:w="60" w:type="dxa"/>
              <w:end w:w="80" w:type="dxa"/>
            </w:tcMar>
            <w:vAlign w:val="center"/>
          </w:tcPr>
          <w:p>
            <w:r>
              <w:rPr>
                <w:rFonts w:ascii="Arial" w:hAnsi="Arial"/>
                <w:b w:val="0"/>
                <w:color w:val="1F2933"/>
                <w:sz w:val="16"/>
              </w:rPr>
              <w:t>17</w:t>
            </w:r>
          </w:p>
        </w:tc>
        <w:tc>
          <w:tcPr>
            <w:tcW w:type="dxa" w:w="936"/>
            <w:tcMar>
              <w:top w:w="60" w:type="dxa"/>
              <w:start w:w="80" w:type="dxa"/>
              <w:bottom w:w="60" w:type="dxa"/>
              <w:end w:w="80" w:type="dxa"/>
            </w:tcMar>
            <w:vAlign w:val="center"/>
          </w:tcPr>
          <w:p>
            <w:r>
              <w:rPr>
                <w:rFonts w:ascii="Arial" w:hAnsi="Arial"/>
                <w:b w:val="0"/>
                <w:color w:val="1F2933"/>
                <w:sz w:val="16"/>
              </w:rPr>
              <w:t>5</w:t>
            </w:r>
          </w:p>
        </w:tc>
        <w:tc>
          <w:tcPr>
            <w:tcW w:type="dxa" w:w="1224"/>
            <w:tcMar>
              <w:top w:w="60" w:type="dxa"/>
              <w:start w:w="80" w:type="dxa"/>
              <w:bottom w:w="60" w:type="dxa"/>
              <w:end w:w="80" w:type="dxa"/>
            </w:tcMar>
            <w:vAlign w:val="center"/>
          </w:tcPr>
          <w:p>
            <w:r>
              <w:rPr>
                <w:rFonts w:ascii="Arial" w:hAnsi="Arial"/>
                <w:b w:val="0"/>
                <w:color w:val="1F2933"/>
                <w:sz w:val="16"/>
              </w:rPr>
              <w:t>7</w:t>
            </w:r>
          </w:p>
        </w:tc>
        <w:tc>
          <w:tcPr>
            <w:tcW w:type="dxa" w:w="1080"/>
            <w:tcMar>
              <w:top w:w="60" w:type="dxa"/>
              <w:start w:w="80" w:type="dxa"/>
              <w:bottom w:w="60" w:type="dxa"/>
              <w:end w:w="80" w:type="dxa"/>
            </w:tcMar>
            <w:vAlign w:val="center"/>
          </w:tcPr>
          <w:p>
            <w:r>
              <w:rPr>
                <w:rFonts w:ascii="Arial" w:hAnsi="Arial"/>
                <w:b w:val="0"/>
                <w:color w:val="1F2933"/>
                <w:sz w:val="16"/>
              </w:rPr>
              <w:t>5</w:t>
            </w:r>
          </w:p>
        </w:tc>
      </w:tr>
      <w:tr>
        <w:tc>
          <w:tcPr>
            <w:tcW w:type="dxa" w:w="792"/>
            <w:tcMar>
              <w:top w:w="60" w:type="dxa"/>
              <w:start w:w="80" w:type="dxa"/>
              <w:bottom w:w="60" w:type="dxa"/>
              <w:end w:w="80" w:type="dxa"/>
            </w:tcMar>
            <w:vAlign w:val="center"/>
            <w:shd w:fill="F3F5F7"/>
          </w:tcPr>
          <w:p>
            <w:r>
              <w:rPr>
                <w:rFonts w:ascii="Arial" w:hAnsi="Arial"/>
                <w:b w:val="0"/>
                <w:color w:val="1F2933"/>
                <w:sz w:val="16"/>
              </w:rPr>
              <w:t>2</w:t>
            </w:r>
          </w:p>
        </w:tc>
        <w:tc>
          <w:tcPr>
            <w:tcW w:type="dxa" w:w="4824"/>
            <w:tcMar>
              <w:top w:w="60" w:type="dxa"/>
              <w:start w:w="80" w:type="dxa"/>
              <w:bottom w:w="60" w:type="dxa"/>
              <w:end w:w="80" w:type="dxa"/>
            </w:tcMar>
            <w:vAlign w:val="center"/>
            <w:shd w:fill="F3F5F7"/>
          </w:tcPr>
          <w:p>
            <w:r>
              <w:rPr>
                <w:rFonts w:ascii="Arial" w:hAnsi="Arial"/>
                <w:b w:val="0"/>
                <w:color w:val="1F2933"/>
                <w:sz w:val="16"/>
              </w:rPr>
              <w:t>Scope of Practice vs. Scope of Competence</w:t>
            </w:r>
          </w:p>
        </w:tc>
        <w:tc>
          <w:tcPr>
            <w:tcW w:type="dxa" w:w="792"/>
            <w:tcMar>
              <w:top w:w="60" w:type="dxa"/>
              <w:start w:w="80" w:type="dxa"/>
              <w:bottom w:w="60" w:type="dxa"/>
              <w:end w:w="80" w:type="dxa"/>
            </w:tcMar>
            <w:vAlign w:val="center"/>
            <w:shd w:fill="F3F5F7"/>
          </w:tcPr>
          <w:p>
            <w:r>
              <w:rPr>
                <w:rFonts w:ascii="Arial" w:hAnsi="Arial"/>
                <w:b w:val="0"/>
                <w:color w:val="1F2933"/>
                <w:sz w:val="16"/>
              </w:rPr>
              <w:t>17</w:t>
            </w:r>
          </w:p>
        </w:tc>
        <w:tc>
          <w:tcPr>
            <w:tcW w:type="dxa" w:w="936"/>
            <w:tcMar>
              <w:top w:w="60" w:type="dxa"/>
              <w:start w:w="80" w:type="dxa"/>
              <w:bottom w:w="60" w:type="dxa"/>
              <w:end w:w="80" w:type="dxa"/>
            </w:tcMar>
            <w:vAlign w:val="center"/>
            <w:shd w:fill="F3F5F7"/>
          </w:tcPr>
          <w:p>
            <w:r>
              <w:rPr>
                <w:rFonts w:ascii="Arial" w:hAnsi="Arial"/>
                <w:b w:val="0"/>
                <w:color w:val="1F2933"/>
                <w:sz w:val="16"/>
              </w:rPr>
              <w:t>5</w:t>
            </w:r>
          </w:p>
        </w:tc>
        <w:tc>
          <w:tcPr>
            <w:tcW w:type="dxa" w:w="1224"/>
            <w:tcMar>
              <w:top w:w="60" w:type="dxa"/>
              <w:start w:w="80" w:type="dxa"/>
              <w:bottom w:w="60" w:type="dxa"/>
              <w:end w:w="80" w:type="dxa"/>
            </w:tcMar>
            <w:vAlign w:val="center"/>
            <w:shd w:fill="F3F5F7"/>
          </w:tcPr>
          <w:p>
            <w:r>
              <w:rPr>
                <w:rFonts w:ascii="Arial" w:hAnsi="Arial"/>
                <w:b w:val="0"/>
                <w:color w:val="1F2933"/>
                <w:sz w:val="16"/>
              </w:rPr>
              <w:t>7</w:t>
            </w:r>
          </w:p>
        </w:tc>
        <w:tc>
          <w:tcPr>
            <w:tcW w:type="dxa" w:w="1080"/>
            <w:tcMar>
              <w:top w:w="60" w:type="dxa"/>
              <w:start w:w="80" w:type="dxa"/>
              <w:bottom w:w="60" w:type="dxa"/>
              <w:end w:w="80" w:type="dxa"/>
            </w:tcMar>
            <w:vAlign w:val="center"/>
            <w:shd w:fill="F3F5F7"/>
          </w:tcPr>
          <w:p>
            <w:r>
              <w:rPr>
                <w:rFonts w:ascii="Arial" w:hAnsi="Arial"/>
                <w:b w:val="0"/>
                <w:color w:val="1F2933"/>
                <w:sz w:val="16"/>
              </w:rPr>
              <w:t>5</w:t>
            </w:r>
          </w:p>
        </w:tc>
      </w:tr>
      <w:tr>
        <w:tc>
          <w:tcPr>
            <w:tcW w:type="dxa" w:w="792"/>
            <w:tcMar>
              <w:top w:w="60" w:type="dxa"/>
              <w:start w:w="80" w:type="dxa"/>
              <w:bottom w:w="60" w:type="dxa"/>
              <w:end w:w="80" w:type="dxa"/>
            </w:tcMar>
            <w:vAlign w:val="center"/>
          </w:tcPr>
          <w:p>
            <w:r>
              <w:rPr>
                <w:rFonts w:ascii="Arial" w:hAnsi="Arial"/>
                <w:b w:val="0"/>
                <w:color w:val="1F2933"/>
                <w:sz w:val="16"/>
              </w:rPr>
              <w:t>3</w:t>
            </w:r>
          </w:p>
        </w:tc>
        <w:tc>
          <w:tcPr>
            <w:tcW w:type="dxa" w:w="4824"/>
            <w:tcMar>
              <w:top w:w="60" w:type="dxa"/>
              <w:start w:w="80" w:type="dxa"/>
              <w:bottom w:w="60" w:type="dxa"/>
              <w:end w:w="80" w:type="dxa"/>
            </w:tcMar>
            <w:vAlign w:val="center"/>
          </w:tcPr>
          <w:p>
            <w:r>
              <w:rPr>
                <w:rFonts w:ascii="Arial" w:hAnsi="Arial"/>
                <w:b w:val="0"/>
                <w:color w:val="1F2933"/>
                <w:sz w:val="16"/>
              </w:rPr>
              <w:t>Maintaining Professional Competence</w:t>
            </w:r>
          </w:p>
        </w:tc>
        <w:tc>
          <w:tcPr>
            <w:tcW w:type="dxa" w:w="792"/>
            <w:tcMar>
              <w:top w:w="60" w:type="dxa"/>
              <w:start w:w="80" w:type="dxa"/>
              <w:bottom w:w="60" w:type="dxa"/>
              <w:end w:w="80" w:type="dxa"/>
            </w:tcMar>
            <w:vAlign w:val="center"/>
          </w:tcPr>
          <w:p>
            <w:r>
              <w:rPr>
                <w:rFonts w:ascii="Arial" w:hAnsi="Arial"/>
                <w:b w:val="0"/>
                <w:color w:val="1F2933"/>
                <w:sz w:val="16"/>
              </w:rPr>
              <w:t>17</w:t>
            </w:r>
          </w:p>
        </w:tc>
        <w:tc>
          <w:tcPr>
            <w:tcW w:type="dxa" w:w="936"/>
            <w:tcMar>
              <w:top w:w="60" w:type="dxa"/>
              <w:start w:w="80" w:type="dxa"/>
              <w:bottom w:w="60" w:type="dxa"/>
              <w:end w:w="80" w:type="dxa"/>
            </w:tcMar>
            <w:vAlign w:val="center"/>
          </w:tcPr>
          <w:p>
            <w:r>
              <w:rPr>
                <w:rFonts w:ascii="Arial" w:hAnsi="Arial"/>
                <w:b w:val="0"/>
                <w:color w:val="1F2933"/>
                <w:sz w:val="16"/>
              </w:rPr>
              <w:t>5</w:t>
            </w:r>
          </w:p>
        </w:tc>
        <w:tc>
          <w:tcPr>
            <w:tcW w:type="dxa" w:w="1224"/>
            <w:tcMar>
              <w:top w:w="60" w:type="dxa"/>
              <w:start w:w="80" w:type="dxa"/>
              <w:bottom w:w="60" w:type="dxa"/>
              <w:end w:w="80" w:type="dxa"/>
            </w:tcMar>
            <w:vAlign w:val="center"/>
          </w:tcPr>
          <w:p>
            <w:r>
              <w:rPr>
                <w:rFonts w:ascii="Arial" w:hAnsi="Arial"/>
                <w:b w:val="0"/>
                <w:color w:val="1F2933"/>
                <w:sz w:val="16"/>
              </w:rPr>
              <w:t>7</w:t>
            </w:r>
          </w:p>
        </w:tc>
        <w:tc>
          <w:tcPr>
            <w:tcW w:type="dxa" w:w="1080"/>
            <w:tcMar>
              <w:top w:w="60" w:type="dxa"/>
              <w:start w:w="80" w:type="dxa"/>
              <w:bottom w:w="60" w:type="dxa"/>
              <w:end w:w="80" w:type="dxa"/>
            </w:tcMar>
            <w:vAlign w:val="center"/>
          </w:tcPr>
          <w:p>
            <w:r>
              <w:rPr>
                <w:rFonts w:ascii="Arial" w:hAnsi="Arial"/>
                <w:b w:val="0"/>
                <w:color w:val="1F2933"/>
                <w:sz w:val="16"/>
              </w:rPr>
              <w:t>5</w:t>
            </w:r>
          </w:p>
        </w:tc>
      </w:tr>
      <w:tr>
        <w:tc>
          <w:tcPr>
            <w:tcW w:type="dxa" w:w="792"/>
            <w:tcMar>
              <w:top w:w="60" w:type="dxa"/>
              <w:start w:w="80" w:type="dxa"/>
              <w:bottom w:w="60" w:type="dxa"/>
              <w:end w:w="80" w:type="dxa"/>
            </w:tcMar>
            <w:vAlign w:val="center"/>
            <w:shd w:fill="F3F5F7"/>
          </w:tcPr>
          <w:p>
            <w:r>
              <w:rPr>
                <w:rFonts w:ascii="Arial" w:hAnsi="Arial"/>
                <w:b w:val="0"/>
                <w:color w:val="1F2933"/>
                <w:sz w:val="16"/>
              </w:rPr>
              <w:t>4</w:t>
            </w:r>
          </w:p>
        </w:tc>
        <w:tc>
          <w:tcPr>
            <w:tcW w:type="dxa" w:w="4824"/>
            <w:tcMar>
              <w:top w:w="60" w:type="dxa"/>
              <w:start w:w="80" w:type="dxa"/>
              <w:bottom w:w="60" w:type="dxa"/>
              <w:end w:w="80" w:type="dxa"/>
            </w:tcMar>
            <w:vAlign w:val="center"/>
            <w:shd w:fill="F3F5F7"/>
          </w:tcPr>
          <w:p>
            <w:r>
              <w:rPr>
                <w:rFonts w:ascii="Arial" w:hAnsi="Arial"/>
                <w:b w:val="0"/>
                <w:color w:val="1F2933"/>
                <w:sz w:val="16"/>
              </w:rPr>
              <w:t>Consultation and Seeking Professional Assistance</w:t>
            </w:r>
          </w:p>
        </w:tc>
        <w:tc>
          <w:tcPr>
            <w:tcW w:type="dxa" w:w="792"/>
            <w:tcMar>
              <w:top w:w="60" w:type="dxa"/>
              <w:start w:w="80" w:type="dxa"/>
              <w:bottom w:w="60" w:type="dxa"/>
              <w:end w:w="80" w:type="dxa"/>
            </w:tcMar>
            <w:vAlign w:val="center"/>
            <w:shd w:fill="F3F5F7"/>
          </w:tcPr>
          <w:p>
            <w:r>
              <w:rPr>
                <w:rFonts w:ascii="Arial" w:hAnsi="Arial"/>
                <w:b w:val="0"/>
                <w:color w:val="1F2933"/>
                <w:sz w:val="16"/>
              </w:rPr>
              <w:t>17</w:t>
            </w:r>
          </w:p>
        </w:tc>
        <w:tc>
          <w:tcPr>
            <w:tcW w:type="dxa" w:w="936"/>
            <w:tcMar>
              <w:top w:w="60" w:type="dxa"/>
              <w:start w:w="80" w:type="dxa"/>
              <w:bottom w:w="60" w:type="dxa"/>
              <w:end w:w="80" w:type="dxa"/>
            </w:tcMar>
            <w:vAlign w:val="center"/>
            <w:shd w:fill="F3F5F7"/>
          </w:tcPr>
          <w:p>
            <w:r>
              <w:rPr>
                <w:rFonts w:ascii="Arial" w:hAnsi="Arial"/>
                <w:b w:val="0"/>
                <w:color w:val="1F2933"/>
                <w:sz w:val="16"/>
              </w:rPr>
              <w:t>5</w:t>
            </w:r>
          </w:p>
        </w:tc>
        <w:tc>
          <w:tcPr>
            <w:tcW w:type="dxa" w:w="1224"/>
            <w:tcMar>
              <w:top w:w="60" w:type="dxa"/>
              <w:start w:w="80" w:type="dxa"/>
              <w:bottom w:w="60" w:type="dxa"/>
              <w:end w:w="80" w:type="dxa"/>
            </w:tcMar>
            <w:vAlign w:val="center"/>
            <w:shd w:fill="F3F5F7"/>
          </w:tcPr>
          <w:p>
            <w:r>
              <w:rPr>
                <w:rFonts w:ascii="Arial" w:hAnsi="Arial"/>
                <w:b w:val="0"/>
                <w:color w:val="1F2933"/>
                <w:sz w:val="16"/>
              </w:rPr>
              <w:t>7</w:t>
            </w:r>
          </w:p>
        </w:tc>
        <w:tc>
          <w:tcPr>
            <w:tcW w:type="dxa" w:w="1080"/>
            <w:tcMar>
              <w:top w:w="60" w:type="dxa"/>
              <w:start w:w="80" w:type="dxa"/>
              <w:bottom w:w="60" w:type="dxa"/>
              <w:end w:w="80" w:type="dxa"/>
            </w:tcMar>
            <w:vAlign w:val="center"/>
            <w:shd w:fill="F3F5F7"/>
          </w:tcPr>
          <w:p>
            <w:r>
              <w:rPr>
                <w:rFonts w:ascii="Arial" w:hAnsi="Arial"/>
                <w:b w:val="0"/>
                <w:color w:val="1F2933"/>
                <w:sz w:val="16"/>
              </w:rPr>
              <w:t>5</w:t>
            </w:r>
          </w:p>
        </w:tc>
      </w:tr>
      <w:tr>
        <w:tc>
          <w:tcPr>
            <w:tcW w:type="dxa" w:w="792"/>
            <w:tcMar>
              <w:top w:w="60" w:type="dxa"/>
              <w:start w:w="80" w:type="dxa"/>
              <w:bottom w:w="60" w:type="dxa"/>
              <w:end w:w="80" w:type="dxa"/>
            </w:tcMar>
            <w:vAlign w:val="center"/>
          </w:tcPr>
          <w:p>
            <w:r>
              <w:rPr>
                <w:rFonts w:ascii="Arial" w:hAnsi="Arial"/>
                <w:b w:val="0"/>
                <w:color w:val="1F2933"/>
                <w:sz w:val="16"/>
              </w:rPr>
              <w:t>5</w:t>
            </w:r>
          </w:p>
        </w:tc>
        <w:tc>
          <w:tcPr>
            <w:tcW w:type="dxa" w:w="4824"/>
            <w:tcMar>
              <w:top w:w="60" w:type="dxa"/>
              <w:start w:w="80" w:type="dxa"/>
              <w:bottom w:w="60" w:type="dxa"/>
              <w:end w:w="80" w:type="dxa"/>
            </w:tcMar>
            <w:vAlign w:val="center"/>
          </w:tcPr>
          <w:p>
            <w:r>
              <w:rPr>
                <w:rFonts w:ascii="Arial" w:hAnsi="Arial"/>
                <w:b w:val="0"/>
                <w:color w:val="1F2933"/>
                <w:sz w:val="16"/>
              </w:rPr>
              <w:t>Clinical Supervision, Feedback, and Accountability</w:t>
            </w:r>
          </w:p>
        </w:tc>
        <w:tc>
          <w:tcPr>
            <w:tcW w:type="dxa" w:w="792"/>
            <w:tcMar>
              <w:top w:w="60" w:type="dxa"/>
              <w:start w:w="80" w:type="dxa"/>
              <w:bottom w:w="60" w:type="dxa"/>
              <w:end w:w="80" w:type="dxa"/>
            </w:tcMar>
            <w:vAlign w:val="center"/>
          </w:tcPr>
          <w:p>
            <w:r>
              <w:rPr>
                <w:rFonts w:ascii="Arial" w:hAnsi="Arial"/>
                <w:b w:val="0"/>
                <w:color w:val="1F2933"/>
                <w:sz w:val="16"/>
              </w:rPr>
              <w:t>17</w:t>
            </w:r>
          </w:p>
        </w:tc>
        <w:tc>
          <w:tcPr>
            <w:tcW w:type="dxa" w:w="936"/>
            <w:tcMar>
              <w:top w:w="60" w:type="dxa"/>
              <w:start w:w="80" w:type="dxa"/>
              <w:bottom w:w="60" w:type="dxa"/>
              <w:end w:w="80" w:type="dxa"/>
            </w:tcMar>
            <w:vAlign w:val="center"/>
          </w:tcPr>
          <w:p>
            <w:r>
              <w:rPr>
                <w:rFonts w:ascii="Arial" w:hAnsi="Arial"/>
                <w:b w:val="0"/>
                <w:color w:val="1F2933"/>
                <w:sz w:val="16"/>
              </w:rPr>
              <w:t>5</w:t>
            </w:r>
          </w:p>
        </w:tc>
        <w:tc>
          <w:tcPr>
            <w:tcW w:type="dxa" w:w="1224"/>
            <w:tcMar>
              <w:top w:w="60" w:type="dxa"/>
              <w:start w:w="80" w:type="dxa"/>
              <w:bottom w:w="60" w:type="dxa"/>
              <w:end w:w="80" w:type="dxa"/>
            </w:tcMar>
            <w:vAlign w:val="center"/>
          </w:tcPr>
          <w:p>
            <w:r>
              <w:rPr>
                <w:rFonts w:ascii="Arial" w:hAnsi="Arial"/>
                <w:b w:val="0"/>
                <w:color w:val="1F2933"/>
                <w:sz w:val="16"/>
              </w:rPr>
              <w:t>7</w:t>
            </w:r>
          </w:p>
        </w:tc>
        <w:tc>
          <w:tcPr>
            <w:tcW w:type="dxa" w:w="1080"/>
            <w:tcMar>
              <w:top w:w="60" w:type="dxa"/>
              <w:start w:w="80" w:type="dxa"/>
              <w:bottom w:w="60" w:type="dxa"/>
              <w:end w:w="80" w:type="dxa"/>
            </w:tcMar>
            <w:vAlign w:val="center"/>
          </w:tcPr>
          <w:p>
            <w:r>
              <w:rPr>
                <w:rFonts w:ascii="Arial" w:hAnsi="Arial"/>
                <w:b w:val="0"/>
                <w:color w:val="1F2933"/>
                <w:sz w:val="16"/>
              </w:rPr>
              <w:t>5</w:t>
            </w:r>
          </w:p>
        </w:tc>
      </w:tr>
      <w:tr>
        <w:tc>
          <w:tcPr>
            <w:tcW w:type="dxa" w:w="792"/>
            <w:tcMar>
              <w:top w:w="60" w:type="dxa"/>
              <w:start w:w="80" w:type="dxa"/>
              <w:bottom w:w="60" w:type="dxa"/>
              <w:end w:w="80" w:type="dxa"/>
            </w:tcMar>
            <w:vAlign w:val="center"/>
            <w:shd w:fill="F3F5F7"/>
          </w:tcPr>
          <w:p>
            <w:r>
              <w:rPr>
                <w:rFonts w:ascii="Arial" w:hAnsi="Arial"/>
                <w:b w:val="0"/>
                <w:color w:val="1F2933"/>
                <w:sz w:val="16"/>
              </w:rPr>
              <w:t>6</w:t>
            </w:r>
          </w:p>
        </w:tc>
        <w:tc>
          <w:tcPr>
            <w:tcW w:type="dxa" w:w="4824"/>
            <w:tcMar>
              <w:top w:w="60" w:type="dxa"/>
              <w:start w:w="80" w:type="dxa"/>
              <w:bottom w:w="60" w:type="dxa"/>
              <w:end w:w="80" w:type="dxa"/>
            </w:tcMar>
            <w:vAlign w:val="center"/>
            <w:shd w:fill="F3F5F7"/>
          </w:tcPr>
          <w:p>
            <w:r>
              <w:rPr>
                <w:rFonts w:ascii="Arial" w:hAnsi="Arial"/>
                <w:b w:val="0"/>
                <w:color w:val="1F2933"/>
                <w:sz w:val="16"/>
              </w:rPr>
              <w:t>Professional Roles and Role Clarification</w:t>
            </w:r>
          </w:p>
        </w:tc>
        <w:tc>
          <w:tcPr>
            <w:tcW w:type="dxa" w:w="792"/>
            <w:tcMar>
              <w:top w:w="60" w:type="dxa"/>
              <w:start w:w="80" w:type="dxa"/>
              <w:bottom w:w="60" w:type="dxa"/>
              <w:end w:w="80" w:type="dxa"/>
            </w:tcMar>
            <w:vAlign w:val="center"/>
            <w:shd w:fill="F3F5F7"/>
          </w:tcPr>
          <w:p>
            <w:r>
              <w:rPr>
                <w:rFonts w:ascii="Arial" w:hAnsi="Arial"/>
                <w:b w:val="0"/>
                <w:color w:val="1F2933"/>
                <w:sz w:val="16"/>
              </w:rPr>
              <w:t>17</w:t>
            </w:r>
          </w:p>
        </w:tc>
        <w:tc>
          <w:tcPr>
            <w:tcW w:type="dxa" w:w="936"/>
            <w:tcMar>
              <w:top w:w="60" w:type="dxa"/>
              <w:start w:w="80" w:type="dxa"/>
              <w:bottom w:w="60" w:type="dxa"/>
              <w:end w:w="80" w:type="dxa"/>
            </w:tcMar>
            <w:vAlign w:val="center"/>
            <w:shd w:fill="F3F5F7"/>
          </w:tcPr>
          <w:p>
            <w:r>
              <w:rPr>
                <w:rFonts w:ascii="Arial" w:hAnsi="Arial"/>
                <w:b w:val="0"/>
                <w:color w:val="1F2933"/>
                <w:sz w:val="16"/>
              </w:rPr>
              <w:t>5</w:t>
            </w:r>
          </w:p>
        </w:tc>
        <w:tc>
          <w:tcPr>
            <w:tcW w:type="dxa" w:w="1224"/>
            <w:tcMar>
              <w:top w:w="60" w:type="dxa"/>
              <w:start w:w="80" w:type="dxa"/>
              <w:bottom w:w="60" w:type="dxa"/>
              <w:end w:w="80" w:type="dxa"/>
            </w:tcMar>
            <w:vAlign w:val="center"/>
            <w:shd w:fill="F3F5F7"/>
          </w:tcPr>
          <w:p>
            <w:r>
              <w:rPr>
                <w:rFonts w:ascii="Arial" w:hAnsi="Arial"/>
                <w:b w:val="0"/>
                <w:color w:val="1F2933"/>
                <w:sz w:val="16"/>
              </w:rPr>
              <w:t>7</w:t>
            </w:r>
          </w:p>
        </w:tc>
        <w:tc>
          <w:tcPr>
            <w:tcW w:type="dxa" w:w="1080"/>
            <w:tcMar>
              <w:top w:w="60" w:type="dxa"/>
              <w:start w:w="80" w:type="dxa"/>
              <w:bottom w:w="60" w:type="dxa"/>
              <w:end w:w="80" w:type="dxa"/>
            </w:tcMar>
            <w:vAlign w:val="center"/>
            <w:shd w:fill="F3F5F7"/>
          </w:tcPr>
          <w:p>
            <w:r>
              <w:rPr>
                <w:rFonts w:ascii="Arial" w:hAnsi="Arial"/>
                <w:b w:val="0"/>
                <w:color w:val="1F2933"/>
                <w:sz w:val="16"/>
              </w:rPr>
              <w:t>5</w:t>
            </w:r>
          </w:p>
        </w:tc>
      </w:tr>
    </w:tbl>
    <w:p>
      <w:pPr>
        <w:pStyle w:val="CTASmall"/>
      </w:pPr>
      <w:r>
        <w:t>Total: 102 items | 30 Easy | 42 Moderate | 30 Difficult | Keys A23 / B26 / C32 / D21</w:t>
      </w:r>
    </w:p>
    <w:p>
      <w:pPr>
        <w:pStyle w:val="CTAH2"/>
      </w:pPr>
      <w:r>
        <w:t>Controlled-Form Workflow</w:t>
      </w:r>
    </w:p>
    <w:p>
      <w:pPr>
        <w:pStyle w:val="ListNumber"/>
      </w:pPr>
      <w:r>
        <w:t>Confirm that the learner completed the candidate form before releasing this file.</w:t>
      </w:r>
    </w:p>
    <w:p>
      <w:pPr>
        <w:pStyle w:val="ListNumber"/>
      </w:pPr>
      <w:r>
        <w:t>Score the first attempt without changing original responses.</w:t>
      </w:r>
    </w:p>
    <w:p>
      <w:pPr>
        <w:pStyle w:val="ListNumber"/>
      </w:pPr>
      <w:r>
        <w:t>Review every missed item and every low-confidence correct response.</w:t>
      </w:r>
    </w:p>
    <w:p>
      <w:pPr>
        <w:pStyle w:val="ListNumber"/>
      </w:pPr>
      <w:r>
        <w:t>Assign the listed workbook route and error category for remediation.</w:t>
      </w:r>
    </w:p>
    <w:p>
      <w:pPr>
        <w:pStyle w:val="ListNumber"/>
      </w:pPr>
      <w:r>
        <w:t>Revisit the concept before any retake or simulation.</w:t>
      </w:r>
    </w:p>
    <w:p>
      <w:pPr>
        <w:pStyle w:val="CTAH1"/>
      </w:pPr>
      <w:r>
        <w:t>Consolidated Answer Key</w:t>
      </w:r>
    </w:p>
    <w:p>
      <w:pPr>
        <w:pStyle w:val="CTABody"/>
      </w:pPr>
      <w:r>
        <w:t>Use only after the candidate form has been completed. Preserve the learner’s first-attempt responses.</w:t>
      </w:r>
    </w:p>
    <w:p>
      <w:pPr>
        <w:pStyle w:val="CTAH2"/>
      </w:pPr>
      <w:r>
        <w:t>Chapter 1: Professional Competence Foundations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28"/>
            <w:tcMar>
              <w:top w:w="60" w:type="dxa"/>
              <w:start w:w="80" w:type="dxa"/>
              <w:bottom w:w="60" w:type="dxa"/>
              <w:end w:w="80" w:type="dxa"/>
            </w:tcMar>
            <w:vAlign w:val="center"/>
            <w:shd w:fill="102A43"/>
          </w:tcPr>
          <w:p>
            <w:r>
              <w:rPr>
                <w:rFonts w:ascii="Arial" w:hAnsi="Arial"/>
                <w:b/>
                <w:color w:val="FFFFFF"/>
                <w:sz w:val="17"/>
              </w:rPr>
              <w:t>Question</w:t>
            </w:r>
          </w:p>
        </w:tc>
        <w:tc>
          <w:tcPr>
            <w:tcW w:type="dxa" w:w="1440"/>
            <w:tcMar>
              <w:top w:w="60" w:type="dxa"/>
              <w:start w:w="80" w:type="dxa"/>
              <w:bottom w:w="60" w:type="dxa"/>
              <w:end w:w="80" w:type="dxa"/>
            </w:tcMar>
            <w:vAlign w:val="center"/>
            <w:shd w:fill="102A43"/>
          </w:tcPr>
          <w:p>
            <w:r>
              <w:rPr>
                <w:rFonts w:ascii="Arial" w:hAnsi="Arial"/>
                <w:b/>
                <w:color w:val="FFFFFF"/>
                <w:sz w:val="17"/>
              </w:rPr>
              <w:t>Answer</w:t>
            </w:r>
          </w:p>
        </w:tc>
        <w:tc>
          <w:tcPr>
            <w:tcW w:type="dxa" w:w="1728"/>
            <w:tcMar>
              <w:top w:w="60" w:type="dxa"/>
              <w:start w:w="80" w:type="dxa"/>
              <w:bottom w:w="60" w:type="dxa"/>
              <w:end w:w="80" w:type="dxa"/>
            </w:tcMar>
            <w:vAlign w:val="center"/>
            <w:shd w:fill="102A43"/>
          </w:tcPr>
          <w:p>
            <w:r>
              <w:rPr>
                <w:rFonts w:ascii="Arial" w:hAnsi="Arial"/>
                <w:b/>
                <w:color w:val="FFFFFF"/>
                <w:sz w:val="17"/>
              </w:rPr>
              <w:t>Question</w:t>
            </w:r>
          </w:p>
        </w:tc>
        <w:tc>
          <w:tcPr>
            <w:tcW w:type="dxa" w:w="1440"/>
            <w:tcMar>
              <w:top w:w="60" w:type="dxa"/>
              <w:start w:w="80" w:type="dxa"/>
              <w:bottom w:w="60" w:type="dxa"/>
              <w:end w:w="80" w:type="dxa"/>
            </w:tcMar>
            <w:vAlign w:val="center"/>
            <w:shd w:fill="102A43"/>
          </w:tcPr>
          <w:p>
            <w:r>
              <w:rPr>
                <w:rFonts w:ascii="Arial" w:hAnsi="Arial"/>
                <w:b/>
                <w:color w:val="FFFFFF"/>
                <w:sz w:val="17"/>
              </w:rPr>
              <w:t>Answer</w:t>
            </w:r>
          </w:p>
        </w:tc>
      </w:tr>
      <w:tr>
        <w:tc>
          <w:tcPr>
            <w:tcW w:type="dxa" w:w="1728"/>
            <w:tcMar>
              <w:top w:w="60" w:type="dxa"/>
              <w:start w:w="80" w:type="dxa"/>
              <w:bottom w:w="60" w:type="dxa"/>
              <w:end w:w="80" w:type="dxa"/>
            </w:tcMar>
            <w:vAlign w:val="center"/>
          </w:tcPr>
          <w:p>
            <w:r>
              <w:rPr>
                <w:rFonts w:ascii="Arial" w:hAnsi="Arial"/>
                <w:b w:val="0"/>
                <w:color w:val="1F2933"/>
                <w:sz w:val="17"/>
              </w:rPr>
              <w:t>1</w:t>
            </w:r>
          </w:p>
        </w:tc>
        <w:tc>
          <w:tcPr>
            <w:tcW w:type="dxa" w:w="1440"/>
            <w:tcMar>
              <w:top w:w="60" w:type="dxa"/>
              <w:start w:w="80" w:type="dxa"/>
              <w:bottom w:w="60" w:type="dxa"/>
              <w:end w:w="80" w:type="dxa"/>
            </w:tcMar>
            <w:vAlign w:val="center"/>
          </w:tcPr>
          <w:p>
            <w:r>
              <w:rPr>
                <w:rFonts w:ascii="Arial" w:hAnsi="Arial"/>
                <w:b w:val="0"/>
                <w:color w:val="1F2933"/>
                <w:sz w:val="17"/>
              </w:rPr>
              <w:t>B</w:t>
            </w:r>
          </w:p>
        </w:tc>
        <w:tc>
          <w:tcPr>
            <w:tcW w:type="dxa" w:w="1728"/>
            <w:tcMar>
              <w:top w:w="60" w:type="dxa"/>
              <w:start w:w="80" w:type="dxa"/>
              <w:bottom w:w="60" w:type="dxa"/>
              <w:end w:w="80" w:type="dxa"/>
            </w:tcMar>
            <w:vAlign w:val="center"/>
          </w:tcPr>
          <w:p>
            <w:r>
              <w:rPr>
                <w:rFonts w:ascii="Arial" w:hAnsi="Arial"/>
                <w:b w:val="0"/>
                <w:color w:val="1F2933"/>
                <w:sz w:val="17"/>
              </w:rPr>
              <w:t>10</w:t>
            </w:r>
          </w:p>
        </w:tc>
        <w:tc>
          <w:tcPr>
            <w:tcW w:type="dxa" w:w="1440"/>
            <w:tcMar>
              <w:top w:w="60" w:type="dxa"/>
              <w:start w:w="80" w:type="dxa"/>
              <w:bottom w:w="60" w:type="dxa"/>
              <w:end w:w="80" w:type="dxa"/>
            </w:tcMar>
            <w:vAlign w:val="center"/>
          </w:tcPr>
          <w:p>
            <w:r>
              <w:rPr>
                <w:rFonts w:ascii="Arial" w:hAnsi="Arial"/>
                <w:b w:val="0"/>
                <w:color w:val="1F2933"/>
                <w:sz w:val="17"/>
              </w:rPr>
              <w:t>D</w:t>
            </w:r>
          </w:p>
        </w:tc>
      </w:tr>
      <w:tr>
        <w:tc>
          <w:tcPr>
            <w:tcW w:type="dxa" w:w="1728"/>
            <w:tcMar>
              <w:top w:w="60" w:type="dxa"/>
              <w:start w:w="80" w:type="dxa"/>
              <w:bottom w:w="60" w:type="dxa"/>
              <w:end w:w="80" w:type="dxa"/>
            </w:tcMar>
            <w:vAlign w:val="center"/>
            <w:shd w:fill="F3F5F7"/>
          </w:tcPr>
          <w:p>
            <w:r>
              <w:rPr>
                <w:rFonts w:ascii="Arial" w:hAnsi="Arial"/>
                <w:b w:val="0"/>
                <w:color w:val="1F2933"/>
                <w:sz w:val="17"/>
              </w:rPr>
              <w:t>2</w:t>
            </w:r>
          </w:p>
        </w:tc>
        <w:tc>
          <w:tcPr>
            <w:tcW w:type="dxa" w:w="1440"/>
            <w:tcMar>
              <w:top w:w="60" w:type="dxa"/>
              <w:start w:w="80" w:type="dxa"/>
              <w:bottom w:w="60" w:type="dxa"/>
              <w:end w:w="80" w:type="dxa"/>
            </w:tcMar>
            <w:vAlign w:val="center"/>
            <w:shd w:fill="F3F5F7"/>
          </w:tcPr>
          <w:p>
            <w:r>
              <w:rPr>
                <w:rFonts w:ascii="Arial" w:hAnsi="Arial"/>
                <w:b w:val="0"/>
                <w:color w:val="1F2933"/>
                <w:sz w:val="17"/>
              </w:rPr>
              <w:t>D</w:t>
            </w:r>
          </w:p>
        </w:tc>
        <w:tc>
          <w:tcPr>
            <w:tcW w:type="dxa" w:w="1728"/>
            <w:tcMar>
              <w:top w:w="60" w:type="dxa"/>
              <w:start w:w="80" w:type="dxa"/>
              <w:bottom w:w="60" w:type="dxa"/>
              <w:end w:w="80" w:type="dxa"/>
            </w:tcMar>
            <w:vAlign w:val="center"/>
            <w:shd w:fill="F3F5F7"/>
          </w:tcPr>
          <w:p>
            <w:r>
              <w:rPr>
                <w:rFonts w:ascii="Arial" w:hAnsi="Arial"/>
                <w:b w:val="0"/>
                <w:color w:val="1F2933"/>
                <w:sz w:val="17"/>
              </w:rPr>
              <w:t>11</w:t>
            </w:r>
          </w:p>
        </w:tc>
        <w:tc>
          <w:tcPr>
            <w:tcW w:type="dxa" w:w="1440"/>
            <w:tcMar>
              <w:top w:w="60" w:type="dxa"/>
              <w:start w:w="80" w:type="dxa"/>
              <w:bottom w:w="60" w:type="dxa"/>
              <w:end w:w="80" w:type="dxa"/>
            </w:tcMar>
            <w:vAlign w:val="center"/>
            <w:shd w:fill="F3F5F7"/>
          </w:tcPr>
          <w:p>
            <w:r>
              <w:rPr>
                <w:rFonts w:ascii="Arial" w:hAnsi="Arial"/>
                <w:b w:val="0"/>
                <w:color w:val="1F2933"/>
                <w:sz w:val="17"/>
              </w:rPr>
              <w:t>C</w:t>
            </w:r>
          </w:p>
        </w:tc>
      </w:tr>
      <w:tr>
        <w:tc>
          <w:tcPr>
            <w:tcW w:type="dxa" w:w="1728"/>
            <w:tcMar>
              <w:top w:w="60" w:type="dxa"/>
              <w:start w:w="80" w:type="dxa"/>
              <w:bottom w:w="60" w:type="dxa"/>
              <w:end w:w="80" w:type="dxa"/>
            </w:tcMar>
            <w:vAlign w:val="center"/>
          </w:tcPr>
          <w:p>
            <w:r>
              <w:rPr>
                <w:rFonts w:ascii="Arial" w:hAnsi="Arial"/>
                <w:b w:val="0"/>
                <w:color w:val="1F2933"/>
                <w:sz w:val="17"/>
              </w:rPr>
              <w:t>3</w:t>
            </w:r>
          </w:p>
        </w:tc>
        <w:tc>
          <w:tcPr>
            <w:tcW w:type="dxa" w:w="1440"/>
            <w:tcMar>
              <w:top w:w="60" w:type="dxa"/>
              <w:start w:w="80" w:type="dxa"/>
              <w:bottom w:w="60" w:type="dxa"/>
              <w:end w:w="80" w:type="dxa"/>
            </w:tcMar>
            <w:vAlign w:val="center"/>
          </w:tcPr>
          <w:p>
            <w:r>
              <w:rPr>
                <w:rFonts w:ascii="Arial" w:hAnsi="Arial"/>
                <w:b w:val="0"/>
                <w:color w:val="1F2933"/>
                <w:sz w:val="17"/>
              </w:rPr>
              <w:t>A</w:t>
            </w:r>
          </w:p>
        </w:tc>
        <w:tc>
          <w:tcPr>
            <w:tcW w:type="dxa" w:w="1728"/>
            <w:tcMar>
              <w:top w:w="60" w:type="dxa"/>
              <w:start w:w="80" w:type="dxa"/>
              <w:bottom w:w="60" w:type="dxa"/>
              <w:end w:w="80" w:type="dxa"/>
            </w:tcMar>
            <w:vAlign w:val="center"/>
          </w:tcPr>
          <w:p>
            <w:r>
              <w:rPr>
                <w:rFonts w:ascii="Arial" w:hAnsi="Arial"/>
                <w:b w:val="0"/>
                <w:color w:val="1F2933"/>
                <w:sz w:val="17"/>
              </w:rPr>
              <w:t>12</w:t>
            </w:r>
          </w:p>
        </w:tc>
        <w:tc>
          <w:tcPr>
            <w:tcW w:type="dxa" w:w="1440"/>
            <w:tcMar>
              <w:top w:w="60" w:type="dxa"/>
              <w:start w:w="80" w:type="dxa"/>
              <w:bottom w:w="60" w:type="dxa"/>
              <w:end w:w="80" w:type="dxa"/>
            </w:tcMar>
            <w:vAlign w:val="center"/>
          </w:tcPr>
          <w:p>
            <w:r>
              <w:rPr>
                <w:rFonts w:ascii="Arial" w:hAnsi="Arial"/>
                <w:b w:val="0"/>
                <w:color w:val="1F2933"/>
                <w:sz w:val="17"/>
              </w:rPr>
              <w:t>B</w:t>
            </w:r>
          </w:p>
        </w:tc>
      </w:tr>
      <w:tr>
        <w:tc>
          <w:tcPr>
            <w:tcW w:type="dxa" w:w="1728"/>
            <w:tcMar>
              <w:top w:w="60" w:type="dxa"/>
              <w:start w:w="80" w:type="dxa"/>
              <w:bottom w:w="60" w:type="dxa"/>
              <w:end w:w="80" w:type="dxa"/>
            </w:tcMar>
            <w:vAlign w:val="center"/>
            <w:shd w:fill="F3F5F7"/>
          </w:tcPr>
          <w:p>
            <w:r>
              <w:rPr>
                <w:rFonts w:ascii="Arial" w:hAnsi="Arial"/>
                <w:b w:val="0"/>
                <w:color w:val="1F2933"/>
                <w:sz w:val="17"/>
              </w:rPr>
              <w:t>4</w:t>
            </w:r>
          </w:p>
        </w:tc>
        <w:tc>
          <w:tcPr>
            <w:tcW w:type="dxa" w:w="1440"/>
            <w:tcMar>
              <w:top w:w="60" w:type="dxa"/>
              <w:start w:w="80" w:type="dxa"/>
              <w:bottom w:w="60" w:type="dxa"/>
              <w:end w:w="80" w:type="dxa"/>
            </w:tcMar>
            <w:vAlign w:val="center"/>
            <w:shd w:fill="F3F5F7"/>
          </w:tcPr>
          <w:p>
            <w:r>
              <w:rPr>
                <w:rFonts w:ascii="Arial" w:hAnsi="Arial"/>
                <w:b w:val="0"/>
                <w:color w:val="1F2933"/>
                <w:sz w:val="17"/>
              </w:rPr>
              <w:t>C</w:t>
            </w:r>
          </w:p>
        </w:tc>
        <w:tc>
          <w:tcPr>
            <w:tcW w:type="dxa" w:w="1728"/>
            <w:tcMar>
              <w:top w:w="60" w:type="dxa"/>
              <w:start w:w="80" w:type="dxa"/>
              <w:bottom w:w="60" w:type="dxa"/>
              <w:end w:w="80" w:type="dxa"/>
            </w:tcMar>
            <w:vAlign w:val="center"/>
            <w:shd w:fill="F3F5F7"/>
          </w:tcPr>
          <w:p>
            <w:r>
              <w:rPr>
                <w:rFonts w:ascii="Arial" w:hAnsi="Arial"/>
                <w:b w:val="0"/>
                <w:color w:val="1F2933"/>
                <w:sz w:val="17"/>
              </w:rPr>
              <w:t>13</w:t>
            </w:r>
          </w:p>
        </w:tc>
        <w:tc>
          <w:tcPr>
            <w:tcW w:type="dxa" w:w="1440"/>
            <w:tcMar>
              <w:top w:w="60" w:type="dxa"/>
              <w:start w:w="80" w:type="dxa"/>
              <w:bottom w:w="60" w:type="dxa"/>
              <w:end w:w="80" w:type="dxa"/>
            </w:tcMar>
            <w:vAlign w:val="center"/>
            <w:shd w:fill="F3F5F7"/>
          </w:tcPr>
          <w:p>
            <w:r>
              <w:rPr>
                <w:rFonts w:ascii="Arial" w:hAnsi="Arial"/>
                <w:b w:val="0"/>
                <w:color w:val="1F2933"/>
                <w:sz w:val="17"/>
              </w:rPr>
              <w:t>A</w:t>
            </w:r>
          </w:p>
        </w:tc>
      </w:tr>
      <w:tr>
        <w:tc>
          <w:tcPr>
            <w:tcW w:type="dxa" w:w="1728"/>
            <w:tcMar>
              <w:top w:w="60" w:type="dxa"/>
              <w:start w:w="80" w:type="dxa"/>
              <w:bottom w:w="60" w:type="dxa"/>
              <w:end w:w="80" w:type="dxa"/>
            </w:tcMar>
            <w:vAlign w:val="center"/>
          </w:tcPr>
          <w:p>
            <w:r>
              <w:rPr>
                <w:rFonts w:ascii="Arial" w:hAnsi="Arial"/>
                <w:b w:val="0"/>
                <w:color w:val="1F2933"/>
                <w:sz w:val="17"/>
              </w:rPr>
              <w:t>5</w:t>
            </w:r>
          </w:p>
        </w:tc>
        <w:tc>
          <w:tcPr>
            <w:tcW w:type="dxa" w:w="1440"/>
            <w:tcMar>
              <w:top w:w="60" w:type="dxa"/>
              <w:start w:w="80" w:type="dxa"/>
              <w:bottom w:w="60" w:type="dxa"/>
              <w:end w:w="80" w:type="dxa"/>
            </w:tcMar>
            <w:vAlign w:val="center"/>
          </w:tcPr>
          <w:p>
            <w:r>
              <w:rPr>
                <w:rFonts w:ascii="Arial" w:hAnsi="Arial"/>
                <w:b w:val="0"/>
                <w:color w:val="1F2933"/>
                <w:sz w:val="17"/>
              </w:rPr>
              <w:t>A</w:t>
            </w:r>
          </w:p>
        </w:tc>
        <w:tc>
          <w:tcPr>
            <w:tcW w:type="dxa" w:w="1728"/>
            <w:tcMar>
              <w:top w:w="60" w:type="dxa"/>
              <w:start w:w="80" w:type="dxa"/>
              <w:bottom w:w="60" w:type="dxa"/>
              <w:end w:w="80" w:type="dxa"/>
            </w:tcMar>
            <w:vAlign w:val="center"/>
          </w:tcPr>
          <w:p>
            <w:r>
              <w:rPr>
                <w:rFonts w:ascii="Arial" w:hAnsi="Arial"/>
                <w:b w:val="0"/>
                <w:color w:val="1F2933"/>
                <w:sz w:val="17"/>
              </w:rPr>
              <w:t>14</w:t>
            </w:r>
          </w:p>
        </w:tc>
        <w:tc>
          <w:tcPr>
            <w:tcW w:type="dxa" w:w="1440"/>
            <w:tcMar>
              <w:top w:w="60" w:type="dxa"/>
              <w:start w:w="80" w:type="dxa"/>
              <w:bottom w:w="60" w:type="dxa"/>
              <w:end w:w="80" w:type="dxa"/>
            </w:tcMar>
            <w:vAlign w:val="center"/>
          </w:tcPr>
          <w:p>
            <w:r>
              <w:rPr>
                <w:rFonts w:ascii="Arial" w:hAnsi="Arial"/>
                <w:b w:val="0"/>
                <w:color w:val="1F2933"/>
                <w:sz w:val="17"/>
              </w:rPr>
              <w:t>C</w:t>
            </w:r>
          </w:p>
        </w:tc>
      </w:tr>
      <w:tr>
        <w:tc>
          <w:tcPr>
            <w:tcW w:type="dxa" w:w="1728"/>
            <w:tcMar>
              <w:top w:w="60" w:type="dxa"/>
              <w:start w:w="80" w:type="dxa"/>
              <w:bottom w:w="60" w:type="dxa"/>
              <w:end w:w="80" w:type="dxa"/>
            </w:tcMar>
            <w:vAlign w:val="center"/>
            <w:shd w:fill="F3F5F7"/>
          </w:tcPr>
          <w:p>
            <w:r>
              <w:rPr>
                <w:rFonts w:ascii="Arial" w:hAnsi="Arial"/>
                <w:b w:val="0"/>
                <w:color w:val="1F2933"/>
                <w:sz w:val="17"/>
              </w:rPr>
              <w:t>6</w:t>
            </w:r>
          </w:p>
        </w:tc>
        <w:tc>
          <w:tcPr>
            <w:tcW w:type="dxa" w:w="1440"/>
            <w:tcMar>
              <w:top w:w="60" w:type="dxa"/>
              <w:start w:w="80" w:type="dxa"/>
              <w:bottom w:w="60" w:type="dxa"/>
              <w:end w:w="80" w:type="dxa"/>
            </w:tcMar>
            <w:vAlign w:val="center"/>
            <w:shd w:fill="F3F5F7"/>
          </w:tcPr>
          <w:p>
            <w:r>
              <w:rPr>
                <w:rFonts w:ascii="Arial" w:hAnsi="Arial"/>
                <w:b w:val="0"/>
                <w:color w:val="1F2933"/>
                <w:sz w:val="17"/>
              </w:rPr>
              <w:t>D</w:t>
            </w:r>
          </w:p>
        </w:tc>
        <w:tc>
          <w:tcPr>
            <w:tcW w:type="dxa" w:w="1728"/>
            <w:tcMar>
              <w:top w:w="60" w:type="dxa"/>
              <w:start w:w="80" w:type="dxa"/>
              <w:bottom w:w="60" w:type="dxa"/>
              <w:end w:w="80" w:type="dxa"/>
            </w:tcMar>
            <w:vAlign w:val="center"/>
            <w:shd w:fill="F3F5F7"/>
          </w:tcPr>
          <w:p>
            <w:r>
              <w:rPr>
                <w:rFonts w:ascii="Arial" w:hAnsi="Arial"/>
                <w:b w:val="0"/>
                <w:color w:val="1F2933"/>
                <w:sz w:val="17"/>
              </w:rPr>
              <w:t>15</w:t>
            </w:r>
          </w:p>
        </w:tc>
        <w:tc>
          <w:tcPr>
            <w:tcW w:type="dxa" w:w="1440"/>
            <w:tcMar>
              <w:top w:w="60" w:type="dxa"/>
              <w:start w:w="80" w:type="dxa"/>
              <w:bottom w:w="60" w:type="dxa"/>
              <w:end w:w="80" w:type="dxa"/>
            </w:tcMar>
            <w:vAlign w:val="center"/>
            <w:shd w:fill="F3F5F7"/>
          </w:tcPr>
          <w:p>
            <w:r>
              <w:rPr>
                <w:rFonts w:ascii="Arial" w:hAnsi="Arial"/>
                <w:b w:val="0"/>
                <w:color w:val="1F2933"/>
                <w:sz w:val="17"/>
              </w:rPr>
              <w:t>D</w:t>
            </w:r>
          </w:p>
        </w:tc>
      </w:tr>
      <w:tr>
        <w:tc>
          <w:tcPr>
            <w:tcW w:type="dxa" w:w="1728"/>
            <w:tcMar>
              <w:top w:w="60" w:type="dxa"/>
              <w:start w:w="80" w:type="dxa"/>
              <w:bottom w:w="60" w:type="dxa"/>
              <w:end w:w="80" w:type="dxa"/>
            </w:tcMar>
            <w:vAlign w:val="center"/>
          </w:tcPr>
          <w:p>
            <w:r>
              <w:rPr>
                <w:rFonts w:ascii="Arial" w:hAnsi="Arial"/>
                <w:b w:val="0"/>
                <w:color w:val="1F2933"/>
                <w:sz w:val="17"/>
              </w:rPr>
              <w:t>7</w:t>
            </w:r>
          </w:p>
        </w:tc>
        <w:tc>
          <w:tcPr>
            <w:tcW w:type="dxa" w:w="1440"/>
            <w:tcMar>
              <w:top w:w="60" w:type="dxa"/>
              <w:start w:w="80" w:type="dxa"/>
              <w:bottom w:w="60" w:type="dxa"/>
              <w:end w:w="80" w:type="dxa"/>
            </w:tcMar>
            <w:vAlign w:val="center"/>
          </w:tcPr>
          <w:p>
            <w:r>
              <w:rPr>
                <w:rFonts w:ascii="Arial" w:hAnsi="Arial"/>
                <w:b w:val="0"/>
                <w:color w:val="1F2933"/>
                <w:sz w:val="17"/>
              </w:rPr>
              <w:t>A</w:t>
            </w:r>
          </w:p>
        </w:tc>
        <w:tc>
          <w:tcPr>
            <w:tcW w:type="dxa" w:w="1728"/>
            <w:tcMar>
              <w:top w:w="60" w:type="dxa"/>
              <w:start w:w="80" w:type="dxa"/>
              <w:bottom w:w="60" w:type="dxa"/>
              <w:end w:w="80" w:type="dxa"/>
            </w:tcMar>
            <w:vAlign w:val="center"/>
          </w:tcPr>
          <w:p>
            <w:r>
              <w:rPr>
                <w:rFonts w:ascii="Arial" w:hAnsi="Arial"/>
                <w:b w:val="0"/>
                <w:color w:val="1F2933"/>
                <w:sz w:val="17"/>
              </w:rPr>
              <w:t>16</w:t>
            </w:r>
          </w:p>
        </w:tc>
        <w:tc>
          <w:tcPr>
            <w:tcW w:type="dxa" w:w="1440"/>
            <w:tcMar>
              <w:top w:w="60" w:type="dxa"/>
              <w:start w:w="80" w:type="dxa"/>
              <w:bottom w:w="60" w:type="dxa"/>
              <w:end w:w="80" w:type="dxa"/>
            </w:tcMar>
            <w:vAlign w:val="center"/>
          </w:tcPr>
          <w:p>
            <w:r>
              <w:rPr>
                <w:rFonts w:ascii="Arial" w:hAnsi="Arial"/>
                <w:b w:val="0"/>
                <w:color w:val="1F2933"/>
                <w:sz w:val="17"/>
              </w:rPr>
              <w:t>A</w:t>
            </w:r>
          </w:p>
        </w:tc>
      </w:tr>
      <w:tr>
        <w:tc>
          <w:tcPr>
            <w:tcW w:type="dxa" w:w="1728"/>
            <w:tcMar>
              <w:top w:w="60" w:type="dxa"/>
              <w:start w:w="80" w:type="dxa"/>
              <w:bottom w:w="60" w:type="dxa"/>
              <w:end w:w="80" w:type="dxa"/>
            </w:tcMar>
            <w:vAlign w:val="center"/>
            <w:shd w:fill="F3F5F7"/>
          </w:tcPr>
          <w:p>
            <w:r>
              <w:rPr>
                <w:rFonts w:ascii="Arial" w:hAnsi="Arial"/>
                <w:b w:val="0"/>
                <w:color w:val="1F2933"/>
                <w:sz w:val="17"/>
              </w:rPr>
              <w:t>8</w:t>
            </w:r>
          </w:p>
        </w:tc>
        <w:tc>
          <w:tcPr>
            <w:tcW w:type="dxa" w:w="1440"/>
            <w:tcMar>
              <w:top w:w="60" w:type="dxa"/>
              <w:start w:w="80" w:type="dxa"/>
              <w:bottom w:w="60" w:type="dxa"/>
              <w:end w:w="80" w:type="dxa"/>
            </w:tcMar>
            <w:vAlign w:val="center"/>
            <w:shd w:fill="F3F5F7"/>
          </w:tcPr>
          <w:p>
            <w:r>
              <w:rPr>
                <w:rFonts w:ascii="Arial" w:hAnsi="Arial"/>
                <w:b w:val="0"/>
                <w:color w:val="1F2933"/>
                <w:sz w:val="17"/>
              </w:rPr>
              <w:t>C</w:t>
            </w:r>
          </w:p>
        </w:tc>
        <w:tc>
          <w:tcPr>
            <w:tcW w:type="dxa" w:w="1728"/>
            <w:tcMar>
              <w:top w:w="60" w:type="dxa"/>
              <w:start w:w="80" w:type="dxa"/>
              <w:bottom w:w="60" w:type="dxa"/>
              <w:end w:w="80" w:type="dxa"/>
            </w:tcMar>
            <w:vAlign w:val="center"/>
            <w:shd w:fill="F3F5F7"/>
          </w:tcPr>
          <w:p>
            <w:r>
              <w:rPr>
                <w:rFonts w:ascii="Arial" w:hAnsi="Arial"/>
                <w:b w:val="0"/>
                <w:color w:val="1F2933"/>
                <w:sz w:val="17"/>
              </w:rPr>
              <w:t>17</w:t>
            </w:r>
          </w:p>
        </w:tc>
        <w:tc>
          <w:tcPr>
            <w:tcW w:type="dxa" w:w="1440"/>
            <w:tcMar>
              <w:top w:w="60" w:type="dxa"/>
              <w:start w:w="80" w:type="dxa"/>
              <w:bottom w:w="60" w:type="dxa"/>
              <w:end w:w="80" w:type="dxa"/>
            </w:tcMar>
            <w:vAlign w:val="center"/>
            <w:shd w:fill="F3F5F7"/>
          </w:tcPr>
          <w:p>
            <w:r>
              <w:rPr>
                <w:rFonts w:ascii="Arial" w:hAnsi="Arial"/>
                <w:b w:val="0"/>
                <w:color w:val="1F2933"/>
                <w:sz w:val="17"/>
              </w:rPr>
              <w:t>B</w:t>
            </w:r>
          </w:p>
        </w:tc>
      </w:tr>
      <w:tr>
        <w:tc>
          <w:tcPr>
            <w:tcW w:type="dxa" w:w="1728"/>
            <w:tcMar>
              <w:top w:w="60" w:type="dxa"/>
              <w:start w:w="80" w:type="dxa"/>
              <w:bottom w:w="60" w:type="dxa"/>
              <w:end w:w="80" w:type="dxa"/>
            </w:tcMar>
            <w:vAlign w:val="center"/>
          </w:tcPr>
          <w:p>
            <w:r>
              <w:rPr>
                <w:rFonts w:ascii="Arial" w:hAnsi="Arial"/>
                <w:b w:val="0"/>
                <w:color w:val="1F2933"/>
                <w:sz w:val="17"/>
              </w:rPr>
              <w:t>9</w:t>
            </w:r>
          </w:p>
        </w:tc>
        <w:tc>
          <w:tcPr>
            <w:tcW w:type="dxa" w:w="1440"/>
            <w:tcMar>
              <w:top w:w="60" w:type="dxa"/>
              <w:start w:w="80" w:type="dxa"/>
              <w:bottom w:w="60" w:type="dxa"/>
              <w:end w:w="80" w:type="dxa"/>
            </w:tcMar>
            <w:vAlign w:val="center"/>
          </w:tcPr>
          <w:p>
            <w:r>
              <w:rPr>
                <w:rFonts w:ascii="Arial" w:hAnsi="Arial"/>
                <w:b w:val="0"/>
                <w:color w:val="1F2933"/>
                <w:sz w:val="17"/>
              </w:rPr>
              <w:t>B</w:t>
            </w:r>
          </w:p>
        </w:tc>
        <w:tc>
          <w:tcPr>
            <w:tcW w:type="dxa" w:w="1728"/>
            <w:tcMar>
              <w:top w:w="60" w:type="dxa"/>
              <w:start w:w="80" w:type="dxa"/>
              <w:bottom w:w="60" w:type="dxa"/>
              <w:end w:w="80" w:type="dxa"/>
            </w:tcMar>
            <w:vAlign w:val="center"/>
          </w:tcPr>
          <w:p>
            <w:r>
              <w:rPr>
                <w:rFonts w:ascii="Arial" w:hAnsi="Arial"/>
                <w:b w:val="0"/>
                <w:color w:val="1F2933"/>
                <w:sz w:val="17"/>
              </w:rPr>
            </w:r>
          </w:p>
        </w:tc>
        <w:tc>
          <w:tcPr>
            <w:tcW w:type="dxa" w:w="1440"/>
            <w:tcMar>
              <w:top w:w="60" w:type="dxa"/>
              <w:start w:w="80" w:type="dxa"/>
              <w:bottom w:w="60" w:type="dxa"/>
              <w:end w:w="80" w:type="dxa"/>
            </w:tcMar>
            <w:vAlign w:val="center"/>
          </w:tcPr>
          <w:p>
            <w:r>
              <w:rPr>
                <w:rFonts w:ascii="Arial" w:hAnsi="Arial"/>
                <w:b w:val="0"/>
                <w:color w:val="1F2933"/>
                <w:sz w:val="17"/>
              </w:rPr>
            </w:r>
          </w:p>
        </w:tc>
      </w:tr>
    </w:tbl>
    <w:p>
      <w:pPr>
        <w:pStyle w:val="CTAH2"/>
      </w:pPr>
      <w:r>
        <w:t>Chapter 2: Scope of Practice vs. Scope of Competence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28"/>
            <w:tcMar>
              <w:top w:w="60" w:type="dxa"/>
              <w:start w:w="80" w:type="dxa"/>
              <w:bottom w:w="60" w:type="dxa"/>
              <w:end w:w="80" w:type="dxa"/>
            </w:tcMar>
            <w:vAlign w:val="center"/>
            <w:shd w:fill="102A43"/>
          </w:tcPr>
          <w:p>
            <w:r>
              <w:rPr>
                <w:rFonts w:ascii="Arial" w:hAnsi="Arial"/>
                <w:b/>
                <w:color w:val="FFFFFF"/>
                <w:sz w:val="17"/>
              </w:rPr>
              <w:t>Question</w:t>
            </w:r>
          </w:p>
        </w:tc>
        <w:tc>
          <w:tcPr>
            <w:tcW w:type="dxa" w:w="1440"/>
            <w:tcMar>
              <w:top w:w="60" w:type="dxa"/>
              <w:start w:w="80" w:type="dxa"/>
              <w:bottom w:w="60" w:type="dxa"/>
              <w:end w:w="80" w:type="dxa"/>
            </w:tcMar>
            <w:vAlign w:val="center"/>
            <w:shd w:fill="102A43"/>
          </w:tcPr>
          <w:p>
            <w:r>
              <w:rPr>
                <w:rFonts w:ascii="Arial" w:hAnsi="Arial"/>
                <w:b/>
                <w:color w:val="FFFFFF"/>
                <w:sz w:val="17"/>
              </w:rPr>
              <w:t>Answer</w:t>
            </w:r>
          </w:p>
        </w:tc>
        <w:tc>
          <w:tcPr>
            <w:tcW w:type="dxa" w:w="1728"/>
            <w:tcMar>
              <w:top w:w="60" w:type="dxa"/>
              <w:start w:w="80" w:type="dxa"/>
              <w:bottom w:w="60" w:type="dxa"/>
              <w:end w:w="80" w:type="dxa"/>
            </w:tcMar>
            <w:vAlign w:val="center"/>
            <w:shd w:fill="102A43"/>
          </w:tcPr>
          <w:p>
            <w:r>
              <w:rPr>
                <w:rFonts w:ascii="Arial" w:hAnsi="Arial"/>
                <w:b/>
                <w:color w:val="FFFFFF"/>
                <w:sz w:val="17"/>
              </w:rPr>
              <w:t>Question</w:t>
            </w:r>
          </w:p>
        </w:tc>
        <w:tc>
          <w:tcPr>
            <w:tcW w:type="dxa" w:w="1440"/>
            <w:tcMar>
              <w:top w:w="60" w:type="dxa"/>
              <w:start w:w="80" w:type="dxa"/>
              <w:bottom w:w="60" w:type="dxa"/>
              <w:end w:w="80" w:type="dxa"/>
            </w:tcMar>
            <w:vAlign w:val="center"/>
            <w:shd w:fill="102A43"/>
          </w:tcPr>
          <w:p>
            <w:r>
              <w:rPr>
                <w:rFonts w:ascii="Arial" w:hAnsi="Arial"/>
                <w:b/>
                <w:color w:val="FFFFFF"/>
                <w:sz w:val="17"/>
              </w:rPr>
              <w:t>Answer</w:t>
            </w:r>
          </w:p>
        </w:tc>
      </w:tr>
      <w:tr>
        <w:tc>
          <w:tcPr>
            <w:tcW w:type="dxa" w:w="1728"/>
            <w:tcMar>
              <w:top w:w="60" w:type="dxa"/>
              <w:start w:w="80" w:type="dxa"/>
              <w:bottom w:w="60" w:type="dxa"/>
              <w:end w:w="80" w:type="dxa"/>
            </w:tcMar>
            <w:vAlign w:val="center"/>
          </w:tcPr>
          <w:p>
            <w:r>
              <w:rPr>
                <w:rFonts w:ascii="Arial" w:hAnsi="Arial"/>
                <w:b w:val="0"/>
                <w:color w:val="1F2933"/>
                <w:sz w:val="17"/>
              </w:rPr>
              <w:t>18</w:t>
            </w:r>
          </w:p>
        </w:tc>
        <w:tc>
          <w:tcPr>
            <w:tcW w:type="dxa" w:w="1440"/>
            <w:tcMar>
              <w:top w:w="60" w:type="dxa"/>
              <w:start w:w="80" w:type="dxa"/>
              <w:bottom w:w="60" w:type="dxa"/>
              <w:end w:w="80" w:type="dxa"/>
            </w:tcMar>
            <w:vAlign w:val="center"/>
          </w:tcPr>
          <w:p>
            <w:r>
              <w:rPr>
                <w:rFonts w:ascii="Arial" w:hAnsi="Arial"/>
                <w:b w:val="0"/>
                <w:color w:val="1F2933"/>
                <w:sz w:val="17"/>
              </w:rPr>
              <w:t>B</w:t>
            </w:r>
          </w:p>
        </w:tc>
        <w:tc>
          <w:tcPr>
            <w:tcW w:type="dxa" w:w="1728"/>
            <w:tcMar>
              <w:top w:w="60" w:type="dxa"/>
              <w:start w:w="80" w:type="dxa"/>
              <w:bottom w:w="60" w:type="dxa"/>
              <w:end w:w="80" w:type="dxa"/>
            </w:tcMar>
            <w:vAlign w:val="center"/>
          </w:tcPr>
          <w:p>
            <w:r>
              <w:rPr>
                <w:rFonts w:ascii="Arial" w:hAnsi="Arial"/>
                <w:b w:val="0"/>
                <w:color w:val="1F2933"/>
                <w:sz w:val="17"/>
              </w:rPr>
              <w:t>27</w:t>
            </w:r>
          </w:p>
        </w:tc>
        <w:tc>
          <w:tcPr>
            <w:tcW w:type="dxa" w:w="1440"/>
            <w:tcMar>
              <w:top w:w="60" w:type="dxa"/>
              <w:start w:w="80" w:type="dxa"/>
              <w:bottom w:w="60" w:type="dxa"/>
              <w:end w:w="80" w:type="dxa"/>
            </w:tcMar>
            <w:vAlign w:val="center"/>
          </w:tcPr>
          <w:p>
            <w:r>
              <w:rPr>
                <w:rFonts w:ascii="Arial" w:hAnsi="Arial"/>
                <w:b w:val="0"/>
                <w:color w:val="1F2933"/>
                <w:sz w:val="17"/>
              </w:rPr>
              <w:t>C</w:t>
            </w:r>
          </w:p>
        </w:tc>
      </w:tr>
      <w:tr>
        <w:tc>
          <w:tcPr>
            <w:tcW w:type="dxa" w:w="1728"/>
            <w:tcMar>
              <w:top w:w="60" w:type="dxa"/>
              <w:start w:w="80" w:type="dxa"/>
              <w:bottom w:w="60" w:type="dxa"/>
              <w:end w:w="80" w:type="dxa"/>
            </w:tcMar>
            <w:vAlign w:val="center"/>
            <w:shd w:fill="F3F5F7"/>
          </w:tcPr>
          <w:p>
            <w:r>
              <w:rPr>
                <w:rFonts w:ascii="Arial" w:hAnsi="Arial"/>
                <w:b w:val="0"/>
                <w:color w:val="1F2933"/>
                <w:sz w:val="17"/>
              </w:rPr>
              <w:t>19</w:t>
            </w:r>
          </w:p>
        </w:tc>
        <w:tc>
          <w:tcPr>
            <w:tcW w:type="dxa" w:w="1440"/>
            <w:tcMar>
              <w:top w:w="60" w:type="dxa"/>
              <w:start w:w="80" w:type="dxa"/>
              <w:bottom w:w="60" w:type="dxa"/>
              <w:end w:w="80" w:type="dxa"/>
            </w:tcMar>
            <w:vAlign w:val="center"/>
            <w:shd w:fill="F3F5F7"/>
          </w:tcPr>
          <w:p>
            <w:r>
              <w:rPr>
                <w:rFonts w:ascii="Arial" w:hAnsi="Arial"/>
                <w:b w:val="0"/>
                <w:color w:val="1F2933"/>
                <w:sz w:val="17"/>
              </w:rPr>
              <w:t>C</w:t>
            </w:r>
          </w:p>
        </w:tc>
        <w:tc>
          <w:tcPr>
            <w:tcW w:type="dxa" w:w="1728"/>
            <w:tcMar>
              <w:top w:w="60" w:type="dxa"/>
              <w:start w:w="80" w:type="dxa"/>
              <w:bottom w:w="60" w:type="dxa"/>
              <w:end w:w="80" w:type="dxa"/>
            </w:tcMar>
            <w:vAlign w:val="center"/>
            <w:shd w:fill="F3F5F7"/>
          </w:tcPr>
          <w:p>
            <w:r>
              <w:rPr>
                <w:rFonts w:ascii="Arial" w:hAnsi="Arial"/>
                <w:b w:val="0"/>
                <w:color w:val="1F2933"/>
                <w:sz w:val="17"/>
              </w:rPr>
              <w:t>28</w:t>
            </w:r>
          </w:p>
        </w:tc>
        <w:tc>
          <w:tcPr>
            <w:tcW w:type="dxa" w:w="1440"/>
            <w:tcMar>
              <w:top w:w="60" w:type="dxa"/>
              <w:start w:w="80" w:type="dxa"/>
              <w:bottom w:w="60" w:type="dxa"/>
              <w:end w:w="80" w:type="dxa"/>
            </w:tcMar>
            <w:vAlign w:val="center"/>
            <w:shd w:fill="F3F5F7"/>
          </w:tcPr>
          <w:p>
            <w:r>
              <w:rPr>
                <w:rFonts w:ascii="Arial" w:hAnsi="Arial"/>
                <w:b w:val="0"/>
                <w:color w:val="1F2933"/>
                <w:sz w:val="17"/>
              </w:rPr>
              <w:t>B</w:t>
            </w:r>
          </w:p>
        </w:tc>
      </w:tr>
      <w:tr>
        <w:tc>
          <w:tcPr>
            <w:tcW w:type="dxa" w:w="1728"/>
            <w:tcMar>
              <w:top w:w="60" w:type="dxa"/>
              <w:start w:w="80" w:type="dxa"/>
              <w:bottom w:w="60" w:type="dxa"/>
              <w:end w:w="80" w:type="dxa"/>
            </w:tcMar>
            <w:vAlign w:val="center"/>
          </w:tcPr>
          <w:p>
            <w:r>
              <w:rPr>
                <w:rFonts w:ascii="Arial" w:hAnsi="Arial"/>
                <w:b w:val="0"/>
                <w:color w:val="1F2933"/>
                <w:sz w:val="17"/>
              </w:rPr>
              <w:t>20</w:t>
            </w:r>
          </w:p>
        </w:tc>
        <w:tc>
          <w:tcPr>
            <w:tcW w:type="dxa" w:w="1440"/>
            <w:tcMar>
              <w:top w:w="60" w:type="dxa"/>
              <w:start w:w="80" w:type="dxa"/>
              <w:bottom w:w="60" w:type="dxa"/>
              <w:end w:w="80" w:type="dxa"/>
            </w:tcMar>
            <w:vAlign w:val="center"/>
          </w:tcPr>
          <w:p>
            <w:r>
              <w:rPr>
                <w:rFonts w:ascii="Arial" w:hAnsi="Arial"/>
                <w:b w:val="0"/>
                <w:color w:val="1F2933"/>
                <w:sz w:val="17"/>
              </w:rPr>
              <w:t>B</w:t>
            </w:r>
          </w:p>
        </w:tc>
        <w:tc>
          <w:tcPr>
            <w:tcW w:type="dxa" w:w="1728"/>
            <w:tcMar>
              <w:top w:w="60" w:type="dxa"/>
              <w:start w:w="80" w:type="dxa"/>
              <w:bottom w:w="60" w:type="dxa"/>
              <w:end w:w="80" w:type="dxa"/>
            </w:tcMar>
            <w:vAlign w:val="center"/>
          </w:tcPr>
          <w:p>
            <w:r>
              <w:rPr>
                <w:rFonts w:ascii="Arial" w:hAnsi="Arial"/>
                <w:b w:val="0"/>
                <w:color w:val="1F2933"/>
                <w:sz w:val="17"/>
              </w:rPr>
              <w:t>29</w:t>
            </w:r>
          </w:p>
        </w:tc>
        <w:tc>
          <w:tcPr>
            <w:tcW w:type="dxa" w:w="1440"/>
            <w:tcMar>
              <w:top w:w="60" w:type="dxa"/>
              <w:start w:w="80" w:type="dxa"/>
              <w:bottom w:w="60" w:type="dxa"/>
              <w:end w:w="80" w:type="dxa"/>
            </w:tcMar>
            <w:vAlign w:val="center"/>
          </w:tcPr>
          <w:p>
            <w:r>
              <w:rPr>
                <w:rFonts w:ascii="Arial" w:hAnsi="Arial"/>
                <w:b w:val="0"/>
                <w:color w:val="1F2933"/>
                <w:sz w:val="17"/>
              </w:rPr>
              <w:t>C</w:t>
            </w:r>
          </w:p>
        </w:tc>
      </w:tr>
      <w:tr>
        <w:tc>
          <w:tcPr>
            <w:tcW w:type="dxa" w:w="1728"/>
            <w:tcMar>
              <w:top w:w="60" w:type="dxa"/>
              <w:start w:w="80" w:type="dxa"/>
              <w:bottom w:w="60" w:type="dxa"/>
              <w:end w:w="80" w:type="dxa"/>
            </w:tcMar>
            <w:vAlign w:val="center"/>
            <w:shd w:fill="F3F5F7"/>
          </w:tcPr>
          <w:p>
            <w:r>
              <w:rPr>
                <w:rFonts w:ascii="Arial" w:hAnsi="Arial"/>
                <w:b w:val="0"/>
                <w:color w:val="1F2933"/>
                <w:sz w:val="17"/>
              </w:rPr>
              <w:t>21</w:t>
            </w:r>
          </w:p>
        </w:tc>
        <w:tc>
          <w:tcPr>
            <w:tcW w:type="dxa" w:w="1440"/>
            <w:tcMar>
              <w:top w:w="60" w:type="dxa"/>
              <w:start w:w="80" w:type="dxa"/>
              <w:bottom w:w="60" w:type="dxa"/>
              <w:end w:w="80" w:type="dxa"/>
            </w:tcMar>
            <w:vAlign w:val="center"/>
            <w:shd w:fill="F3F5F7"/>
          </w:tcPr>
          <w:p>
            <w:r>
              <w:rPr>
                <w:rFonts w:ascii="Arial" w:hAnsi="Arial"/>
                <w:b w:val="0"/>
                <w:color w:val="1F2933"/>
                <w:sz w:val="17"/>
              </w:rPr>
              <w:t>C</w:t>
            </w:r>
          </w:p>
        </w:tc>
        <w:tc>
          <w:tcPr>
            <w:tcW w:type="dxa" w:w="1728"/>
            <w:tcMar>
              <w:top w:w="60" w:type="dxa"/>
              <w:start w:w="80" w:type="dxa"/>
              <w:bottom w:w="60" w:type="dxa"/>
              <w:end w:w="80" w:type="dxa"/>
            </w:tcMar>
            <w:vAlign w:val="center"/>
            <w:shd w:fill="F3F5F7"/>
          </w:tcPr>
          <w:p>
            <w:r>
              <w:rPr>
                <w:rFonts w:ascii="Arial" w:hAnsi="Arial"/>
                <w:b w:val="0"/>
                <w:color w:val="1F2933"/>
                <w:sz w:val="17"/>
              </w:rPr>
              <w:t>30</w:t>
            </w:r>
          </w:p>
        </w:tc>
        <w:tc>
          <w:tcPr>
            <w:tcW w:type="dxa" w:w="1440"/>
            <w:tcMar>
              <w:top w:w="60" w:type="dxa"/>
              <w:start w:w="80" w:type="dxa"/>
              <w:bottom w:w="60" w:type="dxa"/>
              <w:end w:w="80" w:type="dxa"/>
            </w:tcMar>
            <w:vAlign w:val="center"/>
            <w:shd w:fill="F3F5F7"/>
          </w:tcPr>
          <w:p>
            <w:r>
              <w:rPr>
                <w:rFonts w:ascii="Arial" w:hAnsi="Arial"/>
                <w:b w:val="0"/>
                <w:color w:val="1F2933"/>
                <w:sz w:val="17"/>
              </w:rPr>
              <w:t>C</w:t>
            </w:r>
          </w:p>
        </w:tc>
      </w:tr>
      <w:tr>
        <w:tc>
          <w:tcPr>
            <w:tcW w:type="dxa" w:w="1728"/>
            <w:tcMar>
              <w:top w:w="60" w:type="dxa"/>
              <w:start w:w="80" w:type="dxa"/>
              <w:bottom w:w="60" w:type="dxa"/>
              <w:end w:w="80" w:type="dxa"/>
            </w:tcMar>
            <w:vAlign w:val="center"/>
          </w:tcPr>
          <w:p>
            <w:r>
              <w:rPr>
                <w:rFonts w:ascii="Arial" w:hAnsi="Arial"/>
                <w:b w:val="0"/>
                <w:color w:val="1F2933"/>
                <w:sz w:val="17"/>
              </w:rPr>
              <w:t>22</w:t>
            </w:r>
          </w:p>
        </w:tc>
        <w:tc>
          <w:tcPr>
            <w:tcW w:type="dxa" w:w="1440"/>
            <w:tcMar>
              <w:top w:w="60" w:type="dxa"/>
              <w:start w:w="80" w:type="dxa"/>
              <w:bottom w:w="60" w:type="dxa"/>
              <w:end w:w="80" w:type="dxa"/>
            </w:tcMar>
            <w:vAlign w:val="center"/>
          </w:tcPr>
          <w:p>
            <w:r>
              <w:rPr>
                <w:rFonts w:ascii="Arial" w:hAnsi="Arial"/>
                <w:b w:val="0"/>
                <w:color w:val="1F2933"/>
                <w:sz w:val="17"/>
              </w:rPr>
              <w:t>B</w:t>
            </w:r>
          </w:p>
        </w:tc>
        <w:tc>
          <w:tcPr>
            <w:tcW w:type="dxa" w:w="1728"/>
            <w:tcMar>
              <w:top w:w="60" w:type="dxa"/>
              <w:start w:w="80" w:type="dxa"/>
              <w:bottom w:w="60" w:type="dxa"/>
              <w:end w:w="80" w:type="dxa"/>
            </w:tcMar>
            <w:vAlign w:val="center"/>
          </w:tcPr>
          <w:p>
            <w:r>
              <w:rPr>
                <w:rFonts w:ascii="Arial" w:hAnsi="Arial"/>
                <w:b w:val="0"/>
                <w:color w:val="1F2933"/>
                <w:sz w:val="17"/>
              </w:rPr>
              <w:t>31</w:t>
            </w:r>
          </w:p>
        </w:tc>
        <w:tc>
          <w:tcPr>
            <w:tcW w:type="dxa" w:w="1440"/>
            <w:tcMar>
              <w:top w:w="60" w:type="dxa"/>
              <w:start w:w="80" w:type="dxa"/>
              <w:bottom w:w="60" w:type="dxa"/>
              <w:end w:w="80" w:type="dxa"/>
            </w:tcMar>
            <w:vAlign w:val="center"/>
          </w:tcPr>
          <w:p>
            <w:r>
              <w:rPr>
                <w:rFonts w:ascii="Arial" w:hAnsi="Arial"/>
                <w:b w:val="0"/>
                <w:color w:val="1F2933"/>
                <w:sz w:val="17"/>
              </w:rPr>
              <w:t>C</w:t>
            </w:r>
          </w:p>
        </w:tc>
      </w:tr>
      <w:tr>
        <w:tc>
          <w:tcPr>
            <w:tcW w:type="dxa" w:w="1728"/>
            <w:tcMar>
              <w:top w:w="60" w:type="dxa"/>
              <w:start w:w="80" w:type="dxa"/>
              <w:bottom w:w="60" w:type="dxa"/>
              <w:end w:w="80" w:type="dxa"/>
            </w:tcMar>
            <w:vAlign w:val="center"/>
            <w:shd w:fill="F3F5F7"/>
          </w:tcPr>
          <w:p>
            <w:r>
              <w:rPr>
                <w:rFonts w:ascii="Arial" w:hAnsi="Arial"/>
                <w:b w:val="0"/>
                <w:color w:val="1F2933"/>
                <w:sz w:val="17"/>
              </w:rPr>
              <w:t>23</w:t>
            </w:r>
          </w:p>
        </w:tc>
        <w:tc>
          <w:tcPr>
            <w:tcW w:type="dxa" w:w="1440"/>
            <w:tcMar>
              <w:top w:w="60" w:type="dxa"/>
              <w:start w:w="80" w:type="dxa"/>
              <w:bottom w:w="60" w:type="dxa"/>
              <w:end w:w="80" w:type="dxa"/>
            </w:tcMar>
            <w:vAlign w:val="center"/>
            <w:shd w:fill="F3F5F7"/>
          </w:tcPr>
          <w:p>
            <w:r>
              <w:rPr>
                <w:rFonts w:ascii="Arial" w:hAnsi="Arial"/>
                <w:b w:val="0"/>
                <w:color w:val="1F2933"/>
                <w:sz w:val="17"/>
              </w:rPr>
              <w:t>A</w:t>
            </w:r>
          </w:p>
        </w:tc>
        <w:tc>
          <w:tcPr>
            <w:tcW w:type="dxa" w:w="1728"/>
            <w:tcMar>
              <w:top w:w="60" w:type="dxa"/>
              <w:start w:w="80" w:type="dxa"/>
              <w:bottom w:w="60" w:type="dxa"/>
              <w:end w:w="80" w:type="dxa"/>
            </w:tcMar>
            <w:vAlign w:val="center"/>
            <w:shd w:fill="F3F5F7"/>
          </w:tcPr>
          <w:p>
            <w:r>
              <w:rPr>
                <w:rFonts w:ascii="Arial" w:hAnsi="Arial"/>
                <w:b w:val="0"/>
                <w:color w:val="1F2933"/>
                <w:sz w:val="17"/>
              </w:rPr>
              <w:t>32</w:t>
            </w:r>
          </w:p>
        </w:tc>
        <w:tc>
          <w:tcPr>
            <w:tcW w:type="dxa" w:w="1440"/>
            <w:tcMar>
              <w:top w:w="60" w:type="dxa"/>
              <w:start w:w="80" w:type="dxa"/>
              <w:bottom w:w="60" w:type="dxa"/>
              <w:end w:w="80" w:type="dxa"/>
            </w:tcMar>
            <w:vAlign w:val="center"/>
            <w:shd w:fill="F3F5F7"/>
          </w:tcPr>
          <w:p>
            <w:r>
              <w:rPr>
                <w:rFonts w:ascii="Arial" w:hAnsi="Arial"/>
                <w:b w:val="0"/>
                <w:color w:val="1F2933"/>
                <w:sz w:val="17"/>
              </w:rPr>
              <w:t>A</w:t>
            </w:r>
          </w:p>
        </w:tc>
      </w:tr>
      <w:tr>
        <w:tc>
          <w:tcPr>
            <w:tcW w:type="dxa" w:w="1728"/>
            <w:tcMar>
              <w:top w:w="60" w:type="dxa"/>
              <w:start w:w="80" w:type="dxa"/>
              <w:bottom w:w="60" w:type="dxa"/>
              <w:end w:w="80" w:type="dxa"/>
            </w:tcMar>
            <w:vAlign w:val="center"/>
          </w:tcPr>
          <w:p>
            <w:r>
              <w:rPr>
                <w:rFonts w:ascii="Arial" w:hAnsi="Arial"/>
                <w:b w:val="0"/>
                <w:color w:val="1F2933"/>
                <w:sz w:val="17"/>
              </w:rPr>
              <w:t>24</w:t>
            </w:r>
          </w:p>
        </w:tc>
        <w:tc>
          <w:tcPr>
            <w:tcW w:type="dxa" w:w="1440"/>
            <w:tcMar>
              <w:top w:w="60" w:type="dxa"/>
              <w:start w:w="80" w:type="dxa"/>
              <w:bottom w:w="60" w:type="dxa"/>
              <w:end w:w="80" w:type="dxa"/>
            </w:tcMar>
            <w:vAlign w:val="center"/>
          </w:tcPr>
          <w:p>
            <w:r>
              <w:rPr>
                <w:rFonts w:ascii="Arial" w:hAnsi="Arial"/>
                <w:b w:val="0"/>
                <w:color w:val="1F2933"/>
                <w:sz w:val="17"/>
              </w:rPr>
              <w:t>C</w:t>
            </w:r>
          </w:p>
        </w:tc>
        <w:tc>
          <w:tcPr>
            <w:tcW w:type="dxa" w:w="1728"/>
            <w:tcMar>
              <w:top w:w="60" w:type="dxa"/>
              <w:start w:w="80" w:type="dxa"/>
              <w:bottom w:w="60" w:type="dxa"/>
              <w:end w:w="80" w:type="dxa"/>
            </w:tcMar>
            <w:vAlign w:val="center"/>
          </w:tcPr>
          <w:p>
            <w:r>
              <w:rPr>
                <w:rFonts w:ascii="Arial" w:hAnsi="Arial"/>
                <w:b w:val="0"/>
                <w:color w:val="1F2933"/>
                <w:sz w:val="17"/>
              </w:rPr>
              <w:t>33</w:t>
            </w:r>
          </w:p>
        </w:tc>
        <w:tc>
          <w:tcPr>
            <w:tcW w:type="dxa" w:w="1440"/>
            <w:tcMar>
              <w:top w:w="60" w:type="dxa"/>
              <w:start w:w="80" w:type="dxa"/>
              <w:bottom w:w="60" w:type="dxa"/>
              <w:end w:w="80" w:type="dxa"/>
            </w:tcMar>
            <w:vAlign w:val="center"/>
          </w:tcPr>
          <w:p>
            <w:r>
              <w:rPr>
                <w:rFonts w:ascii="Arial" w:hAnsi="Arial"/>
                <w:b w:val="0"/>
                <w:color w:val="1F2933"/>
                <w:sz w:val="17"/>
              </w:rPr>
              <w:t>B</w:t>
            </w:r>
          </w:p>
        </w:tc>
      </w:tr>
      <w:tr>
        <w:tc>
          <w:tcPr>
            <w:tcW w:type="dxa" w:w="1728"/>
            <w:tcMar>
              <w:top w:w="60" w:type="dxa"/>
              <w:start w:w="80" w:type="dxa"/>
              <w:bottom w:w="60" w:type="dxa"/>
              <w:end w:w="80" w:type="dxa"/>
            </w:tcMar>
            <w:vAlign w:val="center"/>
            <w:shd w:fill="F3F5F7"/>
          </w:tcPr>
          <w:p>
            <w:r>
              <w:rPr>
                <w:rFonts w:ascii="Arial" w:hAnsi="Arial"/>
                <w:b w:val="0"/>
                <w:color w:val="1F2933"/>
                <w:sz w:val="17"/>
              </w:rPr>
              <w:t>25</w:t>
            </w:r>
          </w:p>
        </w:tc>
        <w:tc>
          <w:tcPr>
            <w:tcW w:type="dxa" w:w="1440"/>
            <w:tcMar>
              <w:top w:w="60" w:type="dxa"/>
              <w:start w:w="80" w:type="dxa"/>
              <w:bottom w:w="60" w:type="dxa"/>
              <w:end w:w="80" w:type="dxa"/>
            </w:tcMar>
            <w:vAlign w:val="center"/>
            <w:shd w:fill="F3F5F7"/>
          </w:tcPr>
          <w:p>
            <w:r>
              <w:rPr>
                <w:rFonts w:ascii="Arial" w:hAnsi="Arial"/>
                <w:b w:val="0"/>
                <w:color w:val="1F2933"/>
                <w:sz w:val="17"/>
              </w:rPr>
              <w:t>C</w:t>
            </w:r>
          </w:p>
        </w:tc>
        <w:tc>
          <w:tcPr>
            <w:tcW w:type="dxa" w:w="1728"/>
            <w:tcMar>
              <w:top w:w="60" w:type="dxa"/>
              <w:start w:w="80" w:type="dxa"/>
              <w:bottom w:w="60" w:type="dxa"/>
              <w:end w:w="80" w:type="dxa"/>
            </w:tcMar>
            <w:vAlign w:val="center"/>
            <w:shd w:fill="F3F5F7"/>
          </w:tcPr>
          <w:p>
            <w:r>
              <w:rPr>
                <w:rFonts w:ascii="Arial" w:hAnsi="Arial"/>
                <w:b w:val="0"/>
                <w:color w:val="1F2933"/>
                <w:sz w:val="17"/>
              </w:rPr>
              <w:t>34</w:t>
            </w:r>
          </w:p>
        </w:tc>
        <w:tc>
          <w:tcPr>
            <w:tcW w:type="dxa" w:w="1440"/>
            <w:tcMar>
              <w:top w:w="60" w:type="dxa"/>
              <w:start w:w="80" w:type="dxa"/>
              <w:bottom w:w="60" w:type="dxa"/>
              <w:end w:w="80" w:type="dxa"/>
            </w:tcMar>
            <w:vAlign w:val="center"/>
            <w:shd w:fill="F3F5F7"/>
          </w:tcPr>
          <w:p>
            <w:r>
              <w:rPr>
                <w:rFonts w:ascii="Arial" w:hAnsi="Arial"/>
                <w:b w:val="0"/>
                <w:color w:val="1F2933"/>
                <w:sz w:val="17"/>
              </w:rPr>
              <w:t>B</w:t>
            </w:r>
          </w:p>
        </w:tc>
      </w:tr>
      <w:tr>
        <w:tc>
          <w:tcPr>
            <w:tcW w:type="dxa" w:w="1728"/>
            <w:tcMar>
              <w:top w:w="60" w:type="dxa"/>
              <w:start w:w="80" w:type="dxa"/>
              <w:bottom w:w="60" w:type="dxa"/>
              <w:end w:w="80" w:type="dxa"/>
            </w:tcMar>
            <w:vAlign w:val="center"/>
          </w:tcPr>
          <w:p>
            <w:r>
              <w:rPr>
                <w:rFonts w:ascii="Arial" w:hAnsi="Arial"/>
                <w:b w:val="0"/>
                <w:color w:val="1F2933"/>
                <w:sz w:val="17"/>
              </w:rPr>
              <w:t>26</w:t>
            </w:r>
          </w:p>
        </w:tc>
        <w:tc>
          <w:tcPr>
            <w:tcW w:type="dxa" w:w="1440"/>
            <w:tcMar>
              <w:top w:w="60" w:type="dxa"/>
              <w:start w:w="80" w:type="dxa"/>
              <w:bottom w:w="60" w:type="dxa"/>
              <w:end w:w="80" w:type="dxa"/>
            </w:tcMar>
            <w:vAlign w:val="center"/>
          </w:tcPr>
          <w:p>
            <w:r>
              <w:rPr>
                <w:rFonts w:ascii="Arial" w:hAnsi="Arial"/>
                <w:b w:val="0"/>
                <w:color w:val="1F2933"/>
                <w:sz w:val="17"/>
              </w:rPr>
              <w:t>C</w:t>
            </w:r>
          </w:p>
        </w:tc>
        <w:tc>
          <w:tcPr>
            <w:tcW w:type="dxa" w:w="1728"/>
            <w:tcMar>
              <w:top w:w="60" w:type="dxa"/>
              <w:start w:w="80" w:type="dxa"/>
              <w:bottom w:w="60" w:type="dxa"/>
              <w:end w:w="80" w:type="dxa"/>
            </w:tcMar>
            <w:vAlign w:val="center"/>
          </w:tcPr>
          <w:p>
            <w:r>
              <w:rPr>
                <w:rFonts w:ascii="Arial" w:hAnsi="Arial"/>
                <w:b w:val="0"/>
                <w:color w:val="1F2933"/>
                <w:sz w:val="17"/>
              </w:rPr>
            </w:r>
          </w:p>
        </w:tc>
        <w:tc>
          <w:tcPr>
            <w:tcW w:type="dxa" w:w="1440"/>
            <w:tcMar>
              <w:top w:w="60" w:type="dxa"/>
              <w:start w:w="80" w:type="dxa"/>
              <w:bottom w:w="60" w:type="dxa"/>
              <w:end w:w="80" w:type="dxa"/>
            </w:tcMar>
            <w:vAlign w:val="center"/>
          </w:tcPr>
          <w:p>
            <w:r>
              <w:rPr>
                <w:rFonts w:ascii="Arial" w:hAnsi="Arial"/>
                <w:b w:val="0"/>
                <w:color w:val="1F2933"/>
                <w:sz w:val="17"/>
              </w:rPr>
            </w:r>
          </w:p>
        </w:tc>
      </w:tr>
    </w:tbl>
    <w:p>
      <w:pPr>
        <w:pStyle w:val="CTAH2"/>
      </w:pPr>
      <w:r>
        <w:t>Chapter 3: Maintaining Professional Competence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28"/>
            <w:tcMar>
              <w:top w:w="60" w:type="dxa"/>
              <w:start w:w="80" w:type="dxa"/>
              <w:bottom w:w="60" w:type="dxa"/>
              <w:end w:w="80" w:type="dxa"/>
            </w:tcMar>
            <w:vAlign w:val="center"/>
            <w:shd w:fill="102A43"/>
          </w:tcPr>
          <w:p>
            <w:r>
              <w:rPr>
                <w:rFonts w:ascii="Arial" w:hAnsi="Arial"/>
                <w:b/>
                <w:color w:val="FFFFFF"/>
                <w:sz w:val="17"/>
              </w:rPr>
              <w:t>Question</w:t>
            </w:r>
          </w:p>
        </w:tc>
        <w:tc>
          <w:tcPr>
            <w:tcW w:type="dxa" w:w="1440"/>
            <w:tcMar>
              <w:top w:w="60" w:type="dxa"/>
              <w:start w:w="80" w:type="dxa"/>
              <w:bottom w:w="60" w:type="dxa"/>
              <w:end w:w="80" w:type="dxa"/>
            </w:tcMar>
            <w:vAlign w:val="center"/>
            <w:shd w:fill="102A43"/>
          </w:tcPr>
          <w:p>
            <w:r>
              <w:rPr>
                <w:rFonts w:ascii="Arial" w:hAnsi="Arial"/>
                <w:b/>
                <w:color w:val="FFFFFF"/>
                <w:sz w:val="17"/>
              </w:rPr>
              <w:t>Answer</w:t>
            </w:r>
          </w:p>
        </w:tc>
        <w:tc>
          <w:tcPr>
            <w:tcW w:type="dxa" w:w="1728"/>
            <w:tcMar>
              <w:top w:w="60" w:type="dxa"/>
              <w:start w:w="80" w:type="dxa"/>
              <w:bottom w:w="60" w:type="dxa"/>
              <w:end w:w="80" w:type="dxa"/>
            </w:tcMar>
            <w:vAlign w:val="center"/>
            <w:shd w:fill="102A43"/>
          </w:tcPr>
          <w:p>
            <w:r>
              <w:rPr>
                <w:rFonts w:ascii="Arial" w:hAnsi="Arial"/>
                <w:b/>
                <w:color w:val="FFFFFF"/>
                <w:sz w:val="17"/>
              </w:rPr>
              <w:t>Question</w:t>
            </w:r>
          </w:p>
        </w:tc>
        <w:tc>
          <w:tcPr>
            <w:tcW w:type="dxa" w:w="1440"/>
            <w:tcMar>
              <w:top w:w="60" w:type="dxa"/>
              <w:start w:w="80" w:type="dxa"/>
              <w:bottom w:w="60" w:type="dxa"/>
              <w:end w:w="80" w:type="dxa"/>
            </w:tcMar>
            <w:vAlign w:val="center"/>
            <w:shd w:fill="102A43"/>
          </w:tcPr>
          <w:p>
            <w:r>
              <w:rPr>
                <w:rFonts w:ascii="Arial" w:hAnsi="Arial"/>
                <w:b/>
                <w:color w:val="FFFFFF"/>
                <w:sz w:val="17"/>
              </w:rPr>
              <w:t>Answer</w:t>
            </w:r>
          </w:p>
        </w:tc>
      </w:tr>
      <w:tr>
        <w:tc>
          <w:tcPr>
            <w:tcW w:type="dxa" w:w="1728"/>
            <w:tcMar>
              <w:top w:w="60" w:type="dxa"/>
              <w:start w:w="80" w:type="dxa"/>
              <w:bottom w:w="60" w:type="dxa"/>
              <w:end w:w="80" w:type="dxa"/>
            </w:tcMar>
            <w:vAlign w:val="center"/>
          </w:tcPr>
          <w:p>
            <w:r>
              <w:rPr>
                <w:rFonts w:ascii="Arial" w:hAnsi="Arial"/>
                <w:b w:val="0"/>
                <w:color w:val="1F2933"/>
                <w:sz w:val="17"/>
              </w:rPr>
              <w:t>35</w:t>
            </w:r>
          </w:p>
        </w:tc>
        <w:tc>
          <w:tcPr>
            <w:tcW w:type="dxa" w:w="1440"/>
            <w:tcMar>
              <w:top w:w="60" w:type="dxa"/>
              <w:start w:w="80" w:type="dxa"/>
              <w:bottom w:w="60" w:type="dxa"/>
              <w:end w:w="80" w:type="dxa"/>
            </w:tcMar>
            <w:vAlign w:val="center"/>
          </w:tcPr>
          <w:p>
            <w:r>
              <w:rPr>
                <w:rFonts w:ascii="Arial" w:hAnsi="Arial"/>
                <w:b w:val="0"/>
                <w:color w:val="1F2933"/>
                <w:sz w:val="17"/>
              </w:rPr>
              <w:t>C</w:t>
            </w:r>
          </w:p>
        </w:tc>
        <w:tc>
          <w:tcPr>
            <w:tcW w:type="dxa" w:w="1728"/>
            <w:tcMar>
              <w:top w:w="60" w:type="dxa"/>
              <w:start w:w="80" w:type="dxa"/>
              <w:bottom w:w="60" w:type="dxa"/>
              <w:end w:w="80" w:type="dxa"/>
            </w:tcMar>
            <w:vAlign w:val="center"/>
          </w:tcPr>
          <w:p>
            <w:r>
              <w:rPr>
                <w:rFonts w:ascii="Arial" w:hAnsi="Arial"/>
                <w:b w:val="0"/>
                <w:color w:val="1F2933"/>
                <w:sz w:val="17"/>
              </w:rPr>
              <w:t>44</w:t>
            </w:r>
          </w:p>
        </w:tc>
        <w:tc>
          <w:tcPr>
            <w:tcW w:type="dxa" w:w="1440"/>
            <w:tcMar>
              <w:top w:w="60" w:type="dxa"/>
              <w:start w:w="80" w:type="dxa"/>
              <w:bottom w:w="60" w:type="dxa"/>
              <w:end w:w="80" w:type="dxa"/>
            </w:tcMar>
            <w:vAlign w:val="center"/>
          </w:tcPr>
          <w:p>
            <w:r>
              <w:rPr>
                <w:rFonts w:ascii="Arial" w:hAnsi="Arial"/>
                <w:b w:val="0"/>
                <w:color w:val="1F2933"/>
                <w:sz w:val="17"/>
              </w:rPr>
              <w:t>A</w:t>
            </w:r>
          </w:p>
        </w:tc>
      </w:tr>
      <w:tr>
        <w:tc>
          <w:tcPr>
            <w:tcW w:type="dxa" w:w="1728"/>
            <w:tcMar>
              <w:top w:w="60" w:type="dxa"/>
              <w:start w:w="80" w:type="dxa"/>
              <w:bottom w:w="60" w:type="dxa"/>
              <w:end w:w="80" w:type="dxa"/>
            </w:tcMar>
            <w:vAlign w:val="center"/>
            <w:shd w:fill="F3F5F7"/>
          </w:tcPr>
          <w:p>
            <w:r>
              <w:rPr>
                <w:rFonts w:ascii="Arial" w:hAnsi="Arial"/>
                <w:b w:val="0"/>
                <w:color w:val="1F2933"/>
                <w:sz w:val="17"/>
              </w:rPr>
              <w:t>36</w:t>
            </w:r>
          </w:p>
        </w:tc>
        <w:tc>
          <w:tcPr>
            <w:tcW w:type="dxa" w:w="1440"/>
            <w:tcMar>
              <w:top w:w="60" w:type="dxa"/>
              <w:start w:w="80" w:type="dxa"/>
              <w:bottom w:w="60" w:type="dxa"/>
              <w:end w:w="80" w:type="dxa"/>
            </w:tcMar>
            <w:vAlign w:val="center"/>
            <w:shd w:fill="F3F5F7"/>
          </w:tcPr>
          <w:p>
            <w:r>
              <w:rPr>
                <w:rFonts w:ascii="Arial" w:hAnsi="Arial"/>
                <w:b w:val="0"/>
                <w:color w:val="1F2933"/>
                <w:sz w:val="17"/>
              </w:rPr>
              <w:t>A</w:t>
            </w:r>
          </w:p>
        </w:tc>
        <w:tc>
          <w:tcPr>
            <w:tcW w:type="dxa" w:w="1728"/>
            <w:tcMar>
              <w:top w:w="60" w:type="dxa"/>
              <w:start w:w="80" w:type="dxa"/>
              <w:bottom w:w="60" w:type="dxa"/>
              <w:end w:w="80" w:type="dxa"/>
            </w:tcMar>
            <w:vAlign w:val="center"/>
            <w:shd w:fill="F3F5F7"/>
          </w:tcPr>
          <w:p>
            <w:r>
              <w:rPr>
                <w:rFonts w:ascii="Arial" w:hAnsi="Arial"/>
                <w:b w:val="0"/>
                <w:color w:val="1F2933"/>
                <w:sz w:val="17"/>
              </w:rPr>
              <w:t>45</w:t>
            </w:r>
          </w:p>
        </w:tc>
        <w:tc>
          <w:tcPr>
            <w:tcW w:type="dxa" w:w="1440"/>
            <w:tcMar>
              <w:top w:w="60" w:type="dxa"/>
              <w:start w:w="80" w:type="dxa"/>
              <w:bottom w:w="60" w:type="dxa"/>
              <w:end w:w="80" w:type="dxa"/>
            </w:tcMar>
            <w:vAlign w:val="center"/>
            <w:shd w:fill="F3F5F7"/>
          </w:tcPr>
          <w:p>
            <w:r>
              <w:rPr>
                <w:rFonts w:ascii="Arial" w:hAnsi="Arial"/>
                <w:b w:val="0"/>
                <w:color w:val="1F2933"/>
                <w:sz w:val="17"/>
              </w:rPr>
              <w:t>D</w:t>
            </w:r>
          </w:p>
        </w:tc>
      </w:tr>
      <w:tr>
        <w:tc>
          <w:tcPr>
            <w:tcW w:type="dxa" w:w="1728"/>
            <w:tcMar>
              <w:top w:w="60" w:type="dxa"/>
              <w:start w:w="80" w:type="dxa"/>
              <w:bottom w:w="60" w:type="dxa"/>
              <w:end w:w="80" w:type="dxa"/>
            </w:tcMar>
            <w:vAlign w:val="center"/>
          </w:tcPr>
          <w:p>
            <w:r>
              <w:rPr>
                <w:rFonts w:ascii="Arial" w:hAnsi="Arial"/>
                <w:b w:val="0"/>
                <w:color w:val="1F2933"/>
                <w:sz w:val="17"/>
              </w:rPr>
              <w:t>37</w:t>
            </w:r>
          </w:p>
        </w:tc>
        <w:tc>
          <w:tcPr>
            <w:tcW w:type="dxa" w:w="1440"/>
            <w:tcMar>
              <w:top w:w="60" w:type="dxa"/>
              <w:start w:w="80" w:type="dxa"/>
              <w:bottom w:w="60" w:type="dxa"/>
              <w:end w:w="80" w:type="dxa"/>
            </w:tcMar>
            <w:vAlign w:val="center"/>
          </w:tcPr>
          <w:p>
            <w:r>
              <w:rPr>
                <w:rFonts w:ascii="Arial" w:hAnsi="Arial"/>
                <w:b w:val="0"/>
                <w:color w:val="1F2933"/>
                <w:sz w:val="17"/>
              </w:rPr>
              <w:t>D</w:t>
            </w:r>
          </w:p>
        </w:tc>
        <w:tc>
          <w:tcPr>
            <w:tcW w:type="dxa" w:w="1728"/>
            <w:tcMar>
              <w:top w:w="60" w:type="dxa"/>
              <w:start w:w="80" w:type="dxa"/>
              <w:bottom w:w="60" w:type="dxa"/>
              <w:end w:w="80" w:type="dxa"/>
            </w:tcMar>
            <w:vAlign w:val="center"/>
          </w:tcPr>
          <w:p>
            <w:r>
              <w:rPr>
                <w:rFonts w:ascii="Arial" w:hAnsi="Arial"/>
                <w:b w:val="0"/>
                <w:color w:val="1F2933"/>
                <w:sz w:val="17"/>
              </w:rPr>
              <w:t>46</w:t>
            </w:r>
          </w:p>
        </w:tc>
        <w:tc>
          <w:tcPr>
            <w:tcW w:type="dxa" w:w="1440"/>
            <w:tcMar>
              <w:top w:w="60" w:type="dxa"/>
              <w:start w:w="80" w:type="dxa"/>
              <w:bottom w:w="60" w:type="dxa"/>
              <w:end w:w="80" w:type="dxa"/>
            </w:tcMar>
            <w:vAlign w:val="center"/>
          </w:tcPr>
          <w:p>
            <w:r>
              <w:rPr>
                <w:rFonts w:ascii="Arial" w:hAnsi="Arial"/>
                <w:b w:val="0"/>
                <w:color w:val="1F2933"/>
                <w:sz w:val="17"/>
              </w:rPr>
              <w:t>B</w:t>
            </w:r>
          </w:p>
        </w:tc>
      </w:tr>
      <w:tr>
        <w:tc>
          <w:tcPr>
            <w:tcW w:type="dxa" w:w="1728"/>
            <w:tcMar>
              <w:top w:w="60" w:type="dxa"/>
              <w:start w:w="80" w:type="dxa"/>
              <w:bottom w:w="60" w:type="dxa"/>
              <w:end w:w="80" w:type="dxa"/>
            </w:tcMar>
            <w:vAlign w:val="center"/>
            <w:shd w:fill="F3F5F7"/>
          </w:tcPr>
          <w:p>
            <w:r>
              <w:rPr>
                <w:rFonts w:ascii="Arial" w:hAnsi="Arial"/>
                <w:b w:val="0"/>
                <w:color w:val="1F2933"/>
                <w:sz w:val="17"/>
              </w:rPr>
              <w:t>38</w:t>
            </w:r>
          </w:p>
        </w:tc>
        <w:tc>
          <w:tcPr>
            <w:tcW w:type="dxa" w:w="1440"/>
            <w:tcMar>
              <w:top w:w="60" w:type="dxa"/>
              <w:start w:w="80" w:type="dxa"/>
              <w:bottom w:w="60" w:type="dxa"/>
              <w:end w:w="80" w:type="dxa"/>
            </w:tcMar>
            <w:vAlign w:val="center"/>
            <w:shd w:fill="F3F5F7"/>
          </w:tcPr>
          <w:p>
            <w:r>
              <w:rPr>
                <w:rFonts w:ascii="Arial" w:hAnsi="Arial"/>
                <w:b w:val="0"/>
                <w:color w:val="1F2933"/>
                <w:sz w:val="17"/>
              </w:rPr>
              <w:t>B</w:t>
            </w:r>
          </w:p>
        </w:tc>
        <w:tc>
          <w:tcPr>
            <w:tcW w:type="dxa" w:w="1728"/>
            <w:tcMar>
              <w:top w:w="60" w:type="dxa"/>
              <w:start w:w="80" w:type="dxa"/>
              <w:bottom w:w="60" w:type="dxa"/>
              <w:end w:w="80" w:type="dxa"/>
            </w:tcMar>
            <w:vAlign w:val="center"/>
            <w:shd w:fill="F3F5F7"/>
          </w:tcPr>
          <w:p>
            <w:r>
              <w:rPr>
                <w:rFonts w:ascii="Arial" w:hAnsi="Arial"/>
                <w:b w:val="0"/>
                <w:color w:val="1F2933"/>
                <w:sz w:val="17"/>
              </w:rPr>
              <w:t>47</w:t>
            </w:r>
          </w:p>
        </w:tc>
        <w:tc>
          <w:tcPr>
            <w:tcW w:type="dxa" w:w="1440"/>
            <w:tcMar>
              <w:top w:w="60" w:type="dxa"/>
              <w:start w:w="80" w:type="dxa"/>
              <w:bottom w:w="60" w:type="dxa"/>
              <w:end w:w="80" w:type="dxa"/>
            </w:tcMar>
            <w:vAlign w:val="center"/>
            <w:shd w:fill="F3F5F7"/>
          </w:tcPr>
          <w:p>
            <w:r>
              <w:rPr>
                <w:rFonts w:ascii="Arial" w:hAnsi="Arial"/>
                <w:b w:val="0"/>
                <w:color w:val="1F2933"/>
                <w:sz w:val="17"/>
              </w:rPr>
              <w:t>C</w:t>
            </w:r>
          </w:p>
        </w:tc>
      </w:tr>
      <w:tr>
        <w:tc>
          <w:tcPr>
            <w:tcW w:type="dxa" w:w="1728"/>
            <w:tcMar>
              <w:top w:w="60" w:type="dxa"/>
              <w:start w:w="80" w:type="dxa"/>
              <w:bottom w:w="60" w:type="dxa"/>
              <w:end w:w="80" w:type="dxa"/>
            </w:tcMar>
            <w:vAlign w:val="center"/>
          </w:tcPr>
          <w:p>
            <w:r>
              <w:rPr>
                <w:rFonts w:ascii="Arial" w:hAnsi="Arial"/>
                <w:b w:val="0"/>
                <w:color w:val="1F2933"/>
                <w:sz w:val="17"/>
              </w:rPr>
              <w:t>39</w:t>
            </w:r>
          </w:p>
        </w:tc>
        <w:tc>
          <w:tcPr>
            <w:tcW w:type="dxa" w:w="1440"/>
            <w:tcMar>
              <w:top w:w="60" w:type="dxa"/>
              <w:start w:w="80" w:type="dxa"/>
              <w:bottom w:w="60" w:type="dxa"/>
              <w:end w:w="80" w:type="dxa"/>
            </w:tcMar>
            <w:vAlign w:val="center"/>
          </w:tcPr>
          <w:p>
            <w:r>
              <w:rPr>
                <w:rFonts w:ascii="Arial" w:hAnsi="Arial"/>
                <w:b w:val="0"/>
                <w:color w:val="1F2933"/>
                <w:sz w:val="17"/>
              </w:rPr>
              <w:t>C</w:t>
            </w:r>
          </w:p>
        </w:tc>
        <w:tc>
          <w:tcPr>
            <w:tcW w:type="dxa" w:w="1728"/>
            <w:tcMar>
              <w:top w:w="60" w:type="dxa"/>
              <w:start w:w="80" w:type="dxa"/>
              <w:bottom w:w="60" w:type="dxa"/>
              <w:end w:w="80" w:type="dxa"/>
            </w:tcMar>
            <w:vAlign w:val="center"/>
          </w:tcPr>
          <w:p>
            <w:r>
              <w:rPr>
                <w:rFonts w:ascii="Arial" w:hAnsi="Arial"/>
                <w:b w:val="0"/>
                <w:color w:val="1F2933"/>
                <w:sz w:val="17"/>
              </w:rPr>
              <w:t>48</w:t>
            </w:r>
          </w:p>
        </w:tc>
        <w:tc>
          <w:tcPr>
            <w:tcW w:type="dxa" w:w="1440"/>
            <w:tcMar>
              <w:top w:w="60" w:type="dxa"/>
              <w:start w:w="80" w:type="dxa"/>
              <w:bottom w:w="60" w:type="dxa"/>
              <w:end w:w="80" w:type="dxa"/>
            </w:tcMar>
            <w:vAlign w:val="center"/>
          </w:tcPr>
          <w:p>
            <w:r>
              <w:rPr>
                <w:rFonts w:ascii="Arial" w:hAnsi="Arial"/>
                <w:b w:val="0"/>
                <w:color w:val="1F2933"/>
                <w:sz w:val="17"/>
              </w:rPr>
              <w:t>D</w:t>
            </w:r>
          </w:p>
        </w:tc>
      </w:tr>
      <w:tr>
        <w:tc>
          <w:tcPr>
            <w:tcW w:type="dxa" w:w="1728"/>
            <w:tcMar>
              <w:top w:w="60" w:type="dxa"/>
              <w:start w:w="80" w:type="dxa"/>
              <w:bottom w:w="60" w:type="dxa"/>
              <w:end w:w="80" w:type="dxa"/>
            </w:tcMar>
            <w:vAlign w:val="center"/>
            <w:shd w:fill="F3F5F7"/>
          </w:tcPr>
          <w:p>
            <w:r>
              <w:rPr>
                <w:rFonts w:ascii="Arial" w:hAnsi="Arial"/>
                <w:b w:val="0"/>
                <w:color w:val="1F2933"/>
                <w:sz w:val="17"/>
              </w:rPr>
              <w:t>40</w:t>
            </w:r>
          </w:p>
        </w:tc>
        <w:tc>
          <w:tcPr>
            <w:tcW w:type="dxa" w:w="1440"/>
            <w:tcMar>
              <w:top w:w="60" w:type="dxa"/>
              <w:start w:w="80" w:type="dxa"/>
              <w:bottom w:w="60" w:type="dxa"/>
              <w:end w:w="80" w:type="dxa"/>
            </w:tcMar>
            <w:vAlign w:val="center"/>
            <w:shd w:fill="F3F5F7"/>
          </w:tcPr>
          <w:p>
            <w:r>
              <w:rPr>
                <w:rFonts w:ascii="Arial" w:hAnsi="Arial"/>
                <w:b w:val="0"/>
                <w:color w:val="1F2933"/>
                <w:sz w:val="17"/>
              </w:rPr>
              <w:t>A</w:t>
            </w:r>
          </w:p>
        </w:tc>
        <w:tc>
          <w:tcPr>
            <w:tcW w:type="dxa" w:w="1728"/>
            <w:tcMar>
              <w:top w:w="60" w:type="dxa"/>
              <w:start w:w="80" w:type="dxa"/>
              <w:bottom w:w="60" w:type="dxa"/>
              <w:end w:w="80" w:type="dxa"/>
            </w:tcMar>
            <w:vAlign w:val="center"/>
            <w:shd w:fill="F3F5F7"/>
          </w:tcPr>
          <w:p>
            <w:r>
              <w:rPr>
                <w:rFonts w:ascii="Arial" w:hAnsi="Arial"/>
                <w:b w:val="0"/>
                <w:color w:val="1F2933"/>
                <w:sz w:val="17"/>
              </w:rPr>
              <w:t>49</w:t>
            </w:r>
          </w:p>
        </w:tc>
        <w:tc>
          <w:tcPr>
            <w:tcW w:type="dxa" w:w="1440"/>
            <w:tcMar>
              <w:top w:w="60" w:type="dxa"/>
              <w:start w:w="80" w:type="dxa"/>
              <w:bottom w:w="60" w:type="dxa"/>
              <w:end w:w="80" w:type="dxa"/>
            </w:tcMar>
            <w:vAlign w:val="center"/>
            <w:shd w:fill="F3F5F7"/>
          </w:tcPr>
          <w:p>
            <w:r>
              <w:rPr>
                <w:rFonts w:ascii="Arial" w:hAnsi="Arial"/>
                <w:b w:val="0"/>
                <w:color w:val="1F2933"/>
                <w:sz w:val="17"/>
              </w:rPr>
              <w:t>B</w:t>
            </w:r>
          </w:p>
        </w:tc>
      </w:tr>
      <w:tr>
        <w:tc>
          <w:tcPr>
            <w:tcW w:type="dxa" w:w="1728"/>
            <w:tcMar>
              <w:top w:w="60" w:type="dxa"/>
              <w:start w:w="80" w:type="dxa"/>
              <w:bottom w:w="60" w:type="dxa"/>
              <w:end w:w="80" w:type="dxa"/>
            </w:tcMar>
            <w:vAlign w:val="center"/>
          </w:tcPr>
          <w:p>
            <w:r>
              <w:rPr>
                <w:rFonts w:ascii="Arial" w:hAnsi="Arial"/>
                <w:b w:val="0"/>
                <w:color w:val="1F2933"/>
                <w:sz w:val="17"/>
              </w:rPr>
              <w:t>41</w:t>
            </w:r>
          </w:p>
        </w:tc>
        <w:tc>
          <w:tcPr>
            <w:tcW w:type="dxa" w:w="1440"/>
            <w:tcMar>
              <w:top w:w="60" w:type="dxa"/>
              <w:start w:w="80" w:type="dxa"/>
              <w:bottom w:w="60" w:type="dxa"/>
              <w:end w:w="80" w:type="dxa"/>
            </w:tcMar>
            <w:vAlign w:val="center"/>
          </w:tcPr>
          <w:p>
            <w:r>
              <w:rPr>
                <w:rFonts w:ascii="Arial" w:hAnsi="Arial"/>
                <w:b w:val="0"/>
                <w:color w:val="1F2933"/>
                <w:sz w:val="17"/>
              </w:rPr>
              <w:t>D</w:t>
            </w:r>
          </w:p>
        </w:tc>
        <w:tc>
          <w:tcPr>
            <w:tcW w:type="dxa" w:w="1728"/>
            <w:tcMar>
              <w:top w:w="60" w:type="dxa"/>
              <w:start w:w="80" w:type="dxa"/>
              <w:bottom w:w="60" w:type="dxa"/>
              <w:end w:w="80" w:type="dxa"/>
            </w:tcMar>
            <w:vAlign w:val="center"/>
          </w:tcPr>
          <w:p>
            <w:r>
              <w:rPr>
                <w:rFonts w:ascii="Arial" w:hAnsi="Arial"/>
                <w:b w:val="0"/>
                <w:color w:val="1F2933"/>
                <w:sz w:val="17"/>
              </w:rPr>
              <w:t>50</w:t>
            </w:r>
          </w:p>
        </w:tc>
        <w:tc>
          <w:tcPr>
            <w:tcW w:type="dxa" w:w="1440"/>
            <w:tcMar>
              <w:top w:w="60" w:type="dxa"/>
              <w:start w:w="80" w:type="dxa"/>
              <w:bottom w:w="60" w:type="dxa"/>
              <w:end w:w="80" w:type="dxa"/>
            </w:tcMar>
            <w:vAlign w:val="center"/>
          </w:tcPr>
          <w:p>
            <w:r>
              <w:rPr>
                <w:rFonts w:ascii="Arial" w:hAnsi="Arial"/>
                <w:b w:val="0"/>
                <w:color w:val="1F2933"/>
                <w:sz w:val="17"/>
              </w:rPr>
              <w:t>A</w:t>
            </w:r>
          </w:p>
        </w:tc>
      </w:tr>
      <w:tr>
        <w:tc>
          <w:tcPr>
            <w:tcW w:type="dxa" w:w="1728"/>
            <w:tcMar>
              <w:top w:w="60" w:type="dxa"/>
              <w:start w:w="80" w:type="dxa"/>
              <w:bottom w:w="60" w:type="dxa"/>
              <w:end w:w="80" w:type="dxa"/>
            </w:tcMar>
            <w:vAlign w:val="center"/>
            <w:shd w:fill="F3F5F7"/>
          </w:tcPr>
          <w:p>
            <w:r>
              <w:rPr>
                <w:rFonts w:ascii="Arial" w:hAnsi="Arial"/>
                <w:b w:val="0"/>
                <w:color w:val="1F2933"/>
                <w:sz w:val="17"/>
              </w:rPr>
              <w:t>42</w:t>
            </w:r>
          </w:p>
        </w:tc>
        <w:tc>
          <w:tcPr>
            <w:tcW w:type="dxa" w:w="1440"/>
            <w:tcMar>
              <w:top w:w="60" w:type="dxa"/>
              <w:start w:w="80" w:type="dxa"/>
              <w:bottom w:w="60" w:type="dxa"/>
              <w:end w:w="80" w:type="dxa"/>
            </w:tcMar>
            <w:vAlign w:val="center"/>
            <w:shd w:fill="F3F5F7"/>
          </w:tcPr>
          <w:p>
            <w:r>
              <w:rPr>
                <w:rFonts w:ascii="Arial" w:hAnsi="Arial"/>
                <w:b w:val="0"/>
                <w:color w:val="1F2933"/>
                <w:sz w:val="17"/>
              </w:rPr>
              <w:t>B</w:t>
            </w:r>
          </w:p>
        </w:tc>
        <w:tc>
          <w:tcPr>
            <w:tcW w:type="dxa" w:w="1728"/>
            <w:tcMar>
              <w:top w:w="60" w:type="dxa"/>
              <w:start w:w="80" w:type="dxa"/>
              <w:bottom w:w="60" w:type="dxa"/>
              <w:end w:w="80" w:type="dxa"/>
            </w:tcMar>
            <w:vAlign w:val="center"/>
            <w:shd w:fill="F3F5F7"/>
          </w:tcPr>
          <w:p>
            <w:r>
              <w:rPr>
                <w:rFonts w:ascii="Arial" w:hAnsi="Arial"/>
                <w:b w:val="0"/>
                <w:color w:val="1F2933"/>
                <w:sz w:val="17"/>
              </w:rPr>
              <w:t>51</w:t>
            </w:r>
          </w:p>
        </w:tc>
        <w:tc>
          <w:tcPr>
            <w:tcW w:type="dxa" w:w="1440"/>
            <w:tcMar>
              <w:top w:w="60" w:type="dxa"/>
              <w:start w:w="80" w:type="dxa"/>
              <w:bottom w:w="60" w:type="dxa"/>
              <w:end w:w="80" w:type="dxa"/>
            </w:tcMar>
            <w:vAlign w:val="center"/>
            <w:shd w:fill="F3F5F7"/>
          </w:tcPr>
          <w:p>
            <w:r>
              <w:rPr>
                <w:rFonts w:ascii="Arial" w:hAnsi="Arial"/>
                <w:b w:val="0"/>
                <w:color w:val="1F2933"/>
                <w:sz w:val="17"/>
              </w:rPr>
              <w:t>C</w:t>
            </w:r>
          </w:p>
        </w:tc>
      </w:tr>
      <w:tr>
        <w:tc>
          <w:tcPr>
            <w:tcW w:type="dxa" w:w="1728"/>
            <w:tcMar>
              <w:top w:w="60" w:type="dxa"/>
              <w:start w:w="80" w:type="dxa"/>
              <w:bottom w:w="60" w:type="dxa"/>
              <w:end w:w="80" w:type="dxa"/>
            </w:tcMar>
            <w:vAlign w:val="center"/>
          </w:tcPr>
          <w:p>
            <w:r>
              <w:rPr>
                <w:rFonts w:ascii="Arial" w:hAnsi="Arial"/>
                <w:b w:val="0"/>
                <w:color w:val="1F2933"/>
                <w:sz w:val="17"/>
              </w:rPr>
              <w:t>43</w:t>
            </w:r>
          </w:p>
        </w:tc>
        <w:tc>
          <w:tcPr>
            <w:tcW w:type="dxa" w:w="1440"/>
            <w:tcMar>
              <w:top w:w="60" w:type="dxa"/>
              <w:start w:w="80" w:type="dxa"/>
              <w:bottom w:w="60" w:type="dxa"/>
              <w:end w:w="80" w:type="dxa"/>
            </w:tcMar>
            <w:vAlign w:val="center"/>
          </w:tcPr>
          <w:p>
            <w:r>
              <w:rPr>
                <w:rFonts w:ascii="Arial" w:hAnsi="Arial"/>
                <w:b w:val="0"/>
                <w:color w:val="1F2933"/>
                <w:sz w:val="17"/>
              </w:rPr>
              <w:t>C</w:t>
            </w:r>
          </w:p>
        </w:tc>
        <w:tc>
          <w:tcPr>
            <w:tcW w:type="dxa" w:w="1728"/>
            <w:tcMar>
              <w:top w:w="60" w:type="dxa"/>
              <w:start w:w="80" w:type="dxa"/>
              <w:bottom w:w="60" w:type="dxa"/>
              <w:end w:w="80" w:type="dxa"/>
            </w:tcMar>
            <w:vAlign w:val="center"/>
          </w:tcPr>
          <w:p>
            <w:r>
              <w:rPr>
                <w:rFonts w:ascii="Arial" w:hAnsi="Arial"/>
                <w:b w:val="0"/>
                <w:color w:val="1F2933"/>
                <w:sz w:val="17"/>
              </w:rPr>
            </w:r>
          </w:p>
        </w:tc>
        <w:tc>
          <w:tcPr>
            <w:tcW w:type="dxa" w:w="1440"/>
            <w:tcMar>
              <w:top w:w="60" w:type="dxa"/>
              <w:start w:w="80" w:type="dxa"/>
              <w:bottom w:w="60" w:type="dxa"/>
              <w:end w:w="80" w:type="dxa"/>
            </w:tcMar>
            <w:vAlign w:val="center"/>
          </w:tcPr>
          <w:p>
            <w:r>
              <w:rPr>
                <w:rFonts w:ascii="Arial" w:hAnsi="Arial"/>
                <w:b w:val="0"/>
                <w:color w:val="1F2933"/>
                <w:sz w:val="17"/>
              </w:rPr>
            </w:r>
          </w:p>
        </w:tc>
      </w:tr>
    </w:tbl>
    <w:p>
      <w:pPr>
        <w:pStyle w:val="CTAH2"/>
      </w:pPr>
      <w:r>
        <w:t>Chapter 4: Consultation and Seeking Professional Assistance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28"/>
            <w:tcMar>
              <w:top w:w="60" w:type="dxa"/>
              <w:start w:w="80" w:type="dxa"/>
              <w:bottom w:w="60" w:type="dxa"/>
              <w:end w:w="80" w:type="dxa"/>
            </w:tcMar>
            <w:vAlign w:val="center"/>
            <w:shd w:fill="102A43"/>
          </w:tcPr>
          <w:p>
            <w:r>
              <w:rPr>
                <w:rFonts w:ascii="Arial" w:hAnsi="Arial"/>
                <w:b/>
                <w:color w:val="FFFFFF"/>
                <w:sz w:val="17"/>
              </w:rPr>
              <w:t>Question</w:t>
            </w:r>
          </w:p>
        </w:tc>
        <w:tc>
          <w:tcPr>
            <w:tcW w:type="dxa" w:w="1440"/>
            <w:tcMar>
              <w:top w:w="60" w:type="dxa"/>
              <w:start w:w="80" w:type="dxa"/>
              <w:bottom w:w="60" w:type="dxa"/>
              <w:end w:w="80" w:type="dxa"/>
            </w:tcMar>
            <w:vAlign w:val="center"/>
            <w:shd w:fill="102A43"/>
          </w:tcPr>
          <w:p>
            <w:r>
              <w:rPr>
                <w:rFonts w:ascii="Arial" w:hAnsi="Arial"/>
                <w:b/>
                <w:color w:val="FFFFFF"/>
                <w:sz w:val="17"/>
              </w:rPr>
              <w:t>Answer</w:t>
            </w:r>
          </w:p>
        </w:tc>
        <w:tc>
          <w:tcPr>
            <w:tcW w:type="dxa" w:w="1728"/>
            <w:tcMar>
              <w:top w:w="60" w:type="dxa"/>
              <w:start w:w="80" w:type="dxa"/>
              <w:bottom w:w="60" w:type="dxa"/>
              <w:end w:w="80" w:type="dxa"/>
            </w:tcMar>
            <w:vAlign w:val="center"/>
            <w:shd w:fill="102A43"/>
          </w:tcPr>
          <w:p>
            <w:r>
              <w:rPr>
                <w:rFonts w:ascii="Arial" w:hAnsi="Arial"/>
                <w:b/>
                <w:color w:val="FFFFFF"/>
                <w:sz w:val="17"/>
              </w:rPr>
              <w:t>Question</w:t>
            </w:r>
          </w:p>
        </w:tc>
        <w:tc>
          <w:tcPr>
            <w:tcW w:type="dxa" w:w="1440"/>
            <w:tcMar>
              <w:top w:w="60" w:type="dxa"/>
              <w:start w:w="80" w:type="dxa"/>
              <w:bottom w:w="60" w:type="dxa"/>
              <w:end w:w="80" w:type="dxa"/>
            </w:tcMar>
            <w:vAlign w:val="center"/>
            <w:shd w:fill="102A43"/>
          </w:tcPr>
          <w:p>
            <w:r>
              <w:rPr>
                <w:rFonts w:ascii="Arial" w:hAnsi="Arial"/>
                <w:b/>
                <w:color w:val="FFFFFF"/>
                <w:sz w:val="17"/>
              </w:rPr>
              <w:t>Answer</w:t>
            </w:r>
          </w:p>
        </w:tc>
      </w:tr>
      <w:tr>
        <w:tc>
          <w:tcPr>
            <w:tcW w:type="dxa" w:w="1728"/>
            <w:tcMar>
              <w:top w:w="60" w:type="dxa"/>
              <w:start w:w="80" w:type="dxa"/>
              <w:bottom w:w="60" w:type="dxa"/>
              <w:end w:w="80" w:type="dxa"/>
            </w:tcMar>
            <w:vAlign w:val="center"/>
          </w:tcPr>
          <w:p>
            <w:r>
              <w:rPr>
                <w:rFonts w:ascii="Arial" w:hAnsi="Arial"/>
                <w:b w:val="0"/>
                <w:color w:val="1F2933"/>
                <w:sz w:val="17"/>
              </w:rPr>
              <w:t>52</w:t>
            </w:r>
          </w:p>
        </w:tc>
        <w:tc>
          <w:tcPr>
            <w:tcW w:type="dxa" w:w="1440"/>
            <w:tcMar>
              <w:top w:w="60" w:type="dxa"/>
              <w:start w:w="80" w:type="dxa"/>
              <w:bottom w:w="60" w:type="dxa"/>
              <w:end w:w="80" w:type="dxa"/>
            </w:tcMar>
            <w:vAlign w:val="center"/>
          </w:tcPr>
          <w:p>
            <w:r>
              <w:rPr>
                <w:rFonts w:ascii="Arial" w:hAnsi="Arial"/>
                <w:b w:val="0"/>
                <w:color w:val="1F2933"/>
                <w:sz w:val="17"/>
              </w:rPr>
              <w:t>B</w:t>
            </w:r>
          </w:p>
        </w:tc>
        <w:tc>
          <w:tcPr>
            <w:tcW w:type="dxa" w:w="1728"/>
            <w:tcMar>
              <w:top w:w="60" w:type="dxa"/>
              <w:start w:w="80" w:type="dxa"/>
              <w:bottom w:w="60" w:type="dxa"/>
              <w:end w:w="80" w:type="dxa"/>
            </w:tcMar>
            <w:vAlign w:val="center"/>
          </w:tcPr>
          <w:p>
            <w:r>
              <w:rPr>
                <w:rFonts w:ascii="Arial" w:hAnsi="Arial"/>
                <w:b w:val="0"/>
                <w:color w:val="1F2933"/>
                <w:sz w:val="17"/>
              </w:rPr>
              <w:t>61</w:t>
            </w:r>
          </w:p>
        </w:tc>
        <w:tc>
          <w:tcPr>
            <w:tcW w:type="dxa" w:w="1440"/>
            <w:tcMar>
              <w:top w:w="60" w:type="dxa"/>
              <w:start w:w="80" w:type="dxa"/>
              <w:bottom w:w="60" w:type="dxa"/>
              <w:end w:w="80" w:type="dxa"/>
            </w:tcMar>
            <w:vAlign w:val="center"/>
          </w:tcPr>
          <w:p>
            <w:r>
              <w:rPr>
                <w:rFonts w:ascii="Arial" w:hAnsi="Arial"/>
                <w:b w:val="0"/>
                <w:color w:val="1F2933"/>
                <w:sz w:val="17"/>
              </w:rPr>
              <w:t>B</w:t>
            </w:r>
          </w:p>
        </w:tc>
      </w:tr>
      <w:tr>
        <w:tc>
          <w:tcPr>
            <w:tcW w:type="dxa" w:w="1728"/>
            <w:tcMar>
              <w:top w:w="60" w:type="dxa"/>
              <w:start w:w="80" w:type="dxa"/>
              <w:bottom w:w="60" w:type="dxa"/>
              <w:end w:w="80" w:type="dxa"/>
            </w:tcMar>
            <w:vAlign w:val="center"/>
            <w:shd w:fill="F3F5F7"/>
          </w:tcPr>
          <w:p>
            <w:r>
              <w:rPr>
                <w:rFonts w:ascii="Arial" w:hAnsi="Arial"/>
                <w:b w:val="0"/>
                <w:color w:val="1F2933"/>
                <w:sz w:val="17"/>
              </w:rPr>
              <w:t>53</w:t>
            </w:r>
          </w:p>
        </w:tc>
        <w:tc>
          <w:tcPr>
            <w:tcW w:type="dxa" w:w="1440"/>
            <w:tcMar>
              <w:top w:w="60" w:type="dxa"/>
              <w:start w:w="80" w:type="dxa"/>
              <w:bottom w:w="60" w:type="dxa"/>
              <w:end w:w="80" w:type="dxa"/>
            </w:tcMar>
            <w:vAlign w:val="center"/>
            <w:shd w:fill="F3F5F7"/>
          </w:tcPr>
          <w:p>
            <w:r>
              <w:rPr>
                <w:rFonts w:ascii="Arial" w:hAnsi="Arial"/>
                <w:b w:val="0"/>
                <w:color w:val="1F2933"/>
                <w:sz w:val="17"/>
              </w:rPr>
              <w:t>D</w:t>
            </w:r>
          </w:p>
        </w:tc>
        <w:tc>
          <w:tcPr>
            <w:tcW w:type="dxa" w:w="1728"/>
            <w:tcMar>
              <w:top w:w="60" w:type="dxa"/>
              <w:start w:w="80" w:type="dxa"/>
              <w:bottom w:w="60" w:type="dxa"/>
              <w:end w:w="80" w:type="dxa"/>
            </w:tcMar>
            <w:vAlign w:val="center"/>
            <w:shd w:fill="F3F5F7"/>
          </w:tcPr>
          <w:p>
            <w:r>
              <w:rPr>
                <w:rFonts w:ascii="Arial" w:hAnsi="Arial"/>
                <w:b w:val="0"/>
                <w:color w:val="1F2933"/>
                <w:sz w:val="17"/>
              </w:rPr>
              <w:t>62</w:t>
            </w:r>
          </w:p>
        </w:tc>
        <w:tc>
          <w:tcPr>
            <w:tcW w:type="dxa" w:w="1440"/>
            <w:tcMar>
              <w:top w:w="60" w:type="dxa"/>
              <w:start w:w="80" w:type="dxa"/>
              <w:bottom w:w="60" w:type="dxa"/>
              <w:end w:w="80" w:type="dxa"/>
            </w:tcMar>
            <w:vAlign w:val="center"/>
            <w:shd w:fill="F3F5F7"/>
          </w:tcPr>
          <w:p>
            <w:r>
              <w:rPr>
                <w:rFonts w:ascii="Arial" w:hAnsi="Arial"/>
                <w:b w:val="0"/>
                <w:color w:val="1F2933"/>
                <w:sz w:val="17"/>
              </w:rPr>
              <w:t>A</w:t>
            </w:r>
          </w:p>
        </w:tc>
      </w:tr>
      <w:tr>
        <w:tc>
          <w:tcPr>
            <w:tcW w:type="dxa" w:w="1728"/>
            <w:tcMar>
              <w:top w:w="60" w:type="dxa"/>
              <w:start w:w="80" w:type="dxa"/>
              <w:bottom w:w="60" w:type="dxa"/>
              <w:end w:w="80" w:type="dxa"/>
            </w:tcMar>
            <w:vAlign w:val="center"/>
          </w:tcPr>
          <w:p>
            <w:r>
              <w:rPr>
                <w:rFonts w:ascii="Arial" w:hAnsi="Arial"/>
                <w:b w:val="0"/>
                <w:color w:val="1F2933"/>
                <w:sz w:val="17"/>
              </w:rPr>
              <w:t>54</w:t>
            </w:r>
          </w:p>
        </w:tc>
        <w:tc>
          <w:tcPr>
            <w:tcW w:type="dxa" w:w="1440"/>
            <w:tcMar>
              <w:top w:w="60" w:type="dxa"/>
              <w:start w:w="80" w:type="dxa"/>
              <w:bottom w:w="60" w:type="dxa"/>
              <w:end w:w="80" w:type="dxa"/>
            </w:tcMar>
            <w:vAlign w:val="center"/>
          </w:tcPr>
          <w:p>
            <w:r>
              <w:rPr>
                <w:rFonts w:ascii="Arial" w:hAnsi="Arial"/>
                <w:b w:val="0"/>
                <w:color w:val="1F2933"/>
                <w:sz w:val="17"/>
              </w:rPr>
              <w:t>A</w:t>
            </w:r>
          </w:p>
        </w:tc>
        <w:tc>
          <w:tcPr>
            <w:tcW w:type="dxa" w:w="1728"/>
            <w:tcMar>
              <w:top w:w="60" w:type="dxa"/>
              <w:start w:w="80" w:type="dxa"/>
              <w:bottom w:w="60" w:type="dxa"/>
              <w:end w:w="80" w:type="dxa"/>
            </w:tcMar>
            <w:vAlign w:val="center"/>
          </w:tcPr>
          <w:p>
            <w:r>
              <w:rPr>
                <w:rFonts w:ascii="Arial" w:hAnsi="Arial"/>
                <w:b w:val="0"/>
                <w:color w:val="1F2933"/>
                <w:sz w:val="17"/>
              </w:rPr>
              <w:t>63</w:t>
            </w:r>
          </w:p>
        </w:tc>
        <w:tc>
          <w:tcPr>
            <w:tcW w:type="dxa" w:w="1440"/>
            <w:tcMar>
              <w:top w:w="60" w:type="dxa"/>
              <w:start w:w="80" w:type="dxa"/>
              <w:bottom w:w="60" w:type="dxa"/>
              <w:end w:w="80" w:type="dxa"/>
            </w:tcMar>
            <w:vAlign w:val="center"/>
          </w:tcPr>
          <w:p>
            <w:r>
              <w:rPr>
                <w:rFonts w:ascii="Arial" w:hAnsi="Arial"/>
                <w:b w:val="0"/>
                <w:color w:val="1F2933"/>
                <w:sz w:val="17"/>
              </w:rPr>
              <w:t>C</w:t>
            </w:r>
          </w:p>
        </w:tc>
      </w:tr>
      <w:tr>
        <w:tc>
          <w:tcPr>
            <w:tcW w:type="dxa" w:w="1728"/>
            <w:tcMar>
              <w:top w:w="60" w:type="dxa"/>
              <w:start w:w="80" w:type="dxa"/>
              <w:bottom w:w="60" w:type="dxa"/>
              <w:end w:w="80" w:type="dxa"/>
            </w:tcMar>
            <w:vAlign w:val="center"/>
            <w:shd w:fill="F3F5F7"/>
          </w:tcPr>
          <w:p>
            <w:r>
              <w:rPr>
                <w:rFonts w:ascii="Arial" w:hAnsi="Arial"/>
                <w:b w:val="0"/>
                <w:color w:val="1F2933"/>
                <w:sz w:val="17"/>
              </w:rPr>
              <w:t>55</w:t>
            </w:r>
          </w:p>
        </w:tc>
        <w:tc>
          <w:tcPr>
            <w:tcW w:type="dxa" w:w="1440"/>
            <w:tcMar>
              <w:top w:w="60" w:type="dxa"/>
              <w:start w:w="80" w:type="dxa"/>
              <w:bottom w:w="60" w:type="dxa"/>
              <w:end w:w="80" w:type="dxa"/>
            </w:tcMar>
            <w:vAlign w:val="center"/>
            <w:shd w:fill="F3F5F7"/>
          </w:tcPr>
          <w:p>
            <w:r>
              <w:rPr>
                <w:rFonts w:ascii="Arial" w:hAnsi="Arial"/>
                <w:b w:val="0"/>
                <w:color w:val="1F2933"/>
                <w:sz w:val="17"/>
              </w:rPr>
              <w:t>C</w:t>
            </w:r>
          </w:p>
        </w:tc>
        <w:tc>
          <w:tcPr>
            <w:tcW w:type="dxa" w:w="1728"/>
            <w:tcMar>
              <w:top w:w="60" w:type="dxa"/>
              <w:start w:w="80" w:type="dxa"/>
              <w:bottom w:w="60" w:type="dxa"/>
              <w:end w:w="80" w:type="dxa"/>
            </w:tcMar>
            <w:vAlign w:val="center"/>
            <w:shd w:fill="F3F5F7"/>
          </w:tcPr>
          <w:p>
            <w:r>
              <w:rPr>
                <w:rFonts w:ascii="Arial" w:hAnsi="Arial"/>
                <w:b w:val="0"/>
                <w:color w:val="1F2933"/>
                <w:sz w:val="17"/>
              </w:rPr>
              <w:t>64</w:t>
            </w:r>
          </w:p>
        </w:tc>
        <w:tc>
          <w:tcPr>
            <w:tcW w:type="dxa" w:w="1440"/>
            <w:tcMar>
              <w:top w:w="60" w:type="dxa"/>
              <w:start w:w="80" w:type="dxa"/>
              <w:bottom w:w="60" w:type="dxa"/>
              <w:end w:w="80" w:type="dxa"/>
            </w:tcMar>
            <w:vAlign w:val="center"/>
            <w:shd w:fill="F3F5F7"/>
          </w:tcPr>
          <w:p>
            <w:r>
              <w:rPr>
                <w:rFonts w:ascii="Arial" w:hAnsi="Arial"/>
                <w:b w:val="0"/>
                <w:color w:val="1F2933"/>
                <w:sz w:val="17"/>
              </w:rPr>
              <w:t>D</w:t>
            </w:r>
          </w:p>
        </w:tc>
      </w:tr>
      <w:tr>
        <w:tc>
          <w:tcPr>
            <w:tcW w:type="dxa" w:w="1728"/>
            <w:tcMar>
              <w:top w:w="60" w:type="dxa"/>
              <w:start w:w="80" w:type="dxa"/>
              <w:bottom w:w="60" w:type="dxa"/>
              <w:end w:w="80" w:type="dxa"/>
            </w:tcMar>
            <w:vAlign w:val="center"/>
          </w:tcPr>
          <w:p>
            <w:r>
              <w:rPr>
                <w:rFonts w:ascii="Arial" w:hAnsi="Arial"/>
                <w:b w:val="0"/>
                <w:color w:val="1F2933"/>
                <w:sz w:val="17"/>
              </w:rPr>
              <w:t>56</w:t>
            </w:r>
          </w:p>
        </w:tc>
        <w:tc>
          <w:tcPr>
            <w:tcW w:type="dxa" w:w="1440"/>
            <w:tcMar>
              <w:top w:w="60" w:type="dxa"/>
              <w:start w:w="80" w:type="dxa"/>
              <w:bottom w:w="60" w:type="dxa"/>
              <w:end w:w="80" w:type="dxa"/>
            </w:tcMar>
            <w:vAlign w:val="center"/>
          </w:tcPr>
          <w:p>
            <w:r>
              <w:rPr>
                <w:rFonts w:ascii="Arial" w:hAnsi="Arial"/>
                <w:b w:val="0"/>
                <w:color w:val="1F2933"/>
                <w:sz w:val="17"/>
              </w:rPr>
              <w:t>D</w:t>
            </w:r>
          </w:p>
        </w:tc>
        <w:tc>
          <w:tcPr>
            <w:tcW w:type="dxa" w:w="1728"/>
            <w:tcMar>
              <w:top w:w="60" w:type="dxa"/>
              <w:start w:w="80" w:type="dxa"/>
              <w:bottom w:w="60" w:type="dxa"/>
              <w:end w:w="80" w:type="dxa"/>
            </w:tcMar>
            <w:vAlign w:val="center"/>
          </w:tcPr>
          <w:p>
            <w:r>
              <w:rPr>
                <w:rFonts w:ascii="Arial" w:hAnsi="Arial"/>
                <w:b w:val="0"/>
                <w:color w:val="1F2933"/>
                <w:sz w:val="17"/>
              </w:rPr>
              <w:t>65</w:t>
            </w:r>
          </w:p>
        </w:tc>
        <w:tc>
          <w:tcPr>
            <w:tcW w:type="dxa" w:w="1440"/>
            <w:tcMar>
              <w:top w:w="60" w:type="dxa"/>
              <w:start w:w="80" w:type="dxa"/>
              <w:bottom w:w="60" w:type="dxa"/>
              <w:end w:w="80" w:type="dxa"/>
            </w:tcMar>
            <w:vAlign w:val="center"/>
          </w:tcPr>
          <w:p>
            <w:r>
              <w:rPr>
                <w:rFonts w:ascii="Arial" w:hAnsi="Arial"/>
                <w:b w:val="0"/>
                <w:color w:val="1F2933"/>
                <w:sz w:val="17"/>
              </w:rPr>
              <w:t>A</w:t>
            </w:r>
          </w:p>
        </w:tc>
      </w:tr>
      <w:tr>
        <w:tc>
          <w:tcPr>
            <w:tcW w:type="dxa" w:w="1728"/>
            <w:tcMar>
              <w:top w:w="60" w:type="dxa"/>
              <w:start w:w="80" w:type="dxa"/>
              <w:bottom w:w="60" w:type="dxa"/>
              <w:end w:w="80" w:type="dxa"/>
            </w:tcMar>
            <w:vAlign w:val="center"/>
            <w:shd w:fill="F3F5F7"/>
          </w:tcPr>
          <w:p>
            <w:r>
              <w:rPr>
                <w:rFonts w:ascii="Arial" w:hAnsi="Arial"/>
                <w:b w:val="0"/>
                <w:color w:val="1F2933"/>
                <w:sz w:val="17"/>
              </w:rPr>
              <w:t>57</w:t>
            </w:r>
          </w:p>
        </w:tc>
        <w:tc>
          <w:tcPr>
            <w:tcW w:type="dxa" w:w="1440"/>
            <w:tcMar>
              <w:top w:w="60" w:type="dxa"/>
              <w:start w:w="80" w:type="dxa"/>
              <w:bottom w:w="60" w:type="dxa"/>
              <w:end w:w="80" w:type="dxa"/>
            </w:tcMar>
            <w:vAlign w:val="center"/>
            <w:shd w:fill="F3F5F7"/>
          </w:tcPr>
          <w:p>
            <w:r>
              <w:rPr>
                <w:rFonts w:ascii="Arial" w:hAnsi="Arial"/>
                <w:b w:val="0"/>
                <w:color w:val="1F2933"/>
                <w:sz w:val="17"/>
              </w:rPr>
              <w:t>B</w:t>
            </w:r>
          </w:p>
        </w:tc>
        <w:tc>
          <w:tcPr>
            <w:tcW w:type="dxa" w:w="1728"/>
            <w:tcMar>
              <w:top w:w="60" w:type="dxa"/>
              <w:start w:w="80" w:type="dxa"/>
              <w:bottom w:w="60" w:type="dxa"/>
              <w:end w:w="80" w:type="dxa"/>
            </w:tcMar>
            <w:vAlign w:val="center"/>
            <w:shd w:fill="F3F5F7"/>
          </w:tcPr>
          <w:p>
            <w:r>
              <w:rPr>
                <w:rFonts w:ascii="Arial" w:hAnsi="Arial"/>
                <w:b w:val="0"/>
                <w:color w:val="1F2933"/>
                <w:sz w:val="17"/>
              </w:rPr>
              <w:t>66</w:t>
            </w:r>
          </w:p>
        </w:tc>
        <w:tc>
          <w:tcPr>
            <w:tcW w:type="dxa" w:w="1440"/>
            <w:tcMar>
              <w:top w:w="60" w:type="dxa"/>
              <w:start w:w="80" w:type="dxa"/>
              <w:bottom w:w="60" w:type="dxa"/>
              <w:end w:w="80" w:type="dxa"/>
            </w:tcMar>
            <w:vAlign w:val="center"/>
            <w:shd w:fill="F3F5F7"/>
          </w:tcPr>
          <w:p>
            <w:r>
              <w:rPr>
                <w:rFonts w:ascii="Arial" w:hAnsi="Arial"/>
                <w:b w:val="0"/>
                <w:color w:val="1F2933"/>
                <w:sz w:val="17"/>
              </w:rPr>
              <w:t>B</w:t>
            </w:r>
          </w:p>
        </w:tc>
      </w:tr>
      <w:tr>
        <w:tc>
          <w:tcPr>
            <w:tcW w:type="dxa" w:w="1728"/>
            <w:tcMar>
              <w:top w:w="60" w:type="dxa"/>
              <w:start w:w="80" w:type="dxa"/>
              <w:bottom w:w="60" w:type="dxa"/>
              <w:end w:w="80" w:type="dxa"/>
            </w:tcMar>
            <w:vAlign w:val="center"/>
          </w:tcPr>
          <w:p>
            <w:r>
              <w:rPr>
                <w:rFonts w:ascii="Arial" w:hAnsi="Arial"/>
                <w:b w:val="0"/>
                <w:color w:val="1F2933"/>
                <w:sz w:val="17"/>
              </w:rPr>
              <w:t>58</w:t>
            </w:r>
          </w:p>
        </w:tc>
        <w:tc>
          <w:tcPr>
            <w:tcW w:type="dxa" w:w="1440"/>
            <w:tcMar>
              <w:top w:w="60" w:type="dxa"/>
              <w:start w:w="80" w:type="dxa"/>
              <w:bottom w:w="60" w:type="dxa"/>
              <w:end w:w="80" w:type="dxa"/>
            </w:tcMar>
            <w:vAlign w:val="center"/>
          </w:tcPr>
          <w:p>
            <w:r>
              <w:rPr>
                <w:rFonts w:ascii="Arial" w:hAnsi="Arial"/>
                <w:b w:val="0"/>
                <w:color w:val="1F2933"/>
                <w:sz w:val="17"/>
              </w:rPr>
              <w:t>A</w:t>
            </w:r>
          </w:p>
        </w:tc>
        <w:tc>
          <w:tcPr>
            <w:tcW w:type="dxa" w:w="1728"/>
            <w:tcMar>
              <w:top w:w="60" w:type="dxa"/>
              <w:start w:w="80" w:type="dxa"/>
              <w:bottom w:w="60" w:type="dxa"/>
              <w:end w:w="80" w:type="dxa"/>
            </w:tcMar>
            <w:vAlign w:val="center"/>
          </w:tcPr>
          <w:p>
            <w:r>
              <w:rPr>
                <w:rFonts w:ascii="Arial" w:hAnsi="Arial"/>
                <w:b w:val="0"/>
                <w:color w:val="1F2933"/>
                <w:sz w:val="17"/>
              </w:rPr>
              <w:t>67</w:t>
            </w:r>
          </w:p>
        </w:tc>
        <w:tc>
          <w:tcPr>
            <w:tcW w:type="dxa" w:w="1440"/>
            <w:tcMar>
              <w:top w:w="60" w:type="dxa"/>
              <w:start w:w="80" w:type="dxa"/>
              <w:bottom w:w="60" w:type="dxa"/>
              <w:end w:w="80" w:type="dxa"/>
            </w:tcMar>
            <w:vAlign w:val="center"/>
          </w:tcPr>
          <w:p>
            <w:r>
              <w:rPr>
                <w:rFonts w:ascii="Arial" w:hAnsi="Arial"/>
                <w:b w:val="0"/>
                <w:color w:val="1F2933"/>
                <w:sz w:val="17"/>
              </w:rPr>
              <w:t>C</w:t>
            </w:r>
          </w:p>
        </w:tc>
      </w:tr>
      <w:tr>
        <w:tc>
          <w:tcPr>
            <w:tcW w:type="dxa" w:w="1728"/>
            <w:tcMar>
              <w:top w:w="60" w:type="dxa"/>
              <w:start w:w="80" w:type="dxa"/>
              <w:bottom w:w="60" w:type="dxa"/>
              <w:end w:w="80" w:type="dxa"/>
            </w:tcMar>
            <w:vAlign w:val="center"/>
            <w:shd w:fill="F3F5F7"/>
          </w:tcPr>
          <w:p>
            <w:r>
              <w:rPr>
                <w:rFonts w:ascii="Arial" w:hAnsi="Arial"/>
                <w:b w:val="0"/>
                <w:color w:val="1F2933"/>
                <w:sz w:val="17"/>
              </w:rPr>
              <w:t>59</w:t>
            </w:r>
          </w:p>
        </w:tc>
        <w:tc>
          <w:tcPr>
            <w:tcW w:type="dxa" w:w="1440"/>
            <w:tcMar>
              <w:top w:w="60" w:type="dxa"/>
              <w:start w:w="80" w:type="dxa"/>
              <w:bottom w:w="60" w:type="dxa"/>
              <w:end w:w="80" w:type="dxa"/>
            </w:tcMar>
            <w:vAlign w:val="center"/>
            <w:shd w:fill="F3F5F7"/>
          </w:tcPr>
          <w:p>
            <w:r>
              <w:rPr>
                <w:rFonts w:ascii="Arial" w:hAnsi="Arial"/>
                <w:b w:val="0"/>
                <w:color w:val="1F2933"/>
                <w:sz w:val="17"/>
              </w:rPr>
              <w:t>C</w:t>
            </w:r>
          </w:p>
        </w:tc>
        <w:tc>
          <w:tcPr>
            <w:tcW w:type="dxa" w:w="1728"/>
            <w:tcMar>
              <w:top w:w="60" w:type="dxa"/>
              <w:start w:w="80" w:type="dxa"/>
              <w:bottom w:w="60" w:type="dxa"/>
              <w:end w:w="80" w:type="dxa"/>
            </w:tcMar>
            <w:vAlign w:val="center"/>
            <w:shd w:fill="F3F5F7"/>
          </w:tcPr>
          <w:p>
            <w:r>
              <w:rPr>
                <w:rFonts w:ascii="Arial" w:hAnsi="Arial"/>
                <w:b w:val="0"/>
                <w:color w:val="1F2933"/>
                <w:sz w:val="17"/>
              </w:rPr>
              <w:t>68</w:t>
            </w:r>
          </w:p>
        </w:tc>
        <w:tc>
          <w:tcPr>
            <w:tcW w:type="dxa" w:w="1440"/>
            <w:tcMar>
              <w:top w:w="60" w:type="dxa"/>
              <w:start w:w="80" w:type="dxa"/>
              <w:bottom w:w="60" w:type="dxa"/>
              <w:end w:w="80" w:type="dxa"/>
            </w:tcMar>
            <w:vAlign w:val="center"/>
            <w:shd w:fill="F3F5F7"/>
          </w:tcPr>
          <w:p>
            <w:r>
              <w:rPr>
                <w:rFonts w:ascii="Arial" w:hAnsi="Arial"/>
                <w:b w:val="0"/>
                <w:color w:val="1F2933"/>
                <w:sz w:val="17"/>
              </w:rPr>
              <w:t>D</w:t>
            </w:r>
          </w:p>
        </w:tc>
      </w:tr>
      <w:tr>
        <w:tc>
          <w:tcPr>
            <w:tcW w:type="dxa" w:w="1728"/>
            <w:tcMar>
              <w:top w:w="60" w:type="dxa"/>
              <w:start w:w="80" w:type="dxa"/>
              <w:bottom w:w="60" w:type="dxa"/>
              <w:end w:w="80" w:type="dxa"/>
            </w:tcMar>
            <w:vAlign w:val="center"/>
          </w:tcPr>
          <w:p>
            <w:r>
              <w:rPr>
                <w:rFonts w:ascii="Arial" w:hAnsi="Arial"/>
                <w:b w:val="0"/>
                <w:color w:val="1F2933"/>
                <w:sz w:val="17"/>
              </w:rPr>
              <w:t>60</w:t>
            </w:r>
          </w:p>
        </w:tc>
        <w:tc>
          <w:tcPr>
            <w:tcW w:type="dxa" w:w="1440"/>
            <w:tcMar>
              <w:top w:w="60" w:type="dxa"/>
              <w:start w:w="80" w:type="dxa"/>
              <w:bottom w:w="60" w:type="dxa"/>
              <w:end w:w="80" w:type="dxa"/>
            </w:tcMar>
            <w:vAlign w:val="center"/>
          </w:tcPr>
          <w:p>
            <w:r>
              <w:rPr>
                <w:rFonts w:ascii="Arial" w:hAnsi="Arial"/>
                <w:b w:val="0"/>
                <w:color w:val="1F2933"/>
                <w:sz w:val="17"/>
              </w:rPr>
              <w:t>D</w:t>
            </w:r>
          </w:p>
        </w:tc>
        <w:tc>
          <w:tcPr>
            <w:tcW w:type="dxa" w:w="1728"/>
            <w:tcMar>
              <w:top w:w="60" w:type="dxa"/>
              <w:start w:w="80" w:type="dxa"/>
              <w:bottom w:w="60" w:type="dxa"/>
              <w:end w:w="80" w:type="dxa"/>
            </w:tcMar>
            <w:vAlign w:val="center"/>
          </w:tcPr>
          <w:p>
            <w:r>
              <w:rPr>
                <w:rFonts w:ascii="Arial" w:hAnsi="Arial"/>
                <w:b w:val="0"/>
                <w:color w:val="1F2933"/>
                <w:sz w:val="17"/>
              </w:rPr>
            </w:r>
          </w:p>
        </w:tc>
        <w:tc>
          <w:tcPr>
            <w:tcW w:type="dxa" w:w="1440"/>
            <w:tcMar>
              <w:top w:w="60" w:type="dxa"/>
              <w:start w:w="80" w:type="dxa"/>
              <w:bottom w:w="60" w:type="dxa"/>
              <w:end w:w="80" w:type="dxa"/>
            </w:tcMar>
            <w:vAlign w:val="center"/>
          </w:tcPr>
          <w:p>
            <w:r>
              <w:rPr>
                <w:rFonts w:ascii="Arial" w:hAnsi="Arial"/>
                <w:b w:val="0"/>
                <w:color w:val="1F2933"/>
                <w:sz w:val="17"/>
              </w:rPr>
            </w:r>
          </w:p>
        </w:tc>
      </w:tr>
    </w:tbl>
    <w:p>
      <w:pPr>
        <w:pStyle w:val="CTAH2"/>
      </w:pPr>
      <w:r>
        <w:t>Chapter 5: Clinical Supervision, Feedback, and Accountability</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28"/>
            <w:tcMar>
              <w:top w:w="60" w:type="dxa"/>
              <w:start w:w="80" w:type="dxa"/>
              <w:bottom w:w="60" w:type="dxa"/>
              <w:end w:w="80" w:type="dxa"/>
            </w:tcMar>
            <w:vAlign w:val="center"/>
            <w:shd w:fill="102A43"/>
          </w:tcPr>
          <w:p>
            <w:r>
              <w:rPr>
                <w:rFonts w:ascii="Arial" w:hAnsi="Arial"/>
                <w:b/>
                <w:color w:val="FFFFFF"/>
                <w:sz w:val="17"/>
              </w:rPr>
              <w:t>Question</w:t>
            </w:r>
          </w:p>
        </w:tc>
        <w:tc>
          <w:tcPr>
            <w:tcW w:type="dxa" w:w="1440"/>
            <w:tcMar>
              <w:top w:w="60" w:type="dxa"/>
              <w:start w:w="80" w:type="dxa"/>
              <w:bottom w:w="60" w:type="dxa"/>
              <w:end w:w="80" w:type="dxa"/>
            </w:tcMar>
            <w:vAlign w:val="center"/>
            <w:shd w:fill="102A43"/>
          </w:tcPr>
          <w:p>
            <w:r>
              <w:rPr>
                <w:rFonts w:ascii="Arial" w:hAnsi="Arial"/>
                <w:b/>
                <w:color w:val="FFFFFF"/>
                <w:sz w:val="17"/>
              </w:rPr>
              <w:t>Answer</w:t>
            </w:r>
          </w:p>
        </w:tc>
        <w:tc>
          <w:tcPr>
            <w:tcW w:type="dxa" w:w="1728"/>
            <w:tcMar>
              <w:top w:w="60" w:type="dxa"/>
              <w:start w:w="80" w:type="dxa"/>
              <w:bottom w:w="60" w:type="dxa"/>
              <w:end w:w="80" w:type="dxa"/>
            </w:tcMar>
            <w:vAlign w:val="center"/>
            <w:shd w:fill="102A43"/>
          </w:tcPr>
          <w:p>
            <w:r>
              <w:rPr>
                <w:rFonts w:ascii="Arial" w:hAnsi="Arial"/>
                <w:b/>
                <w:color w:val="FFFFFF"/>
                <w:sz w:val="17"/>
              </w:rPr>
              <w:t>Question</w:t>
            </w:r>
          </w:p>
        </w:tc>
        <w:tc>
          <w:tcPr>
            <w:tcW w:type="dxa" w:w="1440"/>
            <w:tcMar>
              <w:top w:w="60" w:type="dxa"/>
              <w:start w:w="80" w:type="dxa"/>
              <w:bottom w:w="60" w:type="dxa"/>
              <w:end w:w="80" w:type="dxa"/>
            </w:tcMar>
            <w:vAlign w:val="center"/>
            <w:shd w:fill="102A43"/>
          </w:tcPr>
          <w:p>
            <w:r>
              <w:rPr>
                <w:rFonts w:ascii="Arial" w:hAnsi="Arial"/>
                <w:b/>
                <w:color w:val="FFFFFF"/>
                <w:sz w:val="17"/>
              </w:rPr>
              <w:t>Answer</w:t>
            </w:r>
          </w:p>
        </w:tc>
      </w:tr>
      <w:tr>
        <w:tc>
          <w:tcPr>
            <w:tcW w:type="dxa" w:w="1728"/>
            <w:tcMar>
              <w:top w:w="60" w:type="dxa"/>
              <w:start w:w="80" w:type="dxa"/>
              <w:bottom w:w="60" w:type="dxa"/>
              <w:end w:w="80" w:type="dxa"/>
            </w:tcMar>
            <w:vAlign w:val="center"/>
          </w:tcPr>
          <w:p>
            <w:r>
              <w:rPr>
                <w:rFonts w:ascii="Arial" w:hAnsi="Arial"/>
                <w:b w:val="0"/>
                <w:color w:val="1F2933"/>
                <w:sz w:val="17"/>
              </w:rPr>
              <w:t>69</w:t>
            </w:r>
          </w:p>
        </w:tc>
        <w:tc>
          <w:tcPr>
            <w:tcW w:type="dxa" w:w="1440"/>
            <w:tcMar>
              <w:top w:w="60" w:type="dxa"/>
              <w:start w:w="80" w:type="dxa"/>
              <w:bottom w:w="60" w:type="dxa"/>
              <w:end w:w="80" w:type="dxa"/>
            </w:tcMar>
            <w:vAlign w:val="center"/>
          </w:tcPr>
          <w:p>
            <w:r>
              <w:rPr>
                <w:rFonts w:ascii="Arial" w:hAnsi="Arial"/>
                <w:b w:val="0"/>
                <w:color w:val="1F2933"/>
                <w:sz w:val="17"/>
              </w:rPr>
              <w:t>B</w:t>
            </w:r>
          </w:p>
        </w:tc>
        <w:tc>
          <w:tcPr>
            <w:tcW w:type="dxa" w:w="1728"/>
            <w:tcMar>
              <w:top w:w="60" w:type="dxa"/>
              <w:start w:w="80" w:type="dxa"/>
              <w:bottom w:w="60" w:type="dxa"/>
              <w:end w:w="80" w:type="dxa"/>
            </w:tcMar>
            <w:vAlign w:val="center"/>
          </w:tcPr>
          <w:p>
            <w:r>
              <w:rPr>
                <w:rFonts w:ascii="Arial" w:hAnsi="Arial"/>
                <w:b w:val="0"/>
                <w:color w:val="1F2933"/>
                <w:sz w:val="17"/>
              </w:rPr>
              <w:t>78</w:t>
            </w:r>
          </w:p>
        </w:tc>
        <w:tc>
          <w:tcPr>
            <w:tcW w:type="dxa" w:w="1440"/>
            <w:tcMar>
              <w:top w:w="60" w:type="dxa"/>
              <w:start w:w="80" w:type="dxa"/>
              <w:bottom w:w="60" w:type="dxa"/>
              <w:end w:w="80" w:type="dxa"/>
            </w:tcMar>
            <w:vAlign w:val="center"/>
          </w:tcPr>
          <w:p>
            <w:r>
              <w:rPr>
                <w:rFonts w:ascii="Arial" w:hAnsi="Arial"/>
                <w:b w:val="0"/>
                <w:color w:val="1F2933"/>
                <w:sz w:val="17"/>
              </w:rPr>
              <w:t>C</w:t>
            </w:r>
          </w:p>
        </w:tc>
      </w:tr>
      <w:tr>
        <w:tc>
          <w:tcPr>
            <w:tcW w:type="dxa" w:w="1728"/>
            <w:tcMar>
              <w:top w:w="60" w:type="dxa"/>
              <w:start w:w="80" w:type="dxa"/>
              <w:bottom w:w="60" w:type="dxa"/>
              <w:end w:w="80" w:type="dxa"/>
            </w:tcMar>
            <w:vAlign w:val="center"/>
            <w:shd w:fill="F3F5F7"/>
          </w:tcPr>
          <w:p>
            <w:r>
              <w:rPr>
                <w:rFonts w:ascii="Arial" w:hAnsi="Arial"/>
                <w:b w:val="0"/>
                <w:color w:val="1F2933"/>
                <w:sz w:val="17"/>
              </w:rPr>
              <w:t>70</w:t>
            </w:r>
          </w:p>
        </w:tc>
        <w:tc>
          <w:tcPr>
            <w:tcW w:type="dxa" w:w="1440"/>
            <w:tcMar>
              <w:top w:w="60" w:type="dxa"/>
              <w:start w:w="80" w:type="dxa"/>
              <w:bottom w:w="60" w:type="dxa"/>
              <w:end w:w="80" w:type="dxa"/>
            </w:tcMar>
            <w:vAlign w:val="center"/>
            <w:shd w:fill="F3F5F7"/>
          </w:tcPr>
          <w:p>
            <w:r>
              <w:rPr>
                <w:rFonts w:ascii="Arial" w:hAnsi="Arial"/>
                <w:b w:val="0"/>
                <w:color w:val="1F2933"/>
                <w:sz w:val="17"/>
              </w:rPr>
              <w:t>D</w:t>
            </w:r>
          </w:p>
        </w:tc>
        <w:tc>
          <w:tcPr>
            <w:tcW w:type="dxa" w:w="1728"/>
            <w:tcMar>
              <w:top w:w="60" w:type="dxa"/>
              <w:start w:w="80" w:type="dxa"/>
              <w:bottom w:w="60" w:type="dxa"/>
              <w:end w:w="80" w:type="dxa"/>
            </w:tcMar>
            <w:vAlign w:val="center"/>
            <w:shd w:fill="F3F5F7"/>
          </w:tcPr>
          <w:p>
            <w:r>
              <w:rPr>
                <w:rFonts w:ascii="Arial" w:hAnsi="Arial"/>
                <w:b w:val="0"/>
                <w:color w:val="1F2933"/>
                <w:sz w:val="17"/>
              </w:rPr>
              <w:t>79</w:t>
            </w:r>
          </w:p>
        </w:tc>
        <w:tc>
          <w:tcPr>
            <w:tcW w:type="dxa" w:w="1440"/>
            <w:tcMar>
              <w:top w:w="60" w:type="dxa"/>
              <w:start w:w="80" w:type="dxa"/>
              <w:bottom w:w="60" w:type="dxa"/>
              <w:end w:w="80" w:type="dxa"/>
            </w:tcMar>
            <w:vAlign w:val="center"/>
            <w:shd w:fill="F3F5F7"/>
          </w:tcPr>
          <w:p>
            <w:r>
              <w:rPr>
                <w:rFonts w:ascii="Arial" w:hAnsi="Arial"/>
                <w:b w:val="0"/>
                <w:color w:val="1F2933"/>
                <w:sz w:val="17"/>
              </w:rPr>
              <w:t>B</w:t>
            </w:r>
          </w:p>
        </w:tc>
      </w:tr>
      <w:tr>
        <w:tc>
          <w:tcPr>
            <w:tcW w:type="dxa" w:w="1728"/>
            <w:tcMar>
              <w:top w:w="60" w:type="dxa"/>
              <w:start w:w="80" w:type="dxa"/>
              <w:bottom w:w="60" w:type="dxa"/>
              <w:end w:w="80" w:type="dxa"/>
            </w:tcMar>
            <w:vAlign w:val="center"/>
          </w:tcPr>
          <w:p>
            <w:r>
              <w:rPr>
                <w:rFonts w:ascii="Arial" w:hAnsi="Arial"/>
                <w:b w:val="0"/>
                <w:color w:val="1F2933"/>
                <w:sz w:val="17"/>
              </w:rPr>
              <w:t>71</w:t>
            </w:r>
          </w:p>
        </w:tc>
        <w:tc>
          <w:tcPr>
            <w:tcW w:type="dxa" w:w="1440"/>
            <w:tcMar>
              <w:top w:w="60" w:type="dxa"/>
              <w:start w:w="80" w:type="dxa"/>
              <w:bottom w:w="60" w:type="dxa"/>
              <w:end w:w="80" w:type="dxa"/>
            </w:tcMar>
            <w:vAlign w:val="center"/>
          </w:tcPr>
          <w:p>
            <w:r>
              <w:rPr>
                <w:rFonts w:ascii="Arial" w:hAnsi="Arial"/>
                <w:b w:val="0"/>
                <w:color w:val="1F2933"/>
                <w:sz w:val="17"/>
              </w:rPr>
              <w:t>C</w:t>
            </w:r>
          </w:p>
        </w:tc>
        <w:tc>
          <w:tcPr>
            <w:tcW w:type="dxa" w:w="1728"/>
            <w:tcMar>
              <w:top w:w="60" w:type="dxa"/>
              <w:start w:w="80" w:type="dxa"/>
              <w:bottom w:w="60" w:type="dxa"/>
              <w:end w:w="80" w:type="dxa"/>
            </w:tcMar>
            <w:vAlign w:val="center"/>
          </w:tcPr>
          <w:p>
            <w:r>
              <w:rPr>
                <w:rFonts w:ascii="Arial" w:hAnsi="Arial"/>
                <w:b w:val="0"/>
                <w:color w:val="1F2933"/>
                <w:sz w:val="17"/>
              </w:rPr>
              <w:t>80</w:t>
            </w:r>
          </w:p>
        </w:tc>
        <w:tc>
          <w:tcPr>
            <w:tcW w:type="dxa" w:w="1440"/>
            <w:tcMar>
              <w:top w:w="60" w:type="dxa"/>
              <w:start w:w="80" w:type="dxa"/>
              <w:bottom w:w="60" w:type="dxa"/>
              <w:end w:w="80" w:type="dxa"/>
            </w:tcMar>
            <w:vAlign w:val="center"/>
          </w:tcPr>
          <w:p>
            <w:r>
              <w:rPr>
                <w:rFonts w:ascii="Arial" w:hAnsi="Arial"/>
                <w:b w:val="0"/>
                <w:color w:val="1F2933"/>
                <w:sz w:val="17"/>
              </w:rPr>
              <w:t>A</w:t>
            </w:r>
          </w:p>
        </w:tc>
      </w:tr>
      <w:tr>
        <w:tc>
          <w:tcPr>
            <w:tcW w:type="dxa" w:w="1728"/>
            <w:tcMar>
              <w:top w:w="60" w:type="dxa"/>
              <w:start w:w="80" w:type="dxa"/>
              <w:bottom w:w="60" w:type="dxa"/>
              <w:end w:w="80" w:type="dxa"/>
            </w:tcMar>
            <w:vAlign w:val="center"/>
            <w:shd w:fill="F3F5F7"/>
          </w:tcPr>
          <w:p>
            <w:r>
              <w:rPr>
                <w:rFonts w:ascii="Arial" w:hAnsi="Arial"/>
                <w:b w:val="0"/>
                <w:color w:val="1F2933"/>
                <w:sz w:val="17"/>
              </w:rPr>
              <w:t>72</w:t>
            </w:r>
          </w:p>
        </w:tc>
        <w:tc>
          <w:tcPr>
            <w:tcW w:type="dxa" w:w="1440"/>
            <w:tcMar>
              <w:top w:w="60" w:type="dxa"/>
              <w:start w:w="80" w:type="dxa"/>
              <w:bottom w:w="60" w:type="dxa"/>
              <w:end w:w="80" w:type="dxa"/>
            </w:tcMar>
            <w:vAlign w:val="center"/>
            <w:shd w:fill="F3F5F7"/>
          </w:tcPr>
          <w:p>
            <w:r>
              <w:rPr>
                <w:rFonts w:ascii="Arial" w:hAnsi="Arial"/>
                <w:b w:val="0"/>
                <w:color w:val="1F2933"/>
                <w:sz w:val="17"/>
              </w:rPr>
              <w:t>A</w:t>
            </w:r>
          </w:p>
        </w:tc>
        <w:tc>
          <w:tcPr>
            <w:tcW w:type="dxa" w:w="1728"/>
            <w:tcMar>
              <w:top w:w="60" w:type="dxa"/>
              <w:start w:w="80" w:type="dxa"/>
              <w:bottom w:w="60" w:type="dxa"/>
              <w:end w:w="80" w:type="dxa"/>
            </w:tcMar>
            <w:vAlign w:val="center"/>
            <w:shd w:fill="F3F5F7"/>
          </w:tcPr>
          <w:p>
            <w:r>
              <w:rPr>
                <w:rFonts w:ascii="Arial" w:hAnsi="Arial"/>
                <w:b w:val="0"/>
                <w:color w:val="1F2933"/>
                <w:sz w:val="17"/>
              </w:rPr>
              <w:t>81</w:t>
            </w:r>
          </w:p>
        </w:tc>
        <w:tc>
          <w:tcPr>
            <w:tcW w:type="dxa" w:w="1440"/>
            <w:tcMar>
              <w:top w:w="60" w:type="dxa"/>
              <w:start w:w="80" w:type="dxa"/>
              <w:bottom w:w="60" w:type="dxa"/>
              <w:end w:w="80" w:type="dxa"/>
            </w:tcMar>
            <w:vAlign w:val="center"/>
            <w:shd w:fill="F3F5F7"/>
          </w:tcPr>
          <w:p>
            <w:r>
              <w:rPr>
                <w:rFonts w:ascii="Arial" w:hAnsi="Arial"/>
                <w:b w:val="0"/>
                <w:color w:val="1F2933"/>
                <w:sz w:val="17"/>
              </w:rPr>
              <w:t>C</w:t>
            </w:r>
          </w:p>
        </w:tc>
      </w:tr>
      <w:tr>
        <w:tc>
          <w:tcPr>
            <w:tcW w:type="dxa" w:w="1728"/>
            <w:tcMar>
              <w:top w:w="60" w:type="dxa"/>
              <w:start w:w="80" w:type="dxa"/>
              <w:bottom w:w="60" w:type="dxa"/>
              <w:end w:w="80" w:type="dxa"/>
            </w:tcMar>
            <w:vAlign w:val="center"/>
          </w:tcPr>
          <w:p>
            <w:r>
              <w:rPr>
                <w:rFonts w:ascii="Arial" w:hAnsi="Arial"/>
                <w:b w:val="0"/>
                <w:color w:val="1F2933"/>
                <w:sz w:val="17"/>
              </w:rPr>
              <w:t>73</w:t>
            </w:r>
          </w:p>
        </w:tc>
        <w:tc>
          <w:tcPr>
            <w:tcW w:type="dxa" w:w="1440"/>
            <w:tcMar>
              <w:top w:w="60" w:type="dxa"/>
              <w:start w:w="80" w:type="dxa"/>
              <w:bottom w:w="60" w:type="dxa"/>
              <w:end w:w="80" w:type="dxa"/>
            </w:tcMar>
            <w:vAlign w:val="center"/>
          </w:tcPr>
          <w:p>
            <w:r>
              <w:rPr>
                <w:rFonts w:ascii="Arial" w:hAnsi="Arial"/>
                <w:b w:val="0"/>
                <w:color w:val="1F2933"/>
                <w:sz w:val="17"/>
              </w:rPr>
              <w:t>D</w:t>
            </w:r>
          </w:p>
        </w:tc>
        <w:tc>
          <w:tcPr>
            <w:tcW w:type="dxa" w:w="1728"/>
            <w:tcMar>
              <w:top w:w="60" w:type="dxa"/>
              <w:start w:w="80" w:type="dxa"/>
              <w:bottom w:w="60" w:type="dxa"/>
              <w:end w:w="80" w:type="dxa"/>
            </w:tcMar>
            <w:vAlign w:val="center"/>
          </w:tcPr>
          <w:p>
            <w:r>
              <w:rPr>
                <w:rFonts w:ascii="Arial" w:hAnsi="Arial"/>
                <w:b w:val="0"/>
                <w:color w:val="1F2933"/>
                <w:sz w:val="17"/>
              </w:rPr>
              <w:t>82</w:t>
            </w:r>
          </w:p>
        </w:tc>
        <w:tc>
          <w:tcPr>
            <w:tcW w:type="dxa" w:w="1440"/>
            <w:tcMar>
              <w:top w:w="60" w:type="dxa"/>
              <w:start w:w="80" w:type="dxa"/>
              <w:bottom w:w="60" w:type="dxa"/>
              <w:end w:w="80" w:type="dxa"/>
            </w:tcMar>
            <w:vAlign w:val="center"/>
          </w:tcPr>
          <w:p>
            <w:r>
              <w:rPr>
                <w:rFonts w:ascii="Arial" w:hAnsi="Arial"/>
                <w:b w:val="0"/>
                <w:color w:val="1F2933"/>
                <w:sz w:val="17"/>
              </w:rPr>
              <w:t>D</w:t>
            </w:r>
          </w:p>
        </w:tc>
      </w:tr>
      <w:tr>
        <w:tc>
          <w:tcPr>
            <w:tcW w:type="dxa" w:w="1728"/>
            <w:tcMar>
              <w:top w:w="60" w:type="dxa"/>
              <w:start w:w="80" w:type="dxa"/>
              <w:bottom w:w="60" w:type="dxa"/>
              <w:end w:w="80" w:type="dxa"/>
            </w:tcMar>
            <w:vAlign w:val="center"/>
            <w:shd w:fill="F3F5F7"/>
          </w:tcPr>
          <w:p>
            <w:r>
              <w:rPr>
                <w:rFonts w:ascii="Arial" w:hAnsi="Arial"/>
                <w:b w:val="0"/>
                <w:color w:val="1F2933"/>
                <w:sz w:val="17"/>
              </w:rPr>
              <w:t>74</w:t>
            </w:r>
          </w:p>
        </w:tc>
        <w:tc>
          <w:tcPr>
            <w:tcW w:type="dxa" w:w="1440"/>
            <w:tcMar>
              <w:top w:w="60" w:type="dxa"/>
              <w:start w:w="80" w:type="dxa"/>
              <w:bottom w:w="60" w:type="dxa"/>
              <w:end w:w="80" w:type="dxa"/>
            </w:tcMar>
            <w:vAlign w:val="center"/>
            <w:shd w:fill="F3F5F7"/>
          </w:tcPr>
          <w:p>
            <w:r>
              <w:rPr>
                <w:rFonts w:ascii="Arial" w:hAnsi="Arial"/>
                <w:b w:val="0"/>
                <w:color w:val="1F2933"/>
                <w:sz w:val="17"/>
              </w:rPr>
              <w:t>B</w:t>
            </w:r>
          </w:p>
        </w:tc>
        <w:tc>
          <w:tcPr>
            <w:tcW w:type="dxa" w:w="1728"/>
            <w:tcMar>
              <w:top w:w="60" w:type="dxa"/>
              <w:start w:w="80" w:type="dxa"/>
              <w:bottom w:w="60" w:type="dxa"/>
              <w:end w:w="80" w:type="dxa"/>
            </w:tcMar>
            <w:vAlign w:val="center"/>
            <w:shd w:fill="F3F5F7"/>
          </w:tcPr>
          <w:p>
            <w:r>
              <w:rPr>
                <w:rFonts w:ascii="Arial" w:hAnsi="Arial"/>
                <w:b w:val="0"/>
                <w:color w:val="1F2933"/>
                <w:sz w:val="17"/>
              </w:rPr>
              <w:t>83</w:t>
            </w:r>
          </w:p>
        </w:tc>
        <w:tc>
          <w:tcPr>
            <w:tcW w:type="dxa" w:w="1440"/>
            <w:tcMar>
              <w:top w:w="60" w:type="dxa"/>
              <w:start w:w="80" w:type="dxa"/>
              <w:bottom w:w="60" w:type="dxa"/>
              <w:end w:w="80" w:type="dxa"/>
            </w:tcMar>
            <w:vAlign w:val="center"/>
            <w:shd w:fill="F3F5F7"/>
          </w:tcPr>
          <w:p>
            <w:r>
              <w:rPr>
                <w:rFonts w:ascii="Arial" w:hAnsi="Arial"/>
                <w:b w:val="0"/>
                <w:color w:val="1F2933"/>
                <w:sz w:val="17"/>
              </w:rPr>
              <w:t>B</w:t>
            </w:r>
          </w:p>
        </w:tc>
      </w:tr>
      <w:tr>
        <w:tc>
          <w:tcPr>
            <w:tcW w:type="dxa" w:w="1728"/>
            <w:tcMar>
              <w:top w:w="60" w:type="dxa"/>
              <w:start w:w="80" w:type="dxa"/>
              <w:bottom w:w="60" w:type="dxa"/>
              <w:end w:w="80" w:type="dxa"/>
            </w:tcMar>
            <w:vAlign w:val="center"/>
          </w:tcPr>
          <w:p>
            <w:r>
              <w:rPr>
                <w:rFonts w:ascii="Arial" w:hAnsi="Arial"/>
                <w:b w:val="0"/>
                <w:color w:val="1F2933"/>
                <w:sz w:val="17"/>
              </w:rPr>
              <w:t>75</w:t>
            </w:r>
          </w:p>
        </w:tc>
        <w:tc>
          <w:tcPr>
            <w:tcW w:type="dxa" w:w="1440"/>
            <w:tcMar>
              <w:top w:w="60" w:type="dxa"/>
              <w:start w:w="80" w:type="dxa"/>
              <w:bottom w:w="60" w:type="dxa"/>
              <w:end w:w="80" w:type="dxa"/>
            </w:tcMar>
            <w:vAlign w:val="center"/>
          </w:tcPr>
          <w:p>
            <w:r>
              <w:rPr>
                <w:rFonts w:ascii="Arial" w:hAnsi="Arial"/>
                <w:b w:val="0"/>
                <w:color w:val="1F2933"/>
                <w:sz w:val="17"/>
              </w:rPr>
              <w:t>C</w:t>
            </w:r>
          </w:p>
        </w:tc>
        <w:tc>
          <w:tcPr>
            <w:tcW w:type="dxa" w:w="1728"/>
            <w:tcMar>
              <w:top w:w="60" w:type="dxa"/>
              <w:start w:w="80" w:type="dxa"/>
              <w:bottom w:w="60" w:type="dxa"/>
              <w:end w:w="80" w:type="dxa"/>
            </w:tcMar>
            <w:vAlign w:val="center"/>
          </w:tcPr>
          <w:p>
            <w:r>
              <w:rPr>
                <w:rFonts w:ascii="Arial" w:hAnsi="Arial"/>
                <w:b w:val="0"/>
                <w:color w:val="1F2933"/>
                <w:sz w:val="17"/>
              </w:rPr>
              <w:t>84</w:t>
            </w:r>
          </w:p>
        </w:tc>
        <w:tc>
          <w:tcPr>
            <w:tcW w:type="dxa" w:w="1440"/>
            <w:tcMar>
              <w:top w:w="60" w:type="dxa"/>
              <w:start w:w="80" w:type="dxa"/>
              <w:bottom w:w="60" w:type="dxa"/>
              <w:end w:w="80" w:type="dxa"/>
            </w:tcMar>
            <w:vAlign w:val="center"/>
          </w:tcPr>
          <w:p>
            <w:r>
              <w:rPr>
                <w:rFonts w:ascii="Arial" w:hAnsi="Arial"/>
                <w:b w:val="0"/>
                <w:color w:val="1F2933"/>
                <w:sz w:val="17"/>
              </w:rPr>
              <w:t>A</w:t>
            </w:r>
          </w:p>
        </w:tc>
      </w:tr>
      <w:tr>
        <w:tc>
          <w:tcPr>
            <w:tcW w:type="dxa" w:w="1728"/>
            <w:tcMar>
              <w:top w:w="60" w:type="dxa"/>
              <w:start w:w="80" w:type="dxa"/>
              <w:bottom w:w="60" w:type="dxa"/>
              <w:end w:w="80" w:type="dxa"/>
            </w:tcMar>
            <w:vAlign w:val="center"/>
            <w:shd w:fill="F3F5F7"/>
          </w:tcPr>
          <w:p>
            <w:r>
              <w:rPr>
                <w:rFonts w:ascii="Arial" w:hAnsi="Arial"/>
                <w:b w:val="0"/>
                <w:color w:val="1F2933"/>
                <w:sz w:val="17"/>
              </w:rPr>
              <w:t>76</w:t>
            </w:r>
          </w:p>
        </w:tc>
        <w:tc>
          <w:tcPr>
            <w:tcW w:type="dxa" w:w="1440"/>
            <w:tcMar>
              <w:top w:w="60" w:type="dxa"/>
              <w:start w:w="80" w:type="dxa"/>
              <w:bottom w:w="60" w:type="dxa"/>
              <w:end w:w="80" w:type="dxa"/>
            </w:tcMar>
            <w:vAlign w:val="center"/>
            <w:shd w:fill="F3F5F7"/>
          </w:tcPr>
          <w:p>
            <w:r>
              <w:rPr>
                <w:rFonts w:ascii="Arial" w:hAnsi="Arial"/>
                <w:b w:val="0"/>
                <w:color w:val="1F2933"/>
                <w:sz w:val="17"/>
              </w:rPr>
              <w:t>A</w:t>
            </w:r>
          </w:p>
        </w:tc>
        <w:tc>
          <w:tcPr>
            <w:tcW w:type="dxa" w:w="1728"/>
            <w:tcMar>
              <w:top w:w="60" w:type="dxa"/>
              <w:start w:w="80" w:type="dxa"/>
              <w:bottom w:w="60" w:type="dxa"/>
              <w:end w:w="80" w:type="dxa"/>
            </w:tcMar>
            <w:vAlign w:val="center"/>
            <w:shd w:fill="F3F5F7"/>
          </w:tcPr>
          <w:p>
            <w:r>
              <w:rPr>
                <w:rFonts w:ascii="Arial" w:hAnsi="Arial"/>
                <w:b w:val="0"/>
                <w:color w:val="1F2933"/>
                <w:sz w:val="17"/>
              </w:rPr>
              <w:t>85</w:t>
            </w:r>
          </w:p>
        </w:tc>
        <w:tc>
          <w:tcPr>
            <w:tcW w:type="dxa" w:w="1440"/>
            <w:tcMar>
              <w:top w:w="60" w:type="dxa"/>
              <w:start w:w="80" w:type="dxa"/>
              <w:bottom w:w="60" w:type="dxa"/>
              <w:end w:w="80" w:type="dxa"/>
            </w:tcMar>
            <w:vAlign w:val="center"/>
            <w:shd w:fill="F3F5F7"/>
          </w:tcPr>
          <w:p>
            <w:r>
              <w:rPr>
                <w:rFonts w:ascii="Arial" w:hAnsi="Arial"/>
                <w:b w:val="0"/>
                <w:color w:val="1F2933"/>
                <w:sz w:val="17"/>
              </w:rPr>
              <w:t>C</w:t>
            </w:r>
          </w:p>
        </w:tc>
      </w:tr>
      <w:tr>
        <w:tc>
          <w:tcPr>
            <w:tcW w:type="dxa" w:w="1728"/>
            <w:tcMar>
              <w:top w:w="60" w:type="dxa"/>
              <w:start w:w="80" w:type="dxa"/>
              <w:bottom w:w="60" w:type="dxa"/>
              <w:end w:w="80" w:type="dxa"/>
            </w:tcMar>
            <w:vAlign w:val="center"/>
          </w:tcPr>
          <w:p>
            <w:r>
              <w:rPr>
                <w:rFonts w:ascii="Arial" w:hAnsi="Arial"/>
                <w:b w:val="0"/>
                <w:color w:val="1F2933"/>
                <w:sz w:val="17"/>
              </w:rPr>
              <w:t>77</w:t>
            </w:r>
          </w:p>
        </w:tc>
        <w:tc>
          <w:tcPr>
            <w:tcW w:type="dxa" w:w="1440"/>
            <w:tcMar>
              <w:top w:w="60" w:type="dxa"/>
              <w:start w:w="80" w:type="dxa"/>
              <w:bottom w:w="60" w:type="dxa"/>
              <w:end w:w="80" w:type="dxa"/>
            </w:tcMar>
            <w:vAlign w:val="center"/>
          </w:tcPr>
          <w:p>
            <w:r>
              <w:rPr>
                <w:rFonts w:ascii="Arial" w:hAnsi="Arial"/>
                <w:b w:val="0"/>
                <w:color w:val="1F2933"/>
                <w:sz w:val="17"/>
              </w:rPr>
              <w:t>D</w:t>
            </w:r>
          </w:p>
        </w:tc>
        <w:tc>
          <w:tcPr>
            <w:tcW w:type="dxa" w:w="1728"/>
            <w:tcMar>
              <w:top w:w="60" w:type="dxa"/>
              <w:start w:w="80" w:type="dxa"/>
              <w:bottom w:w="60" w:type="dxa"/>
              <w:end w:w="80" w:type="dxa"/>
            </w:tcMar>
            <w:vAlign w:val="center"/>
          </w:tcPr>
          <w:p>
            <w:r>
              <w:rPr>
                <w:rFonts w:ascii="Arial" w:hAnsi="Arial"/>
                <w:b w:val="0"/>
                <w:color w:val="1F2933"/>
                <w:sz w:val="17"/>
              </w:rPr>
            </w:r>
          </w:p>
        </w:tc>
        <w:tc>
          <w:tcPr>
            <w:tcW w:type="dxa" w:w="1440"/>
            <w:tcMar>
              <w:top w:w="60" w:type="dxa"/>
              <w:start w:w="80" w:type="dxa"/>
              <w:bottom w:w="60" w:type="dxa"/>
              <w:end w:w="80" w:type="dxa"/>
            </w:tcMar>
            <w:vAlign w:val="center"/>
          </w:tcPr>
          <w:p>
            <w:r>
              <w:rPr>
                <w:rFonts w:ascii="Arial" w:hAnsi="Arial"/>
                <w:b w:val="0"/>
                <w:color w:val="1F2933"/>
                <w:sz w:val="17"/>
              </w:rPr>
            </w:r>
          </w:p>
        </w:tc>
      </w:tr>
    </w:tbl>
    <w:p>
      <w:pPr>
        <w:pStyle w:val="CTAH2"/>
      </w:pPr>
      <w:r>
        <w:t>Chapter 6: Professional Roles and Role Clarification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28"/>
            <w:tcMar>
              <w:top w:w="60" w:type="dxa"/>
              <w:start w:w="80" w:type="dxa"/>
              <w:bottom w:w="60" w:type="dxa"/>
              <w:end w:w="80" w:type="dxa"/>
            </w:tcMar>
            <w:vAlign w:val="center"/>
            <w:shd w:fill="102A43"/>
          </w:tcPr>
          <w:p>
            <w:r>
              <w:rPr>
                <w:rFonts w:ascii="Arial" w:hAnsi="Arial"/>
                <w:b/>
                <w:color w:val="FFFFFF"/>
                <w:sz w:val="17"/>
              </w:rPr>
              <w:t>Question</w:t>
            </w:r>
          </w:p>
        </w:tc>
        <w:tc>
          <w:tcPr>
            <w:tcW w:type="dxa" w:w="1440"/>
            <w:tcMar>
              <w:top w:w="60" w:type="dxa"/>
              <w:start w:w="80" w:type="dxa"/>
              <w:bottom w:w="60" w:type="dxa"/>
              <w:end w:w="80" w:type="dxa"/>
            </w:tcMar>
            <w:vAlign w:val="center"/>
            <w:shd w:fill="102A43"/>
          </w:tcPr>
          <w:p>
            <w:r>
              <w:rPr>
                <w:rFonts w:ascii="Arial" w:hAnsi="Arial"/>
                <w:b/>
                <w:color w:val="FFFFFF"/>
                <w:sz w:val="17"/>
              </w:rPr>
              <w:t>Answer</w:t>
            </w:r>
          </w:p>
        </w:tc>
        <w:tc>
          <w:tcPr>
            <w:tcW w:type="dxa" w:w="1728"/>
            <w:tcMar>
              <w:top w:w="60" w:type="dxa"/>
              <w:start w:w="80" w:type="dxa"/>
              <w:bottom w:w="60" w:type="dxa"/>
              <w:end w:w="80" w:type="dxa"/>
            </w:tcMar>
            <w:vAlign w:val="center"/>
            <w:shd w:fill="102A43"/>
          </w:tcPr>
          <w:p>
            <w:r>
              <w:rPr>
                <w:rFonts w:ascii="Arial" w:hAnsi="Arial"/>
                <w:b/>
                <w:color w:val="FFFFFF"/>
                <w:sz w:val="17"/>
              </w:rPr>
              <w:t>Question</w:t>
            </w:r>
          </w:p>
        </w:tc>
        <w:tc>
          <w:tcPr>
            <w:tcW w:type="dxa" w:w="1440"/>
            <w:tcMar>
              <w:top w:w="60" w:type="dxa"/>
              <w:start w:w="80" w:type="dxa"/>
              <w:bottom w:w="60" w:type="dxa"/>
              <w:end w:w="80" w:type="dxa"/>
            </w:tcMar>
            <w:vAlign w:val="center"/>
            <w:shd w:fill="102A43"/>
          </w:tcPr>
          <w:p>
            <w:r>
              <w:rPr>
                <w:rFonts w:ascii="Arial" w:hAnsi="Arial"/>
                <w:b/>
                <w:color w:val="FFFFFF"/>
                <w:sz w:val="17"/>
              </w:rPr>
              <w:t>Answer</w:t>
            </w:r>
          </w:p>
        </w:tc>
      </w:tr>
      <w:tr>
        <w:tc>
          <w:tcPr>
            <w:tcW w:type="dxa" w:w="1728"/>
            <w:tcMar>
              <w:top w:w="60" w:type="dxa"/>
              <w:start w:w="80" w:type="dxa"/>
              <w:bottom w:w="60" w:type="dxa"/>
              <w:end w:w="80" w:type="dxa"/>
            </w:tcMar>
            <w:vAlign w:val="center"/>
          </w:tcPr>
          <w:p>
            <w:r>
              <w:rPr>
                <w:rFonts w:ascii="Arial" w:hAnsi="Arial"/>
                <w:b w:val="0"/>
                <w:color w:val="1F2933"/>
                <w:sz w:val="17"/>
              </w:rPr>
              <w:t>86</w:t>
            </w:r>
          </w:p>
        </w:tc>
        <w:tc>
          <w:tcPr>
            <w:tcW w:type="dxa" w:w="1440"/>
            <w:tcMar>
              <w:top w:w="60" w:type="dxa"/>
              <w:start w:w="80" w:type="dxa"/>
              <w:bottom w:w="60" w:type="dxa"/>
              <w:end w:w="80" w:type="dxa"/>
            </w:tcMar>
            <w:vAlign w:val="center"/>
          </w:tcPr>
          <w:p>
            <w:r>
              <w:rPr>
                <w:rFonts w:ascii="Arial" w:hAnsi="Arial"/>
                <w:b w:val="0"/>
                <w:color w:val="1F2933"/>
                <w:sz w:val="17"/>
              </w:rPr>
              <w:t>B</w:t>
            </w:r>
          </w:p>
        </w:tc>
        <w:tc>
          <w:tcPr>
            <w:tcW w:type="dxa" w:w="1728"/>
            <w:tcMar>
              <w:top w:w="60" w:type="dxa"/>
              <w:start w:w="80" w:type="dxa"/>
              <w:bottom w:w="60" w:type="dxa"/>
              <w:end w:w="80" w:type="dxa"/>
            </w:tcMar>
            <w:vAlign w:val="center"/>
          </w:tcPr>
          <w:p>
            <w:r>
              <w:rPr>
                <w:rFonts w:ascii="Arial" w:hAnsi="Arial"/>
                <w:b w:val="0"/>
                <w:color w:val="1F2933"/>
                <w:sz w:val="17"/>
              </w:rPr>
              <w:t>95</w:t>
            </w:r>
          </w:p>
        </w:tc>
        <w:tc>
          <w:tcPr>
            <w:tcW w:type="dxa" w:w="1440"/>
            <w:tcMar>
              <w:top w:w="60" w:type="dxa"/>
              <w:start w:w="80" w:type="dxa"/>
              <w:bottom w:w="60" w:type="dxa"/>
              <w:end w:w="80" w:type="dxa"/>
            </w:tcMar>
            <w:vAlign w:val="center"/>
          </w:tcPr>
          <w:p>
            <w:r>
              <w:rPr>
                <w:rFonts w:ascii="Arial" w:hAnsi="Arial"/>
                <w:b w:val="0"/>
                <w:color w:val="1F2933"/>
                <w:sz w:val="17"/>
              </w:rPr>
              <w:t>C</w:t>
            </w:r>
          </w:p>
        </w:tc>
      </w:tr>
      <w:tr>
        <w:tc>
          <w:tcPr>
            <w:tcW w:type="dxa" w:w="1728"/>
            <w:tcMar>
              <w:top w:w="60" w:type="dxa"/>
              <w:start w:w="80" w:type="dxa"/>
              <w:bottom w:w="60" w:type="dxa"/>
              <w:end w:w="80" w:type="dxa"/>
            </w:tcMar>
            <w:vAlign w:val="center"/>
            <w:shd w:fill="F3F5F7"/>
          </w:tcPr>
          <w:p>
            <w:r>
              <w:rPr>
                <w:rFonts w:ascii="Arial" w:hAnsi="Arial"/>
                <w:b w:val="0"/>
                <w:color w:val="1F2933"/>
                <w:sz w:val="17"/>
              </w:rPr>
              <w:t>87</w:t>
            </w:r>
          </w:p>
        </w:tc>
        <w:tc>
          <w:tcPr>
            <w:tcW w:type="dxa" w:w="1440"/>
            <w:tcMar>
              <w:top w:w="60" w:type="dxa"/>
              <w:start w:w="80" w:type="dxa"/>
              <w:bottom w:w="60" w:type="dxa"/>
              <w:end w:w="80" w:type="dxa"/>
            </w:tcMar>
            <w:vAlign w:val="center"/>
            <w:shd w:fill="F3F5F7"/>
          </w:tcPr>
          <w:p>
            <w:r>
              <w:rPr>
                <w:rFonts w:ascii="Arial" w:hAnsi="Arial"/>
                <w:b w:val="0"/>
                <w:color w:val="1F2933"/>
                <w:sz w:val="17"/>
              </w:rPr>
              <w:t>A</w:t>
            </w:r>
          </w:p>
        </w:tc>
        <w:tc>
          <w:tcPr>
            <w:tcW w:type="dxa" w:w="1728"/>
            <w:tcMar>
              <w:top w:w="60" w:type="dxa"/>
              <w:start w:w="80" w:type="dxa"/>
              <w:bottom w:w="60" w:type="dxa"/>
              <w:end w:w="80" w:type="dxa"/>
            </w:tcMar>
            <w:vAlign w:val="center"/>
            <w:shd w:fill="F3F5F7"/>
          </w:tcPr>
          <w:p>
            <w:r>
              <w:rPr>
                <w:rFonts w:ascii="Arial" w:hAnsi="Arial"/>
                <w:b w:val="0"/>
                <w:color w:val="1F2933"/>
                <w:sz w:val="17"/>
              </w:rPr>
              <w:t>96</w:t>
            </w:r>
          </w:p>
        </w:tc>
        <w:tc>
          <w:tcPr>
            <w:tcW w:type="dxa" w:w="1440"/>
            <w:tcMar>
              <w:top w:w="60" w:type="dxa"/>
              <w:start w:w="80" w:type="dxa"/>
              <w:bottom w:w="60" w:type="dxa"/>
              <w:end w:w="80" w:type="dxa"/>
            </w:tcMar>
            <w:vAlign w:val="center"/>
            <w:shd w:fill="F3F5F7"/>
          </w:tcPr>
          <w:p>
            <w:r>
              <w:rPr>
                <w:rFonts w:ascii="Arial" w:hAnsi="Arial"/>
                <w:b w:val="0"/>
                <w:color w:val="1F2933"/>
                <w:sz w:val="17"/>
              </w:rPr>
              <w:t>D</w:t>
            </w:r>
          </w:p>
        </w:tc>
      </w:tr>
      <w:tr>
        <w:tc>
          <w:tcPr>
            <w:tcW w:type="dxa" w:w="1728"/>
            <w:tcMar>
              <w:top w:w="60" w:type="dxa"/>
              <w:start w:w="80" w:type="dxa"/>
              <w:bottom w:w="60" w:type="dxa"/>
              <w:end w:w="80" w:type="dxa"/>
            </w:tcMar>
            <w:vAlign w:val="center"/>
          </w:tcPr>
          <w:p>
            <w:r>
              <w:rPr>
                <w:rFonts w:ascii="Arial" w:hAnsi="Arial"/>
                <w:b w:val="0"/>
                <w:color w:val="1F2933"/>
                <w:sz w:val="17"/>
              </w:rPr>
              <w:t>88</w:t>
            </w:r>
          </w:p>
        </w:tc>
        <w:tc>
          <w:tcPr>
            <w:tcW w:type="dxa" w:w="1440"/>
            <w:tcMar>
              <w:top w:w="60" w:type="dxa"/>
              <w:start w:w="80" w:type="dxa"/>
              <w:bottom w:w="60" w:type="dxa"/>
              <w:end w:w="80" w:type="dxa"/>
            </w:tcMar>
            <w:vAlign w:val="center"/>
          </w:tcPr>
          <w:p>
            <w:r>
              <w:rPr>
                <w:rFonts w:ascii="Arial" w:hAnsi="Arial"/>
                <w:b w:val="0"/>
                <w:color w:val="1F2933"/>
                <w:sz w:val="17"/>
              </w:rPr>
              <w:t>C</w:t>
            </w:r>
          </w:p>
        </w:tc>
        <w:tc>
          <w:tcPr>
            <w:tcW w:type="dxa" w:w="1728"/>
            <w:tcMar>
              <w:top w:w="60" w:type="dxa"/>
              <w:start w:w="80" w:type="dxa"/>
              <w:bottom w:w="60" w:type="dxa"/>
              <w:end w:w="80" w:type="dxa"/>
            </w:tcMar>
            <w:vAlign w:val="center"/>
          </w:tcPr>
          <w:p>
            <w:r>
              <w:rPr>
                <w:rFonts w:ascii="Arial" w:hAnsi="Arial"/>
                <w:b w:val="0"/>
                <w:color w:val="1F2933"/>
                <w:sz w:val="17"/>
              </w:rPr>
              <w:t>97</w:t>
            </w:r>
          </w:p>
        </w:tc>
        <w:tc>
          <w:tcPr>
            <w:tcW w:type="dxa" w:w="1440"/>
            <w:tcMar>
              <w:top w:w="60" w:type="dxa"/>
              <w:start w:w="80" w:type="dxa"/>
              <w:bottom w:w="60" w:type="dxa"/>
              <w:end w:w="80" w:type="dxa"/>
            </w:tcMar>
            <w:vAlign w:val="center"/>
          </w:tcPr>
          <w:p>
            <w:r>
              <w:rPr>
                <w:rFonts w:ascii="Arial" w:hAnsi="Arial"/>
                <w:b w:val="0"/>
                <w:color w:val="1F2933"/>
                <w:sz w:val="17"/>
              </w:rPr>
              <w:t>B</w:t>
            </w:r>
          </w:p>
        </w:tc>
      </w:tr>
      <w:tr>
        <w:tc>
          <w:tcPr>
            <w:tcW w:type="dxa" w:w="1728"/>
            <w:tcMar>
              <w:top w:w="60" w:type="dxa"/>
              <w:start w:w="80" w:type="dxa"/>
              <w:bottom w:w="60" w:type="dxa"/>
              <w:end w:w="80" w:type="dxa"/>
            </w:tcMar>
            <w:vAlign w:val="center"/>
            <w:shd w:fill="F3F5F7"/>
          </w:tcPr>
          <w:p>
            <w:r>
              <w:rPr>
                <w:rFonts w:ascii="Arial" w:hAnsi="Arial"/>
                <w:b w:val="0"/>
                <w:color w:val="1F2933"/>
                <w:sz w:val="17"/>
              </w:rPr>
              <w:t>89</w:t>
            </w:r>
          </w:p>
        </w:tc>
        <w:tc>
          <w:tcPr>
            <w:tcW w:type="dxa" w:w="1440"/>
            <w:tcMar>
              <w:top w:w="60" w:type="dxa"/>
              <w:start w:w="80" w:type="dxa"/>
              <w:bottom w:w="60" w:type="dxa"/>
              <w:end w:w="80" w:type="dxa"/>
            </w:tcMar>
            <w:vAlign w:val="center"/>
            <w:shd w:fill="F3F5F7"/>
          </w:tcPr>
          <w:p>
            <w:r>
              <w:rPr>
                <w:rFonts w:ascii="Arial" w:hAnsi="Arial"/>
                <w:b w:val="0"/>
                <w:color w:val="1F2933"/>
                <w:sz w:val="17"/>
              </w:rPr>
              <w:t>D</w:t>
            </w:r>
          </w:p>
        </w:tc>
        <w:tc>
          <w:tcPr>
            <w:tcW w:type="dxa" w:w="1728"/>
            <w:tcMar>
              <w:top w:w="60" w:type="dxa"/>
              <w:start w:w="80" w:type="dxa"/>
              <w:bottom w:w="60" w:type="dxa"/>
              <w:end w:w="80" w:type="dxa"/>
            </w:tcMar>
            <w:vAlign w:val="center"/>
            <w:shd w:fill="F3F5F7"/>
          </w:tcPr>
          <w:p>
            <w:r>
              <w:rPr>
                <w:rFonts w:ascii="Arial" w:hAnsi="Arial"/>
                <w:b w:val="0"/>
                <w:color w:val="1F2933"/>
                <w:sz w:val="17"/>
              </w:rPr>
              <w:t>98</w:t>
            </w:r>
          </w:p>
        </w:tc>
        <w:tc>
          <w:tcPr>
            <w:tcW w:type="dxa" w:w="1440"/>
            <w:tcMar>
              <w:top w:w="60" w:type="dxa"/>
              <w:start w:w="80" w:type="dxa"/>
              <w:bottom w:w="60" w:type="dxa"/>
              <w:end w:w="80" w:type="dxa"/>
            </w:tcMar>
            <w:vAlign w:val="center"/>
            <w:shd w:fill="F3F5F7"/>
          </w:tcPr>
          <w:p>
            <w:r>
              <w:rPr>
                <w:rFonts w:ascii="Arial" w:hAnsi="Arial"/>
                <w:b w:val="0"/>
                <w:color w:val="1F2933"/>
                <w:sz w:val="17"/>
              </w:rPr>
              <w:t>C</w:t>
            </w:r>
          </w:p>
        </w:tc>
      </w:tr>
      <w:tr>
        <w:tc>
          <w:tcPr>
            <w:tcW w:type="dxa" w:w="1728"/>
            <w:tcMar>
              <w:top w:w="60" w:type="dxa"/>
              <w:start w:w="80" w:type="dxa"/>
              <w:bottom w:w="60" w:type="dxa"/>
              <w:end w:w="80" w:type="dxa"/>
            </w:tcMar>
            <w:vAlign w:val="center"/>
          </w:tcPr>
          <w:p>
            <w:r>
              <w:rPr>
                <w:rFonts w:ascii="Arial" w:hAnsi="Arial"/>
                <w:b w:val="0"/>
                <w:color w:val="1F2933"/>
                <w:sz w:val="17"/>
              </w:rPr>
              <w:t>90</w:t>
            </w:r>
          </w:p>
        </w:tc>
        <w:tc>
          <w:tcPr>
            <w:tcW w:type="dxa" w:w="1440"/>
            <w:tcMar>
              <w:top w:w="60" w:type="dxa"/>
              <w:start w:w="80" w:type="dxa"/>
              <w:bottom w:w="60" w:type="dxa"/>
              <w:end w:w="80" w:type="dxa"/>
            </w:tcMar>
            <w:vAlign w:val="center"/>
          </w:tcPr>
          <w:p>
            <w:r>
              <w:rPr>
                <w:rFonts w:ascii="Arial" w:hAnsi="Arial"/>
                <w:b w:val="0"/>
                <w:color w:val="1F2933"/>
                <w:sz w:val="17"/>
              </w:rPr>
              <w:t>A</w:t>
            </w:r>
          </w:p>
        </w:tc>
        <w:tc>
          <w:tcPr>
            <w:tcW w:type="dxa" w:w="1728"/>
            <w:tcMar>
              <w:top w:w="60" w:type="dxa"/>
              <w:start w:w="80" w:type="dxa"/>
              <w:bottom w:w="60" w:type="dxa"/>
              <w:end w:w="80" w:type="dxa"/>
            </w:tcMar>
            <w:vAlign w:val="center"/>
          </w:tcPr>
          <w:p>
            <w:r>
              <w:rPr>
                <w:rFonts w:ascii="Arial" w:hAnsi="Arial"/>
                <w:b w:val="0"/>
                <w:color w:val="1F2933"/>
                <w:sz w:val="17"/>
              </w:rPr>
              <w:t>99</w:t>
            </w:r>
          </w:p>
        </w:tc>
        <w:tc>
          <w:tcPr>
            <w:tcW w:type="dxa" w:w="1440"/>
            <w:tcMar>
              <w:top w:w="60" w:type="dxa"/>
              <w:start w:w="80" w:type="dxa"/>
              <w:bottom w:w="60" w:type="dxa"/>
              <w:end w:w="80" w:type="dxa"/>
            </w:tcMar>
            <w:vAlign w:val="center"/>
          </w:tcPr>
          <w:p>
            <w:r>
              <w:rPr>
                <w:rFonts w:ascii="Arial" w:hAnsi="Arial"/>
                <w:b w:val="0"/>
                <w:color w:val="1F2933"/>
                <w:sz w:val="17"/>
              </w:rPr>
              <w:t>A</w:t>
            </w:r>
          </w:p>
        </w:tc>
      </w:tr>
      <w:tr>
        <w:tc>
          <w:tcPr>
            <w:tcW w:type="dxa" w:w="1728"/>
            <w:tcMar>
              <w:top w:w="60" w:type="dxa"/>
              <w:start w:w="80" w:type="dxa"/>
              <w:bottom w:w="60" w:type="dxa"/>
              <w:end w:w="80" w:type="dxa"/>
            </w:tcMar>
            <w:vAlign w:val="center"/>
            <w:shd w:fill="F3F5F7"/>
          </w:tcPr>
          <w:p>
            <w:r>
              <w:rPr>
                <w:rFonts w:ascii="Arial" w:hAnsi="Arial"/>
                <w:b w:val="0"/>
                <w:color w:val="1F2933"/>
                <w:sz w:val="17"/>
              </w:rPr>
              <w:t>91</w:t>
            </w:r>
          </w:p>
        </w:tc>
        <w:tc>
          <w:tcPr>
            <w:tcW w:type="dxa" w:w="1440"/>
            <w:tcMar>
              <w:top w:w="60" w:type="dxa"/>
              <w:start w:w="80" w:type="dxa"/>
              <w:bottom w:w="60" w:type="dxa"/>
              <w:end w:w="80" w:type="dxa"/>
            </w:tcMar>
            <w:vAlign w:val="center"/>
            <w:shd w:fill="F3F5F7"/>
          </w:tcPr>
          <w:p>
            <w:r>
              <w:rPr>
                <w:rFonts w:ascii="Arial" w:hAnsi="Arial"/>
                <w:b w:val="0"/>
                <w:color w:val="1F2933"/>
                <w:sz w:val="17"/>
              </w:rPr>
              <w:t>C</w:t>
            </w:r>
          </w:p>
        </w:tc>
        <w:tc>
          <w:tcPr>
            <w:tcW w:type="dxa" w:w="1728"/>
            <w:tcMar>
              <w:top w:w="60" w:type="dxa"/>
              <w:start w:w="80" w:type="dxa"/>
              <w:bottom w:w="60" w:type="dxa"/>
              <w:end w:w="80" w:type="dxa"/>
            </w:tcMar>
            <w:vAlign w:val="center"/>
            <w:shd w:fill="F3F5F7"/>
          </w:tcPr>
          <w:p>
            <w:r>
              <w:rPr>
                <w:rFonts w:ascii="Arial" w:hAnsi="Arial"/>
                <w:b w:val="0"/>
                <w:color w:val="1F2933"/>
                <w:sz w:val="17"/>
              </w:rPr>
              <w:t>100</w:t>
            </w:r>
          </w:p>
        </w:tc>
        <w:tc>
          <w:tcPr>
            <w:tcW w:type="dxa" w:w="1440"/>
            <w:tcMar>
              <w:top w:w="60" w:type="dxa"/>
              <w:start w:w="80" w:type="dxa"/>
              <w:bottom w:w="60" w:type="dxa"/>
              <w:end w:w="80" w:type="dxa"/>
            </w:tcMar>
            <w:vAlign w:val="center"/>
            <w:shd w:fill="F3F5F7"/>
          </w:tcPr>
          <w:p>
            <w:r>
              <w:rPr>
                <w:rFonts w:ascii="Arial" w:hAnsi="Arial"/>
                <w:b w:val="0"/>
                <w:color w:val="1F2933"/>
                <w:sz w:val="17"/>
              </w:rPr>
              <w:t>C</w:t>
            </w:r>
          </w:p>
        </w:tc>
      </w:tr>
      <w:tr>
        <w:tc>
          <w:tcPr>
            <w:tcW w:type="dxa" w:w="1728"/>
            <w:tcMar>
              <w:top w:w="60" w:type="dxa"/>
              <w:start w:w="80" w:type="dxa"/>
              <w:bottom w:w="60" w:type="dxa"/>
              <w:end w:w="80" w:type="dxa"/>
            </w:tcMar>
            <w:vAlign w:val="center"/>
          </w:tcPr>
          <w:p>
            <w:r>
              <w:rPr>
                <w:rFonts w:ascii="Arial" w:hAnsi="Arial"/>
                <w:b w:val="0"/>
                <w:color w:val="1F2933"/>
                <w:sz w:val="17"/>
              </w:rPr>
              <w:t>92</w:t>
            </w:r>
          </w:p>
        </w:tc>
        <w:tc>
          <w:tcPr>
            <w:tcW w:type="dxa" w:w="1440"/>
            <w:tcMar>
              <w:top w:w="60" w:type="dxa"/>
              <w:start w:w="80" w:type="dxa"/>
              <w:bottom w:w="60" w:type="dxa"/>
              <w:end w:w="80" w:type="dxa"/>
            </w:tcMar>
            <w:vAlign w:val="center"/>
          </w:tcPr>
          <w:p>
            <w:r>
              <w:rPr>
                <w:rFonts w:ascii="Arial" w:hAnsi="Arial"/>
                <w:b w:val="0"/>
                <w:color w:val="1F2933"/>
                <w:sz w:val="17"/>
              </w:rPr>
              <w:t>B</w:t>
            </w:r>
          </w:p>
        </w:tc>
        <w:tc>
          <w:tcPr>
            <w:tcW w:type="dxa" w:w="1728"/>
            <w:tcMar>
              <w:top w:w="60" w:type="dxa"/>
              <w:start w:w="80" w:type="dxa"/>
              <w:bottom w:w="60" w:type="dxa"/>
              <w:end w:w="80" w:type="dxa"/>
            </w:tcMar>
            <w:vAlign w:val="center"/>
          </w:tcPr>
          <w:p>
            <w:r>
              <w:rPr>
                <w:rFonts w:ascii="Arial" w:hAnsi="Arial"/>
                <w:b w:val="0"/>
                <w:color w:val="1F2933"/>
                <w:sz w:val="17"/>
              </w:rPr>
              <w:t>101</w:t>
            </w:r>
          </w:p>
        </w:tc>
        <w:tc>
          <w:tcPr>
            <w:tcW w:type="dxa" w:w="1440"/>
            <w:tcMar>
              <w:top w:w="60" w:type="dxa"/>
              <w:start w:w="80" w:type="dxa"/>
              <w:bottom w:w="60" w:type="dxa"/>
              <w:end w:w="80" w:type="dxa"/>
            </w:tcMar>
            <w:vAlign w:val="center"/>
          </w:tcPr>
          <w:p>
            <w:r>
              <w:rPr>
                <w:rFonts w:ascii="Arial" w:hAnsi="Arial"/>
                <w:b w:val="0"/>
                <w:color w:val="1F2933"/>
                <w:sz w:val="17"/>
              </w:rPr>
              <w:t>D</w:t>
            </w:r>
          </w:p>
        </w:tc>
      </w:tr>
      <w:tr>
        <w:tc>
          <w:tcPr>
            <w:tcW w:type="dxa" w:w="1728"/>
            <w:tcMar>
              <w:top w:w="60" w:type="dxa"/>
              <w:start w:w="80" w:type="dxa"/>
              <w:bottom w:w="60" w:type="dxa"/>
              <w:end w:w="80" w:type="dxa"/>
            </w:tcMar>
            <w:vAlign w:val="center"/>
            <w:shd w:fill="F3F5F7"/>
          </w:tcPr>
          <w:p>
            <w:r>
              <w:rPr>
                <w:rFonts w:ascii="Arial" w:hAnsi="Arial"/>
                <w:b w:val="0"/>
                <w:color w:val="1F2933"/>
                <w:sz w:val="17"/>
              </w:rPr>
              <w:t>93</w:t>
            </w:r>
          </w:p>
        </w:tc>
        <w:tc>
          <w:tcPr>
            <w:tcW w:type="dxa" w:w="1440"/>
            <w:tcMar>
              <w:top w:w="60" w:type="dxa"/>
              <w:start w:w="80" w:type="dxa"/>
              <w:bottom w:w="60" w:type="dxa"/>
              <w:end w:w="80" w:type="dxa"/>
            </w:tcMar>
            <w:vAlign w:val="center"/>
            <w:shd w:fill="F3F5F7"/>
          </w:tcPr>
          <w:p>
            <w:r>
              <w:rPr>
                <w:rFonts w:ascii="Arial" w:hAnsi="Arial"/>
                <w:b w:val="0"/>
                <w:color w:val="1F2933"/>
                <w:sz w:val="17"/>
              </w:rPr>
              <w:t>D</w:t>
            </w:r>
          </w:p>
        </w:tc>
        <w:tc>
          <w:tcPr>
            <w:tcW w:type="dxa" w:w="1728"/>
            <w:tcMar>
              <w:top w:w="60" w:type="dxa"/>
              <w:start w:w="80" w:type="dxa"/>
              <w:bottom w:w="60" w:type="dxa"/>
              <w:end w:w="80" w:type="dxa"/>
            </w:tcMar>
            <w:vAlign w:val="center"/>
            <w:shd w:fill="F3F5F7"/>
          </w:tcPr>
          <w:p>
            <w:r>
              <w:rPr>
                <w:rFonts w:ascii="Arial" w:hAnsi="Arial"/>
                <w:b w:val="0"/>
                <w:color w:val="1F2933"/>
                <w:sz w:val="17"/>
              </w:rPr>
              <w:t>102</w:t>
            </w:r>
          </w:p>
        </w:tc>
        <w:tc>
          <w:tcPr>
            <w:tcW w:type="dxa" w:w="1440"/>
            <w:tcMar>
              <w:top w:w="60" w:type="dxa"/>
              <w:start w:w="80" w:type="dxa"/>
              <w:bottom w:w="60" w:type="dxa"/>
              <w:end w:w="80" w:type="dxa"/>
            </w:tcMar>
            <w:vAlign w:val="center"/>
            <w:shd w:fill="F3F5F7"/>
          </w:tcPr>
          <w:p>
            <w:r>
              <w:rPr>
                <w:rFonts w:ascii="Arial" w:hAnsi="Arial"/>
                <w:b w:val="0"/>
                <w:color w:val="1F2933"/>
                <w:sz w:val="17"/>
              </w:rPr>
              <w:t>A</w:t>
            </w:r>
          </w:p>
        </w:tc>
      </w:tr>
      <w:tr>
        <w:tc>
          <w:tcPr>
            <w:tcW w:type="dxa" w:w="1728"/>
            <w:tcMar>
              <w:top w:w="60" w:type="dxa"/>
              <w:start w:w="80" w:type="dxa"/>
              <w:bottom w:w="60" w:type="dxa"/>
              <w:end w:w="80" w:type="dxa"/>
            </w:tcMar>
            <w:vAlign w:val="center"/>
          </w:tcPr>
          <w:p>
            <w:r>
              <w:rPr>
                <w:rFonts w:ascii="Arial" w:hAnsi="Arial"/>
                <w:b w:val="0"/>
                <w:color w:val="1F2933"/>
                <w:sz w:val="17"/>
              </w:rPr>
              <w:t>94</w:t>
            </w:r>
          </w:p>
        </w:tc>
        <w:tc>
          <w:tcPr>
            <w:tcW w:type="dxa" w:w="1440"/>
            <w:tcMar>
              <w:top w:w="60" w:type="dxa"/>
              <w:start w:w="80" w:type="dxa"/>
              <w:bottom w:w="60" w:type="dxa"/>
              <w:end w:w="80" w:type="dxa"/>
            </w:tcMar>
            <w:vAlign w:val="center"/>
          </w:tcPr>
          <w:p>
            <w:r>
              <w:rPr>
                <w:rFonts w:ascii="Arial" w:hAnsi="Arial"/>
                <w:b w:val="0"/>
                <w:color w:val="1F2933"/>
                <w:sz w:val="17"/>
              </w:rPr>
              <w:t>B</w:t>
            </w:r>
          </w:p>
        </w:tc>
        <w:tc>
          <w:tcPr>
            <w:tcW w:type="dxa" w:w="1728"/>
            <w:tcMar>
              <w:top w:w="60" w:type="dxa"/>
              <w:start w:w="80" w:type="dxa"/>
              <w:bottom w:w="60" w:type="dxa"/>
              <w:end w:w="80" w:type="dxa"/>
            </w:tcMar>
            <w:vAlign w:val="center"/>
          </w:tcPr>
          <w:p>
            <w:r>
              <w:rPr>
                <w:rFonts w:ascii="Arial" w:hAnsi="Arial"/>
                <w:b w:val="0"/>
                <w:color w:val="1F2933"/>
                <w:sz w:val="17"/>
              </w:rPr>
            </w:r>
          </w:p>
        </w:tc>
        <w:tc>
          <w:tcPr>
            <w:tcW w:type="dxa" w:w="1440"/>
            <w:tcMar>
              <w:top w:w="60" w:type="dxa"/>
              <w:start w:w="80" w:type="dxa"/>
              <w:bottom w:w="60" w:type="dxa"/>
              <w:end w:w="80" w:type="dxa"/>
            </w:tcMar>
            <w:vAlign w:val="center"/>
          </w:tcPr>
          <w:p>
            <w:r>
              <w:rPr>
                <w:rFonts w:ascii="Arial" w:hAnsi="Arial"/>
                <w:b w:val="0"/>
                <w:color w:val="1F2933"/>
                <w:sz w:val="17"/>
              </w:rPr>
            </w:r>
          </w:p>
        </w:tc>
      </w:tr>
    </w:tbl>
    <w:p>
      <w:r>
        <w:br w:type="page"/>
      </w:r>
    </w:p>
    <w:p>
      <w:pPr>
        <w:pStyle w:val="CTAH1"/>
      </w:pPr>
      <w:r>
        <w:t>Chapter 1: Controlled Rationales</w:t>
      </w:r>
    </w:p>
    <w:p>
      <w:pPr>
        <w:pStyle w:val="CTASubtitle"/>
      </w:pPr>
      <w:r>
        <w:t>Professional Competence Foundations</w:t>
      </w:r>
    </w:p>
    <w:p>
      <w:pPr>
        <w:pStyle w:val="CTAH2"/>
      </w:pPr>
      <w:r>
        <w:t>Question 1 | WB3-C1-Q001</w:t>
      </w:r>
    </w:p>
    <w:p>
      <w:pPr>
        <w:pStyle w:val="CTAMeta"/>
      </w:pPr>
      <w:r>
        <w:t>Difficulty: Easy | Type: Foundational | Primary concept: Definition of Professional Competence</w:t>
      </w:r>
    </w:p>
    <w:p>
      <w:pPr>
        <w:pStyle w:val="CTABody"/>
      </w:pPr>
      <w:r>
        <w:t>A newly licensed clinician assumes that licensure proves readiness to provide every psychotherapy service permitted by the license. To decide how to proceed, the clinician must apply the correct meaning of professional competence. Which explanation should guide the next professional step?</w:t>
      </w:r>
    </w:p>
    <w:p>
      <w:pPr>
        <w:pStyle w:val="CTAOption"/>
      </w:pPr>
      <w:r>
        <w:t>A. The legal permission to perform every service included within a professional license</w:t>
      </w:r>
    </w:p>
    <w:p>
      <w:pPr>
        <w:pStyle w:val="CTAOption"/>
      </w:pPr>
      <w:r>
        <w:t>B. The present ability to provide a specific service safely, ethically, and effectively under the actual circumstances</w:t>
      </w:r>
    </w:p>
    <w:p>
      <w:pPr>
        <w:pStyle w:val="CTAOption"/>
      </w:pPr>
      <w:r>
        <w:t>C. The confidence to make decisions without seeking additional information</w:t>
      </w:r>
    </w:p>
    <w:p>
      <w:pPr>
        <w:pStyle w:val="CTAOption"/>
      </w:pPr>
      <w:r>
        <w:t>D. The total number of years a clinician has practiced independently</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B</w:t>
            </w:r>
          </w:p>
        </w:tc>
        <w:trPr>
          <w:tblHeader/>
        </w:trPr>
      </w:tr>
    </w:tbl>
    <w:p>
      <w:pPr>
        <w:pStyle w:val="CTAH3"/>
      </w:pPr>
      <w:r>
        <w:t>Detailed Option-by-Option Rationales</w:t>
      </w:r>
    </w:p>
    <w:p>
      <w:pPr>
        <w:pStyle w:val="CTABody"/>
      </w:pPr>
      <w:r>
        <w:t>A. Incorrect. Scope of practice concerns legal authorization. It does not establish competence for every service, client, or circumstance.</w:t>
      </w:r>
    </w:p>
    <w:p>
      <w:pPr>
        <w:pStyle w:val="CTABody"/>
      </w:pPr>
      <w:r>
        <w:t>B. Correct. Competence is context-specific and depends on relevant knowledge, skill, judgment, preparation, self-awareness, and current functioning.</w:t>
      </w:r>
    </w:p>
    <w:p>
      <w:pPr>
        <w:pStyle w:val="CTABody"/>
      </w:pPr>
      <w:r>
        <w:t>C. Incorrect. Confidence may coexist with important gaps in knowledge or skill and is not a substitute for competence.</w:t>
      </w:r>
    </w:p>
    <w:p>
      <w:pPr>
        <w:pStyle w:val="CTABody"/>
      </w:pPr>
      <w:r>
        <w:t>D. Incorrect. Experience may contribute to competence, but total years alone do not establish ability for the specific service.</w:t>
      </w:r>
    </w:p>
    <w:p>
      <w:pPr>
        <w:pStyle w:val="CTACallout"/>
      </w:pPr>
      <w:r>
        <w:t>CTA Exam Strategy: When the question asks for the definition, choose the answer that connects actual preparation and performance to the specific service and circumstances.</w:t>
      </w:r>
    </w:p>
    <w:p>
      <w:pPr>
        <w:pStyle w:val="CTABody"/>
      </w:pPr>
      <w:r>
        <w:t>Remediation: Return to Workbook 3, Chapter 1: Professional Competence Foundations; review Definition of Professional Competence; log error category COMPETENCE-FOUNDATIONS.</w:t>
      </w:r>
    </w:p>
    <w:p>
      <w:pPr>
        <w:pStyle w:val="CTASmall"/>
      </w:pPr>
      <w:r>
        <w:t>Primary source control: BPC 4996.9 and 4992.3; current BBS LCSW/ASW requirements; NASW competence standards</w:t>
      </w:r>
    </w:p>
    <w:p>
      <w:pPr>
        <w:pStyle w:val="CTAH2"/>
      </w:pPr>
      <w:r>
        <w:t>Question 2 | WB3-C1-Q002</w:t>
      </w:r>
    </w:p>
    <w:p>
      <w:pPr>
        <w:pStyle w:val="CTAMeta"/>
      </w:pPr>
      <w:r>
        <w:t>Difficulty: Easy | Type: Concept Distinction | Primary concept: Licensure vs. Competence</w:t>
      </w:r>
    </w:p>
    <w:p>
      <w:pPr>
        <w:pStyle w:val="CTABody"/>
      </w:pPr>
      <w:r>
        <w:t>A clinician holds a valid California license. Which statement is most accurate?</w:t>
      </w:r>
    </w:p>
    <w:p>
      <w:pPr>
        <w:pStyle w:val="CTAOption"/>
      </w:pPr>
      <w:r>
        <w:t>A. The license guarantees competence with every diagnosis and intervention within psychotherapy</w:t>
      </w:r>
    </w:p>
    <w:p>
      <w:pPr>
        <w:pStyle w:val="CTAOption"/>
      </w:pPr>
      <w:r>
        <w:t>B. The license eliminates the need to assess competence after the clinician begins independent practice</w:t>
      </w:r>
    </w:p>
    <w:p>
      <w:pPr>
        <w:pStyle w:val="CTAOption"/>
      </w:pPr>
      <w:r>
        <w:t>C. The license establishes that every treatment outcome will meet the professional standard of care</w:t>
      </w:r>
    </w:p>
    <w:p>
      <w:pPr>
        <w:pStyle w:val="CTAOption"/>
      </w:pPr>
      <w:r>
        <w:t>D. The license establishes legal professional status but does not prove competence for every client, population, or service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D</w:t>
            </w:r>
          </w:p>
        </w:tc>
        <w:trPr>
          <w:tblHeader/>
        </w:trPr>
      </w:tr>
    </w:tbl>
    <w:p>
      <w:pPr>
        <w:pStyle w:val="CTAH3"/>
      </w:pPr>
      <w:r>
        <w:t>Detailed Option-by-Option Rationales</w:t>
      </w:r>
    </w:p>
    <w:p>
      <w:pPr>
        <w:pStyle w:val="CTABody"/>
      </w:pPr>
      <w:r>
        <w:t>A. Incorrect. Licensure does not certify universal competence across every diagnosis, method, population, or risk level.</w:t>
      </w:r>
    </w:p>
    <w:p>
      <w:pPr>
        <w:pStyle w:val="CTABody"/>
      </w:pPr>
      <w:r>
        <w:t>B. Incorrect. Clinicians must continue assessing competence throughout practice, including after licensure.</w:t>
      </w:r>
    </w:p>
    <w:p>
      <w:pPr>
        <w:pStyle w:val="CTABody"/>
      </w:pPr>
      <w:r>
        <w:t>C. Incorrect. No credential guarantees a particular outcome or proves that every future decision will meet the applicable standard.</w:t>
      </w:r>
    </w:p>
    <w:p>
      <w:pPr>
        <w:pStyle w:val="CTABody"/>
      </w:pPr>
      <w:r>
        <w:t>D. Correct. This correctly separates legal professional status from actual competence for a specific service.</w:t>
      </w:r>
    </w:p>
    <w:p>
      <w:pPr>
        <w:pStyle w:val="CTACallout"/>
      </w:pPr>
      <w:r>
        <w:t>CTA Exam Strategy: On California questions, treat “licensed” as evidence of legal status—not as proof of specialized competence.</w:t>
      </w:r>
    </w:p>
    <w:p>
      <w:pPr>
        <w:pStyle w:val="CTABody"/>
      </w:pPr>
      <w:r>
        <w:t>Remediation: Return to Workbook 3, Chapter 1: Professional Competence Foundations; review Licensure vs. Competence; log error category COMPETENCE-FOUNDATIONS.</w:t>
      </w:r>
    </w:p>
    <w:p>
      <w:pPr>
        <w:pStyle w:val="CTASmall"/>
      </w:pPr>
      <w:r>
        <w:t>Primary source control: BPC 4996.9 and 4992.3; current BBS LCSW/ASW requirements; NASW competence standards</w:t>
      </w:r>
    </w:p>
    <w:p>
      <w:pPr>
        <w:pStyle w:val="CTAH2"/>
      </w:pPr>
      <w:r>
        <w:t>Question 3 | WB3-C1-Q003</w:t>
      </w:r>
    </w:p>
    <w:p>
      <w:pPr>
        <w:pStyle w:val="CTAMeta"/>
      </w:pPr>
      <w:r>
        <w:t>Difficulty: Easy | Type: Foundational | Primary concept: Purpose of Competence Standards</w:t>
      </w:r>
    </w:p>
    <w:p>
      <w:pPr>
        <w:pStyle w:val="CTABody"/>
      </w:pPr>
      <w:r>
        <w:t>Before accepting a high-risk referral, a clinician must evaluate whether current knowledge, skill, judgment, and functioning are adequate. Which explanation best identifies the primary purpose of professional competence standards in this situation?</w:t>
      </w:r>
    </w:p>
    <w:p>
      <w:pPr>
        <w:pStyle w:val="CTAOption"/>
      </w:pPr>
      <w:r>
        <w:t>A. To protect client welfare by promoting safe, ethical, and effective professional services</w:t>
      </w:r>
    </w:p>
    <w:p>
      <w:pPr>
        <w:pStyle w:val="CTAOption"/>
      </w:pPr>
      <w:r>
        <w:t>B. To guarantee that clients improve during treatment</w:t>
      </w:r>
    </w:p>
    <w:p>
      <w:pPr>
        <w:pStyle w:val="CTAOption"/>
      </w:pPr>
      <w:r>
        <w:t>C. To protect clinicians from all complaints and legal claims</w:t>
      </w:r>
    </w:p>
    <w:p>
      <w:pPr>
        <w:pStyle w:val="CTAOption"/>
      </w:pPr>
      <w:r>
        <w:t>D. To require clinicians to avoid every unfamiliar clinical situation</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A</w:t>
            </w:r>
          </w:p>
        </w:tc>
        <w:trPr>
          <w:tblHeader/>
        </w:trPr>
      </w:tr>
    </w:tbl>
    <w:p>
      <w:pPr>
        <w:pStyle w:val="CTAH3"/>
      </w:pPr>
      <w:r>
        <w:t>Detailed Option-by-Option Rationales</w:t>
      </w:r>
    </w:p>
    <w:p>
      <w:pPr>
        <w:pStyle w:val="CTABody"/>
      </w:pPr>
      <w:r>
        <w:t>A. Correct. Competence standards are fundamentally client-protection standards. They reduce unnecessary risk and support appropriate care.</w:t>
      </w:r>
    </w:p>
    <w:p>
      <w:pPr>
        <w:pStyle w:val="CTABody"/>
      </w:pPr>
      <w:r>
        <w:t>B. Incorrect. Competent practice cannot guarantee improvement or eliminate the uncertainty inherent in treatment.</w:t>
      </w:r>
    </w:p>
    <w:p>
      <w:pPr>
        <w:pStyle w:val="CTABody"/>
      </w:pPr>
      <w:r>
        <w:t>C. Incorrect. Risk management may be a secondary benefit, but clinician protection is not the primary purpose.</w:t>
      </w:r>
    </w:p>
    <w:p>
      <w:pPr>
        <w:pStyle w:val="CTABody"/>
      </w:pPr>
      <w:r>
        <w:t>D. Incorrect. Clinicians may responsibly expand knowledge and work through new situations when the client can be protected; complete avoidance is not required.</w:t>
      </w:r>
    </w:p>
    <w:p>
      <w:pPr>
        <w:pStyle w:val="CTACallout"/>
      </w:pPr>
      <w:r>
        <w:t>CTA Exam Strategy: When asked why competence matters, select client welfare rather than guaranteed outcomes, clinician protection, or avoidance of all challenge.</w:t>
      </w:r>
    </w:p>
    <w:p>
      <w:pPr>
        <w:pStyle w:val="CTABody"/>
      </w:pPr>
      <w:r>
        <w:t>Remediation: Return to Workbook 3, Chapter 1: Professional Competence Foundations; review Purpose of Competence Standards; log error category COMPETENCE-FOUNDATIONS.</w:t>
      </w:r>
    </w:p>
    <w:p>
      <w:pPr>
        <w:pStyle w:val="CTASmall"/>
      </w:pPr>
      <w:r>
        <w:t>Primary source control: BPC 4996.9 and 4992.3; current BBS LCSW/ASW requirements; NASW competence standards</w:t>
      </w:r>
    </w:p>
    <w:p>
      <w:pPr>
        <w:pStyle w:val="CTAH2"/>
      </w:pPr>
      <w:r>
        <w:t>Question 4 | WB3-C1-Q004</w:t>
      </w:r>
    </w:p>
    <w:p>
      <w:pPr>
        <w:pStyle w:val="CTAMeta"/>
      </w:pPr>
      <w:r>
        <w:t>Difficulty: Easy | Type: Knowledge Check | Primary concept: Components of Competence</w:t>
      </w:r>
    </w:p>
    <w:p>
      <w:pPr>
        <w:pStyle w:val="CTABody"/>
      </w:pPr>
      <w:r>
        <w:t>A newly licensed clinician assumes that licensure proves readiness to provide every psychotherapy service permitted by the license. Which combination most completely reflects the foundations of professional competence?</w:t>
      </w:r>
    </w:p>
    <w:p>
      <w:pPr>
        <w:pStyle w:val="CTAOption"/>
      </w:pPr>
      <w:r>
        <w:t>A. Licensure, reputation, confidence, and client satisfaction</w:t>
      </w:r>
    </w:p>
    <w:p>
      <w:pPr>
        <w:pStyle w:val="CTAOption"/>
      </w:pPr>
      <w:r>
        <w:t>B. Good intentions, professional seniority, and freedom from complaints</w:t>
      </w:r>
    </w:p>
    <w:p>
      <w:pPr>
        <w:pStyle w:val="CTAOption"/>
      </w:pPr>
      <w:r>
        <w:t>C. Relevant knowledge, practical skill, judgment, self-awareness, adequate preparation, and current functioning</w:t>
      </w:r>
    </w:p>
    <w:p>
      <w:pPr>
        <w:pStyle w:val="CTAOption"/>
      </w:pPr>
      <w:r>
        <w:t>D. Academic knowledge alone, regardless of the ability to apply it</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These factors may be reassuring but do not establish the clinician’s ability to provide the specific service safely.</w:t>
      </w:r>
    </w:p>
    <w:p>
      <w:pPr>
        <w:pStyle w:val="CTABody"/>
      </w:pPr>
      <w:r>
        <w:t>B. Incorrect. Good intentions and seniority do not replace preparation, skill, or sound judgment.</w:t>
      </w:r>
    </w:p>
    <w:p>
      <w:pPr>
        <w:pStyle w:val="CTABody"/>
      </w:pPr>
      <w:r>
        <w:t>C. Correct. This answer includes the major interrelated foundations required for safe and effective professional performance.</w:t>
      </w:r>
    </w:p>
    <w:p>
      <w:pPr>
        <w:pStyle w:val="CTABody"/>
      </w:pPr>
      <w:r>
        <w:t>D. Incorrect. Knowledge is necessary but insufficient when the clinician cannot apply it competently in practice.</w:t>
      </w:r>
    </w:p>
    <w:p>
      <w:pPr>
        <w:pStyle w:val="CTACallout"/>
      </w:pPr>
      <w:r>
        <w:t>CTA Exam Strategy: Competence is multidimensional. Answers based on one credential, trait, or form of knowledge are usually incomplete.</w:t>
      </w:r>
    </w:p>
    <w:p>
      <w:pPr>
        <w:pStyle w:val="CTABody"/>
      </w:pPr>
      <w:r>
        <w:t>Remediation: Return to Workbook 3, Chapter 1: Professional Competence Foundations; review Components of Competence; log error category COMPETENCE-FOUNDATIONS.</w:t>
      </w:r>
    </w:p>
    <w:p>
      <w:pPr>
        <w:pStyle w:val="CTASmall"/>
      </w:pPr>
      <w:r>
        <w:t>Primary source control: BPC 4996.9 and 4992.3; current BBS LCSW/ASW requirements; NASW competence standards</w:t>
      </w:r>
    </w:p>
    <w:p>
      <w:pPr>
        <w:pStyle w:val="CTAH2"/>
      </w:pPr>
      <w:r>
        <w:t>Question 5 | WB3-C1-Q005</w:t>
      </w:r>
    </w:p>
    <w:p>
      <w:pPr>
        <w:pStyle w:val="CTAMeta"/>
      </w:pPr>
      <w:r>
        <w:t>Difficulty: Easy | Type: First-Step | Primary concept: Initial Response to a Competence Concern</w:t>
      </w:r>
    </w:p>
    <w:p>
      <w:pPr>
        <w:pStyle w:val="CTABody"/>
      </w:pPr>
      <w:r>
        <w:t>A therapist notices a possible gap in preparation related to a new client. What should the therapist generally do first?</w:t>
      </w:r>
    </w:p>
    <w:p>
      <w:pPr>
        <w:pStyle w:val="CTAOption"/>
      </w:pPr>
      <w:r>
        <w:t>A. Identify the specific concern and assess how it may affect client risk and the ability to provide safe services</w:t>
      </w:r>
    </w:p>
    <w:p>
      <w:pPr>
        <w:pStyle w:val="CTAOption"/>
      </w:pPr>
      <w:r>
        <w:t>B. Terminate the client immediately before gathering more information</w:t>
      </w:r>
    </w:p>
    <w:p>
      <w:pPr>
        <w:pStyle w:val="CTAOption"/>
      </w:pPr>
      <w:r>
        <w:t>C. Proceed because acknowledging a limitation would undermine professional confidence</w:t>
      </w:r>
    </w:p>
    <w:p>
      <w:pPr>
        <w:pStyle w:val="CTAOption"/>
      </w:pPr>
      <w:r>
        <w:t>D. Wait until harm occurs before deciding whether the concern is significant</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A</w:t>
            </w:r>
          </w:p>
        </w:tc>
        <w:trPr>
          <w:tblHeader/>
        </w:trPr>
      </w:tr>
    </w:tbl>
    <w:p>
      <w:pPr>
        <w:pStyle w:val="CTAH3"/>
      </w:pPr>
      <w:r>
        <w:t>Detailed Option-by-Option Rationales</w:t>
      </w:r>
    </w:p>
    <w:p>
      <w:pPr>
        <w:pStyle w:val="CTABody"/>
      </w:pPr>
      <w:r>
        <w:t>A. Correct. The first step is a focused assessment of what may be missing, the urgency, and the potential effect on the client.</w:t>
      </w:r>
    </w:p>
    <w:p>
      <w:pPr>
        <w:pStyle w:val="CTABody"/>
      </w:pPr>
      <w:r>
        <w:t>B. Incorrect. Immediate termination may be unnecessary and disruptive. The concern and available safe responses should first be assessed unless immediate danger requires a different action.</w:t>
      </w:r>
    </w:p>
    <w:p>
      <w:pPr>
        <w:pStyle w:val="CTABody"/>
      </w:pPr>
      <w:r>
        <w:t>C. Incorrect. Professional confidence does not justify ignoring a possible limitation.</w:t>
      </w:r>
    </w:p>
    <w:p>
      <w:pPr>
        <w:pStyle w:val="CTABody"/>
      </w:pPr>
      <w:r>
        <w:t>D. Incorrect. Competence concerns should be addressed proactively rather than only after harm.</w:t>
      </w:r>
    </w:p>
    <w:p>
      <w:pPr>
        <w:pStyle w:val="CTACallout"/>
      </w:pPr>
      <w:r>
        <w:t>CTA Exam Strategy: The exam usually favors “identify and assess” before an extreme response when the stem does not establish an immediate emergency.</w:t>
      </w:r>
    </w:p>
    <w:p>
      <w:pPr>
        <w:pStyle w:val="CTABody"/>
      </w:pPr>
      <w:r>
        <w:t>Remediation: Return to Workbook 3, Chapter 1: Professional Competence Foundations; review Initial Response to a Competence Concern; log error category COMPETENCE-FOUNDATIONS.</w:t>
      </w:r>
    </w:p>
    <w:p>
      <w:pPr>
        <w:pStyle w:val="CTASmall"/>
      </w:pPr>
      <w:r>
        <w:t>Primary source control: BPC 4996.9 and 4992.3; current BBS LCSW/ASW requirements; NASW competence standards</w:t>
      </w:r>
    </w:p>
    <w:p>
      <w:pPr>
        <w:pStyle w:val="CTAH2"/>
      </w:pPr>
      <w:r>
        <w:t>Question 6 | WB3-C1-Q006</w:t>
      </w:r>
    </w:p>
    <w:p>
      <w:pPr>
        <w:pStyle w:val="CTAMeta"/>
      </w:pPr>
      <w:r>
        <w:t>Difficulty: Moderate | Type: Scenario-Based | Primary concept: Confidence Without Preparation</w:t>
      </w:r>
    </w:p>
    <w:p>
      <w:pPr>
        <w:pStyle w:val="CTABody"/>
      </w:pPr>
      <w:r>
        <w:t>A therapist has never treated a severe eating disorder but accepts the case because the therapist has 20 years of general outpatient experience and feels confident. What is the most significant concern?</w:t>
      </w:r>
    </w:p>
    <w:p>
      <w:pPr>
        <w:pStyle w:val="CTAOption"/>
      </w:pPr>
      <w:r>
        <w:t>A. Experienced therapists are prohibited from accepting clients with unfamiliar conditions</w:t>
      </w:r>
    </w:p>
    <w:p>
      <w:pPr>
        <w:pStyle w:val="CTAOption"/>
      </w:pPr>
      <w:r>
        <w:t>B. The client’s request for treatment establishes the therapist’s competence</w:t>
      </w:r>
    </w:p>
    <w:p>
      <w:pPr>
        <w:pStyle w:val="CTAOption"/>
      </w:pPr>
      <w:r>
        <w:t>C. The therapist must automatically close the practice because a knowledge gap exists</w:t>
      </w:r>
    </w:p>
    <w:p>
      <w:pPr>
        <w:pStyle w:val="CTAOption"/>
      </w:pPr>
      <w:r>
        <w:t>D. General experience and confidence may not provide the specialized preparation required for this client’s condition and risk</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D</w:t>
            </w:r>
          </w:p>
        </w:tc>
        <w:trPr>
          <w:tblHeader/>
        </w:trPr>
      </w:tr>
    </w:tbl>
    <w:p>
      <w:pPr>
        <w:pStyle w:val="CTAH3"/>
      </w:pPr>
      <w:r>
        <w:t>Detailed Option-by-Option Rationales</w:t>
      </w:r>
    </w:p>
    <w:p>
      <w:pPr>
        <w:pStyle w:val="CTABody"/>
      </w:pPr>
      <w:r>
        <w:t>A. Incorrect. The issue is not a universal prohibition. The therapist must evaluate actual competence and the client’s needs.</w:t>
      </w:r>
    </w:p>
    <w:p>
      <w:pPr>
        <w:pStyle w:val="CTABody"/>
      </w:pPr>
      <w:r>
        <w:t>B. Incorrect. Client preference cannot create the clinician’s knowledge, skill, or preparation.</w:t>
      </w:r>
    </w:p>
    <w:p>
      <w:pPr>
        <w:pStyle w:val="CTABody"/>
      </w:pPr>
      <w:r>
        <w:t>C. Incorrect. A competence concern does not automatically require closing the practice or taking the most extreme response.</w:t>
      </w:r>
    </w:p>
    <w:p>
      <w:pPr>
        <w:pStyle w:val="CTABody"/>
      </w:pPr>
      <w:r>
        <w:t>D. Correct. Severe eating disorders may involve specialized clinical and medical risks. Directly relevant preparation matters more than general seniority or confidence.</w:t>
      </w:r>
    </w:p>
    <w:p>
      <w:pPr>
        <w:pStyle w:val="CTACallout"/>
      </w:pPr>
      <w:r>
        <w:t>CTA Exam Strategy: When the stem pairs extensive general experience with a specialized gap, focus on the relevance of the preparation—not the number of years.</w:t>
      </w:r>
    </w:p>
    <w:p>
      <w:pPr>
        <w:pStyle w:val="CTABody"/>
      </w:pPr>
      <w:r>
        <w:t>Remediation: Return to Workbook 3, Chapter 1: Professional Competence Foundations; review Confidence Without Preparation; log error category COMPETENCE-FOUNDATIONS.</w:t>
      </w:r>
    </w:p>
    <w:p>
      <w:pPr>
        <w:pStyle w:val="CTASmall"/>
      </w:pPr>
      <w:r>
        <w:t>Primary source control: BPC 4996.9 and 4992.3; current BBS LCSW/ASW requirements; NASW competence standards</w:t>
      </w:r>
    </w:p>
    <w:p>
      <w:pPr>
        <w:pStyle w:val="CTAH2"/>
      </w:pPr>
      <w:r>
        <w:t>Question 7 | WB3-C1-Q007</w:t>
      </w:r>
    </w:p>
    <w:p>
      <w:pPr>
        <w:pStyle w:val="CTAMeta"/>
      </w:pPr>
      <w:r>
        <w:t>Difficulty: Moderate | Type: Scenario-Based | Primary concept: Population-Specific Competence</w:t>
      </w:r>
    </w:p>
    <w:p>
      <w:pPr>
        <w:pStyle w:val="CTABody"/>
      </w:pPr>
      <w:r>
        <w:t>A therapist is highly effective with adults but has never worked with young children. The therapist is asked to treat a six-year-old with developmental and behavioral concerns. What is the best initial analysis?</w:t>
      </w:r>
    </w:p>
    <w:p>
      <w:pPr>
        <w:pStyle w:val="CTAOption"/>
      </w:pPr>
      <w:r>
        <w:t>A. Determine whether the therapist has the child-development knowledge, practical skills, and preparation needed for this population and presentation</w:t>
      </w:r>
    </w:p>
    <w:p>
      <w:pPr>
        <w:pStyle w:val="CTAOption"/>
      </w:pPr>
      <w:r>
        <w:t>B. Assume that all psychotherapy skills transfer automatically across age groups</w:t>
      </w:r>
    </w:p>
    <w:p>
      <w:pPr>
        <w:pStyle w:val="CTAOption"/>
      </w:pPr>
      <w:r>
        <w:t>C. Accept the case because the parent has requested the therapist specifically</w:t>
      </w:r>
    </w:p>
    <w:p>
      <w:pPr>
        <w:pStyle w:val="CTAOption"/>
      </w:pPr>
      <w:r>
        <w:t>D. Conclude that the therapist can never develop competence to work with children</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A</w:t>
            </w:r>
          </w:p>
        </w:tc>
        <w:trPr>
          <w:tblHeader/>
        </w:trPr>
      </w:tr>
    </w:tbl>
    <w:p>
      <w:pPr>
        <w:pStyle w:val="CTAH3"/>
      </w:pPr>
      <w:r>
        <w:t>Detailed Option-by-Option Rationales</w:t>
      </w:r>
    </w:p>
    <w:p>
      <w:pPr>
        <w:pStyle w:val="CTABody"/>
      </w:pPr>
      <w:r>
        <w:t>A. Correct. Competence must be evaluated for the actual population and presenting concerns. Adult experience may be helpful but is not automatically sufficient.</w:t>
      </w:r>
    </w:p>
    <w:p>
      <w:pPr>
        <w:pStyle w:val="CTABody"/>
      </w:pPr>
      <w:r>
        <w:t>B. Incorrect. Developmental differences may substantially change assessment, intervention, communication, and family involvement.</w:t>
      </w:r>
    </w:p>
    <w:p>
      <w:pPr>
        <w:pStyle w:val="CTABody"/>
      </w:pPr>
      <w:r>
        <w:t>C. Incorrect. A parent’s preference does not establish the clinician’s competence.</w:t>
      </w:r>
    </w:p>
    <w:p>
      <w:pPr>
        <w:pStyle w:val="CTABody"/>
      </w:pPr>
      <w:r>
        <w:t>D. Incorrect. Competence may be developed through appropriate education, training, supervised experience, and practice.</w:t>
      </w:r>
    </w:p>
    <w:p>
      <w:pPr>
        <w:pStyle w:val="CTACallout"/>
      </w:pPr>
      <w:r>
        <w:t>CTA Exam Strategy: Population changes are competence triggers. Ask what preparation is specifically relevant to that population.</w:t>
      </w:r>
    </w:p>
    <w:p>
      <w:pPr>
        <w:pStyle w:val="CTABody"/>
      </w:pPr>
      <w:r>
        <w:t>Remediation: Return to Workbook 3, Chapter 1: Professional Competence Foundations; review Population-Specific Competence; log error category COMPETENCE-FOUNDATIONS.</w:t>
      </w:r>
    </w:p>
    <w:p>
      <w:pPr>
        <w:pStyle w:val="CTASmall"/>
      </w:pPr>
      <w:r>
        <w:t>Primary source control: BPC 4996.9 and 4992.3; current BBS LCSW/ASW requirements; NASW competence standards</w:t>
      </w:r>
    </w:p>
    <w:p>
      <w:pPr>
        <w:pStyle w:val="CTAH2"/>
      </w:pPr>
      <w:r>
        <w:t>Question 8 | WB3-C1-Q008</w:t>
      </w:r>
    </w:p>
    <w:p>
      <w:pPr>
        <w:pStyle w:val="CTAMeta"/>
      </w:pPr>
      <w:r>
        <w:t>Difficulty: Moderate | Type: Scenario-Based | Primary concept: Self-Awareness and Countertransference</w:t>
      </w:r>
    </w:p>
    <w:p>
      <w:pPr>
        <w:pStyle w:val="CTABody"/>
      </w:pPr>
      <w:r>
        <w:t>A therapist notices strong protective feelings toward a client whose history resembles the therapist’s own. The therapist has begun dismissing information that challenges the therapist’s view of the client. What should the therapist do first?</w:t>
      </w:r>
    </w:p>
    <w:p>
      <w:pPr>
        <w:pStyle w:val="CTAOption"/>
      </w:pPr>
      <w:r>
        <w:t>A. Tell the client every detail of the therapist’s personal history</w:t>
      </w:r>
    </w:p>
    <w:p>
      <w:pPr>
        <w:pStyle w:val="CTAOption"/>
      </w:pPr>
      <w:r>
        <w:t>B. Assume empathy prevents any effect on professional judgment</w:t>
      </w:r>
    </w:p>
    <w:p>
      <w:pPr>
        <w:pStyle w:val="CTAOption"/>
      </w:pPr>
      <w:r>
        <w:t>C. Recognize that personal reactions may be influencing judgment and assess the impact on treatment and client welfare</w:t>
      </w:r>
    </w:p>
    <w:p>
      <w:pPr>
        <w:pStyle w:val="CTAOption"/>
      </w:pPr>
      <w:r>
        <w:t>D. Continue without reflection because emotional reactions are unrelated to competence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Extensive self-disclosure is not the first response and may create additional boundary concerns.</w:t>
      </w:r>
    </w:p>
    <w:p>
      <w:pPr>
        <w:pStyle w:val="CTABody"/>
      </w:pPr>
      <w:r>
        <w:t>B. Incorrect. Empathy does not eliminate the possibility that countertransference or bias is affecting objectivity.</w:t>
      </w:r>
    </w:p>
    <w:p>
      <w:pPr>
        <w:pStyle w:val="CTABody"/>
      </w:pPr>
      <w:r>
        <w:t>C. Correct. Self-awareness is a foundation of competence. The therapist should identify the effect of the reaction before deciding what further action is needed.</w:t>
      </w:r>
    </w:p>
    <w:p>
      <w:pPr>
        <w:pStyle w:val="CTABody"/>
      </w:pPr>
      <w:r>
        <w:t>D. Incorrect. Unexamined personal reactions can affect assessment, treatment planning, and risk recognition.</w:t>
      </w:r>
    </w:p>
    <w:p>
      <w:pPr>
        <w:pStyle w:val="CTACallout"/>
      </w:pPr>
      <w:r>
        <w:t>CTA Exam Strategy: When the clinician’s personal history or emotional reaction is influencing the case, choose recognition and impact assessment before disclosure, denial, or abrupt termination.</w:t>
      </w:r>
    </w:p>
    <w:p>
      <w:pPr>
        <w:pStyle w:val="CTABody"/>
      </w:pPr>
      <w:r>
        <w:t>Remediation: Return to Workbook 3, Chapter 1: Professional Competence Foundations; review Self-Awareness and Countertransference; log error category COMPETENCE-FOUNDATIONS.</w:t>
      </w:r>
    </w:p>
    <w:p>
      <w:pPr>
        <w:pStyle w:val="CTASmall"/>
      </w:pPr>
      <w:r>
        <w:t>Primary source control: BPC 4996.9 and 4992.3; current BBS LCSW/ASW requirements; NASW competence standards</w:t>
      </w:r>
    </w:p>
    <w:p>
      <w:pPr>
        <w:pStyle w:val="CTAH2"/>
      </w:pPr>
      <w:r>
        <w:t>Question 9 | WB3-C1-Q009</w:t>
      </w:r>
    </w:p>
    <w:p>
      <w:pPr>
        <w:pStyle w:val="CTAMeta"/>
      </w:pPr>
      <w:r>
        <w:t>Difficulty: Moderate | Type: Scenario-Based | Primary concept: Knowledge Exposure vs. Practical Skill</w:t>
      </w:r>
    </w:p>
    <w:p>
      <w:pPr>
        <w:pStyle w:val="CTABody"/>
      </w:pPr>
      <w:r>
        <w:t>A therapist reads one article about a specialized trauma intervention and plans to use the full protocol the next day with a client who has severe dissociation. Which response is most appropriate?</w:t>
      </w:r>
    </w:p>
    <w:p>
      <w:pPr>
        <w:pStyle w:val="CTAOption"/>
      </w:pPr>
      <w:r>
        <w:t>A. Use the intervention because reading professional material automatically establishes competence</w:t>
      </w:r>
    </w:p>
    <w:p>
      <w:pPr>
        <w:pStyle w:val="CTAOption"/>
      </w:pPr>
      <w:r>
        <w:t>B. Evaluate whether the intervention requires additional knowledge, practical training, supervised experience, or other preparation before use</w:t>
      </w:r>
    </w:p>
    <w:p>
      <w:pPr>
        <w:pStyle w:val="CTAOption"/>
      </w:pPr>
      <w:r>
        <w:t>C. Avoid learning any new intervention because competence can never expand</w:t>
      </w:r>
    </w:p>
    <w:p>
      <w:pPr>
        <w:pStyle w:val="CTAOption"/>
      </w:pPr>
      <w:r>
        <w:t>D. Ask the client to accept responsibility for any complications caused by the therapist’s limited preparation</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B</w:t>
            </w:r>
          </w:p>
        </w:tc>
        <w:trPr>
          <w:tblHeader/>
        </w:trPr>
      </w:tr>
    </w:tbl>
    <w:p>
      <w:pPr>
        <w:pStyle w:val="CTAH3"/>
      </w:pPr>
      <w:r>
        <w:t>Detailed Option-by-Option Rationales</w:t>
      </w:r>
    </w:p>
    <w:p>
      <w:pPr>
        <w:pStyle w:val="CTABody"/>
      </w:pPr>
      <w:r>
        <w:t>A. Incorrect. Reading may increase awareness but does not automatically provide skill, judgment, or ability to manage complications.</w:t>
      </w:r>
    </w:p>
    <w:p>
      <w:pPr>
        <w:pStyle w:val="CTABody"/>
      </w:pPr>
      <w:r>
        <w:t>B. Correct. Introductory knowledge may not establish the practical skill needed for a specialized intervention, particularly with a high-risk presentation.</w:t>
      </w:r>
    </w:p>
    <w:p>
      <w:pPr>
        <w:pStyle w:val="CTABody"/>
      </w:pPr>
      <w:r>
        <w:t>C. Incorrect. Clinicians can expand competence through preparation proportionate to the service and risk.</w:t>
      </w:r>
    </w:p>
    <w:p>
      <w:pPr>
        <w:pStyle w:val="CTABody"/>
      </w:pPr>
      <w:r>
        <w:t>D. Incorrect. The clinician cannot transfer responsibility for professional competence to the client.</w:t>
      </w:r>
    </w:p>
    <w:p>
      <w:pPr>
        <w:pStyle w:val="CTACallout"/>
      </w:pPr>
      <w:r>
        <w:t>CTA Exam Strategy: Distinguish learning about a treatment from being prepared to deliver it competently.</w:t>
      </w:r>
    </w:p>
    <w:p>
      <w:pPr>
        <w:pStyle w:val="CTABody"/>
      </w:pPr>
      <w:r>
        <w:t>Remediation: Return to Workbook 3, Chapter 1: Professional Competence Foundations; review Knowledge Exposure vs. Practical Skill; log error category COMPETENCE-FOUNDATIONS.</w:t>
      </w:r>
    </w:p>
    <w:p>
      <w:pPr>
        <w:pStyle w:val="CTASmall"/>
      </w:pPr>
      <w:r>
        <w:t>Primary source control: BPC 4996.9 and 4992.3; current BBS LCSW/ASW requirements; NASW competence standards</w:t>
      </w:r>
    </w:p>
    <w:p>
      <w:pPr>
        <w:pStyle w:val="CTAH2"/>
      </w:pPr>
      <w:r>
        <w:t>Question 10 | WB3-C1-Q010</w:t>
      </w:r>
    </w:p>
    <w:p>
      <w:pPr>
        <w:pStyle w:val="CTAMeta"/>
      </w:pPr>
      <w:r>
        <w:t>Difficulty: Moderate | Type: Application | Primary concept: Proportionate Response</w:t>
      </w:r>
    </w:p>
    <w:p>
      <w:pPr>
        <w:pStyle w:val="CTABody"/>
      </w:pPr>
      <w:r>
        <w:t>A therapist identifies a limited but potentially correctable competence gap. The client is stable, continuity of care is important, and qualified professional support is readily available. Which approach is strongest?</w:t>
      </w:r>
    </w:p>
    <w:p>
      <w:pPr>
        <w:pStyle w:val="CTAOption"/>
      </w:pPr>
      <w:r>
        <w:t>A. Ignore the gap because the client is not currently in crisis</w:t>
      </w:r>
    </w:p>
    <w:p>
      <w:pPr>
        <w:pStyle w:val="CTAOption"/>
      </w:pPr>
      <w:r>
        <w:t>B. Terminate immediately because every competence concern requires transfer</w:t>
      </w:r>
    </w:p>
    <w:p>
      <w:pPr>
        <w:pStyle w:val="CTAOption"/>
      </w:pPr>
      <w:r>
        <w:t>C. Continue exactly as before and address the issue only if the client complains</w:t>
      </w:r>
    </w:p>
    <w:p>
      <w:pPr>
        <w:pStyle w:val="CTAOption"/>
      </w:pPr>
      <w:r>
        <w:t>D. Assess whether services can continue safely while the limitation is addressed through a proportionate plan that protects the client</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D</w:t>
            </w:r>
          </w:p>
        </w:tc>
        <w:trPr>
          <w:tblHeader/>
        </w:trPr>
      </w:tr>
    </w:tbl>
    <w:p>
      <w:pPr>
        <w:pStyle w:val="CTAH3"/>
      </w:pPr>
      <w:r>
        <w:t>Detailed Option-by-Option Rationales</w:t>
      </w:r>
    </w:p>
    <w:p>
      <w:pPr>
        <w:pStyle w:val="CTABody"/>
      </w:pPr>
      <w:r>
        <w:t>A. Incorrect. Stability does not make the competence gap irrelevant. The concern should still be addressed.</w:t>
      </w:r>
    </w:p>
    <w:p>
      <w:pPr>
        <w:pStyle w:val="CTABody"/>
      </w:pPr>
      <w:r>
        <w:t>B. Incorrect. Immediate transfer may unnecessarily disrupt care when the limitation can be addressed safely.</w:t>
      </w:r>
    </w:p>
    <w:p>
      <w:pPr>
        <w:pStyle w:val="CTABody"/>
      </w:pPr>
      <w:r>
        <w:t>C. Incorrect. Continuing without change fails to respond to the identified limitation.</w:t>
      </w:r>
    </w:p>
    <w:p>
      <w:pPr>
        <w:pStyle w:val="CTABody"/>
      </w:pPr>
      <w:r>
        <w:t>D. Correct. This balances client protection, continuity, available support, and the seriousness of the concern.</w:t>
      </w:r>
    </w:p>
    <w:p>
      <w:pPr>
        <w:pStyle w:val="CTACallout"/>
      </w:pPr>
      <w:r>
        <w:t>CTA Exam Strategy: Do not equate competence concerns with automatic termination. Choose the least disruptive response that adequately protects the client.</w:t>
      </w:r>
    </w:p>
    <w:p>
      <w:pPr>
        <w:pStyle w:val="CTABody"/>
      </w:pPr>
      <w:r>
        <w:t>Remediation: Return to Workbook 3, Chapter 1: Professional Competence Foundations; review Proportionate Response; log error category COMPETENCE-FOUNDATIONS.</w:t>
      </w:r>
    </w:p>
    <w:p>
      <w:pPr>
        <w:pStyle w:val="CTASmall"/>
      </w:pPr>
      <w:r>
        <w:t>Primary source control: BPC 4996.9 and 4992.3; current BBS LCSW/ASW requirements; NASW competence standards</w:t>
      </w:r>
    </w:p>
    <w:p>
      <w:pPr>
        <w:pStyle w:val="CTAH2"/>
      </w:pPr>
      <w:r>
        <w:t>Question 11 | WB3-C1-Q011</w:t>
      </w:r>
    </w:p>
    <w:p>
      <w:pPr>
        <w:pStyle w:val="CTAMeta"/>
      </w:pPr>
      <w:r>
        <w:t>Difficulty: Moderate | Type: Concept Application | Primary concept: Competence Can Change</w:t>
      </w:r>
    </w:p>
    <w:p>
      <w:pPr>
        <w:pStyle w:val="CTABody"/>
      </w:pPr>
      <w:r>
        <w:t>During supervision, a ASW’s confidence and years of experience are being treated as sufficient evidence of competence for a complex case. Which statement best reflects how competence may change over time?</w:t>
      </w:r>
    </w:p>
    <w:p>
      <w:pPr>
        <w:pStyle w:val="CTAOption"/>
      </w:pPr>
      <w:r>
        <w:t>A. Once established, competence remains permanent unless the clinician’s license expires</w:t>
      </w:r>
    </w:p>
    <w:p>
      <w:pPr>
        <w:pStyle w:val="CTAOption"/>
      </w:pPr>
      <w:r>
        <w:t>B. Competence is determined only by the clinician’s graduate education</w:t>
      </w:r>
    </w:p>
    <w:p>
      <w:pPr>
        <w:pStyle w:val="CTAOption"/>
      </w:pPr>
      <w:r>
        <w:t>C. Competence may expand, become outdated, or be temporarily limited as knowledge, case demands, standards, and clinician functioning change</w:t>
      </w:r>
    </w:p>
    <w:p>
      <w:pPr>
        <w:pStyle w:val="CTAOption"/>
      </w:pPr>
      <w:r>
        <w:t>D. Competence changes only when a formal complaint is filed</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Competence requires ongoing monitoring and is not permanently guaranteed by licensure.</w:t>
      </w:r>
    </w:p>
    <w:p>
      <w:pPr>
        <w:pStyle w:val="CTABody"/>
      </w:pPr>
      <w:r>
        <w:t>B. Incorrect. Graduate education is foundational, but later training, experience, current knowledge, and functioning also matter.</w:t>
      </w:r>
    </w:p>
    <w:p>
      <w:pPr>
        <w:pStyle w:val="CTABody"/>
      </w:pPr>
      <w:r>
        <w:t>C. Correct. This accurately reflects the dynamic and context-specific nature of professional competence.</w:t>
      </w:r>
    </w:p>
    <w:p>
      <w:pPr>
        <w:pStyle w:val="CTABody"/>
      </w:pPr>
      <w:r>
        <w:t>D. Incorrect. A complaint is not required for competence to change or for a clinician to recognize a limitation.</w:t>
      </w:r>
    </w:p>
    <w:p>
      <w:pPr>
        <w:pStyle w:val="CTACallout"/>
      </w:pPr>
      <w:r>
        <w:t>CTA Exam Strategy: Competence is current and contextual—not a permanent status earned at one point in a career.</w:t>
      </w:r>
    </w:p>
    <w:p>
      <w:pPr>
        <w:pStyle w:val="CTABody"/>
      </w:pPr>
      <w:r>
        <w:t>Remediation: Return to Workbook 3, Chapter 1: Professional Competence Foundations; review Competence Can Change; log error category COMPETENCE-FOUNDATIONS.</w:t>
      </w:r>
    </w:p>
    <w:p>
      <w:pPr>
        <w:pStyle w:val="CTASmall"/>
      </w:pPr>
      <w:r>
        <w:t>Primary source control: BPC 4996.9 and 4992.3; current BBS LCSW/ASW requirements; NASW competence standards</w:t>
      </w:r>
    </w:p>
    <w:p>
      <w:pPr>
        <w:pStyle w:val="CTAH2"/>
      </w:pPr>
      <w:r>
        <w:t>Question 12 | WB3-C1-Q012</w:t>
      </w:r>
    </w:p>
    <w:p>
      <w:pPr>
        <w:pStyle w:val="CTAMeta"/>
      </w:pPr>
      <w:r>
        <w:t>Difficulty: Moderate | Type: Scenario-Based | Primary concept: Current Professional Functioning</w:t>
      </w:r>
    </w:p>
    <w:p>
      <w:pPr>
        <w:pStyle w:val="CTABody"/>
      </w:pPr>
      <w:r>
        <w:t>A therapist is severely sleep-deprived, is making repeated documentation errors, and is struggling to follow clients’ narratives. The therapist’s training and experience are otherwise adequate. What is the most accurate analysis?</w:t>
      </w:r>
    </w:p>
    <w:p>
      <w:pPr>
        <w:pStyle w:val="CTAOption"/>
      </w:pPr>
      <w:r>
        <w:t>A. Adequate historical training means current functioning is irrelevant</w:t>
      </w:r>
    </w:p>
    <w:p>
      <w:pPr>
        <w:pStyle w:val="CTAOption"/>
      </w:pPr>
      <w:r>
        <w:t>B. Competence includes current functioning, so the therapist should assess whether fatigue is impairing safe professional performance</w:t>
      </w:r>
    </w:p>
    <w:p>
      <w:pPr>
        <w:pStyle w:val="CTAOption"/>
      </w:pPr>
      <w:r>
        <w:t>C. The therapist is automatically permanently incompetent</w:t>
      </w:r>
    </w:p>
    <w:p>
      <w:pPr>
        <w:pStyle w:val="CTAOption"/>
      </w:pPr>
      <w:r>
        <w:t>D. The issue matters only if a client has already been harmed</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B</w:t>
            </w:r>
          </w:p>
        </w:tc>
        <w:trPr>
          <w:tblHeader/>
        </w:trPr>
      </w:tr>
    </w:tbl>
    <w:p>
      <w:pPr>
        <w:pStyle w:val="CTAH3"/>
      </w:pPr>
      <w:r>
        <w:t>Detailed Option-by-Option Rationales</w:t>
      </w:r>
    </w:p>
    <w:p>
      <w:pPr>
        <w:pStyle w:val="CTABody"/>
      </w:pPr>
      <w:r>
        <w:t>A. Incorrect. Competence includes the clinician’s ability to perform safely at the time services are provided.</w:t>
      </w:r>
    </w:p>
    <w:p>
      <w:pPr>
        <w:pStyle w:val="CTABody"/>
      </w:pPr>
      <w:r>
        <w:t>B. Correct. Fatigue can impair attention, judgment, memory, and documentation. The therapist should assess the effect and respond before harm occurs.</w:t>
      </w:r>
    </w:p>
    <w:p>
      <w:pPr>
        <w:pStyle w:val="CTABody"/>
      </w:pPr>
      <w:r>
        <w:t>C. Incorrect. A temporary functioning problem does not automatically establish permanent incompetence.</w:t>
      </w:r>
    </w:p>
    <w:p>
      <w:pPr>
        <w:pStyle w:val="CTABody"/>
      </w:pPr>
      <w:r>
        <w:t>D. Incorrect. Professional concerns should be addressed proactively, not only after injury.</w:t>
      </w:r>
    </w:p>
    <w:p>
      <w:pPr>
        <w:pStyle w:val="CTACallout"/>
      </w:pPr>
      <w:r>
        <w:t>CTA Exam Strategy: A clinician may have adequate training but be unable to practice safely because of current physical, mental, emotional, or substance-related impairment.</w:t>
      </w:r>
    </w:p>
    <w:p>
      <w:pPr>
        <w:pStyle w:val="CTABody"/>
      </w:pPr>
      <w:r>
        <w:t>Remediation: Return to Workbook 3, Chapter 1: Professional Competence Foundations; review Current Professional Functioning; log error category COMPETENCE-FOUNDATIONS.</w:t>
      </w:r>
    </w:p>
    <w:p>
      <w:pPr>
        <w:pStyle w:val="CTASmall"/>
      </w:pPr>
      <w:r>
        <w:t>Primary source control: BPC 4996.9 and 4992.3; current BBS LCSW/ASW requirements; NASW competence standards</w:t>
      </w:r>
    </w:p>
    <w:p>
      <w:pPr>
        <w:pStyle w:val="CTAH2"/>
      </w:pPr>
      <w:r>
        <w:t>Question 13 | WB3-C1-Q013</w:t>
      </w:r>
    </w:p>
    <w:p>
      <w:pPr>
        <w:pStyle w:val="CTAMeta"/>
      </w:pPr>
      <w:r>
        <w:t>Difficulty: Difficult | Type: Scenario-Based | Primary concept: Client Preference and Competence</w:t>
      </w:r>
    </w:p>
    <w:p>
      <w:pPr>
        <w:pStyle w:val="CTABody"/>
      </w:pPr>
      <w:r>
        <w:t>A client insists on receiving a specialized intervention from the current therapist and refuses to consider another provider. The therapist recognizes that the intervention exceeds the therapist’s present skill. What should guide the therapist’s response?</w:t>
      </w:r>
    </w:p>
    <w:p>
      <w:pPr>
        <w:pStyle w:val="CTAOption"/>
      </w:pPr>
      <w:r>
        <w:t>A. The therapist should not provide an intervention beyond current competence merely because the client strongly prefers it; the therapist should address the limitation and develop a safe plan</w:t>
      </w:r>
    </w:p>
    <w:p>
      <w:pPr>
        <w:pStyle w:val="CTAOption"/>
      </w:pPr>
      <w:r>
        <w:t>B. The client’s autonomy requires the therapist to provide any requested intervention</w:t>
      </w:r>
    </w:p>
    <w:p>
      <w:pPr>
        <w:pStyle w:val="CTAOption"/>
      </w:pPr>
      <w:r>
        <w:t>C. A signed waiver transfers responsibility for the therapist’s competence to the client</w:t>
      </w:r>
    </w:p>
    <w:p>
      <w:pPr>
        <w:pStyle w:val="CTAOption"/>
      </w:pPr>
      <w:r>
        <w:t>D. The therapist should conceal the competence concern to preserve the alliance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A</w:t>
            </w:r>
          </w:p>
        </w:tc>
        <w:trPr>
          <w:tblHeader/>
        </w:trPr>
      </w:tr>
    </w:tbl>
    <w:p>
      <w:pPr>
        <w:pStyle w:val="CTAH3"/>
      </w:pPr>
      <w:r>
        <w:t>Detailed Option-by-Option Rationales</w:t>
      </w:r>
    </w:p>
    <w:p>
      <w:pPr>
        <w:pStyle w:val="CTABody"/>
      </w:pPr>
      <w:r>
        <w:t>A. Correct. Client preference is important, but it does not require the clinician to provide services the clinician cannot deliver competently. The response should protect the client and address continuity.</w:t>
      </w:r>
    </w:p>
    <w:p>
      <w:pPr>
        <w:pStyle w:val="CTABody"/>
      </w:pPr>
      <w:r>
        <w:t>B. Incorrect. Autonomy allows clients to make informed choices among appropriate options; it does not compel unsafe or unprepared professional practice.</w:t>
      </w:r>
    </w:p>
    <w:p>
      <w:pPr>
        <w:pStyle w:val="CTABody"/>
      </w:pPr>
      <w:r>
        <w:t>C. Incorrect. A waiver cannot create competence or eliminate the clinician’s professional responsibility.</w:t>
      </w:r>
    </w:p>
    <w:p>
      <w:pPr>
        <w:pStyle w:val="CTABody"/>
      </w:pPr>
      <w:r>
        <w:t>D. Incorrect. Concealment prevents informed planning and allows the risk to continue.</w:t>
      </w:r>
    </w:p>
    <w:p>
      <w:pPr>
        <w:pStyle w:val="CTACallout"/>
      </w:pPr>
      <w:r>
        <w:t>CTA Exam Strategy: Balance autonomy with professional responsibility. A client may choose among appropriate services, but cannot create clinician competence by insisting.</w:t>
      </w:r>
    </w:p>
    <w:p>
      <w:pPr>
        <w:pStyle w:val="CTABody"/>
      </w:pPr>
      <w:r>
        <w:t>Remediation: Return to Workbook 3, Chapter 1: Professional Competence Foundations; review Client Preference and Competence; log error category COMPETENCE-FOUNDATIONS.</w:t>
      </w:r>
    </w:p>
    <w:p>
      <w:pPr>
        <w:pStyle w:val="CTASmall"/>
      </w:pPr>
      <w:r>
        <w:t>Primary source control: BPC 4996.9 and 4992.3; current BBS LCSW/ASW requirements; NASW competence standards</w:t>
      </w:r>
    </w:p>
    <w:p>
      <w:pPr>
        <w:pStyle w:val="CTAH2"/>
      </w:pPr>
      <w:r>
        <w:t>Question 14 | WB3-C1-Q014</w:t>
      </w:r>
    </w:p>
    <w:p>
      <w:pPr>
        <w:pStyle w:val="CTAMeta"/>
      </w:pPr>
      <w:r>
        <w:t>Difficulty: Difficult | Type: Scenario-Based | Primary concept: Cultural and Contextual Competence</w:t>
      </w:r>
    </w:p>
    <w:p>
      <w:pPr>
        <w:pStyle w:val="CTABody"/>
      </w:pPr>
      <w:r>
        <w:t>A therapist has substantial experience with one cultural community and assumes the same beliefs and family dynamics apply to a new client from a different community. The therapist does not ask the client about the client’s own context. What is the primary competence concern?</w:t>
      </w:r>
    </w:p>
    <w:p>
      <w:pPr>
        <w:pStyle w:val="CTAOption"/>
      </w:pPr>
      <w:r>
        <w:t>A. Cultural issues are unrelated to professional competence when the diagnosis is familiar</w:t>
      </w:r>
    </w:p>
    <w:p>
      <w:pPr>
        <w:pStyle w:val="CTAOption"/>
      </w:pPr>
      <w:r>
        <w:t>B. General multicultural training guarantees understanding of every client’s cultural experience</w:t>
      </w:r>
    </w:p>
    <w:p>
      <w:pPr>
        <w:pStyle w:val="CTAOption"/>
      </w:pPr>
      <w:r>
        <w:t>C. The therapist may be substituting assumptions for individualized cultural understanding, which can impair assessment and judgment</w:t>
      </w:r>
    </w:p>
    <w:p>
      <w:pPr>
        <w:pStyle w:val="CTAOption"/>
      </w:pPr>
      <w:r>
        <w:t>D. The therapist must share the client’s background to provide any treatment</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Cultural and contextual factors can affect meaning, communication, diagnosis, treatment, trust, and risk assessment.</w:t>
      </w:r>
    </w:p>
    <w:p>
      <w:pPr>
        <w:pStyle w:val="CTABody"/>
      </w:pPr>
      <w:r>
        <w:t>B. Incorrect. Training is valuable, but cultural humility requires individualized inquiry rather than assumptions of universal understanding.</w:t>
      </w:r>
    </w:p>
    <w:p>
      <w:pPr>
        <w:pStyle w:val="CTABody"/>
      </w:pPr>
      <w:r>
        <w:t>C. Correct. This identifies the actual concern: untested assumptions may distort professional judgment and client care.</w:t>
      </w:r>
    </w:p>
    <w:p>
      <w:pPr>
        <w:pStyle w:val="CTABody"/>
      </w:pPr>
      <w:r>
        <w:t>D. Incorrect. A shared background is not required. Competence involves humility, inquiry, responsiveness, and appropriate preparation.</w:t>
      </w:r>
    </w:p>
    <w:p>
      <w:pPr>
        <w:pStyle w:val="CTACallout"/>
      </w:pPr>
      <w:r>
        <w:t>CTA Exam Strategy: Cultural competence questions often test humility and individualized understanding—not claims of complete mastery or identity matching.</w:t>
      </w:r>
    </w:p>
    <w:p>
      <w:pPr>
        <w:pStyle w:val="CTABody"/>
      </w:pPr>
      <w:r>
        <w:t>Remediation: Return to Workbook 3, Chapter 1: Professional Competence Foundations; review Cultural and Contextual Competence; log error category COMPETENCE-FOUNDATIONS.</w:t>
      </w:r>
    </w:p>
    <w:p>
      <w:pPr>
        <w:pStyle w:val="CTASmall"/>
      </w:pPr>
      <w:r>
        <w:t>Primary source control: BPC 4996.9 and 4992.3; current BBS LCSW/ASW requirements; NASW competence standards</w:t>
      </w:r>
    </w:p>
    <w:p>
      <w:pPr>
        <w:pStyle w:val="CTAH2"/>
      </w:pPr>
      <w:r>
        <w:t>Question 15 | WB3-C1-Q015</w:t>
      </w:r>
    </w:p>
    <w:p>
      <w:pPr>
        <w:pStyle w:val="CTAMeta"/>
      </w:pPr>
      <w:r>
        <w:t>Difficulty: Difficult | Type: Scenario-Based | Primary concept: Urgent Risk and Competence</w:t>
      </w:r>
    </w:p>
    <w:p>
      <w:pPr>
        <w:pStyle w:val="CTABody"/>
      </w:pPr>
      <w:r>
        <w:t>A therapist with limited crisis experience learns that a client has an immediate plan and means to seriously harm another person. The therapist is unsure of every applicable legal detail. What is the strongest response?</w:t>
      </w:r>
    </w:p>
    <w:p>
      <w:pPr>
        <w:pStyle w:val="CTAOption"/>
      </w:pPr>
      <w:r>
        <w:t>A. Delay all action until the therapist completes additional training</w:t>
      </w:r>
    </w:p>
    <w:p>
      <w:pPr>
        <w:pStyle w:val="CTAOption"/>
      </w:pPr>
      <w:r>
        <w:t>B. Continue the routine session because uncertainty proves that no action is authorized</w:t>
      </w:r>
    </w:p>
    <w:p>
      <w:pPr>
        <w:pStyle w:val="CTAOption"/>
      </w:pPr>
      <w:r>
        <w:t>C. Terminate the client immediately without addressing the danger</w:t>
      </w:r>
    </w:p>
    <w:p>
      <w:pPr>
        <w:pStyle w:val="CTAOption"/>
      </w:pPr>
      <w:r>
        <w:t>D. Take necessary protective action within the therapist’s role while obtaining prompt qualified assistance and documenting the assessment and response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D</w:t>
            </w:r>
          </w:p>
        </w:tc>
        <w:trPr>
          <w:tblHeader/>
        </w:trPr>
      </w:tr>
    </w:tbl>
    <w:p>
      <w:pPr>
        <w:pStyle w:val="CTAH3"/>
      </w:pPr>
      <w:r>
        <w:t>Detailed Option-by-Option Rationales</w:t>
      </w:r>
    </w:p>
    <w:p>
      <w:pPr>
        <w:pStyle w:val="CTABody"/>
      </w:pPr>
      <w:r>
        <w:t>A. Incorrect. Training may be needed, but an urgent safety threat cannot wait for routine professional development.</w:t>
      </w:r>
    </w:p>
    <w:p>
      <w:pPr>
        <w:pStyle w:val="CTABody"/>
      </w:pPr>
      <w:r>
        <w:t>B. Incorrect. Uncertainty does not justify ignoring an immediate and serious risk.</w:t>
      </w:r>
    </w:p>
    <w:p>
      <w:pPr>
        <w:pStyle w:val="CTABody"/>
      </w:pPr>
      <w:r>
        <w:t>C. Incorrect. Ending the relationship without addressing the danger fails to protect the client or potential victim and may create additional problems.</w:t>
      </w:r>
    </w:p>
    <w:p>
      <w:pPr>
        <w:pStyle w:val="CTABody"/>
      </w:pPr>
      <w:r>
        <w:t>D. Correct. This response addresses the urgent risk while recognizing the need for immediate professional support and careful documentation.</w:t>
      </w:r>
    </w:p>
    <w:p>
      <w:pPr>
        <w:pStyle w:val="CTACallout"/>
      </w:pPr>
      <w:r>
        <w:t>CTA Exam Strategy: In a genuine emergency, client protection comes before routine competence-building steps. Seek prompt help without creating an unsafe delay.</w:t>
      </w:r>
    </w:p>
    <w:p>
      <w:pPr>
        <w:pStyle w:val="CTABody"/>
      </w:pPr>
      <w:r>
        <w:t>Remediation: Return to Workbook 3, Chapter 1: Professional Competence Foundations; review Urgent Risk and Competence; log error category COMPETENCE-FOUNDATIONS.</w:t>
      </w:r>
    </w:p>
    <w:p>
      <w:pPr>
        <w:pStyle w:val="CTASmall"/>
      </w:pPr>
      <w:r>
        <w:t>Primary source control: BPC 4996.9 and 4992.3; current BBS LCSW/ASW requirements; NASW competence standards</w:t>
      </w:r>
    </w:p>
    <w:p>
      <w:pPr>
        <w:pStyle w:val="CTAH2"/>
      </w:pPr>
      <w:r>
        <w:t>Question 16 | WB3-C1-Q016</w:t>
      </w:r>
    </w:p>
    <w:p>
      <w:pPr>
        <w:pStyle w:val="CTAMeta"/>
      </w:pPr>
      <w:r>
        <w:t>Difficulty: Difficult | Type: Scenario-Based | Primary concept: Impairment and Professional Responsibility</w:t>
      </w:r>
    </w:p>
    <w:p>
      <w:pPr>
        <w:pStyle w:val="CTABody"/>
      </w:pPr>
      <w:r>
        <w:t>A therapist is experiencing severe depression and medication side effects that are causing missed risk cues, memory problems, and repeated scheduling errors. The therapist continues a full caseload because taking action would reduce income. What is the most significant concern?</w:t>
      </w:r>
    </w:p>
    <w:p>
      <w:pPr>
        <w:pStyle w:val="CTAOption"/>
      </w:pPr>
      <w:r>
        <w:t>A. The therapist may be allowing personal and financial concerns to override the responsibility to assess and manage impairment affecting client care</w:t>
      </w:r>
    </w:p>
    <w:p>
      <w:pPr>
        <w:pStyle w:val="CTAOption"/>
      </w:pPr>
      <w:r>
        <w:t>B. Mental-health symptoms automatically require permanent loss of licensure</w:t>
      </w:r>
    </w:p>
    <w:p>
      <w:pPr>
        <w:pStyle w:val="CTAOption"/>
      </w:pPr>
      <w:r>
        <w:t>C. Income considerations establish that continuing the caseload is clinically necessary</w:t>
      </w:r>
    </w:p>
    <w:p>
      <w:pPr>
        <w:pStyle w:val="CTAOption"/>
      </w:pPr>
      <w:r>
        <w:t>D. The issue is private and unrelated to competence unless clients are told about the diagnosis</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A</w:t>
            </w:r>
          </w:p>
        </w:tc>
        <w:trPr>
          <w:tblHeader/>
        </w:trPr>
      </w:tr>
    </w:tbl>
    <w:p>
      <w:pPr>
        <w:pStyle w:val="CTAH3"/>
      </w:pPr>
      <w:r>
        <w:t>Detailed Option-by-Option Rationales</w:t>
      </w:r>
    </w:p>
    <w:p>
      <w:pPr>
        <w:pStyle w:val="CTABody"/>
      </w:pPr>
      <w:r>
        <w:t>A. Correct. The described effects are impairing professional performance. The therapist must assess and manage the impact rather than prioritize income over client safety.</w:t>
      </w:r>
    </w:p>
    <w:p>
      <w:pPr>
        <w:pStyle w:val="CTABody"/>
      </w:pPr>
      <w:r>
        <w:t>B. Incorrect. A diagnosis does not automatically establish permanent inability to practice. The focus is the actual effect on professional functioning and the response.</w:t>
      </w:r>
    </w:p>
    <w:p>
      <w:pPr>
        <w:pStyle w:val="CTABody"/>
      </w:pPr>
      <w:r>
        <w:t>C. Incorrect. Financial pressure does not justify continuing services when functioning may be unsafe.</w:t>
      </w:r>
    </w:p>
    <w:p>
      <w:pPr>
        <w:pStyle w:val="CTABody"/>
      </w:pPr>
      <w:r>
        <w:t>D. Incorrect. The issue is professionally relevant because it is affecting judgment, reliability, and risk recognition, regardless of disclosure to clients.</w:t>
      </w:r>
    </w:p>
    <w:p>
      <w:pPr>
        <w:pStyle w:val="CTACallout"/>
      </w:pPr>
      <w:r>
        <w:t>CTA Exam Strategy: Do not stigmatize a diagnosis. Analyze the effect on professional functioning and whether the clinician responds responsibly.</w:t>
      </w:r>
    </w:p>
    <w:p>
      <w:pPr>
        <w:pStyle w:val="CTABody"/>
      </w:pPr>
      <w:r>
        <w:t>Remediation: Return to Workbook 3, Chapter 1: Professional Competence Foundations; review Impairment and Professional Responsibility; log error category COMPETENCE-FOUNDATIONS.</w:t>
      </w:r>
    </w:p>
    <w:p>
      <w:pPr>
        <w:pStyle w:val="CTASmall"/>
      </w:pPr>
      <w:r>
        <w:t>Primary source control: BPC 4996.9 and 4992.3; current BBS LCSW/ASW requirements; NASW competence standards</w:t>
      </w:r>
    </w:p>
    <w:p>
      <w:pPr>
        <w:pStyle w:val="CTAH2"/>
      </w:pPr>
      <w:r>
        <w:t>Question 17 | WB3-C1-Q017</w:t>
      </w:r>
    </w:p>
    <w:p>
      <w:pPr>
        <w:pStyle w:val="CTAMeta"/>
      </w:pPr>
      <w:r>
        <w:t>Difficulty: Difficult | Type: Integrated Challenge | Primary concept: Comprehensive Competence Analysis</w:t>
      </w:r>
    </w:p>
    <w:p>
      <w:pPr>
        <w:pStyle w:val="CTABody"/>
      </w:pPr>
      <w:r>
        <w:t>A therapist holds a valid license, has 15 years of general experience, and feels confident. The therapist has never treated the client’s specialized high-risk condition, has read only one brief article about the proposed intervention, notices strong personal reactions to the client, and plans to proceed without further evaluation. Which response best reflects the therapist’s responsibilities?</w:t>
      </w:r>
    </w:p>
    <w:p>
      <w:pPr>
        <w:pStyle w:val="CTAOption"/>
      </w:pPr>
      <w:r>
        <w:t>A. Proceed because licensure, experience, and confidence collectively establish competence</w:t>
      </w:r>
    </w:p>
    <w:p>
      <w:pPr>
        <w:pStyle w:val="CTAOption"/>
      </w:pPr>
      <w:r>
        <w:t>B. Identify the specific preparation and self-awareness concerns, assess client risk and urgency, and choose a proportionate safe response before providing the specialized service</w:t>
      </w:r>
    </w:p>
    <w:p>
      <w:pPr>
        <w:pStyle w:val="CTAOption"/>
      </w:pPr>
      <w:r>
        <w:t>C. Ask the client to sign a waiver accepting the therapist’s limited preparation</w:t>
      </w:r>
    </w:p>
    <w:p>
      <w:pPr>
        <w:pStyle w:val="CTAOption"/>
      </w:pPr>
      <w:r>
        <w:t>D. Ignore the concerns unless treatment fails or a complaint is filed</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B</w:t>
            </w:r>
          </w:p>
        </w:tc>
        <w:trPr>
          <w:tblHeader/>
        </w:trPr>
      </w:tr>
    </w:tbl>
    <w:p>
      <w:pPr>
        <w:pStyle w:val="CTAH3"/>
      </w:pPr>
      <w:r>
        <w:t>Detailed Option-by-Option Rationales</w:t>
      </w:r>
    </w:p>
    <w:p>
      <w:pPr>
        <w:pStyle w:val="CTABody"/>
      </w:pPr>
      <w:r>
        <w:t>A. Incorrect. Licensure, general experience, and confidence do not overcome the absence of directly relevant preparation or the possible effect of personal reactions.</w:t>
      </w:r>
    </w:p>
    <w:p>
      <w:pPr>
        <w:pStyle w:val="CTABody"/>
      </w:pPr>
      <w:r>
        <w:t>B. Correct. This integrates the chapter’s core sequence: identify the actual gaps, evaluate the clinician factors, assess client risk, and select a safe proportionate response.</w:t>
      </w:r>
    </w:p>
    <w:p>
      <w:pPr>
        <w:pStyle w:val="CTABody"/>
      </w:pPr>
      <w:r>
        <w:t>C. Incorrect. A waiver cannot create competence or transfer the clinician’s responsibility to the client.</w:t>
      </w:r>
    </w:p>
    <w:p>
      <w:pPr>
        <w:pStyle w:val="CTABody"/>
      </w:pPr>
      <w:r>
        <w:t>D. Incorrect. The clinician should address warning signs proactively rather than waiting for failure, harm, or complaint.</w:t>
      </w:r>
    </w:p>
    <w:p>
      <w:pPr>
        <w:pStyle w:val="CTACallout"/>
      </w:pPr>
      <w:r>
        <w:t>CTA Exam Strategy: For integrated competence questions, organize the facts: actual preparation, current functioning, client risk, urgency, and the least disruptive safe response.</w:t>
      </w:r>
    </w:p>
    <w:p>
      <w:pPr>
        <w:pStyle w:val="CTABody"/>
      </w:pPr>
      <w:r>
        <w:t>Remediation: Return to Workbook 3, Chapter 1: Professional Competence Foundations; review Comprehensive Competence Analysis; log error category COMPETENCE-FOUNDATIONS.</w:t>
      </w:r>
    </w:p>
    <w:p>
      <w:pPr>
        <w:pStyle w:val="CTASmall"/>
      </w:pPr>
      <w:r>
        <w:t>Primary source control: BPC 4996.9 and 4992.3; current BBS LCSW/ASW requirements; NASW competence standards</w:t>
      </w:r>
    </w:p>
    <w:p>
      <w:r>
        <w:br w:type="page"/>
      </w:r>
    </w:p>
    <w:p>
      <w:pPr>
        <w:pStyle w:val="CTAH1"/>
      </w:pPr>
      <w:r>
        <w:t>Chapter 2: Controlled Rationales</w:t>
      </w:r>
    </w:p>
    <w:p>
      <w:pPr>
        <w:pStyle w:val="CTASubtitle"/>
      </w:pPr>
      <w:r>
        <w:t>Scope of Practice vs. Scope of Competence</w:t>
      </w:r>
    </w:p>
    <w:p>
      <w:pPr>
        <w:pStyle w:val="CTAH2"/>
      </w:pPr>
      <w:r>
        <w:t>Question 18 | WB3-C2-Q001</w:t>
      </w:r>
    </w:p>
    <w:p>
      <w:pPr>
        <w:pStyle w:val="CTAMeta"/>
      </w:pPr>
      <w:r>
        <w:t>Difficulty: Easy | Type: Knowledge | Primary concept: Profession-scope gate</w:t>
      </w:r>
    </w:p>
    <w:p>
      <w:pPr>
        <w:pStyle w:val="CTABody"/>
      </w:pPr>
      <w:r>
        <w:t>Which question belongs to the profession-scope gate of the S-C-A analysis?</w:t>
      </w:r>
    </w:p>
    <w:p>
      <w:pPr>
        <w:pStyle w:val="CTAOption"/>
      </w:pPr>
      <w:r>
        <w:t>A. Does the clinician feel confident about the service?</w:t>
      </w:r>
    </w:p>
    <w:p>
      <w:pPr>
        <w:pStyle w:val="CTAOption"/>
      </w:pPr>
      <w:r>
        <w:t>B. Is the service part of clinical social work as California law defines it?</w:t>
      </w:r>
    </w:p>
    <w:p>
      <w:pPr>
        <w:pStyle w:val="CTAOption"/>
      </w:pPr>
      <w:r>
        <w:t>C. Has the employer approved the service?</w:t>
      </w:r>
    </w:p>
    <w:p>
      <w:pPr>
        <w:pStyle w:val="CTAOption"/>
      </w:pPr>
      <w:r>
        <w:t>D. Would a consultant be available if needed?</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B</w:t>
            </w:r>
          </w:p>
        </w:tc>
        <w:trPr>
          <w:tblHeader/>
        </w:trPr>
      </w:tr>
    </w:tbl>
    <w:p>
      <w:pPr>
        <w:pStyle w:val="CTAH3"/>
      </w:pPr>
      <w:r>
        <w:t>Detailed Option-by-Option Rationales</w:t>
      </w:r>
    </w:p>
    <w:p>
      <w:pPr>
        <w:pStyle w:val="CTABody"/>
      </w:pPr>
      <w:r>
        <w:t>A. Incorrect. Confidence, employer permission, and consultation are separate from statutory profession scope.</w:t>
      </w:r>
    </w:p>
    <w:p>
      <w:pPr>
        <w:pStyle w:val="CTABody"/>
      </w:pPr>
      <w:r>
        <w:t>B. Correct. The first gate asks whether the service is within the statutory scope of clinical social work.</w:t>
      </w:r>
    </w:p>
    <w:p>
      <w:pPr>
        <w:pStyle w:val="CTABody"/>
      </w:pPr>
      <w:r>
        <w:t>C. Incorrect. Confidence, employer permission, and consultation are separate from statutory profession scope.</w:t>
      </w:r>
    </w:p>
    <w:p>
      <w:pPr>
        <w:pStyle w:val="CTABody"/>
      </w:pPr>
      <w:r>
        <w:t>D. Incorrect. Confidence, employer permission, and consultation are separate from statutory profession scope.</w:t>
      </w:r>
    </w:p>
    <w:p>
      <w:pPr>
        <w:pStyle w:val="CTACallout"/>
      </w:pPr>
      <w:r>
        <w:t>CTA Exam Strategy: Start with the service category and profession scope before competence and authority.</w:t>
      </w:r>
    </w:p>
    <w:p>
      <w:pPr>
        <w:pStyle w:val="CTABody"/>
      </w:pPr>
      <w:r>
        <w:t>Remediation: Return to Workbook 3, Chapter 2: Scope of Practice vs. Scope of Competence; review Profession-scope gate; log error category SCOPE-GATE.</w:t>
      </w:r>
    </w:p>
    <w:p>
      <w:pPr>
        <w:pStyle w:val="CTASmall"/>
      </w:pPr>
      <w:r>
        <w:t>Primary source control: BPC 4996.9 and 4992.3; current BBS ASW supervision/setting guidance; NASW Code of Ethics 1.04</w:t>
      </w:r>
    </w:p>
    <w:p>
      <w:pPr>
        <w:pStyle w:val="CTAH2"/>
      </w:pPr>
      <w:r>
        <w:t>Question 19 | WB3-C2-Q002</w:t>
      </w:r>
    </w:p>
    <w:p>
      <w:pPr>
        <w:pStyle w:val="CTAMeta"/>
      </w:pPr>
      <w:r>
        <w:t>Difficulty: Easy | Type: Application | Primary concept: Competence and present authority</w:t>
      </w:r>
    </w:p>
    <w:p>
      <w:pPr>
        <w:pStyle w:val="CTABody"/>
      </w:pPr>
      <w:r>
        <w:t>A service is within the legal scope of clinical social work. What must the clinician determine NEXT?</w:t>
      </w:r>
    </w:p>
    <w:p>
      <w:pPr>
        <w:pStyle w:val="CTAOption"/>
      </w:pPr>
      <w:r>
        <w:t>A. Whether the service is popular in the clinician’s setting.</w:t>
      </w:r>
    </w:p>
    <w:p>
      <w:pPr>
        <w:pStyle w:val="CTAOption"/>
      </w:pPr>
      <w:r>
        <w:t>B. Whether another profession also provides the service.</w:t>
      </w:r>
    </w:p>
    <w:p>
      <w:pPr>
        <w:pStyle w:val="CTAOption"/>
      </w:pPr>
      <w:r>
        <w:t>C. Whether the individual clinician is competent and presently authorized to provide it.</w:t>
      </w:r>
    </w:p>
    <w:p>
      <w:pPr>
        <w:pStyle w:val="CTAOption"/>
      </w:pPr>
      <w:r>
        <w:t>D. Whether the client has previously received the service.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The alternative does not establish this clinician’s competence or authority now.</w:t>
      </w:r>
    </w:p>
    <w:p>
      <w:pPr>
        <w:pStyle w:val="CTABody"/>
      </w:pPr>
      <w:r>
        <w:t>B. Incorrect. The alternative does not establish this clinician’s competence or authority now.</w:t>
      </w:r>
    </w:p>
    <w:p>
      <w:pPr>
        <w:pStyle w:val="CTABody"/>
      </w:pPr>
      <w:r>
        <w:t>C. Correct. Legal scope is necessary but not sufficient; actual competence and present authority must also be established.</w:t>
      </w:r>
    </w:p>
    <w:p>
      <w:pPr>
        <w:pStyle w:val="CTABody"/>
      </w:pPr>
      <w:r>
        <w:t>D. Incorrect. The alternative does not establish this clinician’s competence or authority now.</w:t>
      </w:r>
    </w:p>
    <w:p>
      <w:pPr>
        <w:pStyle w:val="CTACallout"/>
      </w:pPr>
      <w:r>
        <w:t>CTA Exam Strategy: After SCOPE, test CAPABILITY and AUTHORITY NOW.</w:t>
      </w:r>
    </w:p>
    <w:p>
      <w:pPr>
        <w:pStyle w:val="CTABody"/>
      </w:pPr>
      <w:r>
        <w:t>Remediation: Return to Workbook 3, Chapter 2: Scope of Practice vs. Scope of Competence; review Competence and present authority; log error category SCA-SEQUENCE.</w:t>
      </w:r>
    </w:p>
    <w:p>
      <w:pPr>
        <w:pStyle w:val="CTASmall"/>
      </w:pPr>
      <w:r>
        <w:t>Primary source control: BPC 4996.9 and 4992.3; current BBS ASW supervision/setting guidance; NASW Code of Ethics 1.04</w:t>
      </w:r>
    </w:p>
    <w:p>
      <w:pPr>
        <w:pStyle w:val="CTAH2"/>
      </w:pPr>
      <w:r>
        <w:t>Question 20 | WB3-C2-Q003</w:t>
      </w:r>
    </w:p>
    <w:p>
      <w:pPr>
        <w:pStyle w:val="CTAMeta"/>
      </w:pPr>
      <w:r>
        <w:t>Difficulty: Moderate | Type: Scenario-Based | Primary concept: Specialized intervention preparation</w:t>
      </w:r>
    </w:p>
    <w:p>
      <w:pPr>
        <w:pStyle w:val="CTABody"/>
      </w:pPr>
      <w:r>
        <w:t>An LCSW completed a brief introductory webinar on a specialized trauma method and wants to use the full protocol with a highly dissociative client the next day. What is the BEST response?</w:t>
      </w:r>
    </w:p>
    <w:p>
      <w:pPr>
        <w:pStyle w:val="CTAOption"/>
      </w:pPr>
      <w:r>
        <w:t>A. Use the full protocol because trauma treatment is within LCSW scope.</w:t>
      </w:r>
    </w:p>
    <w:p>
      <w:pPr>
        <w:pStyle w:val="CTAOption"/>
      </w:pPr>
      <w:r>
        <w:t>B. Use only interventions already within competence, obtain adequate training and consultation, and arrange specialty care when needed.</w:t>
      </w:r>
    </w:p>
    <w:p>
      <w:pPr>
        <w:pStyle w:val="CTAOption"/>
      </w:pPr>
      <w:r>
        <w:t>C. Refer every trauma client immediately because specialty methods are outside social-work scope.</w:t>
      </w:r>
    </w:p>
    <w:p>
      <w:pPr>
        <w:pStyle w:val="CTAOption"/>
      </w:pPr>
      <w:r>
        <w:t>D. Proceed if the client signs an informed-consent form acknowledging the clinician’s limited experience.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B</w:t>
            </w:r>
          </w:p>
        </w:tc>
        <w:trPr>
          <w:tblHeader/>
        </w:trPr>
      </w:tr>
    </w:tbl>
    <w:p>
      <w:pPr>
        <w:pStyle w:val="CTAH3"/>
      </w:pPr>
      <w:r>
        <w:t>Detailed Option-by-Option Rationales</w:t>
      </w:r>
    </w:p>
    <w:p>
      <w:pPr>
        <w:pStyle w:val="CTABody"/>
      </w:pPr>
      <w:r>
        <w:t>A. Incorrect. Scope, client consent, or automatic referral does not substitute for method-specific competence and proportionate continuity planning.</w:t>
      </w:r>
    </w:p>
    <w:p>
      <w:pPr>
        <w:pStyle w:val="CTABody"/>
      </w:pPr>
      <w:r>
        <w:t>B. Correct. A broad psychotherapy scope does not prove competence for a specialized high-risk protocol.</w:t>
      </w:r>
    </w:p>
    <w:p>
      <w:pPr>
        <w:pStyle w:val="CTABody"/>
      </w:pPr>
      <w:r>
        <w:t>C. Incorrect. Scope, client consent, or automatic referral does not substitute for method-specific competence and proportionate continuity planning.</w:t>
      </w:r>
    </w:p>
    <w:p>
      <w:pPr>
        <w:pStyle w:val="CTABody"/>
      </w:pPr>
      <w:r>
        <w:t>D. Incorrect. Scope, client consent, or automatic referral does not substitute for method-specific competence and proportionate continuity planning.</w:t>
      </w:r>
    </w:p>
    <w:p>
      <w:pPr>
        <w:pStyle w:val="CTACallout"/>
      </w:pPr>
      <w:r>
        <w:t>CTA Exam Strategy: Match preparation to method complexity and client risk.</w:t>
      </w:r>
    </w:p>
    <w:p>
      <w:pPr>
        <w:pStyle w:val="CTABody"/>
      </w:pPr>
      <w:r>
        <w:t>Remediation: Return to Workbook 3, Chapter 2: Scope of Practice vs. Scope of Competence; review Specialized intervention preparation; log error category SPECIALIZED-COMPETENCE.</w:t>
      </w:r>
    </w:p>
    <w:p>
      <w:pPr>
        <w:pStyle w:val="CTASmall"/>
      </w:pPr>
      <w:r>
        <w:t>Primary source control: BPC 4996.9 and 4992.3; current BBS ASW supervision/setting guidance; NASW Code of Ethics 1.04</w:t>
      </w:r>
    </w:p>
    <w:p>
      <w:pPr>
        <w:pStyle w:val="CTAH2"/>
      </w:pPr>
      <w:r>
        <w:t>Question 21 | WB3-C2-Q004</w:t>
      </w:r>
    </w:p>
    <w:p>
      <w:pPr>
        <w:pStyle w:val="CTAMeta"/>
      </w:pPr>
      <w:r>
        <w:t>Difficulty: Moderate | Type: Scenario-Based | Primary concept: ASW present authority</w:t>
      </w:r>
    </w:p>
    <w:p>
      <w:pPr>
        <w:pStyle w:val="CTABody"/>
      </w:pPr>
      <w:r>
        <w:t>An ASW is offered a 1099 contract to provide psychotherapy while receiving weekly consultation from an LCSW. Which issue is PRIMARY?</w:t>
      </w:r>
    </w:p>
    <w:p>
      <w:pPr>
        <w:pStyle w:val="CTAOption"/>
      </w:pPr>
      <w:r>
        <w:t>A. The profession-scope gate, because psychotherapy is outside clinical social work.</w:t>
      </w:r>
    </w:p>
    <w:p>
      <w:pPr>
        <w:pStyle w:val="CTAOption"/>
      </w:pPr>
      <w:r>
        <w:t>B. The competence gate, because consultation proves the ASW is not competent.</w:t>
      </w:r>
    </w:p>
    <w:p>
      <w:pPr>
        <w:pStyle w:val="CTAOption"/>
      </w:pPr>
      <w:r>
        <w:t>C. The present-authority gate, because consultation does not make an independent-contractor arrangement lawful for an ASW.</w:t>
      </w:r>
    </w:p>
    <w:p>
      <w:pPr>
        <w:pStyle w:val="CTAOption"/>
      </w:pPr>
      <w:r>
        <w:t>D. The client-preference gate, because the arrangement is permissible if clients agree.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The alternative confuses profession scope, competence, or client preference with the ASW’s present legal authority.</w:t>
      </w:r>
    </w:p>
    <w:p>
      <w:pPr>
        <w:pStyle w:val="CTABody"/>
      </w:pPr>
      <w:r>
        <w:t>B. Incorrect. The alternative confuses profession scope, competence, or client preference with the ASW’s present legal authority.</w:t>
      </w:r>
    </w:p>
    <w:p>
      <w:pPr>
        <w:pStyle w:val="CTABody"/>
      </w:pPr>
      <w:r>
        <w:t>C. Correct. The ASW must satisfy the lawful employment, setting, registration, and supervision structure; consultation cannot legalize an impermissible arrangement.</w:t>
      </w:r>
    </w:p>
    <w:p>
      <w:pPr>
        <w:pStyle w:val="CTABody"/>
      </w:pPr>
      <w:r>
        <w:t>D. Incorrect. The alternative confuses profession scope, competence, or client preference with the ASW’s present legal authority.</w:t>
      </w:r>
    </w:p>
    <w:p>
      <w:pPr>
        <w:pStyle w:val="CTACallout"/>
      </w:pPr>
      <w:r>
        <w:t>CTA Exam Strategy: For ASWs, add employment, setting, registration, and supervision to the authority-now gate.</w:t>
      </w:r>
    </w:p>
    <w:p>
      <w:pPr>
        <w:pStyle w:val="CTABody"/>
      </w:pPr>
      <w:r>
        <w:t>Remediation: Return to Workbook 3, Chapter 2: Scope of Practice vs. Scope of Competence; review ASW present authority; log error category PRESENT-AUTHORITY.</w:t>
      </w:r>
    </w:p>
    <w:p>
      <w:pPr>
        <w:pStyle w:val="CTASmall"/>
      </w:pPr>
      <w:r>
        <w:t>Primary source control: BPC 4996.9 and 4992.3; current BBS ASW supervision/setting guidance; NASW Code of Ethics 1.04</w:t>
      </w:r>
    </w:p>
    <w:p>
      <w:pPr>
        <w:pStyle w:val="CTAH2"/>
      </w:pPr>
      <w:r>
        <w:t>Question 22 | WB3-C2-Q005</w:t>
      </w:r>
    </w:p>
    <w:p>
      <w:pPr>
        <w:pStyle w:val="CTAMeta"/>
      </w:pPr>
      <w:r>
        <w:t>Difficulty: Easy | Type: Knowledge | Primary concept: Consultation</w:t>
      </w:r>
    </w:p>
    <w:p>
      <w:pPr>
        <w:pStyle w:val="CTABody"/>
      </w:pPr>
      <w:r>
        <w:t>Which statement BEST describes consultation?</w:t>
      </w:r>
    </w:p>
    <w:p>
      <w:pPr>
        <w:pStyle w:val="CTAOption"/>
      </w:pPr>
      <w:r>
        <w:t>A. It transfers professional responsibility to the consultant.</w:t>
      </w:r>
    </w:p>
    <w:p>
      <w:pPr>
        <w:pStyle w:val="CTAOption"/>
      </w:pPr>
      <w:r>
        <w:t>B. It can support decision-making but does not automatically create competence or legal authority.</w:t>
      </w:r>
    </w:p>
    <w:p>
      <w:pPr>
        <w:pStyle w:val="CTAOption"/>
      </w:pPr>
      <w:r>
        <w:t>C. It replaces required supervision when the consultant is independently licensed.</w:t>
      </w:r>
    </w:p>
    <w:p>
      <w:pPr>
        <w:pStyle w:val="CTAOption"/>
      </w:pPr>
      <w:r>
        <w:t>D. It permits a clinician to provide any service within the profession’s general scope.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B</w:t>
            </w:r>
          </w:p>
        </w:tc>
        <w:trPr>
          <w:tblHeader/>
        </w:trPr>
      </w:tr>
    </w:tbl>
    <w:p>
      <w:pPr>
        <w:pStyle w:val="CTAH3"/>
      </w:pPr>
      <w:r>
        <w:t>Detailed Option-by-Option Rationales</w:t>
      </w:r>
    </w:p>
    <w:p>
      <w:pPr>
        <w:pStyle w:val="CTABody"/>
      </w:pPr>
      <w:r>
        <w:t>A. Incorrect. The alternative gives consultation authority or legal effect it does not have.</w:t>
      </w:r>
    </w:p>
    <w:p>
      <w:pPr>
        <w:pStyle w:val="CTABody"/>
      </w:pPr>
      <w:r>
        <w:t>B. Correct. Consultation supports reasoning but does not transfer responsibility, expand scope, create competence, or replace required supervision.</w:t>
      </w:r>
    </w:p>
    <w:p>
      <w:pPr>
        <w:pStyle w:val="CTABody"/>
      </w:pPr>
      <w:r>
        <w:t>C. Incorrect. The alternative gives consultation authority or legal effect it does not have.</w:t>
      </w:r>
    </w:p>
    <w:p>
      <w:pPr>
        <w:pStyle w:val="CTABody"/>
      </w:pPr>
      <w:r>
        <w:t>D. Incorrect. The alternative gives consultation authority or legal effect it does not have.</w:t>
      </w:r>
    </w:p>
    <w:p>
      <w:pPr>
        <w:pStyle w:val="CTACallout"/>
      </w:pPr>
      <w:r>
        <w:t>CTA Exam Strategy: Consultation can identify a pathway to competence; it is not proof that the pathway is complete.</w:t>
      </w:r>
    </w:p>
    <w:p>
      <w:pPr>
        <w:pStyle w:val="CTABody"/>
      </w:pPr>
      <w:r>
        <w:t>Remediation: Return to Workbook 3, Chapter 2: Scope of Practice vs. Scope of Competence; review Consultation; log error category CONSULTATION.</w:t>
      </w:r>
    </w:p>
    <w:p>
      <w:pPr>
        <w:pStyle w:val="CTASmall"/>
      </w:pPr>
      <w:r>
        <w:t>Primary source control: BPC 4996.9 and 4992.3; current BBS ASW supervision/setting guidance; NASW Code of Ethics 1.04</w:t>
      </w:r>
    </w:p>
    <w:p>
      <w:pPr>
        <w:pStyle w:val="CTAH2"/>
      </w:pPr>
      <w:r>
        <w:t>Question 23 | WB3-C2-Q006</w:t>
      </w:r>
    </w:p>
    <w:p>
      <w:pPr>
        <w:pStyle w:val="CTAMeta"/>
      </w:pPr>
      <w:r>
        <w:t>Difficulty: Difficult | Type: Scenario-Based | Primary concept: Urgent bridge action</w:t>
      </w:r>
    </w:p>
    <w:p>
      <w:pPr>
        <w:pStyle w:val="CTABody"/>
      </w:pPr>
      <w:r>
        <w:t>A rural LCSW with general crisis competence encounters a client with acute risk and a rare condition outside the clinician’s specialty. The nearest specialist is several hours away. What should the clinician do FIRST?</w:t>
      </w:r>
    </w:p>
    <w:p>
      <w:pPr>
        <w:pStyle w:val="CTAOption"/>
      </w:pPr>
      <w:r>
        <w:t>A. Provide necessary stabilization within competence, seek consultation, and arrange appropriate care.</w:t>
      </w:r>
    </w:p>
    <w:p>
      <w:pPr>
        <w:pStyle w:val="CTAOption"/>
      </w:pPr>
      <w:r>
        <w:t>B. Decline all involvement because the condition is outside the clinician’s specialty.</w:t>
      </w:r>
    </w:p>
    <w:p>
      <w:pPr>
        <w:pStyle w:val="CTAOption"/>
      </w:pPr>
      <w:r>
        <w:t>C. Begin long-term specialty treatment because emergency circumstances expand competence permanently.</w:t>
      </w:r>
    </w:p>
    <w:p>
      <w:pPr>
        <w:pStyle w:val="CTAOption"/>
      </w:pPr>
      <w:r>
        <w:t>D. Wait for the specialist before taking any protective action.</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A</w:t>
            </w:r>
          </w:p>
        </w:tc>
        <w:trPr>
          <w:tblHeader/>
        </w:trPr>
      </w:tr>
    </w:tbl>
    <w:p>
      <w:pPr>
        <w:pStyle w:val="CTAH3"/>
      </w:pPr>
      <w:r>
        <w:t>Detailed Option-by-Option Rationales</w:t>
      </w:r>
    </w:p>
    <w:p>
      <w:pPr>
        <w:pStyle w:val="CTABody"/>
      </w:pPr>
      <w:r>
        <w:t>A. Correct. A competence limitation does not justify abandoning immediate safety duties; stabilize within lawful competence and obtain prompt qualified help.</w:t>
      </w:r>
    </w:p>
    <w:p>
      <w:pPr>
        <w:pStyle w:val="CTABody"/>
      </w:pPr>
      <w:r>
        <w:t>B. Incorrect. The alternative either delays needed protection or treats urgency as unlimited specialty competence.</w:t>
      </w:r>
    </w:p>
    <w:p>
      <w:pPr>
        <w:pStyle w:val="CTABody"/>
      </w:pPr>
      <w:r>
        <w:t>C. Incorrect. The alternative either delays needed protection or treats urgency as unlimited specialty competence.</w:t>
      </w:r>
    </w:p>
    <w:p>
      <w:pPr>
        <w:pStyle w:val="CTABody"/>
      </w:pPr>
      <w:r>
        <w:t>D. Incorrect. The alternative either delays needed protection or treats urgency as unlimited specialty competence.</w:t>
      </w:r>
    </w:p>
    <w:p>
      <w:pPr>
        <w:pStyle w:val="CTACallout"/>
      </w:pPr>
      <w:r>
        <w:t>CTA Exam Strategy: Emergency bridge reasoning is narrow: protect now, then collaborate or transfer appropriately.</w:t>
      </w:r>
    </w:p>
    <w:p>
      <w:pPr>
        <w:pStyle w:val="CTABody"/>
      </w:pPr>
      <w:r>
        <w:t>Remediation: Return to Workbook 3, Chapter 2: Scope of Practice vs. Scope of Competence; review Urgent bridge action; log error category URGENT-BRIDGE.</w:t>
      </w:r>
    </w:p>
    <w:p>
      <w:pPr>
        <w:pStyle w:val="CTASmall"/>
      </w:pPr>
      <w:r>
        <w:t>Primary source control: BPC 4996.9 and 4992.3; current BBS ASW supervision/setting guidance; NASW Code of Ethics 1.04</w:t>
      </w:r>
    </w:p>
    <w:p>
      <w:pPr>
        <w:pStyle w:val="CTAH2"/>
      </w:pPr>
      <w:r>
        <w:t>Question 24 | WB3-C2-Q007</w:t>
      </w:r>
    </w:p>
    <w:p>
      <w:pPr>
        <w:pStyle w:val="CTAMeta"/>
      </w:pPr>
      <w:r>
        <w:t>Difficulty: Easy | Type: Knowledge | Primary concept: Individual competence</w:t>
      </w:r>
    </w:p>
    <w:p>
      <w:pPr>
        <w:pStyle w:val="CTABody"/>
      </w:pPr>
      <w:r>
        <w:t>Which fact most directly concerns individual competence rather than profession scope or present authority?</w:t>
      </w:r>
    </w:p>
    <w:p>
      <w:pPr>
        <w:pStyle w:val="CTAOption"/>
      </w:pPr>
      <w:r>
        <w:t>A. The ASW’s registration is expired.</w:t>
      </w:r>
    </w:p>
    <w:p>
      <w:pPr>
        <w:pStyle w:val="CTAOption"/>
      </w:pPr>
      <w:r>
        <w:t>B. The service is not included within clinical social work.</w:t>
      </w:r>
    </w:p>
    <w:p>
      <w:pPr>
        <w:pStyle w:val="CTAOption"/>
      </w:pPr>
      <w:r>
        <w:t>C. The clinician lacks training and supervised experience with the specialized intervention.</w:t>
      </w:r>
    </w:p>
    <w:p>
      <w:pPr>
        <w:pStyle w:val="CTAOption"/>
      </w:pPr>
      <w:r>
        <w:t>D. The employer prohibits the service in that setting.</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The alternative concerns profession scope or present legal/organizational authority rather than individual competence.</w:t>
      </w:r>
    </w:p>
    <w:p>
      <w:pPr>
        <w:pStyle w:val="CTABody"/>
      </w:pPr>
      <w:r>
        <w:t>B. Incorrect. The alternative concerns profession scope or present legal/organizational authority rather than individual competence.</w:t>
      </w:r>
    </w:p>
    <w:p>
      <w:pPr>
        <w:pStyle w:val="CTABody"/>
      </w:pPr>
      <w:r>
        <w:t>C. Correct. Training and supervised experience are direct evidence of the clinician’s ability to perform the specific intervention.</w:t>
      </w:r>
    </w:p>
    <w:p>
      <w:pPr>
        <w:pStyle w:val="CTABody"/>
      </w:pPr>
      <w:r>
        <w:t>D. Incorrect. The alternative concerns profession scope or present legal/organizational authority rather than individual competence.</w:t>
      </w:r>
    </w:p>
    <w:p>
      <w:pPr>
        <w:pStyle w:val="CTACallout"/>
      </w:pPr>
      <w:r>
        <w:t>CTA Exam Strategy: Separate profession scope, clinician competence, and authority now.</w:t>
      </w:r>
    </w:p>
    <w:p>
      <w:pPr>
        <w:pStyle w:val="CTABody"/>
      </w:pPr>
      <w:r>
        <w:t>Remediation: Return to Workbook 3, Chapter 2: Scope of Practice vs. Scope of Competence; review Individual competence; log error category COMPETENCE-GATE.</w:t>
      </w:r>
    </w:p>
    <w:p>
      <w:pPr>
        <w:pStyle w:val="CTASmall"/>
      </w:pPr>
      <w:r>
        <w:t>Primary source control: BPC 4996.9 and 4992.3; current BBS ASW supervision/setting guidance; NASW Code of Ethics 1.04</w:t>
      </w:r>
    </w:p>
    <w:p>
      <w:pPr>
        <w:pStyle w:val="CTAH2"/>
      </w:pPr>
      <w:r>
        <w:t>Question 25 | WB3-C2-Q008</w:t>
      </w:r>
    </w:p>
    <w:p>
      <w:pPr>
        <w:pStyle w:val="CTAMeta"/>
      </w:pPr>
      <w:r>
        <w:t>Difficulty: Moderate | Type: Scenario-Based | Primary concept: Instrument-specific qualifications</w:t>
      </w:r>
    </w:p>
    <w:p>
      <w:pPr>
        <w:pStyle w:val="CTABody"/>
      </w:pPr>
      <w:r>
        <w:t>A licensed clinician has years of general practice experience but no training with a specialized assessment instrument requiring publisher qualifications. What is the BEST conclusion?</w:t>
      </w:r>
    </w:p>
    <w:p>
      <w:pPr>
        <w:pStyle w:val="CTAOption"/>
      </w:pPr>
      <w:r>
        <w:t>A. Years in practice establish competence for all assessment instruments.</w:t>
      </w:r>
    </w:p>
    <w:p>
      <w:pPr>
        <w:pStyle w:val="CTAOption"/>
      </w:pPr>
      <w:r>
        <w:t>B. Assessment is within clinical social work, so no additional qualifications are needed.</w:t>
      </w:r>
    </w:p>
    <w:p>
      <w:pPr>
        <w:pStyle w:val="CTAOption"/>
      </w:pPr>
      <w:r>
        <w:t>C. The clinician should follow instrument-specific training and qualification requirements before administering or interpreting it.</w:t>
      </w:r>
    </w:p>
    <w:p>
      <w:pPr>
        <w:pStyle w:val="CTAOption"/>
      </w:pPr>
      <w:r>
        <w:t>D. A colleague may score the instrument later, so the clinician may administer it now.</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General experience, broad scope, or later scoring does not cure an unqualified administration or interpretation process.</w:t>
      </w:r>
    </w:p>
    <w:p>
      <w:pPr>
        <w:pStyle w:val="CTABody"/>
      </w:pPr>
      <w:r>
        <w:t>B. Incorrect. General experience, broad scope, or later scoring does not cure an unqualified administration or interpretation process.</w:t>
      </w:r>
    </w:p>
    <w:p>
      <w:pPr>
        <w:pStyle w:val="CTABody"/>
      </w:pPr>
      <w:r>
        <w:t>C. Correct. Specialized instruments may require method-specific qualification beyond general clinical experience.</w:t>
      </w:r>
    </w:p>
    <w:p>
      <w:pPr>
        <w:pStyle w:val="CTABody"/>
      </w:pPr>
      <w:r>
        <w:t>D. Incorrect. General experience, broad scope, or later scoring does not cure an unqualified administration or interpretation process.</w:t>
      </w:r>
    </w:p>
    <w:p>
      <w:pPr>
        <w:pStyle w:val="CTACallout"/>
      </w:pPr>
      <w:r>
        <w:t>CTA Exam Strategy: Match preparation to the specific tool, task, population, and risk.</w:t>
      </w:r>
    </w:p>
    <w:p>
      <w:pPr>
        <w:pStyle w:val="CTABody"/>
      </w:pPr>
      <w:r>
        <w:t>Remediation: Return to Workbook 3, Chapter 2: Scope of Practice vs. Scope of Competence; review Instrument-specific qualifications; log error category INSTRUMENT-QUALIFICATION.</w:t>
      </w:r>
    </w:p>
    <w:p>
      <w:pPr>
        <w:pStyle w:val="CTASmall"/>
      </w:pPr>
      <w:r>
        <w:t>Primary source control: BPC 4996.9 and 4992.3; current BBS ASW supervision/setting guidance; NASW Code of Ethics 1.04</w:t>
      </w:r>
    </w:p>
    <w:p>
      <w:pPr>
        <w:pStyle w:val="CTAH2"/>
      </w:pPr>
      <w:r>
        <w:t>Question 26 | WB3-C2-Q009</w:t>
      </w:r>
    </w:p>
    <w:p>
      <w:pPr>
        <w:pStyle w:val="CTAMeta"/>
      </w:pPr>
      <w:r>
        <w:t>Difficulty: Difficult | Type: Scenario-Based | Primary concept: Continuity when needs exceed competence</w:t>
      </w:r>
    </w:p>
    <w:p>
      <w:pPr>
        <w:pStyle w:val="CTABody"/>
      </w:pPr>
      <w:r>
        <w:t>Which response BEST protects continuity when a client’s needs exceed the clinician’s current competence?</w:t>
      </w:r>
    </w:p>
    <w:p>
      <w:pPr>
        <w:pStyle w:val="CTAOption"/>
      </w:pPr>
      <w:r>
        <w:t>A. End services immediately and provide no further assistance.</w:t>
      </w:r>
    </w:p>
    <w:p>
      <w:pPr>
        <w:pStyle w:val="CTAOption"/>
      </w:pPr>
      <w:r>
        <w:t>B. Continue indefinitely while learning through trial and error.</w:t>
      </w:r>
    </w:p>
    <w:p>
      <w:pPr>
        <w:pStyle w:val="CTAOption"/>
      </w:pPr>
      <w:r>
        <w:t>C. Discuss the limitation, arrange consultation or referral, support transition, and document the continuity plan.</w:t>
      </w:r>
    </w:p>
    <w:p>
      <w:pPr>
        <w:pStyle w:val="CTAOption"/>
      </w:pPr>
      <w:r>
        <w:t>D. Ask the client to locate a new provider without further involvement.</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The alternative either abandons continuity or continues unsupported practice at the client’s expense.</w:t>
      </w:r>
    </w:p>
    <w:p>
      <w:pPr>
        <w:pStyle w:val="CTABody"/>
      </w:pPr>
      <w:r>
        <w:t>B. Incorrect. The alternative either abandons continuity or continues unsupported practice at the client’s expense.</w:t>
      </w:r>
    </w:p>
    <w:p>
      <w:pPr>
        <w:pStyle w:val="CTABody"/>
      </w:pPr>
      <w:r>
        <w:t>C. Correct. Address the limitation transparently, arrange qualified support or referral, and protect a safe transition.</w:t>
      </w:r>
    </w:p>
    <w:p>
      <w:pPr>
        <w:pStyle w:val="CTABody"/>
      </w:pPr>
      <w:r>
        <w:t>D. Incorrect. The alternative either abandons continuity or continues unsupported practice at the client’s expense.</w:t>
      </w:r>
    </w:p>
    <w:p>
      <w:pPr>
        <w:pStyle w:val="CTACallout"/>
      </w:pPr>
      <w:r>
        <w:t>CTA Exam Strategy: Use collaboration or referral with a safe handoff—not abandonment or indefinite unsupported care.</w:t>
      </w:r>
    </w:p>
    <w:p>
      <w:pPr>
        <w:pStyle w:val="CTABody"/>
      </w:pPr>
      <w:r>
        <w:t>Remediation: Return to Workbook 3, Chapter 2: Scope of Practice vs. Scope of Competence; review Continuity when needs exceed competence; log error category CONTINUITY.</w:t>
      </w:r>
    </w:p>
    <w:p>
      <w:pPr>
        <w:pStyle w:val="CTASmall"/>
      </w:pPr>
      <w:r>
        <w:t>Primary source control: BPC 4996.9 and 4992.3; current BBS ASW supervision/setting guidance; NASW Code of Ethics 1.04</w:t>
      </w:r>
    </w:p>
    <w:p>
      <w:pPr>
        <w:pStyle w:val="CTAH2"/>
      </w:pPr>
      <w:r>
        <w:t>Question 27 | WB3-C2-Q010</w:t>
      </w:r>
    </w:p>
    <w:p>
      <w:pPr>
        <w:pStyle w:val="CTAMeta"/>
      </w:pPr>
      <w:r>
        <w:t>Difficulty: Moderate | Type: Application | Primary concept: Employer permission</w:t>
      </w:r>
    </w:p>
    <w:p>
      <w:pPr>
        <w:pStyle w:val="CTABody"/>
      </w:pPr>
      <w:r>
        <w:t>An ASW’s agency says employer permission is enough to authorize a new service. Which analysis is BEST?</w:t>
      </w:r>
    </w:p>
    <w:p>
      <w:pPr>
        <w:pStyle w:val="CTAOption"/>
      </w:pPr>
      <w:r>
        <w:t>A. Employer permission can expand statutory scope.</w:t>
      </w:r>
    </w:p>
    <w:p>
      <w:pPr>
        <w:pStyle w:val="CTAOption"/>
      </w:pPr>
      <w:r>
        <w:t>B. Employer permission can waive registration and supervision rules.</w:t>
      </w:r>
    </w:p>
    <w:p>
      <w:pPr>
        <w:pStyle w:val="CTAOption"/>
      </w:pPr>
      <w:r>
        <w:t>C. Employer permission matters only after the legal scope, competence, and present-authority requirements are satisfied.</w:t>
      </w:r>
    </w:p>
    <w:p>
      <w:pPr>
        <w:pStyle w:val="CTAOption"/>
      </w:pPr>
      <w:r>
        <w:t>D. Employer permission eliminates the need for client consent.</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The alternative gives employer permission power to waive law, competence, or client rights.</w:t>
      </w:r>
    </w:p>
    <w:p>
      <w:pPr>
        <w:pStyle w:val="CTABody"/>
      </w:pPr>
      <w:r>
        <w:t>B. Incorrect. The alternative gives employer permission power to waive law, competence, or client rights.</w:t>
      </w:r>
    </w:p>
    <w:p>
      <w:pPr>
        <w:pStyle w:val="CTABody"/>
      </w:pPr>
      <w:r>
        <w:t>C. Correct. Employer assignment operates only within law, competence, registration, setting, supervision, and client-rights requirements.</w:t>
      </w:r>
    </w:p>
    <w:p>
      <w:pPr>
        <w:pStyle w:val="CTABody"/>
      </w:pPr>
      <w:r>
        <w:t>D. Incorrect. The alternative gives employer permission power to waive law, competence, or client rights.</w:t>
      </w:r>
    </w:p>
    <w:p>
      <w:pPr>
        <w:pStyle w:val="CTACallout"/>
      </w:pPr>
      <w:r>
        <w:t>CTA Exam Strategy: Organizational permission is subordinate to law, competence, current status, and client rights.</w:t>
      </w:r>
    </w:p>
    <w:p>
      <w:pPr>
        <w:pStyle w:val="CTABody"/>
      </w:pPr>
      <w:r>
        <w:t>Remediation: Return to Workbook 3, Chapter 2: Scope of Practice vs. Scope of Competence; review Employer permission; log error category EMPLOYER-PERMISSION.</w:t>
      </w:r>
    </w:p>
    <w:p>
      <w:pPr>
        <w:pStyle w:val="CTASmall"/>
      </w:pPr>
      <w:r>
        <w:t>Primary source control: BPC 4996.9 and 4992.3; current BBS ASW supervision/setting guidance; NASW Code of Ethics 1.04</w:t>
      </w:r>
    </w:p>
    <w:p>
      <w:pPr>
        <w:pStyle w:val="CTAH2"/>
      </w:pPr>
      <w:r>
        <w:t>Question 28 | WB3-C2-Q011</w:t>
      </w:r>
    </w:p>
    <w:p>
      <w:pPr>
        <w:pStyle w:val="CTAMeta"/>
      </w:pPr>
      <w:r>
        <w:t>Difficulty: Moderate | Type: Application | Primary concept: Developing competence</w:t>
      </w:r>
    </w:p>
    <w:p>
      <w:pPr>
        <w:pStyle w:val="CTABody"/>
      </w:pPr>
      <w:r>
        <w:t>A clinician is unfamiliar with a service that is otherwise within clinical social work. Which response is MOST appropriate?</w:t>
      </w:r>
    </w:p>
    <w:p>
      <w:pPr>
        <w:pStyle w:val="CTAOption"/>
      </w:pPr>
      <w:r>
        <w:t>A. Assume the service is outside the profession’s scope.</w:t>
      </w:r>
    </w:p>
    <w:p>
      <w:pPr>
        <w:pStyle w:val="CTAOption"/>
      </w:pPr>
      <w:r>
        <w:t>B. Assess whether training, supervision, consultation, a narrower role, or referral can safely address the need.</w:t>
      </w:r>
    </w:p>
    <w:p>
      <w:pPr>
        <w:pStyle w:val="CTAOption"/>
      </w:pPr>
      <w:r>
        <w:t>C. Provide the service immediately because unfamiliarity is never relevant.</w:t>
      </w:r>
    </w:p>
    <w:p>
      <w:pPr>
        <w:pStyle w:val="CTAOption"/>
      </w:pPr>
      <w:r>
        <w:t>D. Avoid documenting the limitation to prevent liability.</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B</w:t>
            </w:r>
          </w:p>
        </w:tc>
        <w:trPr>
          <w:tblHeader/>
        </w:trPr>
      </w:tr>
    </w:tbl>
    <w:p>
      <w:pPr>
        <w:pStyle w:val="CTAH3"/>
      </w:pPr>
      <w:r>
        <w:t>Detailed Option-by-Option Rationales</w:t>
      </w:r>
    </w:p>
    <w:p>
      <w:pPr>
        <w:pStyle w:val="CTABody"/>
      </w:pPr>
      <w:r>
        <w:t>A. Incorrect. The alternative either confuses individual unfamiliarity with profession scope, ignores the gap, or conceals it.</w:t>
      </w:r>
    </w:p>
    <w:p>
      <w:pPr>
        <w:pStyle w:val="CTABody"/>
      </w:pPr>
      <w:r>
        <w:t>B. Correct. A competence concern calls for a proportionate plan to close the gap while protecting the client.</w:t>
      </w:r>
    </w:p>
    <w:p>
      <w:pPr>
        <w:pStyle w:val="CTABody"/>
      </w:pPr>
      <w:r>
        <w:t>C. Incorrect. The alternative either confuses individual unfamiliarity with profession scope, ignores the gap, or conceals it.</w:t>
      </w:r>
    </w:p>
    <w:p>
      <w:pPr>
        <w:pStyle w:val="CTABody"/>
      </w:pPr>
      <w:r>
        <w:t>D. Incorrect. The alternative either confuses individual unfamiliarity with profession scope, ignores the gap, or conceals it.</w:t>
      </w:r>
    </w:p>
    <w:p>
      <w:pPr>
        <w:pStyle w:val="CTACallout"/>
      </w:pPr>
      <w:r>
        <w:t>CTA Exam Strategy: Use the least disruptive safe response that actually closes the competence gap.</w:t>
      </w:r>
    </w:p>
    <w:p>
      <w:pPr>
        <w:pStyle w:val="CTABody"/>
      </w:pPr>
      <w:r>
        <w:t>Remediation: Return to Workbook 3, Chapter 2: Scope of Practice vs. Scope of Competence; review Developing competence; log error category DEVELOPING-COMPETENCE.</w:t>
      </w:r>
    </w:p>
    <w:p>
      <w:pPr>
        <w:pStyle w:val="CTASmall"/>
      </w:pPr>
      <w:r>
        <w:t>Primary source control: BPC 4996.9 and 4992.3; current BBS ASW supervision/setting guidance; NASW Code of Ethics 1.04</w:t>
      </w:r>
    </w:p>
    <w:p>
      <w:pPr>
        <w:pStyle w:val="CTAH2"/>
      </w:pPr>
      <w:r>
        <w:t>Question 29 | WB3-C2-Q012</w:t>
      </w:r>
    </w:p>
    <w:p>
      <w:pPr>
        <w:pStyle w:val="CTAMeta"/>
      </w:pPr>
      <w:r>
        <w:t>Difficulty: Easy | Type: Knowledge | Primary concept: Supervision vs. consultation</w:t>
      </w:r>
    </w:p>
    <w:p>
      <w:pPr>
        <w:pStyle w:val="CTABody"/>
      </w:pPr>
      <w:r>
        <w:t>Which statement BEST distinguishes supervision from consultation for an ASW?</w:t>
      </w:r>
    </w:p>
    <w:p>
      <w:pPr>
        <w:pStyle w:val="CTAOption"/>
      </w:pPr>
      <w:r>
        <w:t>A. Consultation is the legally structured accountability relationship required for ASW practice.</w:t>
      </w:r>
    </w:p>
    <w:p>
      <w:pPr>
        <w:pStyle w:val="CTAOption"/>
      </w:pPr>
      <w:r>
        <w:t>B. Supervision and consultation are interchangeable when both professionals are licensed.</w:t>
      </w:r>
    </w:p>
    <w:p>
      <w:pPr>
        <w:pStyle w:val="CTAOption"/>
      </w:pPr>
      <w:r>
        <w:t>C. Supervision provides required oversight and accountability; consultation is supplemental advice.</w:t>
      </w:r>
    </w:p>
    <w:p>
      <w:pPr>
        <w:pStyle w:val="CTAOption"/>
      </w:pPr>
      <w:r>
        <w:t>D. Consultation replaces supervision when the ASW has completed most experience hours.</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The alternative reverses or collapses the distinct functions of required supervision and consultation.</w:t>
      </w:r>
    </w:p>
    <w:p>
      <w:pPr>
        <w:pStyle w:val="CTABody"/>
      </w:pPr>
      <w:r>
        <w:t>B. Incorrect. The alternative reverses or collapses the distinct functions of required supervision and consultation.</w:t>
      </w:r>
    </w:p>
    <w:p>
      <w:pPr>
        <w:pStyle w:val="CTABody"/>
      </w:pPr>
      <w:r>
        <w:t>C. Correct. ASW supervision is a formal quality-control relationship; consultation may supplement it but does not replace it.</w:t>
      </w:r>
    </w:p>
    <w:p>
      <w:pPr>
        <w:pStyle w:val="CTABody"/>
      </w:pPr>
      <w:r>
        <w:t>D. Incorrect. The alternative reverses or collapses the distinct functions of required supervision and consultation.</w:t>
      </w:r>
    </w:p>
    <w:p>
      <w:pPr>
        <w:pStyle w:val="CTACallout"/>
      </w:pPr>
      <w:r>
        <w:t>CTA Exam Strategy: Look for the formal supervisor’s responsibility and control of service quality.</w:t>
      </w:r>
    </w:p>
    <w:p>
      <w:pPr>
        <w:pStyle w:val="CTABody"/>
      </w:pPr>
      <w:r>
        <w:t>Remediation: Return to Workbook 3, Chapter 2: Scope of Practice vs. Scope of Competence; review Supervision vs. consultation; log error category SUPERVISION-VS-CONSULTATION.</w:t>
      </w:r>
    </w:p>
    <w:p>
      <w:pPr>
        <w:pStyle w:val="CTASmall"/>
      </w:pPr>
      <w:r>
        <w:t>Primary source control: BPC 4996.9 and 4992.3; current BBS ASW supervision/setting guidance; NASW Code of Ethics 1.04</w:t>
      </w:r>
    </w:p>
    <w:p>
      <w:pPr>
        <w:pStyle w:val="CTAH2"/>
      </w:pPr>
      <w:r>
        <w:t>Question 30 | WB3-C2-Q013</w:t>
      </w:r>
    </w:p>
    <w:p>
      <w:pPr>
        <w:pStyle w:val="CTAMeta"/>
      </w:pPr>
      <w:r>
        <w:t>Difficulty: Moderate | Type: Scenario-Based | Primary concept: Current fitness</w:t>
      </w:r>
    </w:p>
    <w:p>
      <w:pPr>
        <w:pStyle w:val="CTABody"/>
      </w:pPr>
      <w:r>
        <w:t>A clinician’s personal functioning has deteriorated and is affecting concentration during high-risk work. Which gate is MOST directly implicated?</w:t>
      </w:r>
    </w:p>
    <w:p>
      <w:pPr>
        <w:pStyle w:val="CTAOption"/>
      </w:pPr>
      <w:r>
        <w:t>A. Only profession scope.</w:t>
      </w:r>
    </w:p>
    <w:p>
      <w:pPr>
        <w:pStyle w:val="CTAOption"/>
      </w:pPr>
      <w:r>
        <w:t>B. Only employer policy.</w:t>
      </w:r>
    </w:p>
    <w:p>
      <w:pPr>
        <w:pStyle w:val="CTAOption"/>
      </w:pPr>
      <w:r>
        <w:t>C. Individual competence and current fitness to provide the service safely.</w:t>
      </w:r>
    </w:p>
    <w:p>
      <w:pPr>
        <w:pStyle w:val="CTAOption"/>
      </w:pPr>
      <w:r>
        <w:t>D. Only client preference.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The alternative ignores the clinician’s current functional ability to provide safe services.</w:t>
      </w:r>
    </w:p>
    <w:p>
      <w:pPr>
        <w:pStyle w:val="CTABody"/>
      </w:pPr>
      <w:r>
        <w:t>B. Incorrect. The alternative ignores the clinician’s current functional ability to provide safe services.</w:t>
      </w:r>
    </w:p>
    <w:p>
      <w:pPr>
        <w:pStyle w:val="CTABody"/>
      </w:pPr>
      <w:r>
        <w:t>C. Correct. Competence includes current functioning, judgment, and ability to perform safely.</w:t>
      </w:r>
    </w:p>
    <w:p>
      <w:pPr>
        <w:pStyle w:val="CTABody"/>
      </w:pPr>
      <w:r>
        <w:t>D. Incorrect. The alternative ignores the clinician’s current functional ability to provide safe services.</w:t>
      </w:r>
    </w:p>
    <w:p>
      <w:pPr>
        <w:pStyle w:val="CTACallout"/>
      </w:pPr>
      <w:r>
        <w:t>CTA Exam Strategy: Competence can change over time; current functioning is part of the analysis.</w:t>
      </w:r>
    </w:p>
    <w:p>
      <w:pPr>
        <w:pStyle w:val="CTABody"/>
      </w:pPr>
      <w:r>
        <w:t>Remediation: Return to Workbook 3, Chapter 2: Scope of Practice vs. Scope of Competence; review Current fitness; log error category CURRENT-FITNESS.</w:t>
      </w:r>
    </w:p>
    <w:p>
      <w:pPr>
        <w:pStyle w:val="CTASmall"/>
      </w:pPr>
      <w:r>
        <w:t>Primary source control: BPC 4996.9 and 4992.3; current BBS ASW supervision/setting guidance; NASW Code of Ethics 1.04</w:t>
      </w:r>
    </w:p>
    <w:p>
      <w:pPr>
        <w:pStyle w:val="CTAH2"/>
      </w:pPr>
      <w:r>
        <w:t>Question 31 | WB3-C2-Q014</w:t>
      </w:r>
    </w:p>
    <w:p>
      <w:pPr>
        <w:pStyle w:val="CTAMeta"/>
      </w:pPr>
      <w:r>
        <w:t>Difficulty: Difficult | Type: Scenario-Based | Primary concept: Cultural and linguistic competence</w:t>
      </w:r>
    </w:p>
    <w:p>
      <w:pPr>
        <w:pStyle w:val="CTABody"/>
      </w:pPr>
      <w:r>
        <w:t>A client prefers a language the clinician does not speak, and the client’s cultural context is unfamiliar. The agency suggests using a family member as interpreter. What is the BEST response?</w:t>
      </w:r>
    </w:p>
    <w:p>
      <w:pPr>
        <w:pStyle w:val="CTAOption"/>
      </w:pPr>
      <w:r>
        <w:t>A. Use the family member automatically because language access is outside competence.</w:t>
      </w:r>
    </w:p>
    <w:p>
      <w:pPr>
        <w:pStyle w:val="CTAOption"/>
      </w:pPr>
      <w:r>
        <w:t>B. Proceed without language support because psychotherapy remains within social-work scope.</w:t>
      </w:r>
    </w:p>
    <w:p>
      <w:pPr>
        <w:pStyle w:val="CTAOption"/>
      </w:pPr>
      <w:r>
        <w:t>C. Arrange appropriate language access, consider cultural consultation, protect confidentiality, and assess whether the clinician can provide competent care.</w:t>
      </w:r>
    </w:p>
    <w:p>
      <w:pPr>
        <w:pStyle w:val="CTAOption"/>
      </w:pPr>
      <w:r>
        <w:t>D. Refer the client immediately without discussing options.</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The alternative is automatic, overbroad, or ignores communication, confidentiality, and competence needs.</w:t>
      </w:r>
    </w:p>
    <w:p>
      <w:pPr>
        <w:pStyle w:val="CTABody"/>
      </w:pPr>
      <w:r>
        <w:t>B. Incorrect. The alternative is automatic, overbroad, or ignores communication, confidentiality, and competence needs.</w:t>
      </w:r>
    </w:p>
    <w:p>
      <w:pPr>
        <w:pStyle w:val="CTABody"/>
      </w:pPr>
      <w:r>
        <w:t>C. Correct. Effective communication, confidentiality, cultural humility, and actual competence should be addressed together; referral is used when the gap cannot be safely supported.</w:t>
      </w:r>
    </w:p>
    <w:p>
      <w:pPr>
        <w:pStyle w:val="CTABody"/>
      </w:pPr>
      <w:r>
        <w:t>D. Incorrect. The alternative is automatic, overbroad, or ignores communication, confidentiality, and competence needs.</w:t>
      </w:r>
    </w:p>
    <w:p>
      <w:pPr>
        <w:pStyle w:val="CTACallout"/>
      </w:pPr>
      <w:r>
        <w:t>CTA Exam Strategy: Language access and cultural humility are part of competent care.</w:t>
      </w:r>
    </w:p>
    <w:p>
      <w:pPr>
        <w:pStyle w:val="CTABody"/>
      </w:pPr>
      <w:r>
        <w:t>Remediation: Return to Workbook 3, Chapter 2: Scope of Practice vs. Scope of Competence; review Cultural and linguistic competence; log error category CULTURAL-LINGUISTIC-COMPETENCE.</w:t>
      </w:r>
    </w:p>
    <w:p>
      <w:pPr>
        <w:pStyle w:val="CTASmall"/>
      </w:pPr>
      <w:r>
        <w:t>Primary source control: BPC 4996.9 and 4992.3; current BBS ASW supervision/setting guidance; NASW Code of Ethics 1.04</w:t>
      </w:r>
    </w:p>
    <w:p>
      <w:pPr>
        <w:pStyle w:val="CTAH2"/>
      </w:pPr>
      <w:r>
        <w:t>Question 32 | WB3-C2-Q015</w:t>
      </w:r>
    </w:p>
    <w:p>
      <w:pPr>
        <w:pStyle w:val="CTAMeta"/>
      </w:pPr>
      <w:r>
        <w:t>Difficulty: Moderate | Type: Application | Primary concept: Proportionate support</w:t>
      </w:r>
    </w:p>
    <w:p>
      <w:pPr>
        <w:pStyle w:val="CTABody"/>
      </w:pPr>
      <w:r>
        <w:t>Which option BEST reflects the least harmful adequate response when all three S-C-A gates are satisfied but the clinician needs focused support?</w:t>
      </w:r>
    </w:p>
    <w:p>
      <w:pPr>
        <w:pStyle w:val="CTAOption"/>
      </w:pPr>
      <w:r>
        <w:t>A. Proceed with appropriate supervision or consultation, monitor outcomes, and document the support.</w:t>
      </w:r>
    </w:p>
    <w:p>
      <w:pPr>
        <w:pStyle w:val="CTAOption"/>
      </w:pPr>
      <w:r>
        <w:t>B. Decline the service because any need for support proves incompetence.</w:t>
      </w:r>
    </w:p>
    <w:p>
      <w:pPr>
        <w:pStyle w:val="CTAOption"/>
      </w:pPr>
      <w:r>
        <w:t>C. Proceed without support to demonstrate independence.</w:t>
      </w:r>
    </w:p>
    <w:p>
      <w:pPr>
        <w:pStyle w:val="CTAOption"/>
      </w:pPr>
      <w:r>
        <w:t>D. Transfer the client automatically.</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A</w:t>
            </w:r>
          </w:p>
        </w:tc>
        <w:trPr>
          <w:tblHeader/>
        </w:trPr>
      </w:tr>
    </w:tbl>
    <w:p>
      <w:pPr>
        <w:pStyle w:val="CTAH3"/>
      </w:pPr>
      <w:r>
        <w:t>Detailed Option-by-Option Rationales</w:t>
      </w:r>
    </w:p>
    <w:p>
      <w:pPr>
        <w:pStyle w:val="CTABody"/>
      </w:pPr>
      <w:r>
        <w:t>A. Correct. Appropriate supervision or consultation can strengthen safe practice when scope, competence, and authority are otherwise satisfied.</w:t>
      </w:r>
    </w:p>
    <w:p>
      <w:pPr>
        <w:pStyle w:val="CTABody"/>
      </w:pPr>
      <w:r>
        <w:t>B. Incorrect. The alternative treats support as proof of incompetence or chooses a more disruptive or less safe response than necessary.</w:t>
      </w:r>
    </w:p>
    <w:p>
      <w:pPr>
        <w:pStyle w:val="CTABody"/>
      </w:pPr>
      <w:r>
        <w:t>C. Incorrect. The alternative treats support as proof of incompetence or chooses a more disruptive or less safe response than necessary.</w:t>
      </w:r>
    </w:p>
    <w:p>
      <w:pPr>
        <w:pStyle w:val="CTABody"/>
      </w:pPr>
      <w:r>
        <w:t>D. Incorrect. The alternative treats support as proof of incompetence or chooses a more disruptive or less safe response than necessary.</w:t>
      </w:r>
    </w:p>
    <w:p>
      <w:pPr>
        <w:pStyle w:val="CTACallout"/>
      </w:pPr>
      <w:r>
        <w:t>CTA Exam Strategy: Choose the least disruptive adequate safeguard and monitor whether it is sufficient.</w:t>
      </w:r>
    </w:p>
    <w:p>
      <w:pPr>
        <w:pStyle w:val="CTABody"/>
      </w:pPr>
      <w:r>
        <w:t>Remediation: Return to Workbook 3, Chapter 2: Scope of Practice vs. Scope of Competence; review Proportionate support; log error category PROPORTIONATE-SUPPORT.</w:t>
      </w:r>
    </w:p>
    <w:p>
      <w:pPr>
        <w:pStyle w:val="CTASmall"/>
      </w:pPr>
      <w:r>
        <w:t>Primary source control: BPC 4996.9 and 4992.3; current BBS ASW supervision/setting guidance; NASW Code of Ethics 1.04</w:t>
      </w:r>
    </w:p>
    <w:p>
      <w:pPr>
        <w:pStyle w:val="CTAH2"/>
      </w:pPr>
      <w:r>
        <w:t>Question 33 | WB3-C2-Q016</w:t>
      </w:r>
    </w:p>
    <w:p>
      <w:pPr>
        <w:pStyle w:val="CTAMeta"/>
      </w:pPr>
      <w:r>
        <w:t>Difficulty: Difficult | Type: Integrated Challenge | Primary concept: Scope-equals-competence error</w:t>
      </w:r>
    </w:p>
    <w:p>
      <w:pPr>
        <w:pStyle w:val="CTABody"/>
      </w:pPr>
      <w:r>
        <w:t>A candidate sees that a service is legally within clinical social work and chooses it without checking the clinician’s training, role, setting, or supervision. What reasoning error occurred?</w:t>
      </w:r>
    </w:p>
    <w:p>
      <w:pPr>
        <w:pStyle w:val="CTAOption"/>
      </w:pPr>
      <w:r>
        <w:t>A. Automatic referral.</w:t>
      </w:r>
    </w:p>
    <w:p>
      <w:pPr>
        <w:pStyle w:val="CTAOption"/>
      </w:pPr>
      <w:r>
        <w:t>B. Scope equals competence.</w:t>
      </w:r>
    </w:p>
    <w:p>
      <w:pPr>
        <w:pStyle w:val="CTAOption"/>
      </w:pPr>
      <w:r>
        <w:t>C. Emergency bridge reasoning.</w:t>
      </w:r>
    </w:p>
    <w:p>
      <w:pPr>
        <w:pStyle w:val="CTAOption"/>
      </w:pPr>
      <w:r>
        <w:t>D. Overreliance on client preference.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B</w:t>
            </w:r>
          </w:p>
        </w:tc>
        <w:trPr>
          <w:tblHeader/>
        </w:trPr>
      </w:tr>
    </w:tbl>
    <w:p>
      <w:pPr>
        <w:pStyle w:val="CTAH3"/>
      </w:pPr>
      <w:r>
        <w:t>Detailed Option-by-Option Rationales</w:t>
      </w:r>
    </w:p>
    <w:p>
      <w:pPr>
        <w:pStyle w:val="CTABody"/>
      </w:pPr>
      <w:r>
        <w:t>A. Incorrect. The alternative does not describe the actual reasoning defect in the stem.</w:t>
      </w:r>
    </w:p>
    <w:p>
      <w:pPr>
        <w:pStyle w:val="CTABody"/>
      </w:pPr>
      <w:r>
        <w:t>B. Correct. The candidate treated profession-level legal authorization as proof of individual preparation and present authority.</w:t>
      </w:r>
    </w:p>
    <w:p>
      <w:pPr>
        <w:pStyle w:val="CTABody"/>
      </w:pPr>
      <w:r>
        <w:t>C. Incorrect. The alternative does not describe the actual reasoning defect in the stem.</w:t>
      </w:r>
    </w:p>
    <w:p>
      <w:pPr>
        <w:pStyle w:val="CTABody"/>
      </w:pPr>
      <w:r>
        <w:t>D. Incorrect. The alternative does not describe the actual reasoning defect in the stem.</w:t>
      </w:r>
    </w:p>
    <w:p>
      <w:pPr>
        <w:pStyle w:val="CTACallout"/>
      </w:pPr>
      <w:r>
        <w:t>CTA Exam Strategy: Never stop at “within scope.” Ask whether this clinician can and may provide the service now.</w:t>
      </w:r>
    </w:p>
    <w:p>
      <w:pPr>
        <w:pStyle w:val="CTABody"/>
      </w:pPr>
      <w:r>
        <w:t>Remediation: Return to Workbook 3, Chapter 2: Scope of Practice vs. Scope of Competence; review Scope-equals-competence error; log error category SCOPE-EQUALS-COMPETENCE.</w:t>
      </w:r>
    </w:p>
    <w:p>
      <w:pPr>
        <w:pStyle w:val="CTASmall"/>
      </w:pPr>
      <w:r>
        <w:t>Primary source control: BPC 4996.9 and 4992.3; current BBS ASW supervision/setting guidance; NASW Code of Ethics 1.04</w:t>
      </w:r>
    </w:p>
    <w:p>
      <w:pPr>
        <w:pStyle w:val="CTAH2"/>
      </w:pPr>
      <w:r>
        <w:t>Question 34 | WB3-C2-Q017</w:t>
      </w:r>
    </w:p>
    <w:p>
      <w:pPr>
        <w:pStyle w:val="CTAMeta"/>
      </w:pPr>
      <w:r>
        <w:t>Difficulty: Difficult | Type: Integrated Challenge | Primary concept: Comprehensive S-C-A sequence</w:t>
      </w:r>
    </w:p>
    <w:p>
      <w:pPr>
        <w:pStyle w:val="CTABody"/>
      </w:pPr>
      <w:r>
        <w:t>Which sequence is BEST for a boundary question on the examination?</w:t>
      </w:r>
    </w:p>
    <w:p>
      <w:pPr>
        <w:pStyle w:val="CTAOption"/>
      </w:pPr>
      <w:r>
        <w:t>A. Check employer policy, ask the client, then consider the law.</w:t>
      </w:r>
    </w:p>
    <w:p>
      <w:pPr>
        <w:pStyle w:val="CTAOption"/>
      </w:pPr>
      <w:r>
        <w:t>B. Name the service, check profession scope, verify status and present authority, assess competence, select a proportionate response, and document.</w:t>
      </w:r>
    </w:p>
    <w:p>
      <w:pPr>
        <w:pStyle w:val="CTAOption"/>
      </w:pPr>
      <w:r>
        <w:t>C. Assess competence first and ignore legal scope if the clinician feels prepared.</w:t>
      </w:r>
    </w:p>
    <w:p>
      <w:pPr>
        <w:pStyle w:val="CTAOption"/>
      </w:pPr>
      <w:r>
        <w:t>D. Refer immediately, then determine whether the service was within scope.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B</w:t>
            </w:r>
          </w:p>
        </w:tc>
        <w:trPr>
          <w:tblHeader/>
        </w:trPr>
      </w:tr>
    </w:tbl>
    <w:p>
      <w:pPr>
        <w:pStyle w:val="CTAH3"/>
      </w:pPr>
      <w:r>
        <w:t>Detailed Option-by-Option Rationales</w:t>
      </w:r>
    </w:p>
    <w:p>
      <w:pPr>
        <w:pStyle w:val="CTABody"/>
      </w:pPr>
      <w:r>
        <w:t>A. Incorrect. The alternative skips or reverses controlling legal and competence gates or jumps to referral prematurely.</w:t>
      </w:r>
    </w:p>
    <w:p>
      <w:pPr>
        <w:pStyle w:val="CTABody"/>
      </w:pPr>
      <w:r>
        <w:t>B. Correct. This sequence keeps profession scope, authority, competence, proportional response, and documentation in the correct order.</w:t>
      </w:r>
    </w:p>
    <w:p>
      <w:pPr>
        <w:pStyle w:val="CTABody"/>
      </w:pPr>
      <w:r>
        <w:t>C. Incorrect. The alternative skips or reverses controlling legal and competence gates or jumps to referral prematurely.</w:t>
      </w:r>
    </w:p>
    <w:p>
      <w:pPr>
        <w:pStyle w:val="CTABody"/>
      </w:pPr>
      <w:r>
        <w:t>D. Incorrect. The alternative skips or reverses controlling legal and competence gates or jumps to referral prematurely.</w:t>
      </w:r>
    </w:p>
    <w:p>
      <w:pPr>
        <w:pStyle w:val="CTACallout"/>
      </w:pPr>
      <w:r>
        <w:t>CTA Exam Strategy: Use S-C-A, then choose the least harmful adequate response and document.</w:t>
      </w:r>
    </w:p>
    <w:p>
      <w:pPr>
        <w:pStyle w:val="CTABody"/>
      </w:pPr>
      <w:r>
        <w:t>Remediation: Return to Workbook 3, Chapter 2: Scope of Practice vs. Scope of Competence; review Comprehensive S-C-A sequence; log error category SCA-INTEGRATION.</w:t>
      </w:r>
    </w:p>
    <w:p>
      <w:pPr>
        <w:pStyle w:val="CTASmall"/>
      </w:pPr>
      <w:r>
        <w:t>Primary source control: BPC 4996.9 and 4992.3; current BBS ASW supervision/setting guidance; NASW Code of Ethics 1.04</w:t>
      </w:r>
    </w:p>
    <w:p>
      <w:r>
        <w:br w:type="page"/>
      </w:r>
    </w:p>
    <w:p>
      <w:pPr>
        <w:pStyle w:val="CTAH1"/>
      </w:pPr>
      <w:r>
        <w:t>Chapter 3: Controlled Rationales</w:t>
      </w:r>
    </w:p>
    <w:p>
      <w:pPr>
        <w:pStyle w:val="CTASubtitle"/>
      </w:pPr>
      <w:r>
        <w:t>Maintaining Professional Competence</w:t>
      </w:r>
    </w:p>
    <w:p>
      <w:pPr>
        <w:pStyle w:val="CTAH2"/>
      </w:pPr>
      <w:r>
        <w:t>Question 35 | WB3-C3-Q001</w:t>
      </w:r>
    </w:p>
    <w:p>
      <w:pPr>
        <w:pStyle w:val="CTAMeta"/>
      </w:pPr>
      <w:r>
        <w:t>Difficulty: Easy | Type: Conceptual | Primary concept: Ongoing Competence</w:t>
      </w:r>
    </w:p>
    <w:p>
      <w:pPr>
        <w:pStyle w:val="CTABody"/>
      </w:pPr>
      <w:r>
        <w:t>A clinician notices that prior training no longer fully addresses the populations, technology, and interventions now used in practice. Which statement best describes maintaining professional competence?</w:t>
      </w:r>
    </w:p>
    <w:p>
      <w:pPr>
        <w:pStyle w:val="CTAOption"/>
      </w:pPr>
      <w:r>
        <w:t>A. Competence is permanent once a clinician passes the licensing examinations.</w:t>
      </w:r>
    </w:p>
    <w:p>
      <w:pPr>
        <w:pStyle w:val="CTAOption"/>
      </w:pPr>
      <w:r>
        <w:t>B. Competence is measured only by the number of years a clinician has practiced.</w:t>
      </w:r>
    </w:p>
    <w:p>
      <w:pPr>
        <w:pStyle w:val="CTAOption"/>
      </w:pPr>
      <w:r>
        <w:t>C. Competence requires ongoing attention to current knowledge, skill, judgment, and professional functioning.</w:t>
      </w:r>
    </w:p>
    <w:p>
      <w:pPr>
        <w:pStyle w:val="CTAOption"/>
      </w:pPr>
      <w:r>
        <w:t>D. Competence needs to be reassessed only after a client files a complaint.</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Licensure establishes a professional foundation, but laws, standards, research, technology, and personal functioning can change.</w:t>
      </w:r>
    </w:p>
    <w:p>
      <w:pPr>
        <w:pStyle w:val="CTABody"/>
      </w:pPr>
      <w:r>
        <w:t>B. Incorrect. Experience may contribute to competence, but years alone do not show that knowledge and skills remain current.</w:t>
      </w:r>
    </w:p>
    <w:p>
      <w:pPr>
        <w:pStyle w:val="CTABody"/>
      </w:pPr>
      <w:r>
        <w:t>C. Correct. Maintaining competence is an active process of monitoring and updating the abilities needed for current services.</w:t>
      </w:r>
    </w:p>
    <w:p>
      <w:pPr>
        <w:pStyle w:val="CTABody"/>
      </w:pPr>
      <w:r>
        <w:t>D. Incorrect. Clinicians should identify and address concerns before client harm or a complaint occurs.</w:t>
      </w:r>
    </w:p>
    <w:p>
      <w:pPr>
        <w:pStyle w:val="CTACallout"/>
      </w:pPr>
      <w:r>
        <w:t>CTA Exam Strategy: When the question contrasts a past credential with current ability, choose the answer emphasizing ongoing monitoring and updating.</w:t>
      </w:r>
    </w:p>
    <w:p>
      <w:pPr>
        <w:pStyle w:val="CTABody"/>
      </w:pPr>
      <w:r>
        <w:t>Remediation: Return to Workbook 3, Chapter 3: Maintaining Professional Competence; review Ongoing Competence; log error category COMPETENCE-MAINTENANCE.</w:t>
      </w:r>
    </w:p>
    <w:p>
      <w:pPr>
        <w:pStyle w:val="CTASmall"/>
      </w:pPr>
      <w:r>
        <w:t>Primary source control: Current BBS LCSW/ASW licensing/renewal requirements; NASW competence standards</w:t>
      </w:r>
    </w:p>
    <w:p>
      <w:pPr>
        <w:pStyle w:val="CTAH2"/>
      </w:pPr>
      <w:r>
        <w:t>Question 36 | WB3-C3-Q002</w:t>
      </w:r>
    </w:p>
    <w:p>
      <w:pPr>
        <w:pStyle w:val="CTAMeta"/>
      </w:pPr>
      <w:r>
        <w:t>Difficulty: Easy | Type: Conceptual | Primary concept: Purpose of Continuing Education</w:t>
      </w:r>
    </w:p>
    <w:p>
      <w:pPr>
        <w:pStyle w:val="CTABody"/>
      </w:pPr>
      <w:r>
        <w:t>During a performance review, a therapist must decide what evidence demonstrates that professional competence is being maintained. What is the strongest professional reason for completing relevant continuing education?</w:t>
      </w:r>
    </w:p>
    <w:p>
      <w:pPr>
        <w:pStyle w:val="CTAOption"/>
      </w:pPr>
      <w:r>
        <w:t>A. To update knowledge and strengthen competence in areas connected to current practice needs.</w:t>
      </w:r>
    </w:p>
    <w:p>
      <w:pPr>
        <w:pStyle w:val="CTAOption"/>
      </w:pPr>
      <w:r>
        <w:t>B. To guarantee that every future treatment will be effective.</w:t>
      </w:r>
    </w:p>
    <w:p>
      <w:pPr>
        <w:pStyle w:val="CTAOption"/>
      </w:pPr>
      <w:r>
        <w:t>C. To replace the need for practical clinical experience.</w:t>
      </w:r>
    </w:p>
    <w:p>
      <w:pPr>
        <w:pStyle w:val="CTAOption"/>
      </w:pPr>
      <w:r>
        <w:t>D. To establish immediate expertise in any subject covered by the course.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A</w:t>
            </w:r>
          </w:p>
        </w:tc>
        <w:trPr>
          <w:tblHeader/>
        </w:trPr>
      </w:tr>
    </w:tbl>
    <w:p>
      <w:pPr>
        <w:pStyle w:val="CTAH3"/>
      </w:pPr>
      <w:r>
        <w:t>Detailed Option-by-Option Rationales</w:t>
      </w:r>
    </w:p>
    <w:p>
      <w:pPr>
        <w:pStyle w:val="CTABody"/>
      </w:pPr>
      <w:r>
        <w:t>A. Correct. Relevant CE can help clinicians update law, ethics, clinical knowledge, and skills connected to actual practice.</w:t>
      </w:r>
    </w:p>
    <w:p>
      <w:pPr>
        <w:pStyle w:val="CTABody"/>
      </w:pPr>
      <w:r>
        <w:t>B. Incorrect. No course can guarantee outcomes for every client.</w:t>
      </w:r>
    </w:p>
    <w:p>
      <w:pPr>
        <w:pStyle w:val="CTABody"/>
      </w:pPr>
      <w:r>
        <w:t>C. Incorrect. Coursework may support competence but does not automatically replace practice or skill development.</w:t>
      </w:r>
    </w:p>
    <w:p>
      <w:pPr>
        <w:pStyle w:val="CTABody"/>
      </w:pPr>
      <w:r>
        <w:t>D. Incorrect. Exposure to a topic does not necessarily establish the ability to provide a specialized service independently.</w:t>
      </w:r>
    </w:p>
    <w:p>
      <w:pPr>
        <w:pStyle w:val="CTACallout"/>
      </w:pPr>
      <w:r>
        <w:t>CTA Exam Strategy: CE supports competence; it does not guarantee outcomes or instantly create expertise.</w:t>
      </w:r>
    </w:p>
    <w:p>
      <w:pPr>
        <w:pStyle w:val="CTABody"/>
      </w:pPr>
      <w:r>
        <w:t>Remediation: Return to Workbook 3, Chapter 3: Maintaining Professional Competence; review Purpose of Continuing Education; log error category COMPETENCE-MAINTENANCE.</w:t>
      </w:r>
    </w:p>
    <w:p>
      <w:pPr>
        <w:pStyle w:val="CTASmall"/>
      </w:pPr>
      <w:r>
        <w:t>Primary source control: Current BBS LCSW/ASW licensing/renewal requirements; NASW competence standards</w:t>
      </w:r>
    </w:p>
    <w:p>
      <w:pPr>
        <w:pStyle w:val="CTAH2"/>
      </w:pPr>
      <w:r>
        <w:t>Question 37 | WB3-C3-Q003</w:t>
      </w:r>
    </w:p>
    <w:p>
      <w:pPr>
        <w:pStyle w:val="CTAMeta"/>
      </w:pPr>
      <w:r>
        <w:t>Difficulty: Easy | Type: Application | Primary concept: Current Legal Knowledge</w:t>
      </w:r>
    </w:p>
    <w:p>
      <w:pPr>
        <w:pStyle w:val="CTABody"/>
      </w:pPr>
      <w:r>
        <w:t>A therapist is about to rely on a California legal rule learned in graduate school 12 years ago. What should the therapist do first?</w:t>
      </w:r>
    </w:p>
    <w:p>
      <w:pPr>
        <w:pStyle w:val="CTAOption"/>
      </w:pPr>
      <w:r>
        <w:t>A. Use the rule because graduate education permanently establishes legal competence.</w:t>
      </w:r>
    </w:p>
    <w:p>
      <w:pPr>
        <w:pStyle w:val="CTAOption"/>
      </w:pPr>
      <w:r>
        <w:t>B. Ask the client which version of the law seems fairest.</w:t>
      </w:r>
    </w:p>
    <w:p>
      <w:pPr>
        <w:pStyle w:val="CTAOption"/>
      </w:pPr>
      <w:r>
        <w:t>C. Avoid all treatment decisions involving legal issues.</w:t>
      </w:r>
    </w:p>
    <w:p>
      <w:pPr>
        <w:pStyle w:val="CTAOption"/>
      </w:pPr>
      <w:r>
        <w:t>D. Verify the current law and official guidance before relying on the remembered rule.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D</w:t>
            </w:r>
          </w:p>
        </w:tc>
        <w:trPr>
          <w:tblHeader/>
        </w:trPr>
      </w:tr>
    </w:tbl>
    <w:p>
      <w:pPr>
        <w:pStyle w:val="CTAH3"/>
      </w:pPr>
      <w:r>
        <w:t>Detailed Option-by-Option Rationales</w:t>
      </w:r>
    </w:p>
    <w:p>
      <w:pPr>
        <w:pStyle w:val="CTABody"/>
      </w:pPr>
      <w:r>
        <w:t>A. Incorrect. Previously accurate information may become outdated after statutory, regulatory, or policy changes.</w:t>
      </w:r>
    </w:p>
    <w:p>
      <w:pPr>
        <w:pStyle w:val="CTABody"/>
      </w:pPr>
      <w:r>
        <w:t>B. Incorrect. Client preference does not determine the current legal requirement.</w:t>
      </w:r>
    </w:p>
    <w:p>
      <w:pPr>
        <w:pStyle w:val="CTABody"/>
      </w:pPr>
      <w:r>
        <w:t>C. Incorrect. Avoidance does not address the knowledge gap and may prevent appropriate care.</w:t>
      </w:r>
    </w:p>
    <w:p>
      <w:pPr>
        <w:pStyle w:val="CTABody"/>
      </w:pPr>
      <w:r>
        <w:t>D. Correct. Checking current authoritative information is the appropriate response when a legal rule may have changed.</w:t>
      </w:r>
    </w:p>
    <w:p>
      <w:pPr>
        <w:pStyle w:val="CTACallout"/>
      </w:pPr>
      <w:r>
        <w:t>CTA Exam Strategy: Old legal knowledge is a cue to verify current authority—not rely on memory.</w:t>
      </w:r>
    </w:p>
    <w:p>
      <w:pPr>
        <w:pStyle w:val="CTABody"/>
      </w:pPr>
      <w:r>
        <w:t>Remediation: Return to Workbook 3, Chapter 3: Maintaining Professional Competence; review Current Legal Knowledge; log error category COMPETENCE-MAINTENANCE.</w:t>
      </w:r>
    </w:p>
    <w:p>
      <w:pPr>
        <w:pStyle w:val="CTASmall"/>
      </w:pPr>
      <w:r>
        <w:t>Primary source control: Current BBS LCSW/ASW licensing/renewal requirements; NASW competence standards</w:t>
      </w:r>
    </w:p>
    <w:p>
      <w:pPr>
        <w:pStyle w:val="CTAH2"/>
      </w:pPr>
      <w:r>
        <w:t>Question 38 | WB3-C3-Q004</w:t>
      </w:r>
    </w:p>
    <w:p>
      <w:pPr>
        <w:pStyle w:val="CTAMeta"/>
      </w:pPr>
      <w:r>
        <w:t>Difficulty: Easy | Type: Application | Primary concept: Self-Assessment</w:t>
      </w:r>
    </w:p>
    <w:p>
      <w:pPr>
        <w:pStyle w:val="CTABody"/>
      </w:pPr>
      <w:r>
        <w:t>A clinician notices recurring uncertainty when treating the same type of presenting problem. What is the most appropriate initial response?</w:t>
      </w:r>
    </w:p>
    <w:p>
      <w:pPr>
        <w:pStyle w:val="CTAOption"/>
      </w:pPr>
      <w:r>
        <w:t>A. Assume repeated exposure will automatically create competence.</w:t>
      </w:r>
    </w:p>
    <w:p>
      <w:pPr>
        <w:pStyle w:val="CTAOption"/>
      </w:pPr>
      <w:r>
        <w:t>B. Identify the specific knowledge or skill gap and evaluate its effect on current clients.</w:t>
      </w:r>
    </w:p>
    <w:p>
      <w:pPr>
        <w:pStyle w:val="CTAOption"/>
      </w:pPr>
      <w:r>
        <w:t>C. Ignore the concern because uncertainty is common in psychotherapy.</w:t>
      </w:r>
    </w:p>
    <w:p>
      <w:pPr>
        <w:pStyle w:val="CTAOption"/>
      </w:pPr>
      <w:r>
        <w:t>D. Terminate every client with that presenting problem immediately.</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B</w:t>
            </w:r>
          </w:p>
        </w:tc>
        <w:trPr>
          <w:tblHeader/>
        </w:trPr>
      </w:tr>
    </w:tbl>
    <w:p>
      <w:pPr>
        <w:pStyle w:val="CTAH3"/>
      </w:pPr>
      <w:r>
        <w:t>Detailed Option-by-Option Rationales</w:t>
      </w:r>
    </w:p>
    <w:p>
      <w:pPr>
        <w:pStyle w:val="CTABody"/>
      </w:pPr>
      <w:r>
        <w:t>A. Incorrect. Experience does not guarantee improvement when the underlying gap is not identified and addressed.</w:t>
      </w:r>
    </w:p>
    <w:p>
      <w:pPr>
        <w:pStyle w:val="CTABody"/>
      </w:pPr>
      <w:r>
        <w:t>B. Correct. A specific self-assessment allows the clinician to select an appropriate learning and client-protection response.</w:t>
      </w:r>
    </w:p>
    <w:p>
      <w:pPr>
        <w:pStyle w:val="CTABody"/>
      </w:pPr>
      <w:r>
        <w:t>C. Incorrect. Normal uncertainty still warrants evaluation when it is recurring and connected to client care.</w:t>
      </w:r>
    </w:p>
    <w:p>
      <w:pPr>
        <w:pStyle w:val="CTABody"/>
      </w:pPr>
      <w:r>
        <w:t>D. Incorrect. Automatic termination is disproportionate before risk and available corrective options are assessed.</w:t>
      </w:r>
    </w:p>
    <w:p>
      <w:pPr>
        <w:pStyle w:val="CTACallout"/>
      </w:pPr>
      <w:r>
        <w:t>CTA Exam Strategy: The first step is usually to identify the gap and assess its impact before choosing a corrective action.</w:t>
      </w:r>
    </w:p>
    <w:p>
      <w:pPr>
        <w:pStyle w:val="CTABody"/>
      </w:pPr>
      <w:r>
        <w:t>Remediation: Return to Workbook 3, Chapter 3: Maintaining Professional Competence; review Self-Assessment; log error category COMPETENCE-MAINTENANCE.</w:t>
      </w:r>
    </w:p>
    <w:p>
      <w:pPr>
        <w:pStyle w:val="CTASmall"/>
      </w:pPr>
      <w:r>
        <w:t>Primary source control: Current BBS LCSW/ASW licensing/renewal requirements; NASW competence standards</w:t>
      </w:r>
    </w:p>
    <w:p>
      <w:pPr>
        <w:pStyle w:val="CTAH2"/>
      </w:pPr>
      <w:r>
        <w:t>Question 39 | WB3-C3-Q005</w:t>
      </w:r>
    </w:p>
    <w:p>
      <w:pPr>
        <w:pStyle w:val="CTAMeta"/>
      </w:pPr>
      <w:r>
        <w:t>Difficulty: Easy | Type: Conceptual | Primary concept: Experience and Learning</w:t>
      </w:r>
    </w:p>
    <w:p>
      <w:pPr>
        <w:pStyle w:val="CTABody"/>
      </w:pPr>
      <w:r>
        <w:t>During a performance review, a therapist must decide what evidence demonstrates that professional competence is being maintained. Which statement about professional experience is most accurate?</w:t>
      </w:r>
    </w:p>
    <w:p>
      <w:pPr>
        <w:pStyle w:val="CTAOption"/>
      </w:pPr>
      <w:r>
        <w:t>A. Long experience eliminates the need to review treatment outcomes.</w:t>
      </w:r>
    </w:p>
    <w:p>
      <w:pPr>
        <w:pStyle w:val="CTAOption"/>
      </w:pPr>
      <w:r>
        <w:t>B. An experienced therapist does not need to update legal or ethical knowledge.</w:t>
      </w:r>
    </w:p>
    <w:p>
      <w:pPr>
        <w:pStyle w:val="CTAOption"/>
      </w:pPr>
      <w:r>
        <w:t>C. Experience supports competence most effectively when combined with reflection, feedback, and current learning.</w:t>
      </w:r>
    </w:p>
    <w:p>
      <w:pPr>
        <w:pStyle w:val="CTAOption"/>
      </w:pPr>
      <w:r>
        <w:t>D. Any method used successfully in the past remains appropriate indefinitely.</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Outcome review remains important because ineffective patterns can continue for years.</w:t>
      </w:r>
    </w:p>
    <w:p>
      <w:pPr>
        <w:pStyle w:val="CTABody"/>
      </w:pPr>
      <w:r>
        <w:t>B. Incorrect. Laws and ethical standards change regardless of a clinician’s experience level.</w:t>
      </w:r>
    </w:p>
    <w:p>
      <w:pPr>
        <w:pStyle w:val="CTABody"/>
      </w:pPr>
      <w:r>
        <w:t>C. Correct. Experience becomes a stronger competence resource when the clinician examines results and incorporates new information.</w:t>
      </w:r>
    </w:p>
    <w:p>
      <w:pPr>
        <w:pStyle w:val="CTABody"/>
      </w:pPr>
      <w:r>
        <w:t>D. Incorrect. Past success does not establish that a method remains appropriate for every client or under current standards.</w:t>
      </w:r>
    </w:p>
    <w:p>
      <w:pPr>
        <w:pStyle w:val="CTACallout"/>
      </w:pPr>
      <w:r>
        <w:t>CTA Exam Strategy: Experience is evidence only when it is relevant, current, and evaluated.</w:t>
      </w:r>
    </w:p>
    <w:p>
      <w:pPr>
        <w:pStyle w:val="CTABody"/>
      </w:pPr>
      <w:r>
        <w:t>Remediation: Return to Workbook 3, Chapter 3: Maintaining Professional Competence; review Experience and Learning; log error category COMPETENCE-MAINTENANCE.</w:t>
      </w:r>
    </w:p>
    <w:p>
      <w:pPr>
        <w:pStyle w:val="CTASmall"/>
      </w:pPr>
      <w:r>
        <w:t>Primary source control: Current BBS LCSW/ASW licensing/renewal requirements; NASW competence standards</w:t>
      </w:r>
    </w:p>
    <w:p>
      <w:pPr>
        <w:pStyle w:val="CTAH2"/>
      </w:pPr>
      <w:r>
        <w:t>Question 40 | WB3-C3-Q006</w:t>
      </w:r>
    </w:p>
    <w:p>
      <w:pPr>
        <w:pStyle w:val="CTAMeta"/>
      </w:pPr>
      <w:r>
        <w:t>Difficulty: Moderate | Type: Scenario-Based | Primary concept: CE Compliance vs. Competence</w:t>
      </w:r>
    </w:p>
    <w:p>
      <w:pPr>
        <w:pStyle w:val="CTABody"/>
      </w:pPr>
      <w:r>
        <w:t>A licensed therapist completes all required CE hours but deliberately selects only easy courses unrelated to the high-risk services currently provided. The therapist has identified important knowledge gaps in those services. What is the primary concern?</w:t>
      </w:r>
    </w:p>
    <w:p>
      <w:pPr>
        <w:pStyle w:val="CTAOption"/>
      </w:pPr>
      <w:r>
        <w:t>A. The therapist may be meeting a renewal requirement without addressing actual competence needs.</w:t>
      </w:r>
    </w:p>
    <w:p>
      <w:pPr>
        <w:pStyle w:val="CTAOption"/>
      </w:pPr>
      <w:r>
        <w:t>B. The therapist is prohibited from taking any course outside the therapist’s specialty.</w:t>
      </w:r>
    </w:p>
    <w:p>
      <w:pPr>
        <w:pStyle w:val="CTAOption"/>
      </w:pPr>
      <w:r>
        <w:t>C. Completing the required number of hours automatically resolves the knowledge gaps.</w:t>
      </w:r>
    </w:p>
    <w:p>
      <w:pPr>
        <w:pStyle w:val="CTAOption"/>
      </w:pPr>
      <w:r>
        <w:t>D. Continuing education is unrelated to competence maintenance.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A</w:t>
            </w:r>
          </w:p>
        </w:tc>
        <w:trPr>
          <w:tblHeader/>
        </w:trPr>
      </w:tr>
    </w:tbl>
    <w:p>
      <w:pPr>
        <w:pStyle w:val="CTAH3"/>
      </w:pPr>
      <w:r>
        <w:t>Detailed Option-by-Option Rationales</w:t>
      </w:r>
    </w:p>
    <w:p>
      <w:pPr>
        <w:pStyle w:val="CTABody"/>
      </w:pPr>
      <w:r>
        <w:t>A. Correct. Numerical compliance does not establish that learning needs relevant to current clients have been addressed.</w:t>
      </w:r>
    </w:p>
    <w:p>
      <w:pPr>
        <w:pStyle w:val="CTABody"/>
      </w:pPr>
      <w:r>
        <w:t>B. Incorrect. Clinicians may pursue broad learning; the concern is avoiding known, material practice needs.</w:t>
      </w:r>
    </w:p>
    <w:p>
      <w:pPr>
        <w:pStyle w:val="CTABody"/>
      </w:pPr>
      <w:r>
        <w:t>C. Incorrect. Hours alone do not correct an identified gap when the coursework is unrelated.</w:t>
      </w:r>
    </w:p>
    <w:p>
      <w:pPr>
        <w:pStyle w:val="CTABody"/>
      </w:pPr>
      <w:r>
        <w:t>D. Incorrect. Relevant CE is one important competence-maintenance tool, although it is not the only one.</w:t>
      </w:r>
    </w:p>
    <w:p>
      <w:pPr>
        <w:pStyle w:val="CTACallout"/>
      </w:pPr>
      <w:r>
        <w:t>CTA Exam Strategy: Separate CE compliance from whether the education actually addresses current practice.</w:t>
      </w:r>
    </w:p>
    <w:p>
      <w:pPr>
        <w:pStyle w:val="CTABody"/>
      </w:pPr>
      <w:r>
        <w:t>Remediation: Return to Workbook 3, Chapter 3: Maintaining Professional Competence; review CE Compliance vs. Competence; log error category COMPETENCE-MAINTENANCE.</w:t>
      </w:r>
    </w:p>
    <w:p>
      <w:pPr>
        <w:pStyle w:val="CTASmall"/>
      </w:pPr>
      <w:r>
        <w:t>Primary source control: Current BBS LCSW/ASW licensing/renewal requirements; NASW competence standards</w:t>
      </w:r>
    </w:p>
    <w:p>
      <w:pPr>
        <w:pStyle w:val="CTAH2"/>
      </w:pPr>
      <w:r>
        <w:t>Question 41 | WB3-C3-Q007</w:t>
      </w:r>
    </w:p>
    <w:p>
      <w:pPr>
        <w:pStyle w:val="CTAMeta"/>
      </w:pPr>
      <w:r>
        <w:t>Difficulty: Moderate | Type: Scenario-Based | Primary concept: Outdated Legal Practice</w:t>
      </w:r>
    </w:p>
    <w:p>
      <w:pPr>
        <w:pStyle w:val="CTABody"/>
      </w:pPr>
      <w:r>
        <w:t>A therapist learns that California law may have changed regarding a procedure used regularly in the practice. The therapist says, “Our office has used the same form for years, so it must still be correct.” What should the therapist do?</w:t>
      </w:r>
    </w:p>
    <w:p>
      <w:pPr>
        <w:pStyle w:val="CTAOption"/>
      </w:pPr>
      <w:r>
        <w:t>A. Continue using the form until a complaint proves it is wrong.</w:t>
      </w:r>
    </w:p>
    <w:p>
      <w:pPr>
        <w:pStyle w:val="CTAOption"/>
      </w:pPr>
      <w:r>
        <w:t>B. Ask coworkers to vote on which rule they remember.</w:t>
      </w:r>
    </w:p>
    <w:p>
      <w:pPr>
        <w:pStyle w:val="CTAOption"/>
      </w:pPr>
      <w:r>
        <w:t>C. Rely on the date the form was originally created.</w:t>
      </w:r>
    </w:p>
    <w:p>
      <w:pPr>
        <w:pStyle w:val="CTAOption"/>
      </w:pPr>
      <w:r>
        <w:t>D. Review current authoritative sources and revise the procedure if the rule has changed.</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D</w:t>
            </w:r>
          </w:p>
        </w:tc>
        <w:trPr>
          <w:tblHeader/>
        </w:trPr>
      </w:tr>
    </w:tbl>
    <w:p>
      <w:pPr>
        <w:pStyle w:val="CTAH3"/>
      </w:pPr>
      <w:r>
        <w:t>Detailed Option-by-Option Rationales</w:t>
      </w:r>
    </w:p>
    <w:p>
      <w:pPr>
        <w:pStyle w:val="CTABody"/>
      </w:pPr>
      <w:r>
        <w:t>A. Incorrect. Waiting for a complaint is reactive and may expose clients to preventable harm.</w:t>
      </w:r>
    </w:p>
    <w:p>
      <w:pPr>
        <w:pStyle w:val="CTABody"/>
      </w:pPr>
      <w:r>
        <w:t>B. Incorrect. Group memory is not a substitute for current law or official guidance.</w:t>
      </w:r>
    </w:p>
    <w:p>
      <w:pPr>
        <w:pStyle w:val="CTABody"/>
      </w:pPr>
      <w:r>
        <w:t>C. Incorrect. The age of a form provides no assurance that it reflects current requirements.</w:t>
      </w:r>
    </w:p>
    <w:p>
      <w:pPr>
        <w:pStyle w:val="CTABody"/>
      </w:pPr>
      <w:r>
        <w:t>D. Correct. Competent maintenance requires verifying current standards and updating practice when necessary.</w:t>
      </w:r>
    </w:p>
    <w:p>
      <w:pPr>
        <w:pStyle w:val="CTACallout"/>
      </w:pPr>
      <w:r>
        <w:t>CTA Exam Strategy: “We have always used this form” is a red flag for outdated practice.</w:t>
      </w:r>
    </w:p>
    <w:p>
      <w:pPr>
        <w:pStyle w:val="CTABody"/>
      </w:pPr>
      <w:r>
        <w:t>Remediation: Return to Workbook 3, Chapter 3: Maintaining Professional Competence; review Outdated Legal Practice; log error category COMPETENCE-MAINTENANCE.</w:t>
      </w:r>
    </w:p>
    <w:p>
      <w:pPr>
        <w:pStyle w:val="CTASmall"/>
      </w:pPr>
      <w:r>
        <w:t>Primary source control: Current BBS LCSW/ASW licensing/renewal requirements; NASW competence standards</w:t>
      </w:r>
    </w:p>
    <w:p>
      <w:pPr>
        <w:pStyle w:val="CTAH2"/>
      </w:pPr>
      <w:r>
        <w:t>Question 42 | WB3-C3-Q008</w:t>
      </w:r>
    </w:p>
    <w:p>
      <w:pPr>
        <w:pStyle w:val="CTAMeta"/>
      </w:pPr>
      <w:r>
        <w:t>Difficulty: Moderate | Type: Scenario-Based | Primary concept: New Technology</w:t>
      </w:r>
    </w:p>
    <w:p>
      <w:pPr>
        <w:pStyle w:val="CTABody"/>
      </w:pPr>
      <w:r>
        <w:t>A practice introduces a new artificial-intelligence tool that drafts progress notes. A therapist does not understand how the tool handles client information or how often it produces errors. What is the therapist’s most appropriate response?</w:t>
      </w:r>
    </w:p>
    <w:p>
      <w:pPr>
        <w:pStyle w:val="CTAOption"/>
      </w:pPr>
      <w:r>
        <w:t>A. Use the drafts without review because the employer approved the tool.</w:t>
      </w:r>
    </w:p>
    <w:p>
      <w:pPr>
        <w:pStyle w:val="CTAOption"/>
      </w:pPr>
      <w:r>
        <w:t>B. Learn the tool’s limitations and privacy implications, verify all clinical content independently, and avoid unsafe use until adequately prepared.</w:t>
      </w:r>
    </w:p>
    <w:p>
      <w:pPr>
        <w:pStyle w:val="CTAOption"/>
      </w:pPr>
      <w:r>
        <w:t>C. Assume that new technology is automatically more accurate than clinician documentation.</w:t>
      </w:r>
    </w:p>
    <w:p>
      <w:pPr>
        <w:pStyle w:val="CTAOption"/>
      </w:pPr>
      <w:r>
        <w:t>D. Refuse every future technology regardless of its potential value.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B</w:t>
            </w:r>
          </w:p>
        </w:tc>
        <w:trPr>
          <w:tblHeader/>
        </w:trPr>
      </w:tr>
    </w:tbl>
    <w:p>
      <w:pPr>
        <w:pStyle w:val="CTAH3"/>
      </w:pPr>
      <w:r>
        <w:t>Detailed Option-by-Option Rationales</w:t>
      </w:r>
    </w:p>
    <w:p>
      <w:pPr>
        <w:pStyle w:val="CTABody"/>
      </w:pPr>
      <w:r>
        <w:t>A. Incorrect. Employer adoption does not remove the clinician’s responsibility for confidentiality, accuracy, and professional judgment.</w:t>
      </w:r>
    </w:p>
    <w:p>
      <w:pPr>
        <w:pStyle w:val="CTABody"/>
      </w:pPr>
      <w:r>
        <w:t>B. Correct. The therapist should understand the technology and independently ensure that clinical records are accurate and appropriately protected.</w:t>
      </w:r>
    </w:p>
    <w:p>
      <w:pPr>
        <w:pStyle w:val="CTABody"/>
      </w:pPr>
      <w:r>
        <w:t>C. Incorrect. Newness or automation does not establish reliability.</w:t>
      </w:r>
    </w:p>
    <w:p>
      <w:pPr>
        <w:pStyle w:val="CTABody"/>
      </w:pPr>
      <w:r>
        <w:t>D. Incorrect. Maintaining competence requires careful evaluation, not automatic rejection of useful developments.</w:t>
      </w:r>
    </w:p>
    <w:p>
      <w:pPr>
        <w:pStyle w:val="CTACallout"/>
      </w:pPr>
      <w:r>
        <w:t>CTA Exam Strategy: For new technology, look for training, limitations, privacy, independent review, and continued accountability.</w:t>
      </w:r>
    </w:p>
    <w:p>
      <w:pPr>
        <w:pStyle w:val="CTABody"/>
      </w:pPr>
      <w:r>
        <w:t>Remediation: Return to Workbook 3, Chapter 3: Maintaining Professional Competence; review New Technology; log error category COMPETENCE-MAINTENANCE.</w:t>
      </w:r>
    </w:p>
    <w:p>
      <w:pPr>
        <w:pStyle w:val="CTASmall"/>
      </w:pPr>
      <w:r>
        <w:t>Primary source control: Current BBS LCSW/ASW licensing/renewal requirements; NASW competence standards</w:t>
      </w:r>
    </w:p>
    <w:p>
      <w:pPr>
        <w:pStyle w:val="CTAH2"/>
      </w:pPr>
      <w:r>
        <w:t>Question 43 | WB3-C3-Q009</w:t>
      </w:r>
    </w:p>
    <w:p>
      <w:pPr>
        <w:pStyle w:val="CTAMeta"/>
      </w:pPr>
      <w:r>
        <w:t>Difficulty: Moderate | Type: Scenario-Based | Primary concept: Outcome Monitoring</w:t>
      </w:r>
    </w:p>
    <w:p>
      <w:pPr>
        <w:pStyle w:val="CTABody"/>
      </w:pPr>
      <w:r>
        <w:t>Several clients receiving the same intervention show little improvement, and two report unexpected increases in distress. The therapist has used the approach for many years. What should the therapist do first?</w:t>
      </w:r>
    </w:p>
    <w:p>
      <w:pPr>
        <w:pStyle w:val="CTAOption"/>
      </w:pPr>
      <w:r>
        <w:t>A. Continue unchanged because long experience establishes effectiveness.</w:t>
      </w:r>
    </w:p>
    <w:p>
      <w:pPr>
        <w:pStyle w:val="CTAOption"/>
      </w:pPr>
      <w:r>
        <w:t>B. Attribute the pattern to client resistance without further evaluation.</w:t>
      </w:r>
    </w:p>
    <w:p>
      <w:pPr>
        <w:pStyle w:val="CTAOption"/>
      </w:pPr>
      <w:r>
        <w:t>C. Review the outcomes, reassess the intervention and current knowledge, and determine whether changes or additional preparation are needed.</w:t>
      </w:r>
    </w:p>
    <w:p>
      <w:pPr>
        <w:pStyle w:val="CTAOption"/>
      </w:pPr>
      <w:r>
        <w:t>D. Promise clients that improvement will occur if they remain in treatment long enough.</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Familiarity does not eliminate the duty to evaluate a concerning pattern.</w:t>
      </w:r>
    </w:p>
    <w:p>
      <w:pPr>
        <w:pStyle w:val="CTABody"/>
      </w:pPr>
      <w:r>
        <w:t>B. Incorrect. Assuming resistance may obscure a treatment, competence, or fit problem.</w:t>
      </w:r>
    </w:p>
    <w:p>
      <w:pPr>
        <w:pStyle w:val="CTABody"/>
      </w:pPr>
      <w:r>
        <w:t>C. Correct. Outcome patterns can reveal outdated knowledge, skill gaps, contraindications, or the need for a different plan.</w:t>
      </w:r>
    </w:p>
    <w:p>
      <w:pPr>
        <w:pStyle w:val="CTABody"/>
      </w:pPr>
      <w:r>
        <w:t>D. Incorrect. A promise of eventual improvement is unsupported and does not address the concerning results.</w:t>
      </w:r>
    </w:p>
    <w:p>
      <w:pPr>
        <w:pStyle w:val="CTACallout"/>
      </w:pPr>
      <w:r>
        <w:t>CTA Exam Strategy: Repeated nonresponse or distress should trigger reassessment—not automatic continuation or blame.</w:t>
      </w:r>
    </w:p>
    <w:p>
      <w:pPr>
        <w:pStyle w:val="CTABody"/>
      </w:pPr>
      <w:r>
        <w:t>Remediation: Return to Workbook 3, Chapter 3: Maintaining Professional Competence; review Outcome Monitoring; log error category COMPETENCE-MAINTENANCE.</w:t>
      </w:r>
    </w:p>
    <w:p>
      <w:pPr>
        <w:pStyle w:val="CTASmall"/>
      </w:pPr>
      <w:r>
        <w:t>Primary source control: Current BBS LCSW/ASW licensing/renewal requirements; NASW competence standards</w:t>
      </w:r>
    </w:p>
    <w:p>
      <w:pPr>
        <w:pStyle w:val="CTAH2"/>
      </w:pPr>
      <w:r>
        <w:t>Question 44 | WB3-C3-Q010</w:t>
      </w:r>
    </w:p>
    <w:p>
      <w:pPr>
        <w:pStyle w:val="CTAMeta"/>
      </w:pPr>
      <w:r>
        <w:t>Difficulty: Moderate | Type: Application | Primary concept: Coursework and Specialized Skill</w:t>
      </w:r>
    </w:p>
    <w:p>
      <w:pPr>
        <w:pStyle w:val="CTABody"/>
      </w:pPr>
      <w:r>
        <w:t>A therapist completes a three-hour introductory course on a complex intervention and wants to use the full method independently with a high-risk client. What is the strongest analysis?</w:t>
      </w:r>
    </w:p>
    <w:p>
      <w:pPr>
        <w:pStyle w:val="CTAOption"/>
      </w:pPr>
      <w:r>
        <w:t>A. The therapist should assess whether the course provided sufficient practical preparation for the intervention and risk level before using it.</w:t>
      </w:r>
    </w:p>
    <w:p>
      <w:pPr>
        <w:pStyle w:val="CTAOption"/>
      </w:pPr>
      <w:r>
        <w:t>B. Any approved course automatically establishes full competence.</w:t>
      </w:r>
    </w:p>
    <w:p>
      <w:pPr>
        <w:pStyle w:val="CTAOption"/>
      </w:pPr>
      <w:r>
        <w:t>C. A license allows immediate independent use of every intervention discussed in CE.</w:t>
      </w:r>
    </w:p>
    <w:p>
      <w:pPr>
        <w:pStyle w:val="CTAOption"/>
      </w:pPr>
      <w:r>
        <w:t>D. The therapist can rely on the client’s consent to cure any training limitation.</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A</w:t>
            </w:r>
          </w:p>
        </w:tc>
        <w:trPr>
          <w:tblHeader/>
        </w:trPr>
      </w:tr>
    </w:tbl>
    <w:p>
      <w:pPr>
        <w:pStyle w:val="CTAH3"/>
      </w:pPr>
      <w:r>
        <w:t>Detailed Option-by-Option Rationales</w:t>
      </w:r>
    </w:p>
    <w:p>
      <w:pPr>
        <w:pStyle w:val="CTABody"/>
      </w:pPr>
      <w:r>
        <w:t>A. Correct. Training must be evaluated in relation to the complexity of the intervention, practical skill required, and client risk.</w:t>
      </w:r>
    </w:p>
    <w:p>
      <w:pPr>
        <w:pStyle w:val="CTABody"/>
      </w:pPr>
      <w:r>
        <w:t>B. Incorrect. Course approval and attendance do not establish all necessary competence.</w:t>
      </w:r>
    </w:p>
    <w:p>
      <w:pPr>
        <w:pStyle w:val="CTABody"/>
      </w:pPr>
      <w:r>
        <w:t>C. Incorrect. Licensure does not prove intervention-specific preparation.</w:t>
      </w:r>
    </w:p>
    <w:p>
      <w:pPr>
        <w:pStyle w:val="CTABody"/>
      </w:pPr>
      <w:r>
        <w:t>D. Incorrect. Client consent does not create professional competence.</w:t>
      </w:r>
    </w:p>
    <w:p>
      <w:pPr>
        <w:pStyle w:val="CTACallout"/>
      </w:pPr>
      <w:r>
        <w:t>CTA Exam Strategy: Match the depth of preparation to the complexity and risk of the service.</w:t>
      </w:r>
    </w:p>
    <w:p>
      <w:pPr>
        <w:pStyle w:val="CTABody"/>
      </w:pPr>
      <w:r>
        <w:t>Remediation: Return to Workbook 3, Chapter 3: Maintaining Professional Competence; review Coursework and Specialized Skill; log error category COMPETENCE-MAINTENANCE.</w:t>
      </w:r>
    </w:p>
    <w:p>
      <w:pPr>
        <w:pStyle w:val="CTASmall"/>
      </w:pPr>
      <w:r>
        <w:t>Primary source control: Current BBS LCSW/ASW licensing/renewal requirements; NASW competence standards</w:t>
      </w:r>
    </w:p>
    <w:p>
      <w:pPr>
        <w:pStyle w:val="CTAH2"/>
      </w:pPr>
      <w:r>
        <w:t>Question 45 | WB3-C3-Q011</w:t>
      </w:r>
    </w:p>
    <w:p>
      <w:pPr>
        <w:pStyle w:val="CTAMeta"/>
      </w:pPr>
      <w:r>
        <w:t>Difficulty: Moderate | Type: Scenario-Based | Primary concept: Cultural Responsiveness</w:t>
      </w:r>
    </w:p>
    <w:p>
      <w:pPr>
        <w:pStyle w:val="CTABody"/>
      </w:pPr>
      <w:r>
        <w:t>A therapist begins serving a linguistic and cultural community unfamiliar to the therapist. The therapist assumes general clinical experience is sufficient and makes no effort to learn about communication barriers or relevant context. What is the primary concern?</w:t>
      </w:r>
    </w:p>
    <w:p>
      <w:pPr>
        <w:pStyle w:val="CTAOption"/>
      </w:pPr>
      <w:r>
        <w:t>A. Clinicians must become experts in every culture before accepting any client.</w:t>
      </w:r>
    </w:p>
    <w:p>
      <w:pPr>
        <w:pStyle w:val="CTAOption"/>
      </w:pPr>
      <w:r>
        <w:t>B. Cultural and linguistic factors are unrelated to clinical competence.</w:t>
      </w:r>
    </w:p>
    <w:p>
      <w:pPr>
        <w:pStyle w:val="CTAOption"/>
      </w:pPr>
      <w:r>
        <w:t>C. The therapist should rely on stereotypes to fill gaps quickly.</w:t>
      </w:r>
    </w:p>
    <w:p>
      <w:pPr>
        <w:pStyle w:val="CTAOption"/>
      </w:pPr>
      <w:r>
        <w:t>D. The therapist may need additional culturally responsive preparation and should evaluate how the unfamiliar context affects assessment and treatment.</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D</w:t>
            </w:r>
          </w:p>
        </w:tc>
        <w:trPr>
          <w:tblHeader/>
        </w:trPr>
      </w:tr>
    </w:tbl>
    <w:p>
      <w:pPr>
        <w:pStyle w:val="CTAH3"/>
      </w:pPr>
      <w:r>
        <w:t>Detailed Option-by-Option Rationales</w:t>
      </w:r>
    </w:p>
    <w:p>
      <w:pPr>
        <w:pStyle w:val="CTABody"/>
      </w:pPr>
      <w:r>
        <w:t>A. Incorrect. No clinician can know every culture completely; the duty is to assess and address relevant limitations.</w:t>
      </w:r>
    </w:p>
    <w:p>
      <w:pPr>
        <w:pStyle w:val="CTABody"/>
      </w:pPr>
      <w:r>
        <w:t>B. Incorrect. Language, culture, identity, and context may directly affect communication, diagnosis, treatment, and trust.</w:t>
      </w:r>
    </w:p>
    <w:p>
      <w:pPr>
        <w:pStyle w:val="CTABody"/>
      </w:pPr>
      <w:r>
        <w:t>C. Incorrect. Stereotypes increase risk and do not replace individualized understanding.</w:t>
      </w:r>
    </w:p>
    <w:p>
      <w:pPr>
        <w:pStyle w:val="CTABody"/>
      </w:pPr>
      <w:r>
        <w:t>D. Correct. Ongoing cultural humility includes recognizing knowledge limits and obtaining relevant preparation.</w:t>
      </w:r>
    </w:p>
    <w:p>
      <w:pPr>
        <w:pStyle w:val="CTACallout"/>
      </w:pPr>
      <w:r>
        <w:t>CTA Exam Strategy: Cultural competence questions favor curiosity, individualized assessment, and appropriate learning—not stereotypes or impossible perfection.</w:t>
      </w:r>
    </w:p>
    <w:p>
      <w:pPr>
        <w:pStyle w:val="CTABody"/>
      </w:pPr>
      <w:r>
        <w:t>Remediation: Return to Workbook 3, Chapter 3: Maintaining Professional Competence; review Cultural Responsiveness; log error category COMPETENCE-MAINTENANCE.</w:t>
      </w:r>
    </w:p>
    <w:p>
      <w:pPr>
        <w:pStyle w:val="CTASmall"/>
      </w:pPr>
      <w:r>
        <w:t>Primary source control: Current BBS LCSW/ASW licensing/renewal requirements; NASW competence standards</w:t>
      </w:r>
    </w:p>
    <w:p>
      <w:pPr>
        <w:pStyle w:val="CTAH2"/>
      </w:pPr>
      <w:r>
        <w:t>Question 46 | WB3-C3-Q012</w:t>
      </w:r>
    </w:p>
    <w:p>
      <w:pPr>
        <w:pStyle w:val="CTAMeta"/>
      </w:pPr>
      <w:r>
        <w:t>Difficulty: Moderate | Type: Scenario-Based | Primary concept: Recurring Feedback</w:t>
      </w:r>
    </w:p>
    <w:p>
      <w:pPr>
        <w:pStyle w:val="CTABody"/>
      </w:pPr>
      <w:r>
        <w:t>A therapist receives repeated feedback that risk assessments omit the same important information. The therapist corrects each individual note but does not examine why the pattern continues. What is the most appropriate response?</w:t>
      </w:r>
    </w:p>
    <w:p>
      <w:pPr>
        <w:pStyle w:val="CTAOption"/>
      </w:pPr>
      <w:r>
        <w:t>A. Continue correcting isolated notes without evaluating the recurring cause.</w:t>
      </w:r>
    </w:p>
    <w:p>
      <w:pPr>
        <w:pStyle w:val="CTAOption"/>
      </w:pPr>
      <w:r>
        <w:t>B. Identify the underlying knowledge or skill deficit and complete targeted improvement while protecting current clients.</w:t>
      </w:r>
    </w:p>
    <w:p>
      <w:pPr>
        <w:pStyle w:val="CTAOption"/>
      </w:pPr>
      <w:r>
        <w:t>C. Dismiss the feedback because no client has filed a complaint.</w:t>
      </w:r>
    </w:p>
    <w:p>
      <w:pPr>
        <w:pStyle w:val="CTAOption"/>
      </w:pPr>
      <w:r>
        <w:t>D. Stop documenting risk assessments altogether.</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B</w:t>
            </w:r>
          </w:p>
        </w:tc>
        <w:trPr>
          <w:tblHeader/>
        </w:trPr>
      </w:tr>
    </w:tbl>
    <w:p>
      <w:pPr>
        <w:pStyle w:val="CTAH3"/>
      </w:pPr>
      <w:r>
        <w:t>Detailed Option-by-Option Rationales</w:t>
      </w:r>
    </w:p>
    <w:p>
      <w:pPr>
        <w:pStyle w:val="CTABody"/>
      </w:pPr>
      <w:r>
        <w:t>A. Incorrect. Repeated correction without addressing the cause allows the competence concern to continue.</w:t>
      </w:r>
    </w:p>
    <w:p>
      <w:pPr>
        <w:pStyle w:val="CTABody"/>
      </w:pPr>
      <w:r>
        <w:t>B. Correct. A recurring pattern calls for targeted learning, revised procedures, and monitoring of follow-through.</w:t>
      </w:r>
    </w:p>
    <w:p>
      <w:pPr>
        <w:pStyle w:val="CTABody"/>
      </w:pPr>
      <w:r>
        <w:t>C. Incorrect. Absence of a complaint does not establish safe or competent practice.</w:t>
      </w:r>
    </w:p>
    <w:p>
      <w:pPr>
        <w:pStyle w:val="CTABody"/>
      </w:pPr>
      <w:r>
        <w:t>D. Incorrect. Eliminating required clinical documentation would create additional problems.</w:t>
      </w:r>
    </w:p>
    <w:p>
      <w:pPr>
        <w:pStyle w:val="CTACallout"/>
      </w:pPr>
      <w:r>
        <w:t>CTA Exam Strategy: Repeated errors indicate a pattern. Address the source, not only each individual example.</w:t>
      </w:r>
    </w:p>
    <w:p>
      <w:pPr>
        <w:pStyle w:val="CTABody"/>
      </w:pPr>
      <w:r>
        <w:t>Remediation: Return to Workbook 3, Chapter 3: Maintaining Professional Competence; review Recurring Feedback; log error category COMPETENCE-MAINTENANCE.</w:t>
      </w:r>
    </w:p>
    <w:p>
      <w:pPr>
        <w:pStyle w:val="CTASmall"/>
      </w:pPr>
      <w:r>
        <w:t>Primary source control: Current BBS LCSW/ASW licensing/renewal requirements; NASW competence standards</w:t>
      </w:r>
    </w:p>
    <w:p>
      <w:pPr>
        <w:pStyle w:val="CTAH2"/>
      </w:pPr>
      <w:r>
        <w:t>Question 47 | WB3-C3-Q013</w:t>
      </w:r>
    </w:p>
    <w:p>
      <w:pPr>
        <w:pStyle w:val="CTAMeta"/>
      </w:pPr>
      <w:r>
        <w:t>Difficulty: Difficult | Type: Scenario-Based | Primary concept: Current Professional Functioning</w:t>
      </w:r>
    </w:p>
    <w:p>
      <w:pPr>
        <w:pStyle w:val="CTABody"/>
      </w:pPr>
      <w:r>
        <w:t>A highly trained therapist develops a medical condition causing significant fatigue and slowed concentration. The therapist begins missing risk information and making documentation errors. Which statement is most accurate?</w:t>
      </w:r>
    </w:p>
    <w:p>
      <w:pPr>
        <w:pStyle w:val="CTAOption"/>
      </w:pPr>
      <w:r>
        <w:t>A. Past competence means the therapist may continue unchanged.</w:t>
      </w:r>
    </w:p>
    <w:p>
      <w:pPr>
        <w:pStyle w:val="CTAOption"/>
      </w:pPr>
      <w:r>
        <w:t>B. The condition matters only if a client knows about it.</w:t>
      </w:r>
    </w:p>
    <w:p>
      <w:pPr>
        <w:pStyle w:val="CTAOption"/>
      </w:pPr>
      <w:r>
        <w:t>C. The therapist should assess current functioning, address immediate client risk, and modify or limit services as necessary while the problem is managed.</w:t>
      </w:r>
    </w:p>
    <w:p>
      <w:pPr>
        <w:pStyle w:val="CTAOption"/>
      </w:pPr>
      <w:r>
        <w:t>D. The therapist must permanently surrender the professional license.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Strong prior training does not eliminate a current impairment to performance.</w:t>
      </w:r>
    </w:p>
    <w:p>
      <w:pPr>
        <w:pStyle w:val="CTABody"/>
      </w:pPr>
      <w:r>
        <w:t>B. Incorrect. The ethical concern is the effect on client care, not whether clients recognize the cause.</w:t>
      </w:r>
    </w:p>
    <w:p>
      <w:pPr>
        <w:pStyle w:val="CTABody"/>
      </w:pPr>
      <w:r>
        <w:t>C. Correct. Competence includes current functioning and requires proportionate action when performance is affected.</w:t>
      </w:r>
    </w:p>
    <w:p>
      <w:pPr>
        <w:pStyle w:val="CTABody"/>
      </w:pPr>
      <w:r>
        <w:t>D. Incorrect. Permanent license surrender is an extreme conclusion not supported by the facts.</w:t>
      </w:r>
    </w:p>
    <w:p>
      <w:pPr>
        <w:pStyle w:val="CTACallout"/>
      </w:pPr>
      <w:r>
        <w:t>CTA Exam Strategy: Competence is not only what the clinician knows; it includes the present ability to perform safely.</w:t>
      </w:r>
    </w:p>
    <w:p>
      <w:pPr>
        <w:pStyle w:val="CTABody"/>
      </w:pPr>
      <w:r>
        <w:t>Remediation: Return to Workbook 3, Chapter 3: Maintaining Professional Competence; review Current Professional Functioning; log error category COMPETENCE-MAINTENANCE.</w:t>
      </w:r>
    </w:p>
    <w:p>
      <w:pPr>
        <w:pStyle w:val="CTASmall"/>
      </w:pPr>
      <w:r>
        <w:t>Primary source control: Current BBS LCSW/ASW licensing/renewal requirements; NASW competence standards</w:t>
      </w:r>
    </w:p>
    <w:p>
      <w:pPr>
        <w:pStyle w:val="CTAH2"/>
      </w:pPr>
      <w:r>
        <w:t>Question 48 | WB3-C3-Q014</w:t>
      </w:r>
    </w:p>
    <w:p>
      <w:pPr>
        <w:pStyle w:val="CTAMeta"/>
      </w:pPr>
      <w:r>
        <w:t>Difficulty: Difficult | Type: Scenario-Based | Primary concept: Professional Development Planning</w:t>
      </w:r>
    </w:p>
    <w:p>
      <w:pPr>
        <w:pStyle w:val="CTABody"/>
      </w:pPr>
      <w:r>
        <w:t>A therapist’s practice has shifted toward clients with severe co-occurring substance use and medical concerns. The therapist continues choosing CE solely by price and convenience and has not updated knowledge in either area. What is the strongest response?</w:t>
      </w:r>
    </w:p>
    <w:p>
      <w:pPr>
        <w:pStyle w:val="CTAOption"/>
      </w:pPr>
      <w:r>
        <w:t>A. Continue because the therapist has met the minimum number of CE hours.</w:t>
      </w:r>
    </w:p>
    <w:p>
      <w:pPr>
        <w:pStyle w:val="CTAOption"/>
      </w:pPr>
      <w:r>
        <w:t>B. Assume general psychotherapy skills transfer completely to the new presentations.</w:t>
      </w:r>
    </w:p>
    <w:p>
      <w:pPr>
        <w:pStyle w:val="CTAOption"/>
      </w:pPr>
      <w:r>
        <w:t>C. Wait until an adverse event occurs before changing professional-development priorities.</w:t>
      </w:r>
    </w:p>
    <w:p>
      <w:pPr>
        <w:pStyle w:val="CTAOption"/>
      </w:pPr>
      <w:r>
        <w:t>D. Reassess the competence demands of the current caseload, obtain relevant education and skill development, and limit or coordinate services when needed to protect clients.</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D</w:t>
            </w:r>
          </w:p>
        </w:tc>
        <w:trPr>
          <w:tblHeader/>
        </w:trPr>
      </w:tr>
    </w:tbl>
    <w:p>
      <w:pPr>
        <w:pStyle w:val="CTAH3"/>
      </w:pPr>
      <w:r>
        <w:t>Detailed Option-by-Option Rationales</w:t>
      </w:r>
    </w:p>
    <w:p>
      <w:pPr>
        <w:pStyle w:val="CTABody"/>
      </w:pPr>
      <w:r>
        <w:t>A. Incorrect. Minimum-hour compliance does not address the known mismatch between learning and current practice.</w:t>
      </w:r>
    </w:p>
    <w:p>
      <w:pPr>
        <w:pStyle w:val="CTABody"/>
      </w:pPr>
      <w:r>
        <w:t>B. Incorrect. Complex co-occurring conditions may require specialized knowledge and coordination.</w:t>
      </w:r>
    </w:p>
    <w:p>
      <w:pPr>
        <w:pStyle w:val="CTABody"/>
      </w:pPr>
      <w:r>
        <w:t>C. Incorrect. Competence concerns should be addressed proactively.</w:t>
      </w:r>
    </w:p>
    <w:p>
      <w:pPr>
        <w:pStyle w:val="CTABody"/>
      </w:pPr>
      <w:r>
        <w:t>D. Correct. Professional development should respond to actual caseload needs, risk, and service limitations.</w:t>
      </w:r>
    </w:p>
    <w:p>
      <w:pPr>
        <w:pStyle w:val="CTACallout"/>
      </w:pPr>
      <w:r>
        <w:t>CTA Exam Strategy: When the practice changes, the learning plan must change with it.</w:t>
      </w:r>
    </w:p>
    <w:p>
      <w:pPr>
        <w:pStyle w:val="CTABody"/>
      </w:pPr>
      <w:r>
        <w:t>Remediation: Return to Workbook 3, Chapter 3: Maintaining Professional Competence; review Professional Development Planning; log error category COMPETENCE-MAINTENANCE.</w:t>
      </w:r>
    </w:p>
    <w:p>
      <w:pPr>
        <w:pStyle w:val="CTASmall"/>
      </w:pPr>
      <w:r>
        <w:t>Primary source control: Current BBS LCSW/ASW licensing/renewal requirements; NASW competence standards</w:t>
      </w:r>
    </w:p>
    <w:p>
      <w:pPr>
        <w:pStyle w:val="CTAH2"/>
      </w:pPr>
      <w:r>
        <w:t>Question 49 | WB3-C3-Q015</w:t>
      </w:r>
    </w:p>
    <w:p>
      <w:pPr>
        <w:pStyle w:val="CTAMeta"/>
      </w:pPr>
      <w:r>
        <w:t>Difficulty: Difficult | Type: Scenario-Based | Primary concept: Evaluating New Evidence</w:t>
      </w:r>
    </w:p>
    <w:p>
      <w:pPr>
        <w:pStyle w:val="CTABody"/>
      </w:pPr>
      <w:r>
        <w:t>A well-designed new clinical guideline conflicts with a therapist’s long-standing routine. The therapist has not reviewed the evidence and says, “New research is usually a fad.” What should the therapist do?</w:t>
      </w:r>
    </w:p>
    <w:p>
      <w:pPr>
        <w:pStyle w:val="CTAOption"/>
      </w:pPr>
      <w:r>
        <w:t>A. Adopt the guideline immediately without evaluating whether it applies to the therapist’s clients.</w:t>
      </w:r>
    </w:p>
    <w:p>
      <w:pPr>
        <w:pStyle w:val="CTAOption"/>
      </w:pPr>
      <w:r>
        <w:t>B. Review the quality and relevance of the evidence, compare it with current standards and client needs, and modify practice when warranted.</w:t>
      </w:r>
    </w:p>
    <w:p>
      <w:pPr>
        <w:pStyle w:val="CTAOption"/>
      </w:pPr>
      <w:r>
        <w:t>C. Ignore the guideline because experience always outweighs research.</w:t>
      </w:r>
    </w:p>
    <w:p>
      <w:pPr>
        <w:pStyle w:val="CTAOption"/>
      </w:pPr>
      <w:r>
        <w:t>D. Stop using every established practice whenever new information appears.</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B</w:t>
            </w:r>
          </w:p>
        </w:tc>
        <w:trPr>
          <w:tblHeader/>
        </w:trPr>
      </w:tr>
    </w:tbl>
    <w:p>
      <w:pPr>
        <w:pStyle w:val="CTAH3"/>
      </w:pPr>
      <w:r>
        <w:t>Detailed Option-by-Option Rationales</w:t>
      </w:r>
    </w:p>
    <w:p>
      <w:pPr>
        <w:pStyle w:val="CTABody"/>
      </w:pPr>
      <w:r>
        <w:t>A. Incorrect. Automatic adoption can be as problematic as automatic rejection when fit, limitations, and implementation needs are unknown.</w:t>
      </w:r>
    </w:p>
    <w:p>
      <w:pPr>
        <w:pStyle w:val="CTABody"/>
      </w:pPr>
      <w:r>
        <w:t>B. Correct. Competence maintenance requires thoughtful evaluation of credible developments and appropriate adaptation.</w:t>
      </w:r>
    </w:p>
    <w:p>
      <w:pPr>
        <w:pStyle w:val="CTABody"/>
      </w:pPr>
      <w:r>
        <w:t>C. Incorrect. Experience does not justify refusing to examine reliable new information.</w:t>
      </w:r>
    </w:p>
    <w:p>
      <w:pPr>
        <w:pStyle w:val="CTABody"/>
      </w:pPr>
      <w:r>
        <w:t>D. Incorrect. New information does not require indiscriminate abandonment of established methods.</w:t>
      </w:r>
    </w:p>
    <w:p>
      <w:pPr>
        <w:pStyle w:val="CTACallout"/>
      </w:pPr>
      <w:r>
        <w:t>CTA Exam Strategy: The exam favors critical evaluation—not reflexive resistance or trend chasing.</w:t>
      </w:r>
    </w:p>
    <w:p>
      <w:pPr>
        <w:pStyle w:val="CTABody"/>
      </w:pPr>
      <w:r>
        <w:t>Remediation: Return to Workbook 3, Chapter 3: Maintaining Professional Competence; review Evaluating New Evidence; log error category COMPETENCE-MAINTENANCE.</w:t>
      </w:r>
    </w:p>
    <w:p>
      <w:pPr>
        <w:pStyle w:val="CTASmall"/>
      </w:pPr>
      <w:r>
        <w:t>Primary source control: Current BBS LCSW/ASW licensing/renewal requirements; NASW competence standards</w:t>
      </w:r>
    </w:p>
    <w:p>
      <w:pPr>
        <w:pStyle w:val="CTAH2"/>
      </w:pPr>
      <w:r>
        <w:t>Question 50 | WB3-C3-Q016</w:t>
      </w:r>
    </w:p>
    <w:p>
      <w:pPr>
        <w:pStyle w:val="CTAMeta"/>
      </w:pPr>
      <w:r>
        <w:t>Difficulty: Difficult | Type: Scenario-Based | Primary concept: New Trends and Competence</w:t>
      </w:r>
    </w:p>
    <w:p>
      <w:pPr>
        <w:pStyle w:val="CTABody"/>
      </w:pPr>
      <w:r>
        <w:t>A clinician’s colleagues begin promoting a popular new intervention with strong marketing but little independent evidence. The clinician is pressured to offer it immediately. What is the most appropriate response?</w:t>
      </w:r>
    </w:p>
    <w:p>
      <w:pPr>
        <w:pStyle w:val="CTAOption"/>
      </w:pPr>
      <w:r>
        <w:t>A. Evaluate the evidence, risks, training requirements, and client fit before deciding whether to use the intervention.</w:t>
      </w:r>
    </w:p>
    <w:p>
      <w:pPr>
        <w:pStyle w:val="CTAOption"/>
      </w:pPr>
      <w:r>
        <w:t>B. Offer it immediately because professional popularity establishes competence.</w:t>
      </w:r>
    </w:p>
    <w:p>
      <w:pPr>
        <w:pStyle w:val="CTAOption"/>
      </w:pPr>
      <w:r>
        <w:t>C. Reject all new interventions permanently.</w:t>
      </w:r>
    </w:p>
    <w:p>
      <w:pPr>
        <w:pStyle w:val="CTAOption"/>
      </w:pPr>
      <w:r>
        <w:t>D. Use it only with clients who agree to waive concerns about the evidence.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A</w:t>
            </w:r>
          </w:p>
        </w:tc>
        <w:trPr>
          <w:tblHeader/>
        </w:trPr>
      </w:tr>
    </w:tbl>
    <w:p>
      <w:pPr>
        <w:pStyle w:val="CTAH3"/>
      </w:pPr>
      <w:r>
        <w:t>Detailed Option-by-Option Rationales</w:t>
      </w:r>
    </w:p>
    <w:p>
      <w:pPr>
        <w:pStyle w:val="CTABody"/>
      </w:pPr>
      <w:r>
        <w:t>A. Correct. A responsible decision considers reliability, preparation, risks, and the needs of the client.</w:t>
      </w:r>
    </w:p>
    <w:p>
      <w:pPr>
        <w:pStyle w:val="CTABody"/>
      </w:pPr>
      <w:r>
        <w:t>B. Incorrect. Popularity and marketing are not evidence of effectiveness or clinician competence.</w:t>
      </w:r>
    </w:p>
    <w:p>
      <w:pPr>
        <w:pStyle w:val="CTABody"/>
      </w:pPr>
      <w:r>
        <w:t>C. Incorrect. Maintaining competence includes openness to useful developments, not blanket refusal.</w:t>
      </w:r>
    </w:p>
    <w:p>
      <w:pPr>
        <w:pStyle w:val="CTABody"/>
      </w:pPr>
      <w:r>
        <w:t>D. Incorrect. A waiver does not correct an evidence or competence problem.</w:t>
      </w:r>
    </w:p>
    <w:p>
      <w:pPr>
        <w:pStyle w:val="CTACallout"/>
      </w:pPr>
      <w:r>
        <w:t>CTA Exam Strategy: Neither popularity nor client waiver replaces evidence and adequate preparation.</w:t>
      </w:r>
    </w:p>
    <w:p>
      <w:pPr>
        <w:pStyle w:val="CTABody"/>
      </w:pPr>
      <w:r>
        <w:t>Remediation: Return to Workbook 3, Chapter 3: Maintaining Professional Competence; review New Trends and Competence; log error category COMPETENCE-MAINTENANCE.</w:t>
      </w:r>
    </w:p>
    <w:p>
      <w:pPr>
        <w:pStyle w:val="CTASmall"/>
      </w:pPr>
      <w:r>
        <w:t>Primary source control: Current BBS LCSW/ASW licensing/renewal requirements; NASW competence standards</w:t>
      </w:r>
    </w:p>
    <w:p>
      <w:pPr>
        <w:pStyle w:val="CTAH2"/>
      </w:pPr>
      <w:r>
        <w:t>Question 51 | WB3-C3-Q017</w:t>
      </w:r>
    </w:p>
    <w:p>
      <w:pPr>
        <w:pStyle w:val="CTAMeta"/>
      </w:pPr>
      <w:r>
        <w:t>Difficulty: Difficult | Type: Integrated Challenge | Primary concept: Comprehensive Competence Maintenance</w:t>
      </w:r>
    </w:p>
    <w:p>
      <w:pPr>
        <w:pStyle w:val="CTABody"/>
      </w:pPr>
      <w:r>
        <w:t>A therapist has completed the required CE hours but has not reviewed recent law changes, continues an intervention despite repeated poor outcomes, begins using a new digital tool without understanding its limitations, and dismisses recurring feedback about documentation. Which response best reflects the therapist’s responsibilities?</w:t>
      </w:r>
    </w:p>
    <w:p>
      <w:pPr>
        <w:pStyle w:val="CTAOption"/>
      </w:pPr>
      <w:r>
        <w:t>A. Rely on the active license and completed CE hours as proof that no further action is needed.</w:t>
      </w:r>
    </w:p>
    <w:p>
      <w:pPr>
        <w:pStyle w:val="CTAOption"/>
      </w:pPr>
      <w:r>
        <w:t>B. Continue all current practices until a client complains.</w:t>
      </w:r>
    </w:p>
    <w:p>
      <w:pPr>
        <w:pStyle w:val="CTAOption"/>
      </w:pPr>
      <w:r>
        <w:t>C. Identify and prioritize the specific gaps, verify current standards, obtain targeted learning, correct unsafe procedures, monitor outcomes, and protect clients while competence is strengthened.</w:t>
      </w:r>
    </w:p>
    <w:p>
      <w:pPr>
        <w:pStyle w:val="CTAOption"/>
      </w:pPr>
      <w:r>
        <w:t>D. Terminate every client immediately and permanently leave clinical practice.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An active credential and completed hours do not resolve the multiple current competence concerns.</w:t>
      </w:r>
    </w:p>
    <w:p>
      <w:pPr>
        <w:pStyle w:val="CTABody"/>
      </w:pPr>
      <w:r>
        <w:t>B. Incorrect. Waiting for complaints is reactive and may permit preventable harm.</w:t>
      </w:r>
    </w:p>
    <w:p>
      <w:pPr>
        <w:pStyle w:val="CTABody"/>
      </w:pPr>
      <w:r>
        <w:t>C. Correct. This response addresses law, outcomes, technology, feedback, targeted development, and current client protection in a proportionate way.</w:t>
      </w:r>
    </w:p>
    <w:p>
      <w:pPr>
        <w:pStyle w:val="CTABody"/>
      </w:pPr>
      <w:r>
        <w:t>D. Incorrect. Immediate universal termination is unnecessarily extreme and may disrupt clients without first assessing safer corrective options.</w:t>
      </w:r>
    </w:p>
    <w:p>
      <w:pPr>
        <w:pStyle w:val="CTACallout"/>
      </w:pPr>
      <w:r>
        <w:t>CTA Exam Strategy: For integrated questions, organize the concerns: current authority, actual performance, specific gaps, client risk, corrective learning, and follow-through.</w:t>
      </w:r>
    </w:p>
    <w:p>
      <w:pPr>
        <w:pStyle w:val="CTABody"/>
      </w:pPr>
      <w:r>
        <w:t>Remediation: Return to Workbook 3, Chapter 3: Maintaining Professional Competence; review Comprehensive Competence Maintenance; log error category COMPETENCE-MAINTENANCE.</w:t>
      </w:r>
    </w:p>
    <w:p>
      <w:pPr>
        <w:pStyle w:val="CTASmall"/>
      </w:pPr>
      <w:r>
        <w:t>Primary source control: Current BBS LCSW/ASW licensing/renewal requirements; NASW competence standards</w:t>
      </w:r>
    </w:p>
    <w:p>
      <w:r>
        <w:br w:type="page"/>
      </w:r>
    </w:p>
    <w:p>
      <w:pPr>
        <w:pStyle w:val="CTAH1"/>
      </w:pPr>
      <w:r>
        <w:t>Chapter 4: Controlled Rationales</w:t>
      </w:r>
    </w:p>
    <w:p>
      <w:pPr>
        <w:pStyle w:val="CTASubtitle"/>
      </w:pPr>
      <w:r>
        <w:t>Consultation and Seeking Professional Assistance</w:t>
      </w:r>
    </w:p>
    <w:p>
      <w:pPr>
        <w:pStyle w:val="CTAH2"/>
      </w:pPr>
      <w:r>
        <w:t>Question 52 | WB3-C4-Q001</w:t>
      </w:r>
    </w:p>
    <w:p>
      <w:pPr>
        <w:pStyle w:val="CTAMeta"/>
      </w:pPr>
      <w:r>
        <w:t>Difficulty: Easy | Type: Scenario-Based | Primary concept: Purpose of Consultation</w:t>
      </w:r>
    </w:p>
    <w:p>
      <w:pPr>
        <w:pStyle w:val="CTABody"/>
      </w:pPr>
      <w:r>
        <w:t>A therapist encounters a difficult case and is deciding whether consultation can provide the expertise needed while the therapist remains responsible for care. Which statement best describes professional consultation?</w:t>
      </w:r>
    </w:p>
    <w:p>
      <w:pPr>
        <w:pStyle w:val="CTAOption"/>
      </w:pPr>
      <w:r>
        <w:t>A. A formal transfer of the client to another provider who assumes all responsibility</w:t>
      </w:r>
    </w:p>
    <w:p>
      <w:pPr>
        <w:pStyle w:val="CTAOption"/>
      </w:pPr>
      <w:r>
        <w:t>B. A focused request for professional input while the treating clinician generally retains responsibility</w:t>
      </w:r>
    </w:p>
    <w:p>
      <w:pPr>
        <w:pStyle w:val="CTAOption"/>
      </w:pPr>
      <w:r>
        <w:t>C. A mandatory-reporting procedure that replaces the clinician’s independent legal duties</w:t>
      </w:r>
    </w:p>
    <w:p>
      <w:pPr>
        <w:pStyle w:val="CTAOption"/>
      </w:pPr>
      <w:r>
        <w:t>D. A substitute for the training or supervision needed to establish competence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B</w:t>
            </w:r>
          </w:p>
        </w:tc>
        <w:trPr>
          <w:tblHeader/>
        </w:trPr>
      </w:tr>
    </w:tbl>
    <w:p>
      <w:pPr>
        <w:pStyle w:val="CTAH3"/>
      </w:pPr>
      <w:r>
        <w:t>Detailed Option-by-Option Rationales</w:t>
      </w:r>
    </w:p>
    <w:p>
      <w:pPr>
        <w:pStyle w:val="CTABody"/>
      </w:pPr>
      <w:r>
        <w:t>A. Incorrect. A transfer or referral may move some or all care to another provider. Consultation ordinarily supplies input while the treating clinician remains involved.</w:t>
      </w:r>
    </w:p>
    <w:p>
      <w:pPr>
        <w:pStyle w:val="CTABody"/>
      </w:pPr>
      <w:r>
        <w:t>B. Correct. Consultation adds expertise, perspective, or clarification without automatically changing the treating relationship or final responsibility.</w:t>
      </w:r>
    </w:p>
    <w:p>
      <w:pPr>
        <w:pStyle w:val="CTABody"/>
      </w:pPr>
      <w:r>
        <w:t>C. Incorrect. Consultation can clarify a reporting question, but it does not replace the clinician’s own reporting or protective duties.</w:t>
      </w:r>
    </w:p>
    <w:p>
      <w:pPr>
        <w:pStyle w:val="CTABody"/>
      </w:pPr>
      <w:r>
        <w:t>D. Incorrect. Consultation may identify a development plan, but a conversation does not create competence or satisfy required supervision.</w:t>
      </w:r>
    </w:p>
    <w:p>
      <w:pPr>
        <w:pStyle w:val="CTACallout"/>
      </w:pPr>
      <w:r>
        <w:t>CTA Exam Strategy: Separate the function of consultation from the legal role of the treating clinician.</w:t>
      </w:r>
    </w:p>
    <w:p>
      <w:pPr>
        <w:pStyle w:val="CTABody"/>
      </w:pPr>
      <w:r>
        <w:t>Remediation: Return to Workbook 3, Chapter 4: Consultation and Seeking Professional Assistance; review Purpose of Consultation; log error category CONSULTATION-AND-ASSISTANCE.</w:t>
      </w:r>
    </w:p>
    <w:p>
      <w:pPr>
        <w:pStyle w:val="CTASmall"/>
      </w:pPr>
      <w:r>
        <w:t>Primary source control: Current BBS ASW supervision requirements; NASW consultation, confidentiality, and competence standards</w:t>
      </w:r>
    </w:p>
    <w:p>
      <w:pPr>
        <w:pStyle w:val="CTAH2"/>
      </w:pPr>
      <w:r>
        <w:t>Question 53 | WB3-C4-Q002</w:t>
      </w:r>
    </w:p>
    <w:p>
      <w:pPr>
        <w:pStyle w:val="CTAMeta"/>
      </w:pPr>
      <w:r>
        <w:t>Difficulty: Easy | Type: Standard | Primary concept: Responsibility After Consultation</w:t>
      </w:r>
    </w:p>
    <w:p>
      <w:pPr>
        <w:pStyle w:val="CTABody"/>
      </w:pPr>
      <w:r>
        <w:t>A consultant recommends a course of action. What is the treating clinician’s next responsibility?</w:t>
      </w:r>
    </w:p>
    <w:p>
      <w:pPr>
        <w:pStyle w:val="CTAOption"/>
      </w:pPr>
      <w:r>
        <w:t>A. Follow the recommendation automatically because the consultant has greater expertise</w:t>
      </w:r>
    </w:p>
    <w:p>
      <w:pPr>
        <w:pStyle w:val="CTAOption"/>
      </w:pPr>
      <w:r>
        <w:t>B. Transfer responsibility to the consultant before acting</w:t>
      </w:r>
    </w:p>
    <w:p>
      <w:pPr>
        <w:pStyle w:val="CTAOption"/>
      </w:pPr>
      <w:r>
        <w:t>C. Ignore the recommendation if it differs from the clinician’s first impression</w:t>
      </w:r>
    </w:p>
    <w:p>
      <w:pPr>
        <w:pStyle w:val="CTAOption"/>
      </w:pPr>
      <w:r>
        <w:t>D. Evaluate the recommendation against the facts, law, client needs, and the clinician’s role before deciding</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D</w:t>
            </w:r>
          </w:p>
        </w:tc>
        <w:trPr>
          <w:tblHeader/>
        </w:trPr>
      </w:tr>
    </w:tbl>
    <w:p>
      <w:pPr>
        <w:pStyle w:val="CTAH3"/>
      </w:pPr>
      <w:r>
        <w:t>Detailed Option-by-Option Rationales</w:t>
      </w:r>
    </w:p>
    <w:p>
      <w:pPr>
        <w:pStyle w:val="CTABody"/>
      </w:pPr>
      <w:r>
        <w:t>A. Incorrect. Expertise makes advice relevant, not binding. Automatic compliance abandons the treating clinician’s professional judgment.</w:t>
      </w:r>
    </w:p>
    <w:p>
      <w:pPr>
        <w:pStyle w:val="CTABody"/>
      </w:pPr>
      <w:r>
        <w:t>B. Incorrect. Responsibility does not transfer through advice alone; a separate referral, treatment, evaluation, or supervisory arrangement would be required.</w:t>
      </w:r>
    </w:p>
    <w:p>
      <w:pPr>
        <w:pStyle w:val="CTABody"/>
      </w:pPr>
      <w:r>
        <w:t>C. Incorrect. Reflexive rejection is no better than blind acceptance. The clinician should evaluate the consultant’s reasoning and assumptions.</w:t>
      </w:r>
    </w:p>
    <w:p>
      <w:pPr>
        <w:pStyle w:val="CTABody"/>
      </w:pPr>
      <w:r>
        <w:t>D. Correct. Consultation informs a decision. The treating clinician remains responsible for applying governing law and professional judgment to the client’s circumstances.</w:t>
      </w:r>
    </w:p>
    <w:p>
      <w:pPr>
        <w:pStyle w:val="CTACallout"/>
      </w:pPr>
      <w:r>
        <w:t>CTA Exam Strategy: On the exam, “consult” rarely means “obey without analysis.”</w:t>
      </w:r>
    </w:p>
    <w:p>
      <w:pPr>
        <w:pStyle w:val="CTABody"/>
      </w:pPr>
      <w:r>
        <w:t>Remediation: Return to Workbook 3, Chapter 4: Consultation and Seeking Professional Assistance; review Responsibility After Consultation; log error category CONSULTATION-AND-ASSISTANCE.</w:t>
      </w:r>
    </w:p>
    <w:p>
      <w:pPr>
        <w:pStyle w:val="CTASmall"/>
      </w:pPr>
      <w:r>
        <w:t>Primary source control: Current BBS ASW supervision requirements; NASW consultation, confidentiality, and competence standards</w:t>
      </w:r>
    </w:p>
    <w:p>
      <w:pPr>
        <w:pStyle w:val="CTAH2"/>
      </w:pPr>
      <w:r>
        <w:t>Question 54 | WB3-C4-Q003</w:t>
      </w:r>
    </w:p>
    <w:p>
      <w:pPr>
        <w:pStyle w:val="CTAMeta"/>
      </w:pPr>
      <w:r>
        <w:t>Difficulty: Easy | Type: Scenario-Based | Primary concept: Consultation vs. Referral</w:t>
      </w:r>
    </w:p>
    <w:p>
      <w:pPr>
        <w:pStyle w:val="CTABody"/>
      </w:pPr>
      <w:r>
        <w:t>A clinician is choosing between consultation, supervision, and referral after recognizing a limitation in current knowledge. Which distinction between consultation and referral is most accurate?</w:t>
      </w:r>
    </w:p>
    <w:p>
      <w:pPr>
        <w:pStyle w:val="CTAOption"/>
      </w:pPr>
      <w:r>
        <w:t>A. Consultation generally adds input while the clinician remains involved; referral directs the client to another professional or service</w:t>
      </w:r>
    </w:p>
    <w:p>
      <w:pPr>
        <w:pStyle w:val="CTAOption"/>
      </w:pPr>
      <w:r>
        <w:t>B. Consultation always requires the client to change providers, while referral never changes treatment</w:t>
      </w:r>
    </w:p>
    <w:p>
      <w:pPr>
        <w:pStyle w:val="CTAOption"/>
      </w:pPr>
      <w:r>
        <w:t>C. Consultation and referral are legally identical terms</w:t>
      </w:r>
    </w:p>
    <w:p>
      <w:pPr>
        <w:pStyle w:val="CTAOption"/>
      </w:pPr>
      <w:r>
        <w:t>D. Referral permanently eliminates every duty of the referring clinician the moment contact information is provided</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A</w:t>
            </w:r>
          </w:p>
        </w:tc>
        <w:trPr>
          <w:tblHeader/>
        </w:trPr>
      </w:tr>
    </w:tbl>
    <w:p>
      <w:pPr>
        <w:pStyle w:val="CTAH3"/>
      </w:pPr>
      <w:r>
        <w:t>Detailed Option-by-Option Rationales</w:t>
      </w:r>
    </w:p>
    <w:p>
      <w:pPr>
        <w:pStyle w:val="CTABody"/>
      </w:pPr>
      <w:r>
        <w:t>A. Correct. Consultation strengthens decision-making; referral connects the client with different or additional care. They may occur together, but they serve different functions.</w:t>
      </w:r>
    </w:p>
    <w:p>
      <w:pPr>
        <w:pStyle w:val="CTABody"/>
      </w:pPr>
      <w:r>
        <w:t>B. Incorrect. Consultation usually occurs without a provider change, while referral may add, coordinate, or transfer services.</w:t>
      </w:r>
    </w:p>
    <w:p>
      <w:pPr>
        <w:pStyle w:val="CTABody"/>
      </w:pPr>
      <w:r>
        <w:t>C. Incorrect. The terms describe different professional arrangements and do not carry identical responsibility, consent, or continuity implications.</w:t>
      </w:r>
    </w:p>
    <w:p>
      <w:pPr>
        <w:pStyle w:val="CTABody"/>
      </w:pPr>
      <w:r>
        <w:t>D. Incorrect. A referral is not complete simply because a name was supplied; risk, continuity, and transition duties depend on the circumstances.</w:t>
      </w:r>
    </w:p>
    <w:p>
      <w:pPr>
        <w:pStyle w:val="CTACallout"/>
      </w:pPr>
      <w:r>
        <w:t>CTA Exam Strategy: Ask who remains involved in care and whether the arrangement actually changes providers.</w:t>
      </w:r>
    </w:p>
    <w:p>
      <w:pPr>
        <w:pStyle w:val="CTABody"/>
      </w:pPr>
      <w:r>
        <w:t>Remediation: Return to Workbook 3, Chapter 4: Consultation and Seeking Professional Assistance; review Consultation vs. Referral; log error category CONSULTATION-AND-ASSISTANCE.</w:t>
      </w:r>
    </w:p>
    <w:p>
      <w:pPr>
        <w:pStyle w:val="CTASmall"/>
      </w:pPr>
      <w:r>
        <w:t>Primary source control: Current BBS ASW supervision requirements; NASW consultation, confidentiality, and competence standards</w:t>
      </w:r>
    </w:p>
    <w:p>
      <w:pPr>
        <w:pStyle w:val="CTAH2"/>
      </w:pPr>
      <w:r>
        <w:t>Question 55 | WB3-C4-Q004</w:t>
      </w:r>
    </w:p>
    <w:p>
      <w:pPr>
        <w:pStyle w:val="CTAMeta"/>
      </w:pPr>
      <w:r>
        <w:t>Difficulty: Easy | Type: Scenario-Based | Primary concept: Consultation vs. Required Supervision</w:t>
      </w:r>
    </w:p>
    <w:p>
      <w:pPr>
        <w:pStyle w:val="CTABody"/>
      </w:pPr>
      <w:r>
        <w:t>A ASW meets with an experienced licensed peer for case consultation and plans to skip the week’s required contact with the ASW’s approved supervisor. Which statement is most accurate?</w:t>
      </w:r>
    </w:p>
    <w:p>
      <w:pPr>
        <w:pStyle w:val="CTAOption"/>
      </w:pPr>
      <w:r>
        <w:t>A. The peer consultation satisfies supervision because the peer is licensed</w:t>
      </w:r>
    </w:p>
    <w:p>
      <w:pPr>
        <w:pStyle w:val="CTAOption"/>
      </w:pPr>
      <w:r>
        <w:t>B. The ASW may substitute any professional meeting for direct supervisor contact</w:t>
      </w:r>
    </w:p>
    <w:p>
      <w:pPr>
        <w:pStyle w:val="CTAOption"/>
      </w:pPr>
      <w:r>
        <w:t>C. Peer consultation may supplement learning but does not replace required supervision with the approved supervisor</w:t>
      </w:r>
    </w:p>
    <w:p>
      <w:pPr>
        <w:pStyle w:val="CTAOption"/>
      </w:pPr>
      <w:r>
        <w:t>D. Consultation is prohibited for ASWs because all questions must remain private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Licensure alone does not convert a peer into the supervisee’s qualified, documented supervisor or satisfy the formal relationship.</w:t>
      </w:r>
    </w:p>
    <w:p>
      <w:pPr>
        <w:pStyle w:val="CTABody"/>
      </w:pPr>
      <w:r>
        <w:t>B. Incorrect. California specifies direct supervisor contact and related requirements; an unrelated professional meeting is not interchangeable.</w:t>
      </w:r>
    </w:p>
    <w:p>
      <w:pPr>
        <w:pStyle w:val="CTABody"/>
      </w:pPr>
      <w:r>
        <w:t>C. Correct. Consultation can supplement learning, but required ASW supervision, oversight, and approved direct supervisor contact remain in force.</w:t>
      </w:r>
    </w:p>
    <w:p>
      <w:pPr>
        <w:pStyle w:val="CTABody"/>
      </w:pPr>
      <w:r>
        <w:t>D. Incorrect. Associates may appropriately consult while protecting confidentiality. The error is substitution, not consultation itself.</w:t>
      </w:r>
    </w:p>
    <w:p>
      <w:pPr>
        <w:pStyle w:val="CTACallout"/>
      </w:pPr>
      <w:r>
        <w:t>CTA Exam Strategy: When a supervisee appears, test formal supervision before rewarding peer consultation.</w:t>
      </w:r>
    </w:p>
    <w:p>
      <w:pPr>
        <w:pStyle w:val="CTABody"/>
      </w:pPr>
      <w:r>
        <w:t>Remediation: Return to Workbook 3, Chapter 4: Consultation and Seeking Professional Assistance; review Consultation vs. Required Supervision; log error category CONSULTATION-AND-ASSISTANCE.</w:t>
      </w:r>
    </w:p>
    <w:p>
      <w:pPr>
        <w:pStyle w:val="CTASmall"/>
      </w:pPr>
      <w:r>
        <w:t>Primary source control: Current BBS ASW supervision requirements; NASW consultation, confidentiality, and competence standards</w:t>
      </w:r>
    </w:p>
    <w:p>
      <w:pPr>
        <w:pStyle w:val="CTAH2"/>
      </w:pPr>
      <w:r>
        <w:t>Question 56 | WB3-C4-Q005</w:t>
      </w:r>
    </w:p>
    <w:p>
      <w:pPr>
        <w:pStyle w:val="CTAMeta"/>
      </w:pPr>
      <w:r>
        <w:t>Difficulty: Easy | Type: Standard | Primary concept: Confidentiality Check</w:t>
      </w:r>
    </w:p>
    <w:p>
      <w:pPr>
        <w:pStyle w:val="CTABody"/>
      </w:pPr>
      <w:r>
        <w:t>Before disclosing identifiable client information to an outside consultant, what should the clinician do?</w:t>
      </w:r>
    </w:p>
    <w:p>
      <w:pPr>
        <w:pStyle w:val="CTAOption"/>
      </w:pPr>
      <w:r>
        <w:t>A. Assume any licensed colleague may receive the complete record</w:t>
      </w:r>
    </w:p>
    <w:p>
      <w:pPr>
        <w:pStyle w:val="CTAOption"/>
      </w:pPr>
      <w:r>
        <w:t>B. Obtain a written authorization in every consultation without considering any treatment exception</w:t>
      </w:r>
    </w:p>
    <w:p>
      <w:pPr>
        <w:pStyle w:val="CTAOption"/>
      </w:pPr>
      <w:r>
        <w:t>C. Share all available details so the consultant cannot ask follow-up questions</w:t>
      </w:r>
    </w:p>
    <w:p>
      <w:pPr>
        <w:pStyle w:val="CTAOption"/>
      </w:pPr>
      <w:r>
        <w:t>D. Identify the purpose and recipient, determine the legal disclosure basis, and limit information to the legitimate consultation need</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D</w:t>
            </w:r>
          </w:p>
        </w:tc>
        <w:trPr>
          <w:tblHeader/>
        </w:trPr>
      </w:tr>
    </w:tbl>
    <w:p>
      <w:pPr>
        <w:pStyle w:val="CTAH3"/>
      </w:pPr>
      <w:r>
        <w:t>Detailed Option-by-Option Rationales</w:t>
      </w:r>
    </w:p>
    <w:p>
      <w:pPr>
        <w:pStyle w:val="CTABody"/>
      </w:pPr>
      <w:r>
        <w:t>A. Incorrect. A license does not create blanket permission. The recipient’s role, purpose, and applicable confidentiality law must be analyzed.</w:t>
      </w:r>
    </w:p>
    <w:p>
      <w:pPr>
        <w:pStyle w:val="CTABody"/>
      </w:pPr>
      <w:r>
        <w:t>B. Incorrect. Authorization may be required in some circumstances, but California and federal law permit some treatment-related disclosures without a separate authorization.</w:t>
      </w:r>
    </w:p>
    <w:p>
      <w:pPr>
        <w:pStyle w:val="CTABody"/>
      </w:pPr>
      <w:r>
        <w:t>C. Incorrect. Unnecessary identifiers and records increase confidentiality risk and may not improve the advice.</w:t>
      </w:r>
    </w:p>
    <w:p>
      <w:pPr>
        <w:pStyle w:val="CTABody"/>
      </w:pPr>
      <w:r>
        <w:t>D. Correct. This sequence recognizes that legal permission and proportional disclosure are context-dependent. [Civ. Code § 56.10]</w:t>
      </w:r>
    </w:p>
    <w:p>
      <w:pPr>
        <w:pStyle w:val="CTACallout"/>
      </w:pPr>
      <w:r>
        <w:t>CTA Exam Strategy: Avoid “always” and “never” answers in consultation-confidentiality questions unless a specific rule supports them. Moderate Questions Applied rules, confidentiality analysis, documentation, urgency, and competence.</w:t>
      </w:r>
    </w:p>
    <w:p>
      <w:pPr>
        <w:pStyle w:val="CTABody"/>
      </w:pPr>
      <w:r>
        <w:t>Remediation: Return to Workbook 3, Chapter 4: Consultation and Seeking Professional Assistance; review Confidentiality Check; log error category CONSULTATION-AND-ASSISTANCE.</w:t>
      </w:r>
    </w:p>
    <w:p>
      <w:pPr>
        <w:pStyle w:val="CTASmall"/>
      </w:pPr>
      <w:r>
        <w:t>Primary source control: Current BBS ASW supervision requirements; NASW consultation, confidentiality, and competence standards</w:t>
      </w:r>
    </w:p>
    <w:p>
      <w:pPr>
        <w:pStyle w:val="CTAH2"/>
      </w:pPr>
      <w:r>
        <w:t>Question 57 | WB3-C4-Q006</w:t>
      </w:r>
    </w:p>
    <w:p>
      <w:pPr>
        <w:pStyle w:val="CTAMeta"/>
      </w:pPr>
      <w:r>
        <w:t>Difficulty: Moderate | Type: Scenario-Based | Primary concept: Personal Reactions and Objectivity</w:t>
      </w:r>
    </w:p>
    <w:p>
      <w:pPr>
        <w:pStyle w:val="CTABody"/>
      </w:pPr>
      <w:r>
        <w:t>A therapist notices intense frustration toward a client and has begun interpreting neutral statements as manipulative. What is the best response?</w:t>
      </w:r>
    </w:p>
    <w:p>
      <w:pPr>
        <w:pStyle w:val="CTAOption"/>
      </w:pPr>
      <w:r>
        <w:t>A. Tell the client that the client is causing the therapist’s reaction</w:t>
      </w:r>
    </w:p>
    <w:p>
      <w:pPr>
        <w:pStyle w:val="CTAOption"/>
      </w:pPr>
      <w:r>
        <w:t>B. Assess the effect on judgment, seek appropriate consultation or professional support, and add safeguards or modify care as needed</w:t>
      </w:r>
    </w:p>
    <w:p>
      <w:pPr>
        <w:pStyle w:val="CTAOption"/>
      </w:pPr>
      <w:r>
        <w:t>C. Terminate immediately without assessing risk or continuity</w:t>
      </w:r>
    </w:p>
    <w:p>
      <w:pPr>
        <w:pStyle w:val="CTAOption"/>
      </w:pPr>
      <w:r>
        <w:t>D. Continue unchanged because personal reactions are never relevant to competence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B</w:t>
            </w:r>
          </w:p>
        </w:tc>
        <w:trPr>
          <w:tblHeader/>
        </w:trPr>
      </w:tr>
    </w:tbl>
    <w:p>
      <w:pPr>
        <w:pStyle w:val="CTAH3"/>
      </w:pPr>
      <w:r>
        <w:t>Detailed Option-by-Option Rationales</w:t>
      </w:r>
    </w:p>
    <w:p>
      <w:pPr>
        <w:pStyle w:val="CTABody"/>
      </w:pPr>
      <w:r>
        <w:t>A. Incorrect. Burdening or blaming the client does not restore objectivity and may harm the relationship.</w:t>
      </w:r>
    </w:p>
    <w:p>
      <w:pPr>
        <w:pStyle w:val="CTABody"/>
      </w:pPr>
      <w:r>
        <w:t>B. Correct. The BBS outlines test awareness and management of personal values, beliefs, and reactions, including situations indicating professional assistance or consultation.</w:t>
      </w:r>
    </w:p>
    <w:p>
      <w:pPr>
        <w:pStyle w:val="CTABody"/>
      </w:pPr>
      <w:r>
        <w:t>C. Incorrect. Immediate termination may be disproportionate and disruptive unless safety or functioning makes continued care untenable. Assessment comes first.</w:t>
      </w:r>
    </w:p>
    <w:p>
      <w:pPr>
        <w:pStyle w:val="CTABody"/>
      </w:pPr>
      <w:r>
        <w:t>D. Incorrect. Strong reactions can distort judgment, boundaries, and treatment; ignoring them is inconsistent with competent practice.</w:t>
      </w:r>
    </w:p>
    <w:p>
      <w:pPr>
        <w:pStyle w:val="CTACallout"/>
      </w:pPr>
      <w:r>
        <w:t>CTA Exam Strategy: Choose the response that protects the client while addressing the clinician factor directly and proportionately.</w:t>
      </w:r>
    </w:p>
    <w:p>
      <w:pPr>
        <w:pStyle w:val="CTABody"/>
      </w:pPr>
      <w:r>
        <w:t>Remediation: Return to Workbook 3, Chapter 4: Consultation and Seeking Professional Assistance; review Personal Reactions and Objectivity; log error category CONSULTATION-AND-ASSISTANCE.</w:t>
      </w:r>
    </w:p>
    <w:p>
      <w:pPr>
        <w:pStyle w:val="CTASmall"/>
      </w:pPr>
      <w:r>
        <w:t>Primary source control: Current BBS ASW supervision requirements; NASW consultation, confidentiality, and competence standards</w:t>
      </w:r>
    </w:p>
    <w:p>
      <w:pPr>
        <w:pStyle w:val="CTAH2"/>
      </w:pPr>
      <w:r>
        <w:t>Question 58 | WB3-C4-Q007</w:t>
      </w:r>
    </w:p>
    <w:p>
      <w:pPr>
        <w:pStyle w:val="CTAMeta"/>
      </w:pPr>
      <w:r>
        <w:t>Difficulty: Moderate | Type: Scenario-Based | Primary concept: Selecting a Consultant</w:t>
      </w:r>
    </w:p>
    <w:p>
      <w:pPr>
        <w:pStyle w:val="CTABody"/>
      </w:pPr>
      <w:r>
        <w:t>A therapist encounters a difficult case and is deciding whether consultation can provide the expertise needed while the therapist remains responsible for care. Which factor is most important when choosing a consultant?</w:t>
      </w:r>
    </w:p>
    <w:p>
      <w:pPr>
        <w:pStyle w:val="CTAOption"/>
      </w:pPr>
      <w:r>
        <w:t>A. Relevant expertise, an appropriate role, manageable conflicts, and the ability to protect information</w:t>
      </w:r>
    </w:p>
    <w:p>
      <w:pPr>
        <w:pStyle w:val="CTAOption"/>
      </w:pPr>
      <w:r>
        <w:t>B. Personal friendship with the clinician, even if the person lacks subject-matter expertise</w:t>
      </w:r>
    </w:p>
    <w:p>
      <w:pPr>
        <w:pStyle w:val="CTAOption"/>
      </w:pPr>
      <w:r>
        <w:t>C. Willingness to guarantee that the clinician’s preferred decision is correct</w:t>
      </w:r>
    </w:p>
    <w:p>
      <w:pPr>
        <w:pStyle w:val="CTAOption"/>
      </w:pPr>
      <w:r>
        <w:t>D. Availability alone, regardless of training, jurisdiction, or confidentiality</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A</w:t>
            </w:r>
          </w:p>
        </w:tc>
        <w:trPr>
          <w:tblHeader/>
        </w:trPr>
      </w:tr>
    </w:tbl>
    <w:p>
      <w:pPr>
        <w:pStyle w:val="CTAH3"/>
      </w:pPr>
      <w:r>
        <w:t>Detailed Option-by-Option Rationales</w:t>
      </w:r>
    </w:p>
    <w:p>
      <w:pPr>
        <w:pStyle w:val="CTABody"/>
      </w:pPr>
      <w:r>
        <w:t>A. Correct. The consultant must fit the actual question and be able to receive and handle information appropriately.</w:t>
      </w:r>
    </w:p>
    <w:p>
      <w:pPr>
        <w:pStyle w:val="CTABody"/>
      </w:pPr>
      <w:r>
        <w:t>B. Incorrect. Trust can support communication, but friendship does not establish expertise and may introduce conflicts.</w:t>
      </w:r>
    </w:p>
    <w:p>
      <w:pPr>
        <w:pStyle w:val="CTABody"/>
      </w:pPr>
      <w:r>
        <w:t>C. Incorrect. Competent consultants clarify limits and uncertainty; a guarantee is unrealistic and potentially misleading.</w:t>
      </w:r>
    </w:p>
    <w:p>
      <w:pPr>
        <w:pStyle w:val="CTABody"/>
      </w:pPr>
      <w:r>
        <w:t>D. Incorrect. Rapid access is useful only if the person is qualified and the consultation can be conducted lawfully and securely.</w:t>
      </w:r>
    </w:p>
    <w:p>
      <w:pPr>
        <w:pStyle w:val="CTACallout"/>
      </w:pPr>
      <w:r>
        <w:t>CTA Exam Strategy: Match the consultant to the issue, not to the clinician’s comfort or desired answer.</w:t>
      </w:r>
    </w:p>
    <w:p>
      <w:pPr>
        <w:pStyle w:val="CTABody"/>
      </w:pPr>
      <w:r>
        <w:t>Remediation: Return to Workbook 3, Chapter 4: Consultation and Seeking Professional Assistance; review Selecting a Consultant; log error category CONSULTATION-AND-ASSISTANCE.</w:t>
      </w:r>
    </w:p>
    <w:p>
      <w:pPr>
        <w:pStyle w:val="CTASmall"/>
      </w:pPr>
      <w:r>
        <w:t>Primary source control: Current BBS ASW supervision requirements; NASW consultation, confidentiality, and competence standards</w:t>
      </w:r>
    </w:p>
    <w:p>
      <w:pPr>
        <w:pStyle w:val="CTAH2"/>
      </w:pPr>
      <w:r>
        <w:t>Question 59 | WB3-C4-Q008</w:t>
      </w:r>
    </w:p>
    <w:p>
      <w:pPr>
        <w:pStyle w:val="CTAMeta"/>
      </w:pPr>
      <w:r>
        <w:t>Difficulty: Moderate | Type: Scenario-Based | Primary concept: Treatment Consultation and Disclosure</w:t>
      </w:r>
    </w:p>
    <w:p>
      <w:pPr>
        <w:pStyle w:val="CTABody"/>
      </w:pPr>
      <w:r>
        <w:t>An LCSW wants input from a licensed health care professional who specializes in the client’s condition. Which approach is most accurate?</w:t>
      </w:r>
    </w:p>
    <w:p>
      <w:pPr>
        <w:pStyle w:val="CTAOption"/>
      </w:pPr>
      <w:r>
        <w:t>A. A signed authorization is always required before any treatment consultation</w:t>
      </w:r>
    </w:p>
    <w:p>
      <w:pPr>
        <w:pStyle w:val="CTAOption"/>
      </w:pPr>
      <w:r>
        <w:t>B. Because both people are licensed, the LCSW may disclose the full record for any purpose</w:t>
      </w:r>
    </w:p>
    <w:p>
      <w:pPr>
        <w:pStyle w:val="CTAOption"/>
      </w:pPr>
      <w:r>
        <w:t>C. The LCSW should confirm the treatment purpose and legal basis, use relevant information, and de-identify or limit details when feasible</w:t>
      </w:r>
    </w:p>
    <w:p>
      <w:pPr>
        <w:pStyle w:val="CTAOption"/>
      </w:pPr>
      <w:r>
        <w:t>D. The LCSW should post the facts in a closed professional group because membership makes the discussion confidential</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California CMIA and HIPAA, when applicable, permit some provider-to-provider disclosures for treatment without a separate authorization; the analysis is contextual.</w:t>
      </w:r>
    </w:p>
    <w:p>
      <w:pPr>
        <w:pStyle w:val="CTABody"/>
      </w:pPr>
      <w:r>
        <w:t>B. Incorrect. Licensure does not authorize unlimited disclosure or a non-treatment purpose. The information and recipient must fit a lawful basis.</w:t>
      </w:r>
    </w:p>
    <w:p>
      <w:pPr>
        <w:pStyle w:val="CTABody"/>
      </w:pPr>
      <w:r>
        <w:t>C. Correct. This approach identifies the permission first and then manages the scope and identifiability of the information. [Civ. Code § 56.10(c)(1); 45 C.F.R. § 164.506]</w:t>
      </w:r>
    </w:p>
    <w:p>
      <w:pPr>
        <w:pStyle w:val="CTABody"/>
      </w:pPr>
      <w:r>
        <w:t>D. Incorrect. A closed online group is not automatically a lawful recipient, secure channel, or treatment relationship.</w:t>
      </w:r>
    </w:p>
    <w:p>
      <w:pPr>
        <w:pStyle w:val="CTACallout"/>
      </w:pPr>
      <w:r>
        <w:t>CTA Exam Strategy: Do not collapse “treatment exception” into “anything goes.” Analyze both permission and scope.</w:t>
      </w:r>
    </w:p>
    <w:p>
      <w:pPr>
        <w:pStyle w:val="CTABody"/>
      </w:pPr>
      <w:r>
        <w:t>Remediation: Return to Workbook 3, Chapter 4: Consultation and Seeking Professional Assistance; review Treatment Consultation and Disclosure; log error category CONSULTATION-AND-ASSISTANCE.</w:t>
      </w:r>
    </w:p>
    <w:p>
      <w:pPr>
        <w:pStyle w:val="CTASmall"/>
      </w:pPr>
      <w:r>
        <w:t>Primary source control: Current BBS ASW supervision requirements; NASW consultation, confidentiality, and competence standards</w:t>
      </w:r>
    </w:p>
    <w:p>
      <w:pPr>
        <w:pStyle w:val="CTAH2"/>
      </w:pPr>
      <w:r>
        <w:t>Question 60 | WB3-C4-Q009</w:t>
      </w:r>
    </w:p>
    <w:p>
      <w:pPr>
        <w:pStyle w:val="CTAMeta"/>
      </w:pPr>
      <w:r>
        <w:t>Difficulty: Moderate | Type: Scenario-Based | Primary concept: Documentation</w:t>
      </w:r>
    </w:p>
    <w:p>
      <w:pPr>
        <w:pStyle w:val="CTABody"/>
      </w:pPr>
      <w:r>
        <w:t>A consultation materially changes a therapist’s suicide-risk formulation and safety plan. What documentation is most appropriate?</w:t>
      </w:r>
    </w:p>
    <w:p>
      <w:pPr>
        <w:pStyle w:val="CTAOption"/>
      </w:pPr>
      <w:r>
        <w:t>A. No documentation, because mentioning consultation automatically transfers responsibility</w:t>
      </w:r>
    </w:p>
    <w:p>
      <w:pPr>
        <w:pStyle w:val="CTAOption"/>
      </w:pPr>
      <w:r>
        <w:t>B. A verbatim transcript of every statement made by the consultant</w:t>
      </w:r>
    </w:p>
    <w:p>
      <w:pPr>
        <w:pStyle w:val="CTAOption"/>
      </w:pPr>
      <w:r>
        <w:t>C. A note created only if the client later files a complaint</w:t>
      </w:r>
    </w:p>
    <w:p>
      <w:pPr>
        <w:pStyle w:val="CTAOption"/>
      </w:pPr>
      <w:r>
        <w:t>D. A timely record of the reason for consultation, significant input, the therapist’s independent assessment, action, and follow-up</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D</w:t>
            </w:r>
          </w:p>
        </w:tc>
        <w:trPr>
          <w:tblHeader/>
        </w:trPr>
      </w:tr>
    </w:tbl>
    <w:p>
      <w:pPr>
        <w:pStyle w:val="CTAH3"/>
      </w:pPr>
      <w:r>
        <w:t>Detailed Option-by-Option Rationales</w:t>
      </w:r>
    </w:p>
    <w:p>
      <w:pPr>
        <w:pStyle w:val="CTABody"/>
      </w:pPr>
      <w:r>
        <w:t>A. Incorrect. Consultation does not transfer responsibility, and omitting a clinically significant decision can undermine continuity and accountability.</w:t>
      </w:r>
    </w:p>
    <w:p>
      <w:pPr>
        <w:pStyle w:val="CTABody"/>
      </w:pPr>
      <w:r>
        <w:t>B. Incorrect. A transcript is usually unnecessary and may add irrelevant or sensitive material; documentation should be proportionate.</w:t>
      </w:r>
    </w:p>
    <w:p>
      <w:pPr>
        <w:pStyle w:val="CTABody"/>
      </w:pPr>
      <w:r>
        <w:t>C. Incorrect. Retrospective complaint-driven documentation is not a substitute for a timely clinical record.</w:t>
      </w:r>
    </w:p>
    <w:p>
      <w:pPr>
        <w:pStyle w:val="CTABody"/>
      </w:pPr>
      <w:r>
        <w:t>D. Correct. This captures the material reasoning and shows that the treating clinician evaluated the advice and acted. [Bus. &amp; Prof. Code §§ 4992.3, 4992.3, 4999.90]</w:t>
      </w:r>
    </w:p>
    <w:p>
      <w:pPr>
        <w:pStyle w:val="CTACallout"/>
      </w:pPr>
      <w:r>
        <w:t>CTA Exam Strategy: Document the decision pathway, not a liability-shifting story or an unnecessary transcript.</w:t>
      </w:r>
    </w:p>
    <w:p>
      <w:pPr>
        <w:pStyle w:val="CTABody"/>
      </w:pPr>
      <w:r>
        <w:t>Remediation: Return to Workbook 3, Chapter 4: Consultation and Seeking Professional Assistance; review Documentation; log error category CONSULTATION-AND-ASSISTANCE.</w:t>
      </w:r>
    </w:p>
    <w:p>
      <w:pPr>
        <w:pStyle w:val="CTASmall"/>
      </w:pPr>
      <w:r>
        <w:t>Primary source control: Current BBS ASW supervision requirements; NASW consultation, confidentiality, and competence standards</w:t>
      </w:r>
    </w:p>
    <w:p>
      <w:pPr>
        <w:pStyle w:val="CTAH2"/>
      </w:pPr>
      <w:r>
        <w:t>Question 61 | WB3-C4-Q010</w:t>
      </w:r>
    </w:p>
    <w:p>
      <w:pPr>
        <w:pStyle w:val="CTAMeta"/>
      </w:pPr>
      <w:r>
        <w:t>Difficulty: Moderate | Type: Scenario-Based | Primary concept: Urgent Threat and Consultation</w:t>
      </w:r>
    </w:p>
    <w:p>
      <w:pPr>
        <w:pStyle w:val="CTABody"/>
      </w:pPr>
      <w:r>
        <w:t>A client communicates a serious threat of physical violence against a reasonably identifiable victim. The therapist is uncertain about one detail of the law. What is the best response?</w:t>
      </w:r>
    </w:p>
    <w:p>
      <w:pPr>
        <w:pStyle w:val="CTAOption"/>
      </w:pPr>
      <w:r>
        <w:t>A. Wait for a routine consultation appointment next week before assessing or acting</w:t>
      </w:r>
    </w:p>
    <w:p>
      <w:pPr>
        <w:pStyle w:val="CTAOption"/>
      </w:pPr>
      <w:r>
        <w:t>B. Assess and take prompt protective action required by the circumstances while obtaining immediate qualified guidance without delaying protection</w:t>
      </w:r>
    </w:p>
    <w:p>
      <w:pPr>
        <w:pStyle w:val="CTAOption"/>
      </w:pPr>
      <w:r>
        <w:t>C. Disregard the threat because legal uncertainty eliminates responsibility</w:t>
      </w:r>
    </w:p>
    <w:p>
      <w:pPr>
        <w:pStyle w:val="CTAOption"/>
      </w:pPr>
      <w:r>
        <w:t>D. Transfer the decision entirely to a colleague who has never evaluated the client</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B</w:t>
            </w:r>
          </w:p>
        </w:tc>
        <w:trPr>
          <w:tblHeader/>
        </w:trPr>
      </w:tr>
    </w:tbl>
    <w:p>
      <w:pPr>
        <w:pStyle w:val="CTAH3"/>
      </w:pPr>
      <w:r>
        <w:t>Detailed Option-by-Option Rationales</w:t>
      </w:r>
    </w:p>
    <w:p>
      <w:pPr>
        <w:pStyle w:val="CTABody"/>
      </w:pPr>
      <w:r>
        <w:t>A. Incorrect. Routine delay may expose the victim and client to foreseeable harm and is inconsistent with a time-sensitive risk response.</w:t>
      </w:r>
    </w:p>
    <w:p>
      <w:pPr>
        <w:pStyle w:val="CTABody"/>
      </w:pPr>
      <w:r>
        <w:t>B. Correct. California Civil Code section 43.92 requires a duty-to-protect analysis under specified facts; consultation may occur promptly but cannot postpone necessary protection.</w:t>
      </w:r>
    </w:p>
    <w:p>
      <w:pPr>
        <w:pStyle w:val="CTABody"/>
      </w:pPr>
      <w:r>
        <w:t>C. Incorrect. Uncertainty calls for rapid clarification, not inaction. The therapist must still assess the facts and applicable duties.</w:t>
      </w:r>
    </w:p>
    <w:p>
      <w:pPr>
        <w:pStyle w:val="CTABody"/>
      </w:pPr>
      <w:r>
        <w:t>D. Incorrect. A colleague can assist, but the treating therapist cannot transfer the assessment or legal duty through an informal conversation.</w:t>
      </w:r>
    </w:p>
    <w:p>
      <w:pPr>
        <w:pStyle w:val="CTACallout"/>
      </w:pPr>
      <w:r>
        <w:t>CTA Exam Strategy: In urgent scenarios, reject answers that make routine consultation a reason to wait.</w:t>
      </w:r>
    </w:p>
    <w:p>
      <w:pPr>
        <w:pStyle w:val="CTABody"/>
      </w:pPr>
      <w:r>
        <w:t>Remediation: Return to Workbook 3, Chapter 4: Consultation and Seeking Professional Assistance; review Urgent Threat and Consultation; log error category CONSULTATION-AND-ASSISTANCE.</w:t>
      </w:r>
    </w:p>
    <w:p>
      <w:pPr>
        <w:pStyle w:val="CTASmall"/>
      </w:pPr>
      <w:r>
        <w:t>Primary source control: Current BBS ASW supervision requirements; NASW consultation, confidentiality, and competence standards</w:t>
      </w:r>
    </w:p>
    <w:p>
      <w:pPr>
        <w:pStyle w:val="CTAH2"/>
      </w:pPr>
      <w:r>
        <w:t>Question 62 | WB3-C4-Q011</w:t>
      </w:r>
    </w:p>
    <w:p>
      <w:pPr>
        <w:pStyle w:val="CTAMeta"/>
      </w:pPr>
      <w:r>
        <w:t>Difficulty: Moderate | Type: Scenario-Based | Primary concept: Individual Mandated-Reporting Duty</w:t>
      </w:r>
    </w:p>
    <w:p>
      <w:pPr>
        <w:pStyle w:val="CTABody"/>
      </w:pPr>
      <w:r>
        <w:t>A therapist has reasonable suspicion of child abuse. The therapist’s supervisor believes the facts are insufficient and directs the therapist not to report. What should the therapist do?</w:t>
      </w:r>
    </w:p>
    <w:p>
      <w:pPr>
        <w:pStyle w:val="CTAOption"/>
      </w:pPr>
      <w:r>
        <w:t>A. Make the report within the statutory timeframe because the mandated-reporting duty is individual</w:t>
      </w:r>
    </w:p>
    <w:p>
      <w:pPr>
        <w:pStyle w:val="CTAOption"/>
      </w:pPr>
      <w:r>
        <w:t>B. Follow the supervisor’s directive because supervision transfers the reporting duty</w:t>
      </w:r>
    </w:p>
    <w:p>
      <w:pPr>
        <w:pStyle w:val="CTAOption"/>
      </w:pPr>
      <w:r>
        <w:t>C. Wait until abuse is proven beyond doubt</w:t>
      </w:r>
    </w:p>
    <w:p>
      <w:pPr>
        <w:pStyle w:val="CTAOption"/>
      </w:pPr>
      <w:r>
        <w:t>D. Ask the suspected perpetrator for permission to report</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A</w:t>
            </w:r>
          </w:p>
        </w:tc>
        <w:trPr>
          <w:tblHeader/>
        </w:trPr>
      </w:tr>
    </w:tbl>
    <w:p>
      <w:pPr>
        <w:pStyle w:val="CTAH3"/>
      </w:pPr>
      <w:r>
        <w:t>Detailed Option-by-Option Rationales</w:t>
      </w:r>
    </w:p>
    <w:p>
      <w:pPr>
        <w:pStyle w:val="CTABody"/>
      </w:pPr>
      <w:r>
        <w:t>A. Correct. Reasonable suspicion is sufficient, the duty is individual, and a supervisor may not impede it. [Pen. Code § 11166]</w:t>
      </w:r>
    </w:p>
    <w:p>
      <w:pPr>
        <w:pStyle w:val="CTABody"/>
      </w:pPr>
      <w:r>
        <w:t>B. Incorrect. Supervision supports practice but does not take over the reporter’s statutory obligation.</w:t>
      </w:r>
    </w:p>
    <w:p>
      <w:pPr>
        <w:pStyle w:val="CTABody"/>
      </w:pPr>
      <w:r>
        <w:t>C. Incorrect. The reporting threshold is reasonable suspicion, not certainty, proof, or completion of an investigation.</w:t>
      </w:r>
    </w:p>
    <w:p>
      <w:pPr>
        <w:pStyle w:val="CTABody"/>
      </w:pPr>
      <w:r>
        <w:t>D. Incorrect. Authorization from the suspected perpetrator is neither required nor appropriate for a mandated report.</w:t>
      </w:r>
    </w:p>
    <w:p>
      <w:pPr>
        <w:pStyle w:val="CTACallout"/>
      </w:pPr>
      <w:r>
        <w:t>CTA Exam Strategy: When the statute states an individual duty, neither consultation nor supervision can veto it.</w:t>
      </w:r>
    </w:p>
    <w:p>
      <w:pPr>
        <w:pStyle w:val="CTABody"/>
      </w:pPr>
      <w:r>
        <w:t>Remediation: Return to Workbook 3, Chapter 4: Consultation and Seeking Professional Assistance; review Individual Mandated-Reporting Duty; log error category CONSULTATION-AND-ASSISTANCE.</w:t>
      </w:r>
    </w:p>
    <w:p>
      <w:pPr>
        <w:pStyle w:val="CTASmall"/>
      </w:pPr>
      <w:r>
        <w:t>Primary source control: Current BBS ASW supervision requirements; NASW consultation, confidentiality, and competence standards</w:t>
      </w:r>
    </w:p>
    <w:p>
      <w:pPr>
        <w:pStyle w:val="CTAH2"/>
      </w:pPr>
      <w:r>
        <w:t>Question 63 | WB3-C4-Q012</w:t>
      </w:r>
    </w:p>
    <w:p>
      <w:pPr>
        <w:pStyle w:val="CTAMeta"/>
      </w:pPr>
      <w:r>
        <w:t>Difficulty: Moderate | Type: Scenario-Based | Primary concept: Consultation and Competence</w:t>
      </w:r>
    </w:p>
    <w:p>
      <w:pPr>
        <w:pStyle w:val="CTABody"/>
      </w:pPr>
      <w:r>
        <w:t>A therapist has never been trained in a complex, high-risk intervention. After a one-hour consultation, a specialist says, “You should try it.” What is the best response?</w:t>
      </w:r>
    </w:p>
    <w:p>
      <w:pPr>
        <w:pStyle w:val="CTAOption"/>
      </w:pPr>
      <w:r>
        <w:t>A. Begin immediately because consultation establishes competence</w:t>
      </w:r>
    </w:p>
    <w:p>
      <w:pPr>
        <w:pStyle w:val="CTAOption"/>
      </w:pPr>
      <w:r>
        <w:t>B. Ask the client to waive the therapist’s competence limitation</w:t>
      </w:r>
    </w:p>
    <w:p>
      <w:pPr>
        <w:pStyle w:val="CTAOption"/>
      </w:pPr>
      <w:r>
        <w:t>C. Assess the remaining skill gap and obtain the training, supervision, collaboration, modification, or referral needed for safe care</w:t>
      </w:r>
    </w:p>
    <w:p>
      <w:pPr>
        <w:pStyle w:val="CTAOption"/>
      </w:pPr>
      <w:r>
        <w:t>D. Use the intervention secretly so the client’s consent is not affected</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Advice can orient a clinician but does not establish the education, training, or experience required for competent performance.</w:t>
      </w:r>
    </w:p>
    <w:p>
      <w:pPr>
        <w:pStyle w:val="CTABody"/>
      </w:pPr>
      <w:r>
        <w:t>B. Incorrect. Client consent does not authorize incompetent practice or eliminate the clinician’s duty to provide safe services.</w:t>
      </w:r>
    </w:p>
    <w:p>
      <w:pPr>
        <w:pStyle w:val="CTABody"/>
      </w:pPr>
      <w:r>
        <w:t>C. Correct. The response matches assistance to the actual competence gap and protects continuity rather than assuming one conversation is enough.</w:t>
      </w:r>
    </w:p>
    <w:p>
      <w:pPr>
        <w:pStyle w:val="CTABody"/>
      </w:pPr>
      <w:r>
        <w:t>D. Incorrect. Concealment undermines informed decision-making and does not cure the competence problem.</w:t>
      </w:r>
    </w:p>
    <w:p>
      <w:pPr>
        <w:pStyle w:val="CTACallout"/>
      </w:pPr>
      <w:r>
        <w:t>CTA Exam Strategy: Consultation can identify a pathway to competence; it is not itself proof that the pathway is complete. Difficult Questions Layered scenarios requiring issue sorting, sequencing, and integration.</w:t>
      </w:r>
    </w:p>
    <w:p>
      <w:pPr>
        <w:pStyle w:val="CTABody"/>
      </w:pPr>
      <w:r>
        <w:t>Remediation: Return to Workbook 3, Chapter 4: Consultation and Seeking Professional Assistance; review Consultation and Competence; log error category CONSULTATION-AND-ASSISTANCE.</w:t>
      </w:r>
    </w:p>
    <w:p>
      <w:pPr>
        <w:pStyle w:val="CTASmall"/>
      </w:pPr>
      <w:r>
        <w:t>Primary source control: Current BBS ASW supervision requirements; NASW consultation, confidentiality, and competence standards</w:t>
      </w:r>
    </w:p>
    <w:p>
      <w:pPr>
        <w:pStyle w:val="CTAH2"/>
      </w:pPr>
      <w:r>
        <w:t>Question 64 | WB3-C4-Q013</w:t>
      </w:r>
    </w:p>
    <w:p>
      <w:pPr>
        <w:pStyle w:val="CTAMeta"/>
      </w:pPr>
      <w:r>
        <w:t>Difficulty: Difficult | Type: Scenario-Based | Primary concept: Legal Consultation and Records Request</w:t>
      </w:r>
    </w:p>
    <w:p>
      <w:pPr>
        <w:pStyle w:val="CTABody"/>
      </w:pPr>
      <w:r>
        <w:t>A therapist receives an out-of-state attorney’s subpoena demanding the complete psychotherapy record. A clinician friend says, “A subpoena means you must send everything today.” What should the therapist do first?</w:t>
      </w:r>
    </w:p>
    <w:p>
      <w:pPr>
        <w:pStyle w:val="CTAOption"/>
      </w:pPr>
      <w:r>
        <w:t>A. Send the entire file immediately because any subpoena overrides California confidentiality</w:t>
      </w:r>
    </w:p>
    <w:p>
      <w:pPr>
        <w:pStyle w:val="CTAOption"/>
      </w:pPr>
      <w:r>
        <w:t>B. Destroy the record to prevent disclosure</w:t>
      </w:r>
    </w:p>
    <w:p>
      <w:pPr>
        <w:pStyle w:val="CTAOption"/>
      </w:pPr>
      <w:r>
        <w:t>C. Ignore the demand permanently because psychotherapy records can never be disclosed</w:t>
      </w:r>
    </w:p>
    <w:p>
      <w:pPr>
        <w:pStyle w:val="CTAOption"/>
      </w:pPr>
      <w:r>
        <w:t>D. Preserve confidentiality and the record, verify the legal demand, and obtain qualified legal guidance before disclosing unless a clear duty requires otherwise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D</w:t>
            </w:r>
          </w:p>
        </w:tc>
        <w:trPr>
          <w:tblHeader/>
        </w:trPr>
      </w:tr>
    </w:tbl>
    <w:p>
      <w:pPr>
        <w:pStyle w:val="CTAH3"/>
      </w:pPr>
      <w:r>
        <w:t>Detailed Option-by-Option Rationales</w:t>
      </w:r>
    </w:p>
    <w:p>
      <w:pPr>
        <w:pStyle w:val="CTABody"/>
      </w:pPr>
      <w:r>
        <w:t>A. Incorrect. A subpoena, court order, authorization, and foreign legal demand are not interchangeable; California procedural and confidentiality rules require analysis.</w:t>
      </w:r>
    </w:p>
    <w:p>
      <w:pPr>
        <w:pStyle w:val="CTABody"/>
      </w:pPr>
      <w:r>
        <w:t>B. Incorrect. Destruction is unethical, potentially unlawful, and may worsen legal exposure.</w:t>
      </w:r>
    </w:p>
    <w:p>
      <w:pPr>
        <w:pStyle w:val="CTABody"/>
      </w:pPr>
      <w:r>
        <w:t>C. Incorrect. Some valid processes and authorizations permit or compel disclosure; the therapist must respond lawfully rather than assume absolute privilege.</w:t>
      </w:r>
    </w:p>
    <w:p>
      <w:pPr>
        <w:pStyle w:val="CTABody"/>
      </w:pPr>
      <w:r>
        <w:t>D. Correct. The therapist should protect the information, assess validity and jurisdiction, and obtain issue-specific legal guidance. A friend’s clinical license does not make the friend legal counsel.</w:t>
      </w:r>
    </w:p>
    <w:p>
      <w:pPr>
        <w:pStyle w:val="CTACallout"/>
      </w:pPr>
      <w:r>
        <w:t>CTA Exam Strategy: When a legal document is ambiguous, do not choose automatic disclosure or automatic refusal; preserve and verify.</w:t>
      </w:r>
    </w:p>
    <w:p>
      <w:pPr>
        <w:pStyle w:val="CTABody"/>
      </w:pPr>
      <w:r>
        <w:t>Remediation: Return to Workbook 3, Chapter 4: Consultation and Seeking Professional Assistance; review Legal Consultation and Records Request; log error category CONSULTATION-AND-ASSISTANCE.</w:t>
      </w:r>
    </w:p>
    <w:p>
      <w:pPr>
        <w:pStyle w:val="CTASmall"/>
      </w:pPr>
      <w:r>
        <w:t>Primary source control: Current BBS ASW supervision requirements; NASW consultation, confidentiality, and competence standards</w:t>
      </w:r>
    </w:p>
    <w:p>
      <w:pPr>
        <w:pStyle w:val="CTAH2"/>
      </w:pPr>
      <w:r>
        <w:t>Question 65 | WB3-C4-Q014</w:t>
      </w:r>
    </w:p>
    <w:p>
      <w:pPr>
        <w:pStyle w:val="CTAMeta"/>
      </w:pPr>
      <w:r>
        <w:t>Difficulty: Difficult | Type: Scenario-Based | Primary concept: Conflicting Consultation</w:t>
      </w:r>
    </w:p>
    <w:p>
      <w:pPr>
        <w:pStyle w:val="CTABody"/>
      </w:pPr>
      <w:r>
        <w:t>Two qualified consultants give opposite recommendations about whether to continue treatment during a planned transfer. What is the therapist’s best response?</w:t>
      </w:r>
    </w:p>
    <w:p>
      <w:pPr>
        <w:pStyle w:val="CTAOption"/>
      </w:pPr>
      <w:r>
        <w:t>A. Clarify the consultants’ assumptions, reassess risk and continuity, obtain further input if needed, and make and document an independent decision</w:t>
      </w:r>
    </w:p>
    <w:p>
      <w:pPr>
        <w:pStyle w:val="CTAOption"/>
      </w:pPr>
      <w:r>
        <w:t>B. Follow whichever consultant has practiced longer without reviewing the facts</w:t>
      </w:r>
    </w:p>
    <w:p>
      <w:pPr>
        <w:pStyle w:val="CTAOption"/>
      </w:pPr>
      <w:r>
        <w:t>C. Choose the recommendation that is most convenient for the therapist</w:t>
      </w:r>
    </w:p>
    <w:p>
      <w:pPr>
        <w:pStyle w:val="CTAOption"/>
      </w:pPr>
      <w:r>
        <w:t>D. Tell the client that the consultants are responsible for the disagreement</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A</w:t>
            </w:r>
          </w:p>
        </w:tc>
        <w:trPr>
          <w:tblHeader/>
        </w:trPr>
      </w:tr>
    </w:tbl>
    <w:p>
      <w:pPr>
        <w:pStyle w:val="CTAH3"/>
      </w:pPr>
      <w:r>
        <w:t>Detailed Option-by-Option Rationales</w:t>
      </w:r>
    </w:p>
    <w:p>
      <w:pPr>
        <w:pStyle w:val="CTABody"/>
      </w:pPr>
      <w:r>
        <w:t>A. Correct. Conflicting opinions signal a need to identify missing facts and assumptions, not to surrender judgment. The client’s risk and continuity remain central.</w:t>
      </w:r>
    </w:p>
    <w:p>
      <w:pPr>
        <w:pStyle w:val="CTABody"/>
      </w:pPr>
      <w:r>
        <w:t>B. Incorrect. Experience is relevant but does not make advice automatically correct or responsive to the full case.</w:t>
      </w:r>
    </w:p>
    <w:p>
      <w:pPr>
        <w:pStyle w:val="CTABody"/>
      </w:pPr>
      <w:r>
        <w:t>C. Incorrect. Clinician convenience is not the controlling standard when continuity and client welfare are at stake.</w:t>
      </w:r>
    </w:p>
    <w:p>
      <w:pPr>
        <w:pStyle w:val="CTABody"/>
      </w:pPr>
      <w:r>
        <w:t>D. Incorrect. The treating clinician remains responsible for integrating the information and communicating the treatment plan appropriately.</w:t>
      </w:r>
    </w:p>
    <w:p>
      <w:pPr>
        <w:pStyle w:val="CTACallout"/>
      </w:pPr>
      <w:r>
        <w:t>CTA Exam Strategy: Conflicting consultation calls for synthesis, not a vote or seniority rule.</w:t>
      </w:r>
    </w:p>
    <w:p>
      <w:pPr>
        <w:pStyle w:val="CTABody"/>
      </w:pPr>
      <w:r>
        <w:t>Remediation: Return to Workbook 3, Chapter 4: Consultation and Seeking Professional Assistance; review Conflicting Consultation; log error category CONSULTATION-AND-ASSISTANCE.</w:t>
      </w:r>
    </w:p>
    <w:p>
      <w:pPr>
        <w:pStyle w:val="CTASmall"/>
      </w:pPr>
      <w:r>
        <w:t>Primary source control: Current BBS ASW supervision requirements; NASW consultation, confidentiality, and competence standards</w:t>
      </w:r>
    </w:p>
    <w:p>
      <w:pPr>
        <w:pStyle w:val="CTAH2"/>
      </w:pPr>
      <w:r>
        <w:t>Question 66 | WB3-C4-Q015</w:t>
      </w:r>
    </w:p>
    <w:p>
      <w:pPr>
        <w:pStyle w:val="CTAMeta"/>
      </w:pPr>
      <w:r>
        <w:t>Difficulty: Difficult | Type: Scenario-Based | Primary concept: Access Limits and Safe Continuity</w:t>
      </w:r>
    </w:p>
    <w:p>
      <w:pPr>
        <w:pStyle w:val="CTABody"/>
      </w:pPr>
      <w:r>
        <w:t>A rural clinician is the only local provider. A client needs specialized care that is within the profession’s scope but near the edge of the clinician’s competence. What is the best response?</w:t>
      </w:r>
    </w:p>
    <w:p>
      <w:pPr>
        <w:pStyle w:val="CTAOption"/>
      </w:pPr>
      <w:r>
        <w:t>A. Continue unchanged because lack of local services automatically establishes competence</w:t>
      </w:r>
    </w:p>
    <w:p>
      <w:pPr>
        <w:pStyle w:val="CTAOption"/>
      </w:pPr>
      <w:r>
        <w:t>B. Assess risk and the specific gap, obtain qualified consultation or collaboration, add needed training or supervision, and modify or refer/transfer if safe care cannot be maintained</w:t>
      </w:r>
    </w:p>
    <w:p>
      <w:pPr>
        <w:pStyle w:val="CTAOption"/>
      </w:pPr>
      <w:r>
        <w:t>C. Terminate immediately without transition planning because consultation is never sufficient</w:t>
      </w:r>
    </w:p>
    <w:p>
      <w:pPr>
        <w:pStyle w:val="CTAOption"/>
      </w:pPr>
      <w:r>
        <w:t>D. Have the client sign a waiver accepting any harm caused by the competence gap</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B</w:t>
            </w:r>
          </w:p>
        </w:tc>
        <w:trPr>
          <w:tblHeader/>
        </w:trPr>
      </w:tr>
    </w:tbl>
    <w:p>
      <w:pPr>
        <w:pStyle w:val="CTAH3"/>
      </w:pPr>
      <w:r>
        <w:t>Detailed Option-by-Option Rationales</w:t>
      </w:r>
    </w:p>
    <w:p>
      <w:pPr>
        <w:pStyle w:val="CTABody"/>
      </w:pPr>
      <w:r>
        <w:t>A. Incorrect. Access barriers matter to planning but do not create knowledge or skill the clinician does not possess.</w:t>
      </w:r>
    </w:p>
    <w:p>
      <w:pPr>
        <w:pStyle w:val="CTABody"/>
      </w:pPr>
      <w:r>
        <w:t>B. Correct. This proportionate response protects access while testing whether supports can make continued care safe; it also preserves referral or higher care when supports are insufficient.</w:t>
      </w:r>
    </w:p>
    <w:p>
      <w:pPr>
        <w:pStyle w:val="CTABody"/>
      </w:pPr>
      <w:r>
        <w:t>C. Incorrect. Abrupt termination may create abandonment and continuity risks. The competence concern must be assessed rather than answered by an automatic extreme.</w:t>
      </w:r>
    </w:p>
    <w:p>
      <w:pPr>
        <w:pStyle w:val="CTABody"/>
      </w:pPr>
      <w:r>
        <w:t>D. Incorrect. A waiver does not authorize incompetent practice or excuse foreseeable harm.</w:t>
      </w:r>
    </w:p>
    <w:p>
      <w:pPr>
        <w:pStyle w:val="CTACallout"/>
      </w:pPr>
      <w:r>
        <w:t>CTA Exam Strategy: The best exam answer often uses the least disruptive option that actually protects the client—not the least disruptive option at any cost.</w:t>
      </w:r>
    </w:p>
    <w:p>
      <w:pPr>
        <w:pStyle w:val="CTABody"/>
      </w:pPr>
      <w:r>
        <w:t>Remediation: Return to Workbook 3, Chapter 4: Consultation and Seeking Professional Assistance; review Access Limits and Safe Continuity; log error category CONSULTATION-AND-ASSISTANCE.</w:t>
      </w:r>
    </w:p>
    <w:p>
      <w:pPr>
        <w:pStyle w:val="CTASmall"/>
      </w:pPr>
      <w:r>
        <w:t>Primary source control: Current BBS ASW supervision requirements; NASW consultation, confidentiality, and competence standards</w:t>
      </w:r>
    </w:p>
    <w:p>
      <w:pPr>
        <w:pStyle w:val="CTAH2"/>
      </w:pPr>
      <w:r>
        <w:t>Question 67 | WB3-C4-Q016</w:t>
      </w:r>
    </w:p>
    <w:p>
      <w:pPr>
        <w:pStyle w:val="CTAMeta"/>
      </w:pPr>
      <w:r>
        <w:t>Difficulty: Difficult | Type: Scenario-Based | Primary concept: Authorization and Community Consultation</w:t>
      </w:r>
    </w:p>
    <w:p>
      <w:pPr>
        <w:pStyle w:val="CTABody"/>
      </w:pPr>
      <w:r>
        <w:t>A therapist wants culturally informed input from a respected community leader who is not a health care provider. The client refuses authorization for identifiable disclosure. What is the best response?</w:t>
      </w:r>
    </w:p>
    <w:p>
      <w:pPr>
        <w:pStyle w:val="CTAOption"/>
      </w:pPr>
      <w:r>
        <w:t>A. Disclose the client’s identity because cultural consultation is always treatment</w:t>
      </w:r>
    </w:p>
    <w:p>
      <w:pPr>
        <w:pStyle w:val="CTAOption"/>
      </w:pPr>
      <w:r>
        <w:t>B. Send the full record but ask the community leader not to repeat it</w:t>
      </w:r>
    </w:p>
    <w:p>
      <w:pPr>
        <w:pStyle w:val="CTAOption"/>
      </w:pPr>
      <w:r>
        <w:t>C. Do not disclose identifiable information without another lawful basis; seek de-identified general guidance or an authorized qualified resource</w:t>
      </w:r>
    </w:p>
    <w:p>
      <w:pPr>
        <w:pStyle w:val="CTAOption"/>
      </w:pPr>
      <w:r>
        <w:t>D. End treatment because the client declined authorization</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The CMIA treatment permission does not make every community consultation an unrestricted provider-to-provider disclosure.</w:t>
      </w:r>
    </w:p>
    <w:p>
      <w:pPr>
        <w:pStyle w:val="CTABody"/>
      </w:pPr>
      <w:r>
        <w:t>B. Incorrect. A request for discretion does not create legal authorization, professional confidentiality obligations, or a secure treatment relationship.</w:t>
      </w:r>
    </w:p>
    <w:p>
      <w:pPr>
        <w:pStyle w:val="CTABody"/>
      </w:pPr>
      <w:r>
        <w:t>C. Correct. The therapist can seek general, de-identified cultural knowledge or another resource while respecting the client’s refusal and confidentiality.</w:t>
      </w:r>
    </w:p>
    <w:p>
      <w:pPr>
        <w:pStyle w:val="CTABody"/>
      </w:pPr>
      <w:r>
        <w:t>D. Incorrect. Refusing disclosure does not automatically require termination; the therapist should explore lawful alternatives and continue competently if possible.</w:t>
      </w:r>
    </w:p>
    <w:p>
      <w:pPr>
        <w:pStyle w:val="CTACallout"/>
      </w:pPr>
      <w:r>
        <w:t>CTA Exam Strategy: Distinguish valuable cultural knowledge from legal status as a treating health care professional.</w:t>
      </w:r>
    </w:p>
    <w:p>
      <w:pPr>
        <w:pStyle w:val="CTABody"/>
      </w:pPr>
      <w:r>
        <w:t>Remediation: Return to Workbook 3, Chapter 4: Consultation and Seeking Professional Assistance; review Authorization and Community Consultation; log error category CONSULTATION-AND-ASSISTANCE.</w:t>
      </w:r>
    </w:p>
    <w:p>
      <w:pPr>
        <w:pStyle w:val="CTASmall"/>
      </w:pPr>
      <w:r>
        <w:t>Primary source control: Current BBS ASW supervision requirements; NASW consultation, confidentiality, and competence standards</w:t>
      </w:r>
    </w:p>
    <w:p>
      <w:pPr>
        <w:pStyle w:val="CTAH2"/>
      </w:pPr>
      <w:r>
        <w:t>Question 68 | WB3-C4-Q017</w:t>
      </w:r>
    </w:p>
    <w:p>
      <w:pPr>
        <w:pStyle w:val="CTAMeta"/>
      </w:pPr>
      <w:r>
        <w:t>Difficulty: Difficult | Type: Integrated Challenge | Primary concept: Integrated Risk, Supervision, Competence, and Consultation</w:t>
      </w:r>
    </w:p>
    <w:p>
      <w:pPr>
        <w:pStyle w:val="CTABody"/>
      </w:pPr>
      <w:r>
        <w:t>A ASW is treating a client with a rapidly worsening eating disorder. The ASW has limited specialized training, feels unusually protective of the client, and has relied on an informal peer consultant instead of promptly involving the approved supervisor. The client now reports fainting and severe restriction. What is the best response?</w:t>
      </w:r>
    </w:p>
    <w:p>
      <w:pPr>
        <w:pStyle w:val="CTAOption"/>
      </w:pPr>
      <w:r>
        <w:t>A. Continue the same outpatient plan because the peer consultant has experience with eating disorders</w:t>
      </w:r>
    </w:p>
    <w:p>
      <w:pPr>
        <w:pStyle w:val="CTAOption"/>
      </w:pPr>
      <w:r>
        <w:t>B. Wait for the next routine supervision meeting so the client is not alarmed</w:t>
      </w:r>
    </w:p>
    <w:p>
      <w:pPr>
        <w:pStyle w:val="CTAOption"/>
      </w:pPr>
      <w:r>
        <w:t>C. Terminate by email immediately and state that the peer consultant required it</w:t>
      </w:r>
    </w:p>
    <w:p>
      <w:pPr>
        <w:pStyle w:val="CTAOption"/>
      </w:pPr>
      <w:r>
        <w:t>D. Assess immediate medical and safety risk, involve the approved supervisor promptly, obtain specialized consultation or collaboration as appropriate, arrange higher care or transfer if indicated, protect confidentiality, and document the ASW’s reasoning and actions</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D</w:t>
            </w:r>
          </w:p>
        </w:tc>
        <w:trPr>
          <w:tblHeader/>
        </w:trPr>
      </w:tr>
    </w:tbl>
    <w:p>
      <w:pPr>
        <w:pStyle w:val="CTAH3"/>
      </w:pPr>
      <w:r>
        <w:t>Detailed Option-by-Option Rationales</w:t>
      </w:r>
    </w:p>
    <w:p>
      <w:pPr>
        <w:pStyle w:val="CTABody"/>
      </w:pPr>
      <w:r>
        <w:t>A. Incorrect. The client is deteriorating, the ASW has a material competence concern, and informal consultation does not replace risk assessment or formal supervision.</w:t>
      </w:r>
    </w:p>
    <w:p>
      <w:pPr>
        <w:pStyle w:val="CTABody"/>
      </w:pPr>
      <w:r>
        <w:t>B. Incorrect. Fainting and severe restriction create potential medical urgency; routine delay is unsafe, and supervisor involvement should be prompt.</w:t>
      </w:r>
    </w:p>
    <w:p>
      <w:pPr>
        <w:pStyle w:val="CTABody"/>
      </w:pPr>
      <w:r>
        <w:t>C. Incorrect. Abrupt email termination risks abandonment and inaccurately transfers responsibility to the consultant; a coordinated safety and continuity plan is required.</w:t>
      </w:r>
    </w:p>
    <w:p>
      <w:pPr>
        <w:pStyle w:val="CTABody"/>
      </w:pPr>
      <w:r>
        <w:t>D. Correct. This sequence addresses immediate risk first, restores required supervision, obtains issue-specific expertise, escalates the level of care when needed, and preserves accountability and documentation.</w:t>
      </w:r>
    </w:p>
    <w:p>
      <w:pPr>
        <w:pStyle w:val="CTACallout"/>
      </w:pPr>
      <w:r>
        <w:t>CTA Exam Strategy: Integrated questions reward correct ordering: risk → duty/supervision → competence support → continuity → confidentiality → documentation.</w:t>
      </w:r>
    </w:p>
    <w:p>
      <w:pPr>
        <w:pStyle w:val="CTABody"/>
      </w:pPr>
      <w:r>
        <w:t>Remediation: Return to Workbook 3, Chapter 4: Consultation and Seeking Professional Assistance; review Integrated Risk, Supervision, Competence, and Consultation; log error category CONSULTATION-AND-ASSISTANCE.</w:t>
      </w:r>
    </w:p>
    <w:p>
      <w:pPr>
        <w:pStyle w:val="CTASmall"/>
      </w:pPr>
      <w:r>
        <w:t>Primary source control: Current BBS ASW supervision requirements; NASW consultation, confidentiality, and competence standards</w:t>
      </w:r>
    </w:p>
    <w:p>
      <w:r>
        <w:br w:type="page"/>
      </w:r>
    </w:p>
    <w:p>
      <w:pPr>
        <w:pStyle w:val="CTAH1"/>
      </w:pPr>
      <w:r>
        <w:t>Chapter 5: Controlled Rationales</w:t>
      </w:r>
    </w:p>
    <w:p>
      <w:pPr>
        <w:pStyle w:val="CTASubtitle"/>
      </w:pPr>
      <w:r>
        <w:t>Clinical Supervision, Feedback, and Accountability</w:t>
      </w:r>
    </w:p>
    <w:p>
      <w:pPr>
        <w:pStyle w:val="CTAH2"/>
      </w:pPr>
      <w:r>
        <w:t>Question 69 | WB3-C5-Q001</w:t>
      </w:r>
    </w:p>
    <w:p>
      <w:pPr>
        <w:pStyle w:val="CTAMeta"/>
      </w:pPr>
      <w:r>
        <w:t>Difficulty: Easy | Type: Knowledge | Primary concept: What Clinical Supervision Means</w:t>
      </w:r>
    </w:p>
    <w:p>
      <w:pPr>
        <w:pStyle w:val="CTABody"/>
      </w:pPr>
      <w:r>
        <w:t>Which statement BEST describes legal clinical supervision of an ASW?</w:t>
      </w:r>
    </w:p>
    <w:p>
      <w:pPr>
        <w:pStyle w:val="CTAOption"/>
      </w:pPr>
      <w:r>
        <w:t>A. A voluntary peer conversation that offers ideas but creates no responsibility for service quality.</w:t>
      </w:r>
    </w:p>
    <w:p>
      <w:pPr>
        <w:pStyle w:val="CTAOption"/>
      </w:pPr>
      <w:r>
        <w:t>B. A qualified supervisor accepts responsibility for and control of service quality, obtains enough information to evaluate the work, gives direction and feedback, and intervenes when needed.</w:t>
      </w:r>
    </w:p>
    <w:p>
      <w:pPr>
        <w:pStyle w:val="CTAOption"/>
      </w:pPr>
      <w:r>
        <w:t>C. An administrative meeting limited to productivity and scheduling.</w:t>
      </w:r>
    </w:p>
    <w:p>
      <w:pPr>
        <w:pStyle w:val="CTAOption"/>
      </w:pPr>
      <w:r>
        <w:t>D. A private therapy relationship for the ASW’s personal concerns.</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B</w:t>
            </w:r>
          </w:p>
        </w:tc>
        <w:trPr>
          <w:tblHeader/>
        </w:trPr>
      </w:tr>
    </w:tbl>
    <w:p>
      <w:pPr>
        <w:pStyle w:val="CTAH3"/>
      </w:pPr>
      <w:r>
        <w:t>Detailed Option-by-Option Rationales</w:t>
      </w:r>
    </w:p>
    <w:p>
      <w:pPr>
        <w:pStyle w:val="CTABody"/>
      </w:pPr>
      <w:r>
        <w:t>A. Incorrect. The alternative describes consultation, administration, or therapy rather than required clinical supervision.</w:t>
      </w:r>
    </w:p>
    <w:p>
      <w:pPr>
        <w:pStyle w:val="CTABody"/>
      </w:pPr>
      <w:r>
        <w:t>B. Correct. The defining features are qualified oversight, responsibility and control of service quality, evaluation, feedback, and protective intervention.</w:t>
      </w:r>
    </w:p>
    <w:p>
      <w:pPr>
        <w:pStyle w:val="CTABody"/>
      </w:pPr>
      <w:r>
        <w:t>C. Incorrect. The alternative describes consultation, administration, or therapy rather than required clinical supervision.</w:t>
      </w:r>
    </w:p>
    <w:p>
      <w:pPr>
        <w:pStyle w:val="CTABody"/>
      </w:pPr>
      <w:r>
        <w:t>D. Incorrect. The alternative describes consultation, administration, or therapy rather than required clinical supervision.</w:t>
      </w:r>
    </w:p>
    <w:p>
      <w:pPr>
        <w:pStyle w:val="CTACallout"/>
      </w:pPr>
      <w:r>
        <w:t>CTA Exam Strategy: Look for responsibility, quality control, evaluation, and accountability.</w:t>
      </w:r>
    </w:p>
    <w:p>
      <w:pPr>
        <w:pStyle w:val="CTABody"/>
      </w:pPr>
      <w:r>
        <w:t>Remediation: Return to Workbook 3, Chapter 5: Clinical Supervision, Feedback, and Accountability; review What Clinical Supervision Means; log error category SUPERVISION-DEFINITION.</w:t>
      </w:r>
    </w:p>
    <w:p>
      <w:pPr>
        <w:pStyle w:val="CTASmall"/>
      </w:pPr>
      <w:r>
        <w:t>Primary source control: Current BBS ASW supervision statutes, regulations, forms, FAQs, and supervisor guidance; BPC 4996.20, 4996.23, 4996.23.1-4996.23.2; NASW supervision/competence standards</w:t>
      </w:r>
    </w:p>
    <w:p>
      <w:pPr>
        <w:pStyle w:val="CTAH2"/>
      </w:pPr>
      <w:r>
        <w:t>Question 70 | WB3-C5-Q002</w:t>
      </w:r>
    </w:p>
    <w:p>
      <w:pPr>
        <w:pStyle w:val="CTAMeta"/>
      </w:pPr>
      <w:r>
        <w:t>Difficulty: Easy | Type: Knowledge | Primary concept: Consultation Is Not Supervision</w:t>
      </w:r>
    </w:p>
    <w:p>
      <w:pPr>
        <w:pStyle w:val="CTABody"/>
      </w:pPr>
      <w:r>
        <w:t>An ASW discusses a case with a helpful licensed colleague who is not the approved supervisor and has no supervision agreement or evaluative authority. How should the contact be classified?</w:t>
      </w:r>
    </w:p>
    <w:p>
      <w:pPr>
        <w:pStyle w:val="CTAOption"/>
      </w:pPr>
      <w:r>
        <w:t>A. Individual supervision because the colleague is licensed.</w:t>
      </w:r>
    </w:p>
    <w:p>
      <w:pPr>
        <w:pStyle w:val="CTAOption"/>
      </w:pPr>
      <w:r>
        <w:t>B. Triadic supervision because two clinicians discussed the case.</w:t>
      </w:r>
    </w:p>
    <w:p>
      <w:pPr>
        <w:pStyle w:val="CTAOption"/>
      </w:pPr>
      <w:r>
        <w:t>C. Group supervision if the discussion lasts at least one hour.</w:t>
      </w:r>
    </w:p>
    <w:p>
      <w:pPr>
        <w:pStyle w:val="CTAOption"/>
      </w:pPr>
      <w:r>
        <w:t>D. Consultation or peer discussion, not required ASW supervision.</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D</w:t>
            </w:r>
          </w:p>
        </w:tc>
        <w:trPr>
          <w:tblHeader/>
        </w:trPr>
      </w:tr>
    </w:tbl>
    <w:p>
      <w:pPr>
        <w:pStyle w:val="CTAH3"/>
      </w:pPr>
      <w:r>
        <w:t>Detailed Option-by-Option Rationales</w:t>
      </w:r>
    </w:p>
    <w:p>
      <w:pPr>
        <w:pStyle w:val="CTABody"/>
      </w:pPr>
      <w:r>
        <w:t>A. Incorrect. Licensure, number of participants, or duration alone does not create the required supervisory relationship.</w:t>
      </w:r>
    </w:p>
    <w:p>
      <w:pPr>
        <w:pStyle w:val="CTABody"/>
      </w:pPr>
      <w:r>
        <w:t>B. Incorrect. Licensure, number of participants, or duration alone does not create the required supervisory relationship.</w:t>
      </w:r>
    </w:p>
    <w:p>
      <w:pPr>
        <w:pStyle w:val="CTABody"/>
      </w:pPr>
      <w:r>
        <w:t>C. Incorrect. Licensure, number of participants, or duration alone does not create the required supervisory relationship.</w:t>
      </w:r>
    </w:p>
    <w:p>
      <w:pPr>
        <w:pStyle w:val="CTABody"/>
      </w:pPr>
      <w:r>
        <w:t>D. Correct. Advice can support reasoning but does not replace the legally structured supervision relationship or qualify as supervised experience.</w:t>
      </w:r>
    </w:p>
    <w:p>
      <w:pPr>
        <w:pStyle w:val="CTACallout"/>
      </w:pPr>
      <w:r>
        <w:t>CTA Exam Strategy: A license and a one-hour discussion do not convert consultation into supervision.</w:t>
      </w:r>
    </w:p>
    <w:p>
      <w:pPr>
        <w:pStyle w:val="CTABody"/>
      </w:pPr>
      <w:r>
        <w:t>Remediation: Return to Workbook 3, Chapter 5: Clinical Supervision, Feedback, and Accountability; review Consultation Is Not Supervision; log error category CONSULTATION.</w:t>
      </w:r>
    </w:p>
    <w:p>
      <w:pPr>
        <w:pStyle w:val="CTASmall"/>
      </w:pPr>
      <w:r>
        <w:t>Primary source control: Current BBS ASW supervision statutes, regulations, forms, FAQs, and supervisor guidance; BPC 4996.20, 4996.23, 4996.23.1-4996.23.2; NASW supervision/competence standards</w:t>
      </w:r>
    </w:p>
    <w:p>
      <w:pPr>
        <w:pStyle w:val="CTAH2"/>
      </w:pPr>
      <w:r>
        <w:t>Question 71 | WB3-C5-Q003</w:t>
      </w:r>
    </w:p>
    <w:p>
      <w:pPr>
        <w:pStyle w:val="CTAMeta"/>
      </w:pPr>
      <w:r>
        <w:t>Difficulty: Easy | Type: Application | Primary concept: ASW Employment and Payment Controls</w:t>
      </w:r>
    </w:p>
    <w:p>
      <w:pPr>
        <w:pStyle w:val="CTABody"/>
      </w:pPr>
      <w:r>
        <w:t>Which work arrangement is consistent with the ASW structure for gaining qualifying experience?</w:t>
      </w:r>
    </w:p>
    <w:p>
      <w:pPr>
        <w:pStyle w:val="CTAOption"/>
      </w:pPr>
      <w:r>
        <w:t>A. 1099 contractor who pays office rent and collects fees directly from clients.</w:t>
      </w:r>
    </w:p>
    <w:p>
      <w:pPr>
        <w:pStyle w:val="CTAOption"/>
      </w:pPr>
      <w:r>
        <w:t>B. Independent practitioner who sends the employer a percentage of fees after each session.</w:t>
      </w:r>
    </w:p>
    <w:p>
      <w:pPr>
        <w:pStyle w:val="CTAOption"/>
      </w:pPr>
      <w:r>
        <w:t>C. W-2 employee or volunteer in a lawful setting, with client payments handled through the employer rather than paid directly to the ASW.</w:t>
      </w:r>
    </w:p>
    <w:p>
      <w:pPr>
        <w:pStyle w:val="CTAOption"/>
      </w:pPr>
      <w:r>
        <w:t>D. Self-employed clinician who uses weekly consultation in place of formal supervision.</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The alternative uses an independent contractor/payment structure or substitutes consultation for required supervision.</w:t>
      </w:r>
    </w:p>
    <w:p>
      <w:pPr>
        <w:pStyle w:val="CTABody"/>
      </w:pPr>
      <w:r>
        <w:t>B. Incorrect. The alternative uses an independent contractor/payment structure or substitutes consultation for required supervision.</w:t>
      </w:r>
    </w:p>
    <w:p>
      <w:pPr>
        <w:pStyle w:val="CTABody"/>
      </w:pPr>
      <w:r>
        <w:t>C. Correct. Qualifying ASW experience occurs in a lawful employee or volunteer structure with required supervision and without independent direct client payment.</w:t>
      </w:r>
    </w:p>
    <w:p>
      <w:pPr>
        <w:pStyle w:val="CTABody"/>
      </w:pPr>
      <w:r>
        <w:t>D. Incorrect. The alternative uses an independent contractor/payment structure or substitutes consultation for required supervision.</w:t>
      </w:r>
    </w:p>
    <w:p>
      <w:pPr>
        <w:pStyle w:val="CTACallout"/>
      </w:pPr>
      <w:r>
        <w:t>CTA Exam Strategy: Correct the unlawful employment/payment structure before treating experience as protected.</w:t>
      </w:r>
    </w:p>
    <w:p>
      <w:pPr>
        <w:pStyle w:val="CTABody"/>
      </w:pPr>
      <w:r>
        <w:t>Remediation: Return to Workbook 3, Chapter 5: Clinical Supervision, Feedback, and Accountability; review ASW Employment and Payment Controls; log error category EMPLOYMENT.</w:t>
      </w:r>
    </w:p>
    <w:p>
      <w:pPr>
        <w:pStyle w:val="CTASmall"/>
      </w:pPr>
      <w:r>
        <w:t>Primary source control: Current BBS ASW supervision statutes, regulations, forms, FAQs, and supervisor guidance; BPC 4996.20, 4996.23, 4996.23.1-4996.23.2; NASW supervision/competence standards</w:t>
      </w:r>
    </w:p>
    <w:p>
      <w:pPr>
        <w:pStyle w:val="CTAH2"/>
      </w:pPr>
      <w:r>
        <w:t>Question 72 | WB3-C5-Q004</w:t>
      </w:r>
    </w:p>
    <w:p>
      <w:pPr>
        <w:pStyle w:val="CTAMeta"/>
      </w:pPr>
      <w:r>
        <w:t>Difficulty: Easy | Type: Knowledge | Primary concept: Subsequent Registration Setting Limit</w:t>
      </w:r>
    </w:p>
    <w:p>
      <w:pPr>
        <w:pStyle w:val="CTABody"/>
      </w:pPr>
      <w:r>
        <w:t>Can an ASW use a subsequent registration to gain experience in private practice or a professional corporation?</w:t>
      </w:r>
    </w:p>
    <w:p>
      <w:pPr>
        <w:pStyle w:val="CTAOption"/>
      </w:pPr>
      <w:r>
        <w:t>A. No. A subsequent ASW registration cannot be used in private practice or a professional corporation.</w:t>
      </w:r>
    </w:p>
    <w:p>
      <w:pPr>
        <w:pStyle w:val="CTAOption"/>
      </w:pPr>
      <w:r>
        <w:t>B. Yes, whenever an LCSW is available for consultation.</w:t>
      </w:r>
    </w:p>
    <w:p>
      <w:pPr>
        <w:pStyle w:val="CTAOption"/>
      </w:pPr>
      <w:r>
        <w:t>C. Yes, after the California Law and Ethics Examination has been passed.</w:t>
      </w:r>
    </w:p>
    <w:p>
      <w:pPr>
        <w:pStyle w:val="CTAOption"/>
      </w:pPr>
      <w:r>
        <w:t>D. Yes, if clients sign a disclosure acknowledging the subsequent registration.</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A</w:t>
            </w:r>
          </w:p>
        </w:tc>
        <w:trPr>
          <w:tblHeader/>
        </w:trPr>
      </w:tr>
    </w:tbl>
    <w:p>
      <w:pPr>
        <w:pStyle w:val="CTAH3"/>
      </w:pPr>
      <w:r>
        <w:t>Detailed Option-by-Option Rationales</w:t>
      </w:r>
    </w:p>
    <w:p>
      <w:pPr>
        <w:pStyle w:val="CTABody"/>
      </w:pPr>
      <w:r>
        <w:t>A. Correct. Current BBS pathway rules restrict a subsequent ASW registration from private practice and professional-corporation work.</w:t>
      </w:r>
    </w:p>
    <w:p>
      <w:pPr>
        <w:pStyle w:val="CTABody"/>
      </w:pPr>
      <w:r>
        <w:t>B. Incorrect. Consultation, examination passage, or client disclosure does not erase the setting restriction.</w:t>
      </w:r>
    </w:p>
    <w:p>
      <w:pPr>
        <w:pStyle w:val="CTABody"/>
      </w:pPr>
      <w:r>
        <w:t>C. Incorrect. Consultation, examination passage, or client disclosure does not erase the setting restriction.</w:t>
      </w:r>
    </w:p>
    <w:p>
      <w:pPr>
        <w:pStyle w:val="CTABody"/>
      </w:pPr>
      <w:r>
        <w:t>D. Incorrect. Consultation, examination passage, or client disclosure does not erase the setting restriction.</w:t>
      </w:r>
    </w:p>
    <w:p>
      <w:pPr>
        <w:pStyle w:val="CTACallout"/>
      </w:pPr>
      <w:r>
        <w:t>CTA Exam Strategy: Separate active registration from authority to work in a particular setting.</w:t>
      </w:r>
    </w:p>
    <w:p>
      <w:pPr>
        <w:pStyle w:val="CTABody"/>
      </w:pPr>
      <w:r>
        <w:t>Remediation: Return to Workbook 3, Chapter 5: Clinical Supervision, Feedback, and Accountability; review Subsequent Registration Setting Limit; log error category SUBSEQUENT-REGISTRATION.</w:t>
      </w:r>
    </w:p>
    <w:p>
      <w:pPr>
        <w:pStyle w:val="CTASmall"/>
      </w:pPr>
      <w:r>
        <w:t>Primary source control: Current BBS ASW supervision statutes, regulations, forms, FAQs, and supervisor guidance; BPC 4996.20, 4996.23, 4996.23.1-4996.23.2; NASW supervision/competence standards</w:t>
      </w:r>
    </w:p>
    <w:p>
      <w:pPr>
        <w:pStyle w:val="CTAH2"/>
      </w:pPr>
      <w:r>
        <w:t>Question 73 | WB3-C5-Q005</w:t>
      </w:r>
    </w:p>
    <w:p>
      <w:pPr>
        <w:pStyle w:val="CTAMeta"/>
      </w:pPr>
      <w:r>
        <w:t>Difficulty: Easy | Type: Knowledge | Primary concept: Supervisor Qualification Check</w:t>
      </w:r>
    </w:p>
    <w:p>
      <w:pPr>
        <w:pStyle w:val="CTABody"/>
      </w:pPr>
      <w:r>
        <w:t>What must be verified before an LCSW or other eligible clinician supervises an ASW?</w:t>
      </w:r>
    </w:p>
    <w:p>
      <w:pPr>
        <w:pStyle w:val="CTAOption"/>
      </w:pPr>
      <w:r>
        <w:t>A. Only that the person has ever held a behavioral-health license.</w:t>
      </w:r>
    </w:p>
    <w:p>
      <w:pPr>
        <w:pStyle w:val="CTAOption"/>
      </w:pPr>
      <w:r>
        <w:t>B. Only that the employer approves the person as a supervisor.</w:t>
      </w:r>
    </w:p>
    <w:p>
      <w:pPr>
        <w:pStyle w:val="CTAOption"/>
      </w:pPr>
      <w:r>
        <w:t>C. Only that the proposed supervisor has more years of experience than the ASW.</w:t>
      </w:r>
    </w:p>
    <w:p>
      <w:pPr>
        <w:pStyle w:val="CTAOption"/>
      </w:pPr>
      <w:r>
        <w:t>D. An eligible current and active California license in good standing, required licensure/practice history, supervision training, subject competence, and lawful relationship boundaries.</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D</w:t>
            </w:r>
          </w:p>
        </w:tc>
        <w:trPr>
          <w:tblHeader/>
        </w:trPr>
      </w:tr>
    </w:tbl>
    <w:p>
      <w:pPr>
        <w:pStyle w:val="CTAH3"/>
      </w:pPr>
      <w:r>
        <w:t>Detailed Option-by-Option Rationales</w:t>
      </w:r>
    </w:p>
    <w:p>
      <w:pPr>
        <w:pStyle w:val="CTABody"/>
      </w:pPr>
      <w:r>
        <w:t>A. Incorrect. A title, seniority, past license, or employer approval alone does not establish current supervisor qualification.</w:t>
      </w:r>
    </w:p>
    <w:p>
      <w:pPr>
        <w:pStyle w:val="CTABody"/>
      </w:pPr>
      <w:r>
        <w:t>B. Incorrect. A title, seniority, past license, or employer approval alone does not establish current supervisor qualification.</w:t>
      </w:r>
    </w:p>
    <w:p>
      <w:pPr>
        <w:pStyle w:val="CTABody"/>
      </w:pPr>
      <w:r>
        <w:t>C. Incorrect. A title, seniority, past license, or employer approval alone does not establish current supervisor qualification.</w:t>
      </w:r>
    </w:p>
    <w:p>
      <w:pPr>
        <w:pStyle w:val="CTABody"/>
      </w:pPr>
      <w:r>
        <w:t>D. Correct. Supervisor qualification is a current-status, history, training, competence, and boundaries check.</w:t>
      </w:r>
    </w:p>
    <w:p>
      <w:pPr>
        <w:pStyle w:val="CTACallout"/>
      </w:pPr>
      <w:r>
        <w:t>CTA Exam Strategy: Verify license, experience, training, competence, and boundaries.</w:t>
      </w:r>
    </w:p>
    <w:p>
      <w:pPr>
        <w:pStyle w:val="CTABody"/>
      </w:pPr>
      <w:r>
        <w:t>Remediation: Return to Workbook 3, Chapter 5: Clinical Supervision, Feedback, and Accountability; review Supervisor Qualification Check; log error category QUALIFICATIONS.</w:t>
      </w:r>
    </w:p>
    <w:p>
      <w:pPr>
        <w:pStyle w:val="CTASmall"/>
      </w:pPr>
      <w:r>
        <w:t>Primary source control: Current BBS ASW supervision statutes, regulations, forms, FAQs, and supervisor guidance; BPC 4996.20, 4996.23, 4996.23.1-4996.23.2; NASW supervision/competence standards</w:t>
      </w:r>
    </w:p>
    <w:p>
      <w:pPr>
        <w:pStyle w:val="CTAH2"/>
      </w:pPr>
      <w:r>
        <w:t>Question 74 | WB3-C5-Q006</w:t>
      </w:r>
    </w:p>
    <w:p>
      <w:pPr>
        <w:pStyle w:val="CTAMeta"/>
      </w:pPr>
      <w:r>
        <w:t>Difficulty: Moderate | Type: Application | Primary concept: More Than 10 Clinical Hours</w:t>
      </w:r>
    </w:p>
    <w:p>
      <w:pPr>
        <w:pStyle w:val="CTABody"/>
      </w:pPr>
      <w:r>
        <w:t>An ASW provides 14 qualifying clinical hours in one setting during one week and gains experience that week. What is the minimum required supervision for that setting?</w:t>
      </w:r>
    </w:p>
    <w:p>
      <w:pPr>
        <w:pStyle w:val="CTAOption"/>
      </w:pPr>
      <w:r>
        <w:t>A. One unit because the weekly minimum never changes.</w:t>
      </w:r>
    </w:p>
    <w:p>
      <w:pPr>
        <w:pStyle w:val="CTAOption"/>
      </w:pPr>
      <w:r>
        <w:t>B. Two supervision units because the ASW exceeded 10 qualifying clinical hours in that setting and week.</w:t>
      </w:r>
    </w:p>
    <w:p>
      <w:pPr>
        <w:pStyle w:val="CTAOption"/>
      </w:pPr>
      <w:r>
        <w:t>C. Three units because each additional block of five hours adds one unit.</w:t>
      </w:r>
    </w:p>
    <w:p>
      <w:pPr>
        <w:pStyle w:val="CTAOption"/>
      </w:pPr>
      <w:r>
        <w:t>D. No unit is required if the supervisor is available by telephone.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B</w:t>
            </w:r>
          </w:p>
        </w:tc>
        <w:trPr>
          <w:tblHeader/>
        </w:trPr>
      </w:tr>
    </w:tbl>
    <w:p>
      <w:pPr>
        <w:pStyle w:val="CTAH3"/>
      </w:pPr>
      <w:r>
        <w:t>Detailed Option-by-Option Rationales</w:t>
      </w:r>
    </w:p>
    <w:p>
      <w:pPr>
        <w:pStyle w:val="CTABody"/>
      </w:pPr>
      <w:r>
        <w:t>A. Incorrect. The alternative ignores the threshold, invents a block formula, or substitutes telephone availability for required supervision.</w:t>
      </w:r>
    </w:p>
    <w:p>
      <w:pPr>
        <w:pStyle w:val="CTABody"/>
      </w:pPr>
      <w:r>
        <w:t>B. Correct. The threshold rule requires the second supervision unit when qualifying clinical hours exceed 10 in that setting/week.</w:t>
      </w:r>
    </w:p>
    <w:p>
      <w:pPr>
        <w:pStyle w:val="CTABody"/>
      </w:pPr>
      <w:r>
        <w:t>C. Incorrect. The alternative ignores the threshold, invents a block formula, or substitutes telephone availability for required supervision.</w:t>
      </w:r>
    </w:p>
    <w:p>
      <w:pPr>
        <w:pStyle w:val="CTABody"/>
      </w:pPr>
      <w:r>
        <w:t>D. Incorrect. The alternative ignores the threshold, invents a block formula, or substitutes telephone availability for required supervision.</w:t>
      </w:r>
    </w:p>
    <w:p>
      <w:pPr>
        <w:pStyle w:val="CTACallout"/>
      </w:pPr>
      <w:r>
        <w:t>CTA Exam Strategy: Count by week and by setting: one through 10, two when over 10.</w:t>
      </w:r>
    </w:p>
    <w:p>
      <w:pPr>
        <w:pStyle w:val="CTABody"/>
      </w:pPr>
      <w:r>
        <w:t>Remediation: Return to Workbook 3, Chapter 5: Clinical Supervision, Feedback, and Accountability; review More Than 10 Clinical Hours; log error category SUPERVISION-RATIO.</w:t>
      </w:r>
    </w:p>
    <w:p>
      <w:pPr>
        <w:pStyle w:val="CTASmall"/>
      </w:pPr>
      <w:r>
        <w:t>Primary source control: Current BBS ASW supervision statutes, regulations, forms, FAQs, and supervisor guidance; BPC 4996.20, 4996.23, 4996.23.1-4996.23.2; NASW supervision/competence standards</w:t>
      </w:r>
    </w:p>
    <w:p>
      <w:pPr>
        <w:pStyle w:val="CTAH2"/>
      </w:pPr>
      <w:r>
        <w:t>Question 75 | WB3-C5-Q007</w:t>
      </w:r>
    </w:p>
    <w:p>
      <w:pPr>
        <w:pStyle w:val="CTAMeta"/>
      </w:pPr>
      <w:r>
        <w:t>Difficulty: Moderate | Type: Application | Primary concept: Calculate Each Setting Separately</w:t>
      </w:r>
    </w:p>
    <w:p>
      <w:pPr>
        <w:pStyle w:val="CTABody"/>
      </w:pPr>
      <w:r>
        <w:t>An ASW has 12 qualifying clinical hours at Setting A and 9 at Setting B in the same week. What is the minimum total supervision?</w:t>
      </w:r>
    </w:p>
    <w:p>
      <w:pPr>
        <w:pStyle w:val="CTAOption"/>
      </w:pPr>
      <w:r>
        <w:t>A. One unit total because the week is counted once.</w:t>
      </w:r>
    </w:p>
    <w:p>
      <w:pPr>
        <w:pStyle w:val="CTAOption"/>
      </w:pPr>
      <w:r>
        <w:t>B. Two units total because all clinical hours may be combined before applying the threshold.</w:t>
      </w:r>
    </w:p>
    <w:p>
      <w:pPr>
        <w:pStyle w:val="CTAOption"/>
      </w:pPr>
      <w:r>
        <w:t>C. Three units total: two for Setting A and one for Setting B.</w:t>
      </w:r>
    </w:p>
    <w:p>
      <w:pPr>
        <w:pStyle w:val="CTAOption"/>
      </w:pPr>
      <w:r>
        <w:t>D. Four units total because every setting automatically requires two units.</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The alternative improperly combines settings or assumes the same unit count for every setting.</w:t>
      </w:r>
    </w:p>
    <w:p>
      <w:pPr>
        <w:pStyle w:val="CTABody"/>
      </w:pPr>
      <w:r>
        <w:t>B. Incorrect. The alternative improperly combines settings or assumes the same unit count for every setting.</w:t>
      </w:r>
    </w:p>
    <w:p>
      <w:pPr>
        <w:pStyle w:val="CTABody"/>
      </w:pPr>
      <w:r>
        <w:t>C. Correct. The weekly supervision rule is applied separately to each setting before adding totals.</w:t>
      </w:r>
    </w:p>
    <w:p>
      <w:pPr>
        <w:pStyle w:val="CTABody"/>
      </w:pPr>
      <w:r>
        <w:t>D. Incorrect. The alternative improperly combines settings or assumes the same unit count for every setting.</w:t>
      </w:r>
    </w:p>
    <w:p>
      <w:pPr>
        <w:pStyle w:val="CTACallout"/>
      </w:pPr>
      <w:r>
        <w:t>CTA Exam Strategy: Never combine settings before applying the weekly rule.</w:t>
      </w:r>
    </w:p>
    <w:p>
      <w:pPr>
        <w:pStyle w:val="CTABody"/>
      </w:pPr>
      <w:r>
        <w:t>Remediation: Return to Workbook 3, Chapter 5: Clinical Supervision, Feedback, and Accountability; review Calculate Each Setting Separately; log error category MULTISETTING-RATIO.</w:t>
      </w:r>
    </w:p>
    <w:p>
      <w:pPr>
        <w:pStyle w:val="CTASmall"/>
      </w:pPr>
      <w:r>
        <w:t>Primary source control: Current BBS ASW supervision statutes, regulations, forms, FAQs, and supervisor guidance; BPC 4996.20, 4996.23, 4996.23.1-4996.23.2; NASW supervision/competence standards</w:t>
      </w:r>
    </w:p>
    <w:p>
      <w:pPr>
        <w:pStyle w:val="CTAH2"/>
      </w:pPr>
      <w:r>
        <w:t>Question 76 | WB3-C5-Q008</w:t>
      </w:r>
    </w:p>
    <w:p>
      <w:pPr>
        <w:pStyle w:val="CTAMeta"/>
      </w:pPr>
      <w:r>
        <w:t>Difficulty: Moderate | Type: Application | Primary concept: Two-Unit Weekly Maximum Requirement</w:t>
      </w:r>
    </w:p>
    <w:p>
      <w:pPr>
        <w:pStyle w:val="CTABody"/>
      </w:pPr>
      <w:r>
        <w:t>How many supervision units are legally required after 25 qualifying clinical hours in one setting during one week?</w:t>
      </w:r>
    </w:p>
    <w:p>
      <w:pPr>
        <w:pStyle w:val="CTAOption"/>
      </w:pPr>
      <w:r>
        <w:t>A. Two units. The threshold rule does not increase to three or more units merely because the ASW exceeds 20 clinical hours in that setting.</w:t>
      </w:r>
    </w:p>
    <w:p>
      <w:pPr>
        <w:pStyle w:val="CTAOption"/>
      </w:pPr>
      <w:r>
        <w:t>B. Three units, because there is one unit for every 10 hours plus a base unit.</w:t>
      </w:r>
    </w:p>
    <w:p>
      <w:pPr>
        <w:pStyle w:val="CTAOption"/>
      </w:pPr>
      <w:r>
        <w:t>C. Four units, because every additional five hours adds a unit.</w:t>
      </w:r>
    </w:p>
    <w:p>
      <w:pPr>
        <w:pStyle w:val="CTAOption"/>
      </w:pPr>
      <w:r>
        <w:t>D. No unit is required if a supervisor reviews the record at the end of the month.</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A</w:t>
            </w:r>
          </w:p>
        </w:tc>
        <w:trPr>
          <w:tblHeader/>
        </w:trPr>
      </w:tr>
    </w:tbl>
    <w:p>
      <w:pPr>
        <w:pStyle w:val="CTAH3"/>
      </w:pPr>
      <w:r>
        <w:t>Detailed Option-by-Option Rationales</w:t>
      </w:r>
    </w:p>
    <w:p>
      <w:pPr>
        <w:pStyle w:val="CTABody"/>
      </w:pPr>
      <w:r>
        <w:t>A. Correct. The tested weekly rule uses a threshold/cap rather than an unlimited one-unit-per-block formula.</w:t>
      </w:r>
    </w:p>
    <w:p>
      <w:pPr>
        <w:pStyle w:val="CTABody"/>
      </w:pPr>
      <w:r>
        <w:t>B. Incorrect. The alternative invents an unsupported hours-to-units formula or replaces weekly supervision with retrospective review.</w:t>
      </w:r>
    </w:p>
    <w:p>
      <w:pPr>
        <w:pStyle w:val="CTABody"/>
      </w:pPr>
      <w:r>
        <w:t>C. Incorrect. The alternative invents an unsupported hours-to-units formula or replaces weekly supervision with retrospective review.</w:t>
      </w:r>
    </w:p>
    <w:p>
      <w:pPr>
        <w:pStyle w:val="CTABody"/>
      </w:pPr>
      <w:r>
        <w:t>D. Incorrect. The alternative invents an unsupported hours-to-units formula or replaces weekly supervision with retrospective review.</w:t>
      </w:r>
    </w:p>
    <w:p>
      <w:pPr>
        <w:pStyle w:val="CTACallout"/>
      </w:pPr>
      <w:r>
        <w:t>CTA Exam Strategy: Use the threshold rule, not a running block formula.</w:t>
      </w:r>
    </w:p>
    <w:p>
      <w:pPr>
        <w:pStyle w:val="CTABody"/>
      </w:pPr>
      <w:r>
        <w:t>Remediation: Return to Workbook 3, Chapter 5: Clinical Supervision, Feedback, and Accountability; review Two-Unit Weekly Maximum Requirement; log error category RATIO-CAP.</w:t>
      </w:r>
    </w:p>
    <w:p>
      <w:pPr>
        <w:pStyle w:val="CTASmall"/>
      </w:pPr>
      <w:r>
        <w:t>Primary source control: Current BBS ASW supervision statutes, regulations, forms, FAQs, and supervisor guidance; BPC 4996.20, 4996.23, 4996.23.1-4996.23.2; NASW supervision/competence standards</w:t>
      </w:r>
    </w:p>
    <w:p>
      <w:pPr>
        <w:pStyle w:val="CTAH2"/>
      </w:pPr>
      <w:r>
        <w:t>Question 77 | WB3-C5-Q009</w:t>
      </w:r>
    </w:p>
    <w:p>
      <w:pPr>
        <w:pStyle w:val="CTAMeta"/>
      </w:pPr>
      <w:r>
        <w:t>Difficulty: Moderate | Type: Application | Primary concept: Telephone-Only Supervision</w:t>
      </w:r>
    </w:p>
    <w:p>
      <w:pPr>
        <w:pStyle w:val="CTABody"/>
      </w:pPr>
      <w:r>
        <w:t>Does telephone-only supervision satisfy the required face-to-face component for qualifying ASW experience?</w:t>
      </w:r>
    </w:p>
    <w:p>
      <w:pPr>
        <w:pStyle w:val="CTAOption"/>
      </w:pPr>
      <w:r>
        <w:t>A. Yes, if the call lasts at least one hour.</w:t>
      </w:r>
    </w:p>
    <w:p>
      <w:pPr>
        <w:pStyle w:val="CTAOption"/>
      </w:pPr>
      <w:r>
        <w:t>B. Yes, if the ASW and supervisor are employed by the same agency.</w:t>
      </w:r>
    </w:p>
    <w:p>
      <w:pPr>
        <w:pStyle w:val="CTAOption"/>
      </w:pPr>
      <w:r>
        <w:t>C. Yes, when the supervisor later signs the weekly log.</w:t>
      </w:r>
    </w:p>
    <w:p>
      <w:pPr>
        <w:pStyle w:val="CTAOption"/>
      </w:pPr>
      <w:r>
        <w:t>D. No. Appropriate live two-way videoconferencing may qualify when requirements are met, but telephone-only contact does not satisfy the face-to-face component.</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D</w:t>
            </w:r>
          </w:p>
        </w:tc>
        <w:trPr>
          <w:tblHeader/>
        </w:trPr>
      </w:tr>
    </w:tbl>
    <w:p>
      <w:pPr>
        <w:pStyle w:val="CTAH3"/>
      </w:pPr>
      <w:r>
        <w:t>Detailed Option-by-Option Rationales</w:t>
      </w:r>
    </w:p>
    <w:p>
      <w:pPr>
        <w:pStyle w:val="CTABody"/>
      </w:pPr>
      <w:r>
        <w:t>A. Incorrect. Duration, common employment, or a later signature does not change an audio-only contact into required face-to-face supervision.</w:t>
      </w:r>
    </w:p>
    <w:p>
      <w:pPr>
        <w:pStyle w:val="CTABody"/>
      </w:pPr>
      <w:r>
        <w:t>B. Incorrect. Duration, common employment, or a later signature does not change an audio-only contact into required face-to-face supervision.</w:t>
      </w:r>
    </w:p>
    <w:p>
      <w:pPr>
        <w:pStyle w:val="CTABody"/>
      </w:pPr>
      <w:r>
        <w:t>C. Incorrect. Duration, common employment, or a later signature does not change an audio-only contact into required face-to-face supervision.</w:t>
      </w:r>
    </w:p>
    <w:p>
      <w:pPr>
        <w:pStyle w:val="CTABody"/>
      </w:pPr>
      <w:r>
        <w:t>D. Correct. Current rules distinguish live visual videoconferencing from audio-only contact; telephone-only support does not satisfy the face-to-face component.</w:t>
      </w:r>
    </w:p>
    <w:p>
      <w:pPr>
        <w:pStyle w:val="CTACallout"/>
      </w:pPr>
      <w:r>
        <w:t>CTA Exam Strategy: Distinguish real-time visual contact from audio-only support.</w:t>
      </w:r>
    </w:p>
    <w:p>
      <w:pPr>
        <w:pStyle w:val="CTABody"/>
      </w:pPr>
      <w:r>
        <w:t>Remediation: Return to Workbook 3, Chapter 5: Clinical Supervision, Feedback, and Accountability; review Telephone-Only Supervision; log error category REMOTE-MODE.</w:t>
      </w:r>
    </w:p>
    <w:p>
      <w:pPr>
        <w:pStyle w:val="CTASmall"/>
      </w:pPr>
      <w:r>
        <w:t>Primary source control: Current BBS ASW supervision statutes, regulations, forms, FAQs, and supervisor guidance; BPC 4996.20, 4996.23, 4996.23.1-4996.23.2; NASW supervision/competence standards</w:t>
      </w:r>
    </w:p>
    <w:p>
      <w:pPr>
        <w:pStyle w:val="CTAH2"/>
      </w:pPr>
      <w:r>
        <w:t>Question 78 | WB3-C5-Q010</w:t>
      </w:r>
    </w:p>
    <w:p>
      <w:pPr>
        <w:pStyle w:val="CTAMeta"/>
      </w:pPr>
      <w:r>
        <w:t>Difficulty: Moderate | Type: Application | Primary concept: Videoconference Appropriateness Review</w:t>
      </w:r>
    </w:p>
    <w:p>
      <w:pPr>
        <w:pStyle w:val="CTABody"/>
      </w:pPr>
      <w:r>
        <w:t>What must the supervisor do after beginning regular videoconference supervision?</w:t>
      </w:r>
    </w:p>
    <w:p>
      <w:pPr>
        <w:pStyle w:val="CTAOption"/>
      </w:pPr>
      <w:r>
        <w:t>A. Assume video is appropriate permanently once the first session is completed.</w:t>
      </w:r>
    </w:p>
    <w:p>
      <w:pPr>
        <w:pStyle w:val="CTAOption"/>
      </w:pPr>
      <w:r>
        <w:t>B. Switch all supervision to telephone-only contact.</w:t>
      </w:r>
    </w:p>
    <w:p>
      <w:pPr>
        <w:pStyle w:val="CTAOption"/>
      </w:pPr>
      <w:r>
        <w:t>C. Within 60 days, assess and document whether videoconference supervision is appropriate and discontinue it if it is not suitable.</w:t>
      </w:r>
    </w:p>
    <w:p>
      <w:pPr>
        <w:pStyle w:val="CTAOption"/>
      </w:pPr>
      <w:r>
        <w:t>D. Wait until licensure application review to decide whether video supervision was appropriate.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The alternative assumes appropriateness, uses a nonqualifying mode, or delays review beyond the required control point.</w:t>
      </w:r>
    </w:p>
    <w:p>
      <w:pPr>
        <w:pStyle w:val="CTABody"/>
      </w:pPr>
      <w:r>
        <w:t>B. Incorrect. The alternative assumes appropriateness, uses a nonqualifying mode, or delays review beyond the required control point.</w:t>
      </w:r>
    </w:p>
    <w:p>
      <w:pPr>
        <w:pStyle w:val="CTABody"/>
      </w:pPr>
      <w:r>
        <w:t>C. Correct. Videoconference supervision requires an early documented appropriateness review and continued responsibility for privacy and suitability.</w:t>
      </w:r>
    </w:p>
    <w:p>
      <w:pPr>
        <w:pStyle w:val="CTABody"/>
      </w:pPr>
      <w:r>
        <w:t>D. Incorrect. The alternative assumes appropriateness, uses a nonqualifying mode, or delays review beyond the required control point.</w:t>
      </w:r>
    </w:p>
    <w:p>
      <w:pPr>
        <w:pStyle w:val="CTACallout"/>
      </w:pPr>
      <w:r>
        <w:t>CTA Exam Strategy: Remote supervision questions test appropriateness, documentation, privacy, and responsibility.</w:t>
      </w:r>
    </w:p>
    <w:p>
      <w:pPr>
        <w:pStyle w:val="CTABody"/>
      </w:pPr>
      <w:r>
        <w:t>Remediation: Return to Workbook 3, Chapter 5: Clinical Supervision, Feedback, and Accountability; review Videoconference Appropriateness Review; log error category REMOTE-ASSESSMENT.</w:t>
      </w:r>
    </w:p>
    <w:p>
      <w:pPr>
        <w:pStyle w:val="CTASmall"/>
      </w:pPr>
      <w:r>
        <w:t>Primary source control: Current BBS ASW supervision statutes, regulations, forms, FAQs, and supervisor guidance; BPC 4996.20, 4996.23, 4996.23.1-4996.23.2; NASW supervision/competence standards</w:t>
      </w:r>
    </w:p>
    <w:p>
      <w:pPr>
        <w:pStyle w:val="CTAH2"/>
      </w:pPr>
      <w:r>
        <w:t>Question 79 | WB3-C5-Q011</w:t>
      </w:r>
    </w:p>
    <w:p>
      <w:pPr>
        <w:pStyle w:val="CTAMeta"/>
      </w:pPr>
      <w:r>
        <w:t>Difficulty: Moderate | Type: Application | Primary concept: Written Oversight Agreement</w:t>
      </w:r>
    </w:p>
    <w:p>
      <w:pPr>
        <w:pStyle w:val="CTABody"/>
      </w:pPr>
      <w:r>
        <w:t>What is needed before an external or voluntary supervisor begins supervising an ASW for an employer?</w:t>
      </w:r>
    </w:p>
    <w:p>
      <w:pPr>
        <w:pStyle w:val="CTAOption"/>
      </w:pPr>
      <w:r>
        <w:t>A. Only an oral promise between the ASW and the outside supervisor.</w:t>
      </w:r>
    </w:p>
    <w:p>
      <w:pPr>
        <w:pStyle w:val="CTAOption"/>
      </w:pPr>
      <w:r>
        <w:t>B. A written oversight agreement defining authority, record access, responsibilities, and protection from inappropriate organizational interference.</w:t>
      </w:r>
    </w:p>
    <w:p>
      <w:pPr>
        <w:pStyle w:val="CTAOption"/>
      </w:pPr>
      <w:r>
        <w:t>C. A client waiver stating that the employer has no responsibility for the supervision arrangement.</w:t>
      </w:r>
    </w:p>
    <w:p>
      <w:pPr>
        <w:pStyle w:val="CTAOption"/>
      </w:pPr>
      <w:r>
        <w:t>D. No agreement if the outside supervisor is independently licensed.</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B</w:t>
            </w:r>
          </w:p>
        </w:tc>
        <w:trPr>
          <w:tblHeader/>
        </w:trPr>
      </w:tr>
    </w:tbl>
    <w:p>
      <w:pPr>
        <w:pStyle w:val="CTAH3"/>
      </w:pPr>
      <w:r>
        <w:t>Detailed Option-by-Option Rationales</w:t>
      </w:r>
    </w:p>
    <w:p>
      <w:pPr>
        <w:pStyle w:val="CTABody"/>
      </w:pPr>
      <w:r>
        <w:t>A. Incorrect. An oral promise, client waiver, or license alone does not create the required employer-supervisor structure.</w:t>
      </w:r>
    </w:p>
    <w:p>
      <w:pPr>
        <w:pStyle w:val="CTABody"/>
      </w:pPr>
      <w:r>
        <w:t>B. Correct. The written oversight structure establishes authority, lawful record access, responsibility, and organizational boundaries before supervision begins.</w:t>
      </w:r>
    </w:p>
    <w:p>
      <w:pPr>
        <w:pStyle w:val="CTABody"/>
      </w:pPr>
      <w:r>
        <w:t>C. Incorrect. An oral promise, client waiver, or license alone does not create the required employer-supervisor structure.</w:t>
      </w:r>
    </w:p>
    <w:p>
      <w:pPr>
        <w:pStyle w:val="CTABody"/>
      </w:pPr>
      <w:r>
        <w:t>D. Incorrect. An oral promise, client waiver, or license alone does not create the required employer-supervisor structure.</w:t>
      </w:r>
    </w:p>
    <w:p>
      <w:pPr>
        <w:pStyle w:val="CTACallout"/>
      </w:pPr>
      <w:r>
        <w:t>CTA Exam Strategy: Match each supervision document to its timing and purpose.</w:t>
      </w:r>
    </w:p>
    <w:p>
      <w:pPr>
        <w:pStyle w:val="CTABody"/>
      </w:pPr>
      <w:r>
        <w:t>Remediation: Return to Workbook 3, Chapter 5: Clinical Supervision, Feedback, and Accountability; review Written Oversight Agreement; log error category OVERSIGHT-AGREEMENT.</w:t>
      </w:r>
    </w:p>
    <w:p>
      <w:pPr>
        <w:pStyle w:val="CTASmall"/>
      </w:pPr>
      <w:r>
        <w:t>Primary source control: Current BBS ASW supervision statutes, regulations, forms, FAQs, and supervisor guidance; BPC 4996.20, 4996.23, 4996.23.1-4996.23.2; NASW supervision/competence standards</w:t>
      </w:r>
    </w:p>
    <w:p>
      <w:pPr>
        <w:pStyle w:val="CTAH2"/>
      </w:pPr>
      <w:r>
        <w:t>Question 80 | WB3-C5-Q012</w:t>
      </w:r>
    </w:p>
    <w:p>
      <w:pPr>
        <w:pStyle w:val="CTAMeta"/>
      </w:pPr>
      <w:r>
        <w:t>Difficulty: Moderate | Type: Application | Primary concept: Weekly Log</w:t>
      </w:r>
    </w:p>
    <w:p>
      <w:pPr>
        <w:pStyle w:val="CTABody"/>
      </w:pPr>
      <w:r>
        <w:t>Which record is maintained by the ASW and signed by the supervisor every week?</w:t>
      </w:r>
    </w:p>
    <w:p>
      <w:pPr>
        <w:pStyle w:val="CTAOption"/>
      </w:pPr>
      <w:r>
        <w:t>A. The weekly log of experience and supervision; the experience verification is completed at the end of the supervisory relationship.</w:t>
      </w:r>
    </w:p>
    <w:p>
      <w:pPr>
        <w:pStyle w:val="CTAOption"/>
      </w:pPr>
      <w:r>
        <w:t>B. Only the final experience verification form; no weekly record is needed.</w:t>
      </w:r>
    </w:p>
    <w:p>
      <w:pPr>
        <w:pStyle w:val="CTAOption"/>
      </w:pPr>
      <w:r>
        <w:t>C. A monthly employer productivity report.</w:t>
      </w:r>
    </w:p>
    <w:p>
      <w:pPr>
        <w:pStyle w:val="CTAOption"/>
      </w:pPr>
      <w:r>
        <w:t>D. An informal case-note summary prepared by the supervisor.</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A</w:t>
            </w:r>
          </w:p>
        </w:tc>
        <w:trPr>
          <w:tblHeader/>
        </w:trPr>
      </w:tr>
    </w:tbl>
    <w:p>
      <w:pPr>
        <w:pStyle w:val="CTAH3"/>
      </w:pPr>
      <w:r>
        <w:t>Detailed Option-by-Option Rationales</w:t>
      </w:r>
    </w:p>
    <w:p>
      <w:pPr>
        <w:pStyle w:val="CTABody"/>
      </w:pPr>
      <w:r>
        <w:t>A. Correct. The weekly log is the contemporaneous experience/supervision record; final verification serves a different end-of-period function.</w:t>
      </w:r>
    </w:p>
    <w:p>
      <w:pPr>
        <w:pStyle w:val="CTABody"/>
      </w:pPr>
      <w:r>
        <w:t>B. Incorrect. The alternative does not satisfy the weekly experience/supervision record function.</w:t>
      </w:r>
    </w:p>
    <w:p>
      <w:pPr>
        <w:pStyle w:val="CTABody"/>
      </w:pPr>
      <w:r>
        <w:t>C. Incorrect. The alternative does not satisfy the weekly experience/supervision record function.</w:t>
      </w:r>
    </w:p>
    <w:p>
      <w:pPr>
        <w:pStyle w:val="CTABody"/>
      </w:pPr>
      <w:r>
        <w:t>D. Incorrect. The alternative does not satisfy the weekly experience/supervision record function.</w:t>
      </w:r>
    </w:p>
    <w:p>
      <w:pPr>
        <w:pStyle w:val="CTACallout"/>
      </w:pPr>
      <w:r>
        <w:t>CTA Exam Strategy: Weekly log equals contemporaneous signature; verification equals end-of-period confirmation.</w:t>
      </w:r>
    </w:p>
    <w:p>
      <w:pPr>
        <w:pStyle w:val="CTABody"/>
      </w:pPr>
      <w:r>
        <w:t>Remediation: Return to Workbook 3, Chapter 5: Clinical Supervision, Feedback, and Accountability; review Weekly Log; log error category WEEKLY-LOG.</w:t>
      </w:r>
    </w:p>
    <w:p>
      <w:pPr>
        <w:pStyle w:val="CTASmall"/>
      </w:pPr>
      <w:r>
        <w:t>Primary source control: Current BBS ASW supervision statutes, regulations, forms, FAQs, and supervisor guidance; BPC 4996.20, 4996.23, 4996.23.1-4996.23.2; NASW supervision/competence standards</w:t>
      </w:r>
    </w:p>
    <w:p>
      <w:pPr>
        <w:pStyle w:val="CTAH2"/>
      </w:pPr>
      <w:r>
        <w:t>Question 81 | WB3-C5-Q013</w:t>
      </w:r>
    </w:p>
    <w:p>
      <w:pPr>
        <w:pStyle w:val="CTAMeta"/>
      </w:pPr>
      <w:r>
        <w:t>Difficulty: Difficult | Type: Scenario-Based | Primary concept: External Supervisor Record Access</w:t>
      </w:r>
    </w:p>
    <w:p>
      <w:pPr>
        <w:pStyle w:val="CTABody"/>
      </w:pPr>
      <w:r>
        <w:t>A private-practice employer uses an external supervisor but refuses meaningful record access, allowing only verbal case summaries. What is the BEST response?</w:t>
      </w:r>
    </w:p>
    <w:p>
      <w:pPr>
        <w:pStyle w:val="CTAOption"/>
      </w:pPr>
      <w:r>
        <w:t>A. Count the hours because the supervisor is licensed and hears verbal summaries.</w:t>
      </w:r>
    </w:p>
    <w:p>
      <w:pPr>
        <w:pStyle w:val="CTAOption"/>
      </w:pPr>
      <w:r>
        <w:t>B. Ask clients to waive all confidentiality so the supervisor can receive the full file without limits.</w:t>
      </w:r>
    </w:p>
    <w:p>
      <w:pPr>
        <w:pStyle w:val="CTAOption"/>
      </w:pPr>
      <w:r>
        <w:t>C. Correct the written oversight, record-access, and client-authorization structure before treating the arrangement as lawful, meaningful supervision or assuming the hours are protected.</w:t>
      </w:r>
    </w:p>
    <w:p>
      <w:pPr>
        <w:pStyle w:val="CTAOption"/>
      </w:pPr>
      <w:r>
        <w:t>D. Stop all client services permanently without attempting to repair the supervision structure.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The alternative either assumes insufficient oversight is adequate, uses an overbroad waiver, or chooses unnecessary permanent termination.</w:t>
      </w:r>
    </w:p>
    <w:p>
      <w:pPr>
        <w:pStyle w:val="CTABody"/>
      </w:pPr>
      <w:r>
        <w:t>B. Incorrect. The alternative either assumes insufficient oversight is adequate, uses an overbroad waiver, or chooses unnecessary permanent termination.</w:t>
      </w:r>
    </w:p>
    <w:p>
      <w:pPr>
        <w:pStyle w:val="CTABody"/>
      </w:pPr>
      <w:r>
        <w:t>C. Correct. Meaningful supervision requires enough lawful access to evaluate service quality; repair the structure while protecting confidentiality and continuity.</w:t>
      </w:r>
    </w:p>
    <w:p>
      <w:pPr>
        <w:pStyle w:val="CTABody"/>
      </w:pPr>
      <w:r>
        <w:t>D. Incorrect. The alternative either assumes insufficient oversight is adequate, uses an overbroad waiver, or chooses unnecessary permanent termination.</w:t>
      </w:r>
    </w:p>
    <w:p>
      <w:pPr>
        <w:pStyle w:val="CTACallout"/>
      </w:pPr>
      <w:r>
        <w:t>CTA Exam Strategy: Real quality control requires meaningful lawful access.</w:t>
      </w:r>
    </w:p>
    <w:p>
      <w:pPr>
        <w:pStyle w:val="CTABody"/>
      </w:pPr>
      <w:r>
        <w:t>Remediation: Return to Workbook 3, Chapter 5: Clinical Supervision, Feedback, and Accountability; review External Supervisor Record Access; log error category RECORD-ACCESS.</w:t>
      </w:r>
    </w:p>
    <w:p>
      <w:pPr>
        <w:pStyle w:val="CTASmall"/>
      </w:pPr>
      <w:r>
        <w:t>Primary source control: Current BBS ASW supervision statutes, regulations, forms, FAQs, and supervisor guidance; BPC 4996.20, 4996.23, 4996.23.1-4996.23.2; NASW supervision/competence standards</w:t>
      </w:r>
    </w:p>
    <w:p>
      <w:pPr>
        <w:pStyle w:val="CTAH2"/>
      </w:pPr>
      <w:r>
        <w:t>Question 82 | WB3-C5-Q014</w:t>
      </w:r>
    </w:p>
    <w:p>
      <w:pPr>
        <w:pStyle w:val="CTAMeta"/>
      </w:pPr>
      <w:r>
        <w:t>Difficulty: Difficult | Type: Scenario-Based | Primary concept: Immediate Protective Feedback</w:t>
      </w:r>
    </w:p>
    <w:p>
      <w:pPr>
        <w:pStyle w:val="CTABody"/>
      </w:pPr>
      <w:r>
        <w:t>A repeated documentation error creates a current client-safety risk. What should the supervisor do FIRST?</w:t>
      </w:r>
    </w:p>
    <w:p>
      <w:pPr>
        <w:pStyle w:val="CTAOption"/>
      </w:pPr>
      <w:r>
        <w:t>A. Wait for the annual performance evaluation before changing the supervisee’s work.</w:t>
      </w:r>
    </w:p>
    <w:p>
      <w:pPr>
        <w:pStyle w:val="CTAOption"/>
      </w:pPr>
      <w:r>
        <w:t>B. Give a general reminder and continue the same duties without review.</w:t>
      </w:r>
    </w:p>
    <w:p>
      <w:pPr>
        <w:pStyle w:val="CTAOption"/>
      </w:pPr>
      <w:r>
        <w:t>C. Report the supervisee automatically to the Board before addressing the active safety problem.</w:t>
      </w:r>
    </w:p>
    <w:p>
      <w:pPr>
        <w:pStyle w:val="CTAOption"/>
      </w:pPr>
      <w:r>
        <w:t>D. Implement an immediate protective restriction, review, or coverage plan, then provide specific remediation, monitoring, feedback, and documentation.</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D</w:t>
            </w:r>
          </w:p>
        </w:tc>
        <w:trPr>
          <w:tblHeader/>
        </w:trPr>
      </w:tr>
    </w:tbl>
    <w:p>
      <w:pPr>
        <w:pStyle w:val="CTAH3"/>
      </w:pPr>
      <w:r>
        <w:t>Detailed Option-by-Option Rationales</w:t>
      </w:r>
    </w:p>
    <w:p>
      <w:pPr>
        <w:pStyle w:val="CTABody"/>
      </w:pPr>
      <w:r>
        <w:t>A. Incorrect. The alternative delays protection, is too vague, or substitutes automatic reporting for immediate client safety and proportionate supervision.</w:t>
      </w:r>
    </w:p>
    <w:p>
      <w:pPr>
        <w:pStyle w:val="CTABody"/>
      </w:pPr>
      <w:r>
        <w:t>B. Incorrect. The alternative delays protection, is too vague, or substitutes automatic reporting for immediate client safety and proportionate supervision.</w:t>
      </w:r>
    </w:p>
    <w:p>
      <w:pPr>
        <w:pStyle w:val="CTABody"/>
      </w:pPr>
      <w:r>
        <w:t>C. Incorrect. The alternative delays protection, is too vague, or substitutes automatic reporting for immediate client safety and proportionate supervision.</w:t>
      </w:r>
    </w:p>
    <w:p>
      <w:pPr>
        <w:pStyle w:val="CTABody"/>
      </w:pPr>
      <w:r>
        <w:t>D. Correct. Current client protection comes before routine evaluation; remediation and monitoring follow once immediate risk is controlled.</w:t>
      </w:r>
    </w:p>
    <w:p>
      <w:pPr>
        <w:pStyle w:val="CTACallout"/>
      </w:pPr>
      <w:r>
        <w:t>CTA Exam Strategy: Protect the client before waiting for routine evaluation.</w:t>
      </w:r>
    </w:p>
    <w:p>
      <w:pPr>
        <w:pStyle w:val="CTABody"/>
      </w:pPr>
      <w:r>
        <w:t>Remediation: Return to Workbook 3, Chapter 5: Clinical Supervision, Feedback, and Accountability; review Immediate Protective Feedback; log error category SAFETY-FEEDBACK.</w:t>
      </w:r>
    </w:p>
    <w:p>
      <w:pPr>
        <w:pStyle w:val="CTASmall"/>
      </w:pPr>
      <w:r>
        <w:t>Primary source control: Current BBS ASW supervision statutes, regulations, forms, FAQs, and supervisor guidance; BPC 4996.20, 4996.23, 4996.23.1-4996.23.2; NASW supervision/competence standards</w:t>
      </w:r>
    </w:p>
    <w:p>
      <w:pPr>
        <w:pStyle w:val="CTAH2"/>
      </w:pPr>
      <w:r>
        <w:t>Question 83 | WB3-C5-Q015</w:t>
      </w:r>
    </w:p>
    <w:p>
      <w:pPr>
        <w:pStyle w:val="CTAMeta"/>
      </w:pPr>
      <w:r>
        <w:t>Difficulty: Difficult | Type: Integrated Challenge | Primary concept: Unsafe Supervisory Direction in Crisis</w:t>
      </w:r>
    </w:p>
    <w:p>
      <w:pPr>
        <w:pStyle w:val="CTABody"/>
      </w:pPr>
      <w:r>
        <w:t>An ASW reports escalating suicidal intent, but the regular supervisor says to wait until tomorrow before taking further action. What is the BEST response?</w:t>
      </w:r>
    </w:p>
    <w:p>
      <w:pPr>
        <w:pStyle w:val="CTAOption"/>
      </w:pPr>
      <w:r>
        <w:t>A. Follow the instruction because supervisor responsibility eliminates the ASW’s own duty to protect clients.</w:t>
      </w:r>
    </w:p>
    <w:p>
      <w:pPr>
        <w:pStyle w:val="CTAOption"/>
      </w:pPr>
      <w:r>
        <w:t>B. Take appropriate current protective action, use the written crisis or alternate-supervisor procedure, document, and escalate the inadequate supervisory response.</w:t>
      </w:r>
    </w:p>
    <w:p>
      <w:pPr>
        <w:pStyle w:val="CTAOption"/>
      </w:pPr>
      <w:r>
        <w:t>C. Ask the client to promise not to act until the regular supervisor returns.</w:t>
      </w:r>
    </w:p>
    <w:p>
      <w:pPr>
        <w:pStyle w:val="CTAOption"/>
      </w:pPr>
      <w:r>
        <w:t>D. End services immediately and provide no transition or emergency support.</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B</w:t>
            </w:r>
          </w:p>
        </w:tc>
        <w:trPr>
          <w:tblHeader/>
        </w:trPr>
      </w:tr>
    </w:tbl>
    <w:p>
      <w:pPr>
        <w:pStyle w:val="CTAH3"/>
      </w:pPr>
      <w:r>
        <w:t>Detailed Option-by-Option Rationales</w:t>
      </w:r>
    </w:p>
    <w:p>
      <w:pPr>
        <w:pStyle w:val="CTABody"/>
      </w:pPr>
      <w:r>
        <w:t>A. Incorrect. The alternative delays protection, relies on a promise, or creates unsafe abandonment.</w:t>
      </w:r>
    </w:p>
    <w:p>
      <w:pPr>
        <w:pStyle w:val="CTABody"/>
      </w:pPr>
      <w:r>
        <w:t>B. Correct. The ASW must protect the client within the lawful role and use qualified crisis/alternate supervision without avoidable delay.</w:t>
      </w:r>
    </w:p>
    <w:p>
      <w:pPr>
        <w:pStyle w:val="CTABody"/>
      </w:pPr>
      <w:r>
        <w:t>C. Incorrect. The alternative delays protection, relies on a promise, or creates unsafe abandonment.</w:t>
      </w:r>
    </w:p>
    <w:p>
      <w:pPr>
        <w:pStyle w:val="CTABody"/>
      </w:pPr>
      <w:r>
        <w:t>D. Incorrect. The alternative delays protection, relies on a promise, or creates unsafe abandonment.</w:t>
      </w:r>
    </w:p>
    <w:p>
      <w:pPr>
        <w:pStyle w:val="CTACallout"/>
      </w:pPr>
      <w:r>
        <w:t>CTA Exam Strategy: Client protection comes before the complaint decision.</w:t>
      </w:r>
    </w:p>
    <w:p>
      <w:pPr>
        <w:pStyle w:val="CTABody"/>
      </w:pPr>
      <w:r>
        <w:t>Remediation: Return to Workbook 3, Chapter 5: Clinical Supervision, Feedback, and Accountability; review Unsafe Supervisory Direction in Crisis; log error category CRISIS-ESCALATION.</w:t>
      </w:r>
    </w:p>
    <w:p>
      <w:pPr>
        <w:pStyle w:val="CTASmall"/>
      </w:pPr>
      <w:r>
        <w:t>Primary source control: Current BBS ASW supervision statutes, regulations, forms, FAQs, and supervisor guidance; BPC 4996.20, 4996.23, 4996.23.1-4996.23.2; NASW supervision/competence standards</w:t>
      </w:r>
    </w:p>
    <w:p>
      <w:pPr>
        <w:pStyle w:val="CTAH2"/>
      </w:pPr>
      <w:r>
        <w:t>Question 84 | WB3-C5-Q016</w:t>
      </w:r>
    </w:p>
    <w:p>
      <w:pPr>
        <w:pStyle w:val="CTAMeta"/>
      </w:pPr>
      <w:r>
        <w:t>Difficulty: Difficult | Type: Scenario-Based | Primary concept: Fair Performance Evaluation</w:t>
      </w:r>
    </w:p>
    <w:p>
      <w:pPr>
        <w:pStyle w:val="CTABody"/>
      </w:pPr>
      <w:r>
        <w:t>An ASW receives a surprise negative evaluation with no examples or prior feedback. What is the BEST response?</w:t>
      </w:r>
    </w:p>
    <w:p>
      <w:pPr>
        <w:pStyle w:val="CTAOption"/>
      </w:pPr>
      <w:r>
        <w:t>A. Request the factual basis and clear criteria, preserve records, seek organizational review or alternate supervision as appropriate, protect current clients, and follow any legitimate safety restriction.</w:t>
      </w:r>
    </w:p>
    <w:p>
      <w:pPr>
        <w:pStyle w:val="CTAOption"/>
      </w:pPr>
      <w:r>
        <w:t>B. Ignore every concern because prior feedback was incomplete.</w:t>
      </w:r>
    </w:p>
    <w:p>
      <w:pPr>
        <w:pStyle w:val="CTAOption"/>
      </w:pPr>
      <w:r>
        <w:t>C. Alter the weekly logs to make the evaluation appear inconsistent.</w:t>
      </w:r>
    </w:p>
    <w:p>
      <w:pPr>
        <w:pStyle w:val="CTAOption"/>
      </w:pPr>
      <w:r>
        <w:t>D. Leave the placement immediately without planning for client continuity.</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A</w:t>
            </w:r>
          </w:p>
        </w:tc>
        <w:trPr>
          <w:tblHeader/>
        </w:trPr>
      </w:tr>
    </w:tbl>
    <w:p>
      <w:pPr>
        <w:pStyle w:val="CTAH3"/>
      </w:pPr>
      <w:r>
        <w:t>Detailed Option-by-Option Rationales</w:t>
      </w:r>
    </w:p>
    <w:p>
      <w:pPr>
        <w:pStyle w:val="CTABody"/>
      </w:pPr>
      <w:r>
        <w:t>A. Correct. Fair evaluation uses facts, clear criteria, records, review channels, continuity, and respect for valid safety limits.</w:t>
      </w:r>
    </w:p>
    <w:p>
      <w:pPr>
        <w:pStyle w:val="CTABody"/>
      </w:pPr>
      <w:r>
        <w:t>B. Incorrect. The alternative ignores legitimate safety concerns, falsifies records, or risks abrupt client disruption.</w:t>
      </w:r>
    </w:p>
    <w:p>
      <w:pPr>
        <w:pStyle w:val="CTABody"/>
      </w:pPr>
      <w:r>
        <w:t>C. Incorrect. The alternative ignores legitimate safety concerns, falsifies records, or risks abrupt client disruption.</w:t>
      </w:r>
    </w:p>
    <w:p>
      <w:pPr>
        <w:pStyle w:val="CTABody"/>
      </w:pPr>
      <w:r>
        <w:t>D. Incorrect. The alternative ignores legitimate safety concerns, falsifies records, or risks abrupt client disruption.</w:t>
      </w:r>
    </w:p>
    <w:p>
      <w:pPr>
        <w:pStyle w:val="CTACallout"/>
      </w:pPr>
      <w:r>
        <w:t>CTA Exam Strategy: Fair evaluation uses facts, criteria, records, review, and continuity.</w:t>
      </w:r>
    </w:p>
    <w:p>
      <w:pPr>
        <w:pStyle w:val="CTABody"/>
      </w:pPr>
      <w:r>
        <w:t>Remediation: Return to Workbook 3, Chapter 5: Clinical Supervision, Feedback, and Accountability; review Fair Performance Evaluation; log error category FAIR-EVALUATION.</w:t>
      </w:r>
    </w:p>
    <w:p>
      <w:pPr>
        <w:pStyle w:val="CTASmall"/>
      </w:pPr>
      <w:r>
        <w:t>Primary source control: Current BBS ASW supervision statutes, regulations, forms, FAQs, and supervisor guidance; BPC 4996.20, 4996.23, 4996.23.1-4996.23.2; NASW supervision/competence standards</w:t>
      </w:r>
    </w:p>
    <w:p>
      <w:pPr>
        <w:pStyle w:val="CTAH2"/>
      </w:pPr>
      <w:r>
        <w:t>Question 85 | WB3-C5-Q017</w:t>
      </w:r>
    </w:p>
    <w:p>
      <w:pPr>
        <w:pStyle w:val="CTAMeta"/>
      </w:pPr>
      <w:r>
        <w:t>Difficulty: Difficult | Type: Integrated Challenge | Primary concept: Supervision Repair Sequence</w:t>
      </w:r>
    </w:p>
    <w:p>
      <w:pPr>
        <w:pStyle w:val="CTABody"/>
      </w:pPr>
      <w:r>
        <w:t>What sequence BEST applies when supervision is inadequate and a client may be at risk?</w:t>
      </w:r>
    </w:p>
    <w:p>
      <w:pPr>
        <w:pStyle w:val="CTAOption"/>
      </w:pPr>
      <w:r>
        <w:t>A. Document the problem first, then wait for management to decide whether any safety response is necessary.</w:t>
      </w:r>
    </w:p>
    <w:p>
      <w:pPr>
        <w:pStyle w:val="CTAOption"/>
      </w:pPr>
      <w:r>
        <w:t>B. Keep working unchanged until the next scheduled supervision session so the record remains simple.</w:t>
      </w:r>
    </w:p>
    <w:p>
      <w:pPr>
        <w:pStyle w:val="CTAOption"/>
      </w:pPr>
      <w:r>
        <w:t>C. Protect the client and stop active unsafe or unlawful conduct; obtain valid supervision and organizational help; document; repair the structure; protect continuity; and escalate as required.</w:t>
      </w:r>
    </w:p>
    <w:p>
      <w:pPr>
        <w:pStyle w:val="CTAOption"/>
      </w:pPr>
      <w:r>
        <w:t>D. Terminate all clients immediately and report every involved person to the Board before clarifying facts.</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The alternative delays protection or uses a blanket extreme response without first repairing the active risk and supervision structure.</w:t>
      </w:r>
    </w:p>
    <w:p>
      <w:pPr>
        <w:pStyle w:val="CTABody"/>
      </w:pPr>
      <w:r>
        <w:t>B. Incorrect. The alternative delays protection or uses a blanket extreme response without first repairing the active risk and supervision structure.</w:t>
      </w:r>
    </w:p>
    <w:p>
      <w:pPr>
        <w:pStyle w:val="CTABody"/>
      </w:pPr>
      <w:r>
        <w:t>C. Correct. The sequence prioritizes current protection, qualified help, documentation, structural repair, continuity, and proportionate escalation.</w:t>
      </w:r>
    </w:p>
    <w:p>
      <w:pPr>
        <w:pStyle w:val="CTABody"/>
      </w:pPr>
      <w:r>
        <w:t>D. Incorrect. The alternative delays protection or uses a blanket extreme response without first repairing the active risk and supervision structure.</w:t>
      </w:r>
    </w:p>
    <w:p>
      <w:pPr>
        <w:pStyle w:val="CTACallout"/>
      </w:pPr>
      <w:r>
        <w:t>CTA Exam Strategy: Use FIRST / NEXT / LONGER-TERM: protect, obtain help, document and repair, then escalate.</w:t>
      </w:r>
    </w:p>
    <w:p>
      <w:pPr>
        <w:pStyle w:val="CTABody"/>
      </w:pPr>
      <w:r>
        <w:t>Remediation: Return to Workbook 3, Chapter 5: Clinical Supervision, Feedback, and Accountability; review Supervision Repair Sequence; log error category ESCALATION-SEQUENCE.</w:t>
      </w:r>
    </w:p>
    <w:p>
      <w:pPr>
        <w:pStyle w:val="CTASmall"/>
      </w:pPr>
      <w:r>
        <w:t>Primary source control: Current BBS ASW supervision statutes, regulations, forms, FAQs, and supervisor guidance; BPC 4996.20, 4996.23, 4996.23.1-4996.23.2; NASW supervision/competence standards</w:t>
      </w:r>
    </w:p>
    <w:p>
      <w:r>
        <w:br w:type="page"/>
      </w:r>
    </w:p>
    <w:p>
      <w:pPr>
        <w:pStyle w:val="CTAH1"/>
      </w:pPr>
      <w:r>
        <w:t>Chapter 6: Controlled Rationales</w:t>
      </w:r>
    </w:p>
    <w:p>
      <w:pPr>
        <w:pStyle w:val="CTASubtitle"/>
      </w:pPr>
      <w:r>
        <w:t>Professional Roles and Role Clarification</w:t>
      </w:r>
    </w:p>
    <w:p>
      <w:pPr>
        <w:pStyle w:val="CTAH2"/>
      </w:pPr>
      <w:r>
        <w:t>Question 86 | WB3-C6-Q001</w:t>
      </w:r>
    </w:p>
    <w:p>
      <w:pPr>
        <w:pStyle w:val="CTAMeta"/>
      </w:pPr>
      <w:r>
        <w:t>Difficulty: Easy | Type: Knowledge | Primary concept: Role determines duties, audience, authority, and output</w:t>
      </w:r>
    </w:p>
    <w:p>
      <w:pPr>
        <w:pStyle w:val="CTABody"/>
      </w:pPr>
      <w:r>
        <w:t>Which statement BEST reflects the chapter’s central rule about professional roles?</w:t>
      </w:r>
    </w:p>
    <w:p>
      <w:pPr>
        <w:pStyle w:val="CTAOption"/>
      </w:pPr>
      <w:r>
        <w:t>A. The same confidentiality, loyalty, and decision rules apply whenever a social worker is involved.</w:t>
      </w:r>
    </w:p>
    <w:p>
      <w:pPr>
        <w:pStyle w:val="CTAOption"/>
      </w:pPr>
      <w:r>
        <w:t>B. The social worker should identify the actual role because purpose, audience, authority, confidentiality, and expected output may change.</w:t>
      </w:r>
    </w:p>
    <w:p>
      <w:pPr>
        <w:pStyle w:val="CTAOption"/>
      </w:pPr>
      <w:r>
        <w:t>C. Role clarification is necessary only when a court or attorney is involved.</w:t>
      </w:r>
    </w:p>
    <w:p>
      <w:pPr>
        <w:pStyle w:val="CTAOption"/>
      </w:pPr>
      <w:r>
        <w:t>D. A signed general consent form eliminates the need to clarify later role changes.</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B</w:t>
            </w:r>
          </w:p>
        </w:tc>
        <w:trPr>
          <w:tblHeader/>
        </w:trPr>
      </w:tr>
    </w:tbl>
    <w:p>
      <w:pPr>
        <w:pStyle w:val="CTAH3"/>
      </w:pPr>
      <w:r>
        <w:t>Detailed Option-by-Option Rationales</w:t>
      </w:r>
    </w:p>
    <w:p>
      <w:pPr>
        <w:pStyle w:val="CTABody"/>
      </w:pPr>
      <w:r>
        <w:t>A. Incorrect. The alternative treats duties as universal or assumes role clarification can be skipped.</w:t>
      </w:r>
    </w:p>
    <w:p>
      <w:pPr>
        <w:pStyle w:val="CTABody"/>
      </w:pPr>
      <w:r>
        <w:t>B. Correct. The role controls the purpose, duties, information flow, authority, and expected output.</w:t>
      </w:r>
    </w:p>
    <w:p>
      <w:pPr>
        <w:pStyle w:val="CTABody"/>
      </w:pPr>
      <w:r>
        <w:t>C. Incorrect. The alternative treats duties as universal or assumes role clarification can be skipped.</w:t>
      </w:r>
    </w:p>
    <w:p>
      <w:pPr>
        <w:pStyle w:val="CTABody"/>
      </w:pPr>
      <w:r>
        <w:t>D. Incorrect. The alternative treats duties as universal or assumes role clarification can be skipped.</w:t>
      </w:r>
    </w:p>
    <w:p>
      <w:pPr>
        <w:pStyle w:val="CTACallout"/>
      </w:pPr>
      <w:r>
        <w:t>CTA Exam Strategy: Identify the role before choosing a rule.</w:t>
      </w:r>
    </w:p>
    <w:p>
      <w:pPr>
        <w:pStyle w:val="CTABody"/>
      </w:pPr>
      <w:r>
        <w:t>Remediation: Return to Workbook 3, Chapter 6: Professional Roles and Role Clarification; review Role determines duties, audience, authority, and output; log error category ROLE-FOUNDATION.</w:t>
      </w:r>
    </w:p>
    <w:p>
      <w:pPr>
        <w:pStyle w:val="CTASmall"/>
      </w:pPr>
      <w:r>
        <w:t>Primary source control: BPC 4996.9; NASW Code of Ethics; California Rules of Court 5.220 and 5.225; current California privilege/legal-process law</w:t>
      </w:r>
    </w:p>
    <w:p>
      <w:pPr>
        <w:pStyle w:val="CTAH2"/>
      </w:pPr>
      <w:r>
        <w:t>Question 87 | WB3-C6-Q002</w:t>
      </w:r>
    </w:p>
    <w:p>
      <w:pPr>
        <w:pStyle w:val="CTAMeta"/>
      </w:pPr>
      <w:r>
        <w:t>Difficulty: Easy | Type: Application | Primary concept: Third-party evaluation disclosures</w:t>
      </w:r>
    </w:p>
    <w:p>
      <w:pPr>
        <w:pStyle w:val="CTABody"/>
      </w:pPr>
      <w:r>
        <w:t>Before a third-party workplace evaluation begins, which information is MOST important to clarify?</w:t>
      </w:r>
    </w:p>
    <w:p>
      <w:pPr>
        <w:pStyle w:val="CTAOption"/>
      </w:pPr>
      <w:r>
        <w:t>A. Who retained the evaluator, the purpose, voluntariness, confidentiality limits, report recipient, and possible consequences.</w:t>
      </w:r>
    </w:p>
    <w:p>
      <w:pPr>
        <w:pStyle w:val="CTAOption"/>
      </w:pPr>
      <w:r>
        <w:t>B. Whether the employee would prefer long-term therapy after the evaluation.</w:t>
      </w:r>
    </w:p>
    <w:p>
      <w:pPr>
        <w:pStyle w:val="CTAOption"/>
      </w:pPr>
      <w:r>
        <w:t>C. Whether the employer has previously used the evaluator.</w:t>
      </w:r>
    </w:p>
    <w:p>
      <w:pPr>
        <w:pStyle w:val="CTAOption"/>
      </w:pPr>
      <w:r>
        <w:t>D. Whether the evaluator agrees with the employer’s preliminary conclusion.</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A</w:t>
            </w:r>
          </w:p>
        </w:tc>
        <w:trPr>
          <w:tblHeader/>
        </w:trPr>
      </w:tr>
    </w:tbl>
    <w:p>
      <w:pPr>
        <w:pStyle w:val="CTAH3"/>
      </w:pPr>
      <w:r>
        <w:t>Detailed Option-by-Option Rationales</w:t>
      </w:r>
    </w:p>
    <w:p>
      <w:pPr>
        <w:pStyle w:val="CTABody"/>
      </w:pPr>
      <w:r>
        <w:t>A. Correct. Third-party evaluation requires advance explanation of retaining party, purpose, voluntariness, confidentiality limits, audience, uses, and consequences.</w:t>
      </w:r>
    </w:p>
    <w:p>
      <w:pPr>
        <w:pStyle w:val="CTABody"/>
      </w:pPr>
      <w:r>
        <w:t>B. Incorrect. The alternative does not clarify the evaluee’s role, rights, information flow, or the neutral evaluation purpose.</w:t>
      </w:r>
    </w:p>
    <w:p>
      <w:pPr>
        <w:pStyle w:val="CTABody"/>
      </w:pPr>
      <w:r>
        <w:t>C. Incorrect. The alternative does not clarify the evaluee’s role, rights, information flow, or the neutral evaluation purpose.</w:t>
      </w:r>
    </w:p>
    <w:p>
      <w:pPr>
        <w:pStyle w:val="CTABody"/>
      </w:pPr>
      <w:r>
        <w:t>D. Incorrect. The alternative does not clarify the evaluee’s role, rights, information flow, or the neutral evaluation purpose.</w:t>
      </w:r>
    </w:p>
    <w:p>
      <w:pPr>
        <w:pStyle w:val="CTACallout"/>
      </w:pPr>
      <w:r>
        <w:t>CTA Exam Strategy: Inventory parties, purpose, information flow, audience, and consequences before gathering sensitive information.</w:t>
      </w:r>
    </w:p>
    <w:p>
      <w:pPr>
        <w:pStyle w:val="CTABody"/>
      </w:pPr>
      <w:r>
        <w:t>Remediation: Return to Workbook 3, Chapter 6: Professional Roles and Role Clarification; review Third-party evaluation disclosures; log error category EVALUATION-DISCLOSURE.</w:t>
      </w:r>
    </w:p>
    <w:p>
      <w:pPr>
        <w:pStyle w:val="CTASmall"/>
      </w:pPr>
      <w:r>
        <w:t>Primary source control: BPC 4996.9; NASW Code of Ethics; California Rules of Court 5.220 and 5.225; current California privilege/legal-process law</w:t>
      </w:r>
    </w:p>
    <w:p>
      <w:pPr>
        <w:pStyle w:val="CTAH2"/>
      </w:pPr>
      <w:r>
        <w:t>Question 88 | WB3-C6-Q003</w:t>
      </w:r>
    </w:p>
    <w:p>
      <w:pPr>
        <w:pStyle w:val="CTAMeta"/>
      </w:pPr>
      <w:r>
        <w:t>Difficulty: Easy | Type: Knowledge | Primary concept: Client and third-party distinctions</w:t>
      </w:r>
    </w:p>
    <w:p>
      <w:pPr>
        <w:pStyle w:val="CTABody"/>
      </w:pPr>
      <w:r>
        <w:t>An employer pays for an evaluation, an employee is examined, and a safety committee will receive the report. Which statement is BEST?</w:t>
      </w:r>
    </w:p>
    <w:p>
      <w:pPr>
        <w:pStyle w:val="CTAOption"/>
      </w:pPr>
      <w:r>
        <w:t>A. The employer, employee, and committee are all automatically the same client.</w:t>
      </w:r>
    </w:p>
    <w:p>
      <w:pPr>
        <w:pStyle w:val="CTAOption"/>
      </w:pPr>
      <w:r>
        <w:t>B. The payer is always the client because it controls payment.</w:t>
      </w:r>
    </w:p>
    <w:p>
      <w:pPr>
        <w:pStyle w:val="CTAOption"/>
      </w:pPr>
      <w:r>
        <w:t>C. The evaluator must separately identify the client, retaining party, evaluee, report recipient, and any privilege holder.</w:t>
      </w:r>
    </w:p>
    <w:p>
      <w:pPr>
        <w:pStyle w:val="CTAOption"/>
      </w:pPr>
      <w:r>
        <w:t>D. The employee becomes a treatment client once personal information is discussed.</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The alternative collapses different parties or assumes payment or sensitive discussion automatically creates client status.</w:t>
      </w:r>
    </w:p>
    <w:p>
      <w:pPr>
        <w:pStyle w:val="CTABody"/>
      </w:pPr>
      <w:r>
        <w:t>B. Incorrect. The alternative collapses different parties or assumes payment or sensitive discussion automatically creates client status.</w:t>
      </w:r>
    </w:p>
    <w:p>
      <w:pPr>
        <w:pStyle w:val="CTABody"/>
      </w:pPr>
      <w:r>
        <w:t>C. Correct. Payment, referral, evaluation, report receipt, and privilege are distinct functions that must be identified separately.</w:t>
      </w:r>
    </w:p>
    <w:p>
      <w:pPr>
        <w:pStyle w:val="CTABody"/>
      </w:pPr>
      <w:r>
        <w:t>D. Incorrect. The alternative collapses different parties or assumes payment or sensitive discussion automatically creates client status.</w:t>
      </w:r>
    </w:p>
    <w:p>
      <w:pPr>
        <w:pStyle w:val="CTACallout"/>
      </w:pPr>
      <w:r>
        <w:t>CTA Exam Strategy: Name each party separately.</w:t>
      </w:r>
    </w:p>
    <w:p>
      <w:pPr>
        <w:pStyle w:val="CTABody"/>
      </w:pPr>
      <w:r>
        <w:t>Remediation: Return to Workbook 3, Chapter 6: Professional Roles and Role Clarification; review Client and third-party distinctions; log error category PARTY-CONFUSION.</w:t>
      </w:r>
    </w:p>
    <w:p>
      <w:pPr>
        <w:pStyle w:val="CTASmall"/>
      </w:pPr>
      <w:r>
        <w:t>Primary source control: BPC 4996.9; NASW Code of Ethics; California Rules of Court 5.220 and 5.225; current California privilege/legal-process law</w:t>
      </w:r>
    </w:p>
    <w:p>
      <w:pPr>
        <w:pStyle w:val="CTAH2"/>
      </w:pPr>
      <w:r>
        <w:t>Question 89 | WB3-C6-Q004</w:t>
      </w:r>
    </w:p>
    <w:p>
      <w:pPr>
        <w:pStyle w:val="CTAMeta"/>
      </w:pPr>
      <w:r>
        <w:t>Difficulty: Moderate | Type: Scenario-Based | Primary concept: Treating clinician versus custody evaluator</w:t>
      </w:r>
    </w:p>
    <w:p>
      <w:pPr>
        <w:pStyle w:val="CTABody"/>
      </w:pPr>
      <w:r>
        <w:t>A treating LCSW is asked by a parent to recommend which parent should receive custody. What should the LCSW do FIRST?</w:t>
      </w:r>
    </w:p>
    <w:p>
      <w:pPr>
        <w:pStyle w:val="CTAOption"/>
      </w:pPr>
      <w:r>
        <w:t>A. Provide the recommendation because the clinician knows the family well.</w:t>
      </w:r>
    </w:p>
    <w:p>
      <w:pPr>
        <w:pStyle w:val="CTAOption"/>
      </w:pPr>
      <w:r>
        <w:t>B. Interview the other parent and then issue a neutral custody opinion.</w:t>
      </w:r>
    </w:p>
    <w:p>
      <w:pPr>
        <w:pStyle w:val="CTAOption"/>
      </w:pPr>
      <w:r>
        <w:t>C. Send the complete treatment record to the court without further analysis.</w:t>
      </w:r>
    </w:p>
    <w:p>
      <w:pPr>
        <w:pStyle w:val="CTAOption"/>
      </w:pPr>
      <w:r>
        <w:t>D. Clarify the treatment role, avoid assuming an incompatible custody-evaluator role, and consider an independent qualified evaluator.</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D</w:t>
            </w:r>
          </w:p>
        </w:tc>
        <w:trPr>
          <w:tblHeader/>
        </w:trPr>
      </w:tr>
    </w:tbl>
    <w:p>
      <w:pPr>
        <w:pStyle w:val="CTAH3"/>
      </w:pPr>
      <w:r>
        <w:t>Detailed Option-by-Option Rationales</w:t>
      </w:r>
    </w:p>
    <w:p>
      <w:pPr>
        <w:pStyle w:val="CTABody"/>
      </w:pPr>
      <w:r>
        <w:t>A. Incorrect. Familiarity, one additional interview, or a request for records does not establish neutral forensic authority or competence.</w:t>
      </w:r>
    </w:p>
    <w:p>
      <w:pPr>
        <w:pStyle w:val="CTABody"/>
      </w:pPr>
      <w:r>
        <w:t>B. Incorrect. Familiarity, one additional interview, or a request for records does not establish neutral forensic authority or competence.</w:t>
      </w:r>
    </w:p>
    <w:p>
      <w:pPr>
        <w:pStyle w:val="CTABody"/>
      </w:pPr>
      <w:r>
        <w:t>C. Incorrect. Familiarity, one additional interview, or a request for records does not establish neutral forensic authority or competence.</w:t>
      </w:r>
    </w:p>
    <w:p>
      <w:pPr>
        <w:pStyle w:val="CTABody"/>
      </w:pPr>
      <w:r>
        <w:t>D. Correct. Treatment loyalties, confidentiality, and evidentiary limits may conflict with neutral custody evaluation, so role separation and independent evaluation are often appropriate.</w:t>
      </w:r>
    </w:p>
    <w:p>
      <w:pPr>
        <w:pStyle w:val="CTACallout"/>
      </w:pPr>
      <w:r>
        <w:t>CTA Exam Strategy: When treatment and forensic neutrality collide, separate roles.</w:t>
      </w:r>
    </w:p>
    <w:p>
      <w:pPr>
        <w:pStyle w:val="CTABody"/>
      </w:pPr>
      <w:r>
        <w:t>Remediation: Return to Workbook 3, Chapter 6: Professional Roles and Role Clarification; review Treating clinician versus custody evaluator; log error category TREATMENT-FORENSIC.</w:t>
      </w:r>
    </w:p>
    <w:p>
      <w:pPr>
        <w:pStyle w:val="CTASmall"/>
      </w:pPr>
      <w:r>
        <w:t>Primary source control: BPC 4996.9; NASW Code of Ethics; California Rules of Court 5.220 and 5.225; current California privilege/legal-process law</w:t>
      </w:r>
    </w:p>
    <w:p>
      <w:pPr>
        <w:pStyle w:val="CTAH2"/>
      </w:pPr>
      <w:r>
        <w:t>Question 90 | WB3-C6-Q005</w:t>
      </w:r>
    </w:p>
    <w:p>
      <w:pPr>
        <w:pStyle w:val="CTAMeta"/>
      </w:pPr>
      <w:r>
        <w:t>Difficulty: Easy | Type: Application | Primary concept: Treatment facts versus forensic conclusions</w:t>
      </w:r>
    </w:p>
    <w:p>
      <w:pPr>
        <w:pStyle w:val="CTABody"/>
      </w:pPr>
      <w:r>
        <w:t>Which action BEST distinguishes treatment facts from forensic conclusions?</w:t>
      </w:r>
    </w:p>
    <w:p>
      <w:pPr>
        <w:pStyle w:val="CTAOption"/>
      </w:pPr>
      <w:r>
        <w:t>A. Describe documented treatment observations and decline conclusions about a person who was not appropriately evaluated.</w:t>
      </w:r>
    </w:p>
    <w:p>
      <w:pPr>
        <w:pStyle w:val="CTAOption"/>
      </w:pPr>
      <w:r>
        <w:t>B. Convert the treatment diagnosis into a custody recommendation when an attorney requests it.</w:t>
      </w:r>
    </w:p>
    <w:p>
      <w:pPr>
        <w:pStyle w:val="CTAOption"/>
      </w:pPr>
      <w:r>
        <w:t>C. Assume that long-term treatment creates expertise on every legal issue.</w:t>
      </w:r>
    </w:p>
    <w:p>
      <w:pPr>
        <w:pStyle w:val="CTAOption"/>
      </w:pPr>
      <w:r>
        <w:t>D. Use the client’s statements as proof of facts outside the treatment relationship.</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A</w:t>
            </w:r>
          </w:p>
        </w:tc>
        <w:trPr>
          <w:tblHeader/>
        </w:trPr>
      </w:tr>
    </w:tbl>
    <w:p>
      <w:pPr>
        <w:pStyle w:val="CTAH3"/>
      </w:pPr>
      <w:r>
        <w:t>Detailed Option-by-Option Rationales</w:t>
      </w:r>
    </w:p>
    <w:p>
      <w:pPr>
        <w:pStyle w:val="CTABody"/>
      </w:pPr>
      <w:r>
        <w:t>A. Correct. A treating clinician may describe treatment facts within lawful disclosure but should not overreach into unsupported forensic conclusions.</w:t>
      </w:r>
    </w:p>
    <w:p>
      <w:pPr>
        <w:pStyle w:val="CTABody"/>
      </w:pPr>
      <w:r>
        <w:t>B. Incorrect. The alternative converts treatment information or client reports into broader legal/forensic conclusions without adequate role, evidence, or competence.</w:t>
      </w:r>
    </w:p>
    <w:p>
      <w:pPr>
        <w:pStyle w:val="CTABody"/>
      </w:pPr>
      <w:r>
        <w:t>C. Incorrect. The alternative converts treatment information or client reports into broader legal/forensic conclusions without adequate role, evidence, or competence.</w:t>
      </w:r>
    </w:p>
    <w:p>
      <w:pPr>
        <w:pStyle w:val="CTABody"/>
      </w:pPr>
      <w:r>
        <w:t>D. Incorrect. The alternative converts treatment information or client reports into broader legal/forensic conclusions without adequate role, evidence, or competence.</w:t>
      </w:r>
    </w:p>
    <w:p>
      <w:pPr>
        <w:pStyle w:val="CTACallout"/>
      </w:pPr>
      <w:r>
        <w:t>CTA Exam Strategy: Separate what was observed from what someone wants concluded.</w:t>
      </w:r>
    </w:p>
    <w:p>
      <w:pPr>
        <w:pStyle w:val="CTABody"/>
      </w:pPr>
      <w:r>
        <w:t>Remediation: Return to Workbook 3, Chapter 6: Professional Roles and Role Clarification; review Treatment facts versus forensic conclusions; log error category EVIDENCE-LIMIT.</w:t>
      </w:r>
    </w:p>
    <w:p>
      <w:pPr>
        <w:pStyle w:val="CTASmall"/>
      </w:pPr>
      <w:r>
        <w:t>Primary source control: BPC 4996.9; NASW Code of Ethics; California Rules of Court 5.220 and 5.225; current California privilege/legal-process law</w:t>
      </w:r>
    </w:p>
    <w:p>
      <w:pPr>
        <w:pStyle w:val="CTAH2"/>
      </w:pPr>
      <w:r>
        <w:t>Question 91 | WB3-C6-Q006</w:t>
      </w:r>
    </w:p>
    <w:p>
      <w:pPr>
        <w:pStyle w:val="CTAMeta"/>
      </w:pPr>
      <w:r>
        <w:t>Difficulty: Moderate | Type: Integrated Challenge | Primary concept: Subpoena, confidentiality, and role-limited testimony</w:t>
      </w:r>
    </w:p>
    <w:p>
      <w:pPr>
        <w:pStyle w:val="CTABody"/>
      </w:pPr>
      <w:r>
        <w:t>An attorney sends a subpoena demanding the complete record and asks the treating LCSW to testify that an opposing parent is unfit, although the LCSW never examined that parent. What is the BEST response?</w:t>
      </w:r>
    </w:p>
    <w:p>
      <w:pPr>
        <w:pStyle w:val="CTAOption"/>
      </w:pPr>
      <w:r>
        <w:t>A. Release the complete record immediately because a subpoena eliminates confidentiality.</w:t>
      </w:r>
    </w:p>
    <w:p>
      <w:pPr>
        <w:pStyle w:val="CTAOption"/>
      </w:pPr>
      <w:r>
        <w:t>B. Ignore the subpoena because treating clinicians never testify.</w:t>
      </w:r>
    </w:p>
    <w:p>
      <w:pPr>
        <w:pStyle w:val="CTAOption"/>
      </w:pPr>
      <w:r>
        <w:t>C. Preserve the record, obtain legal analysis, address authorization and privilege, limit disclosure appropriately, and decline opinions beyond role, evidence, and competence.</w:t>
      </w:r>
    </w:p>
    <w:p>
      <w:pPr>
        <w:pStyle w:val="CTAOption"/>
      </w:pPr>
      <w:r>
        <w:t>D. Provide the requested opinion but state that it is based on the client’s report.</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The alternative either overdiscloses, ignores legal process, or offers an unsupported opinion.</w:t>
      </w:r>
    </w:p>
    <w:p>
      <w:pPr>
        <w:pStyle w:val="CTABody"/>
      </w:pPr>
      <w:r>
        <w:t>B. Incorrect. The alternative either overdiscloses, ignores legal process, or offers an unsupported opinion.</w:t>
      </w:r>
    </w:p>
    <w:p>
      <w:pPr>
        <w:pStyle w:val="CTABody"/>
      </w:pPr>
      <w:r>
        <w:t>C. Correct. Preserve, analyze authorization/privilege and lawful scope, seek qualified legal guidance, narrow disclosure, and stay within treatment role/evidence/competence.</w:t>
      </w:r>
    </w:p>
    <w:p>
      <w:pPr>
        <w:pStyle w:val="CTABody"/>
      </w:pPr>
      <w:r>
        <w:t>D. Incorrect. The alternative either overdiscloses, ignores legal process, or offers an unsupported opinion.</w:t>
      </w:r>
    </w:p>
    <w:p>
      <w:pPr>
        <w:pStyle w:val="CTACallout"/>
      </w:pPr>
      <w:r>
        <w:t>CTA Exam Strategy: Do not release everything automatically and do not ignore legal process.</w:t>
      </w:r>
    </w:p>
    <w:p>
      <w:pPr>
        <w:pStyle w:val="CTABody"/>
      </w:pPr>
      <w:r>
        <w:t>Remediation: Return to Workbook 3, Chapter 6: Professional Roles and Role Clarification; review Subpoena, confidentiality, and role-limited testimony; log error category LEGAL-PROCESS.</w:t>
      </w:r>
    </w:p>
    <w:p>
      <w:pPr>
        <w:pStyle w:val="CTASmall"/>
      </w:pPr>
      <w:r>
        <w:t>Primary source control: BPC 4996.9; NASW Code of Ethics; California Rules of Court 5.220 and 5.225; current California privilege/legal-process law</w:t>
      </w:r>
    </w:p>
    <w:p>
      <w:pPr>
        <w:pStyle w:val="CTAH2"/>
      </w:pPr>
      <w:r>
        <w:t>Question 92 | WB3-C6-Q007</w:t>
      </w:r>
    </w:p>
    <w:p>
      <w:pPr>
        <w:pStyle w:val="CTAMeta"/>
      </w:pPr>
      <w:r>
        <w:t>Difficulty: Moderate | Type: Application | Primary concept: Treatment and gatekeeping conflict</w:t>
      </w:r>
    </w:p>
    <w:p>
      <w:pPr>
        <w:pStyle w:val="CTABody"/>
      </w:pPr>
      <w:r>
        <w:t>A clinician is providing therapy and is then asked to decide whether the same client remains eligible for housing support using information from treatment. What is the PRIMARY concern?</w:t>
      </w:r>
    </w:p>
    <w:p>
      <w:pPr>
        <w:pStyle w:val="CTAOption"/>
      </w:pPr>
      <w:r>
        <w:t>A. The clinician should automatically terminate treatment.</w:t>
      </w:r>
    </w:p>
    <w:p>
      <w:pPr>
        <w:pStyle w:val="CTAOption"/>
      </w:pPr>
      <w:r>
        <w:t>B. The overlapping treatment and gatekeeping roles may create power, loyalty, and information-use conflicts that require clarification and separation when feasible.</w:t>
      </w:r>
    </w:p>
    <w:p>
      <w:pPr>
        <w:pStyle w:val="CTAOption"/>
      </w:pPr>
      <w:r>
        <w:t>C. The client should decide eligibility without organizational involvement.</w:t>
      </w:r>
    </w:p>
    <w:p>
      <w:pPr>
        <w:pStyle w:val="CTAOption"/>
      </w:pPr>
      <w:r>
        <w:t>D. The role is acceptable as long as the clinician personally believes the client deserves housing.</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B</w:t>
            </w:r>
          </w:p>
        </w:tc>
        <w:trPr>
          <w:tblHeader/>
        </w:trPr>
      </w:tr>
    </w:tbl>
    <w:p>
      <w:pPr>
        <w:pStyle w:val="CTAH3"/>
      </w:pPr>
      <w:r>
        <w:t>Detailed Option-by-Option Rationales</w:t>
      </w:r>
    </w:p>
    <w:p>
      <w:pPr>
        <w:pStyle w:val="CTABody"/>
      </w:pPr>
      <w:r>
        <w:t>A. Incorrect. The alternative either uses an automatic extreme response or ignores the power and information-flow conflict.</w:t>
      </w:r>
    </w:p>
    <w:p>
      <w:pPr>
        <w:pStyle w:val="CTABody"/>
      </w:pPr>
      <w:r>
        <w:t>B. Correct. Treatment plus benefits gatekeeping can create conflicting loyalties, coercive power, and confusion about how treatment information will be used.</w:t>
      </w:r>
    </w:p>
    <w:p>
      <w:pPr>
        <w:pStyle w:val="CTABody"/>
      </w:pPr>
      <w:r>
        <w:t>C. Incorrect. The alternative either uses an automatic extreme response or ignores the power and information-flow conflict.</w:t>
      </w:r>
    </w:p>
    <w:p>
      <w:pPr>
        <w:pStyle w:val="CTABody"/>
      </w:pPr>
      <w:r>
        <w:t>D. Incorrect. The alternative either uses an automatic extreme response or ignores the power and information-flow conflict.</w:t>
      </w:r>
    </w:p>
    <w:p>
      <w:pPr>
        <w:pStyle w:val="CTACallout"/>
      </w:pPr>
      <w:r>
        <w:t>CTA Exam Strategy: When the therapist also controls access, analyze power, information flow, and role separation.</w:t>
      </w:r>
    </w:p>
    <w:p>
      <w:pPr>
        <w:pStyle w:val="CTABody"/>
      </w:pPr>
      <w:r>
        <w:t>Remediation: Return to Workbook 3, Chapter 6: Professional Roles and Role Clarification; review Treatment and gatekeeping conflict; log error category GATEKEEPING-CONFLICT.</w:t>
      </w:r>
    </w:p>
    <w:p>
      <w:pPr>
        <w:pStyle w:val="CTASmall"/>
      </w:pPr>
      <w:r>
        <w:t>Primary source control: BPC 4996.9; NASW Code of Ethics; California Rules of Court 5.220 and 5.225; current California privilege/legal-process law</w:t>
      </w:r>
    </w:p>
    <w:p>
      <w:pPr>
        <w:pStyle w:val="CTAH2"/>
      </w:pPr>
      <w:r>
        <w:t>Question 93 | WB3-C6-Q008</w:t>
      </w:r>
    </w:p>
    <w:p>
      <w:pPr>
        <w:pStyle w:val="CTAMeta"/>
      </w:pPr>
      <w:r>
        <w:t>Difficulty: Moderate | Type: Scenario-Based | Primary concept: Advocate-to-neutral-reviewer role conflict</w:t>
      </w:r>
    </w:p>
    <w:p>
      <w:pPr>
        <w:pStyle w:val="CTABody"/>
      </w:pPr>
      <w:r>
        <w:t>An LCSW has publicly advocated for a program participant and is later asked to serve as the neutral reviewer of that participant’s grievance. What is the BEST response?</w:t>
      </w:r>
    </w:p>
    <w:p>
      <w:pPr>
        <w:pStyle w:val="CTAOption"/>
      </w:pPr>
      <w:r>
        <w:t>A. Accept because advocacy demonstrates knowledge of the case.</w:t>
      </w:r>
    </w:p>
    <w:p>
      <w:pPr>
        <w:pStyle w:val="CTAOption"/>
      </w:pPr>
      <w:r>
        <w:t>B. Accept if the participant signs a conflict waiver.</w:t>
      </w:r>
    </w:p>
    <w:p>
      <w:pPr>
        <w:pStyle w:val="CTAOption"/>
      </w:pPr>
      <w:r>
        <w:t>C. Refuse all future contact with the participant.</w:t>
      </w:r>
    </w:p>
    <w:p>
      <w:pPr>
        <w:pStyle w:val="CTAOption"/>
      </w:pPr>
      <w:r>
        <w:t>D. Disclose the prior advocacy and use an independent reviewer when impartiality or the appearance of neutrality cannot reasonably be maintained.</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D</w:t>
            </w:r>
          </w:p>
        </w:tc>
        <w:trPr>
          <w:tblHeader/>
        </w:trPr>
      </w:tr>
    </w:tbl>
    <w:p>
      <w:pPr>
        <w:pStyle w:val="CTAH3"/>
      </w:pPr>
      <w:r>
        <w:t>Detailed Option-by-Option Rationales</w:t>
      </w:r>
    </w:p>
    <w:p>
      <w:pPr>
        <w:pStyle w:val="CTABody"/>
      </w:pPr>
      <w:r>
        <w:t>A. Incorrect. Knowledge, a waiver, or total disengagement does not by itself create a reliable neutral review process.</w:t>
      </w:r>
    </w:p>
    <w:p>
      <w:pPr>
        <w:pStyle w:val="CTABody"/>
      </w:pPr>
      <w:r>
        <w:t>B. Incorrect. Knowledge, a waiver, or total disengagement does not by itself create a reliable neutral review process.</w:t>
      </w:r>
    </w:p>
    <w:p>
      <w:pPr>
        <w:pStyle w:val="CTABody"/>
      </w:pPr>
      <w:r>
        <w:t>C. Incorrect. Knowledge, a waiver, or total disengagement does not by itself create a reliable neutral review process.</w:t>
      </w:r>
    </w:p>
    <w:p>
      <w:pPr>
        <w:pStyle w:val="CTABody"/>
      </w:pPr>
      <w:r>
        <w:t>D. Correct. Prior advocacy can impair or appear to impair impartiality; disclose the conflict and use independent review when neutrality cannot reasonably be maintained.</w:t>
      </w:r>
    </w:p>
    <w:p>
      <w:pPr>
        <w:pStyle w:val="CTACallout"/>
      </w:pPr>
      <w:r>
        <w:t>CTA Exam Strategy: A waiver does not create objectivity.</w:t>
      </w:r>
    </w:p>
    <w:p>
      <w:pPr>
        <w:pStyle w:val="CTABody"/>
      </w:pPr>
      <w:r>
        <w:t>Remediation: Return to Workbook 3, Chapter 6: Professional Roles and Role Clarification; review Advocate-to-neutral-reviewer role conflict; log error category NEUTRALITY.</w:t>
      </w:r>
    </w:p>
    <w:p>
      <w:pPr>
        <w:pStyle w:val="CTASmall"/>
      </w:pPr>
      <w:r>
        <w:t>Primary source control: BPC 4996.9; NASW Code of Ethics; California Rules of Court 5.220 and 5.225; current California privilege/legal-process law</w:t>
      </w:r>
    </w:p>
    <w:p>
      <w:pPr>
        <w:pStyle w:val="CTAH2"/>
      </w:pPr>
      <w:r>
        <w:t>Question 94 | WB3-C6-Q009</w:t>
      </w:r>
    </w:p>
    <w:p>
      <w:pPr>
        <w:pStyle w:val="CTAMeta"/>
      </w:pPr>
      <w:r>
        <w:t>Difficulty: Easy | Type: Knowledge | Primary concept: Client-directed advocacy</w:t>
      </w:r>
    </w:p>
    <w:p>
      <w:pPr>
        <w:pStyle w:val="CTABody"/>
      </w:pPr>
      <w:r>
        <w:t>Which statement BEST describes ethically appropriate advocacy?</w:t>
      </w:r>
    </w:p>
    <w:p>
      <w:pPr>
        <w:pStyle w:val="CTAOption"/>
      </w:pPr>
      <w:r>
        <w:t>A. Advocacy should follow the social worker’s preferred outcome whenever the client is vulnerable.</w:t>
      </w:r>
    </w:p>
    <w:p>
      <w:pPr>
        <w:pStyle w:val="CTAOption"/>
      </w:pPr>
      <w:r>
        <w:t>B. Advocacy should remain connected to the client’s informed goals, consent, and authorized information sharing.</w:t>
      </w:r>
    </w:p>
    <w:p>
      <w:pPr>
        <w:pStyle w:val="CTAOption"/>
      </w:pPr>
      <w:r>
        <w:t>C. A social worker acting as an advocate should describe the role as a neutral evaluation.</w:t>
      </w:r>
    </w:p>
    <w:p>
      <w:pPr>
        <w:pStyle w:val="CTAOption"/>
      </w:pPr>
      <w:r>
        <w:t>D. Advocacy permits the social worker to guarantee an outcome controlled by another system.</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B</w:t>
            </w:r>
          </w:p>
        </w:tc>
        <w:trPr>
          <w:tblHeader/>
        </w:trPr>
      </w:tr>
    </w:tbl>
    <w:p>
      <w:pPr>
        <w:pStyle w:val="CTAH3"/>
      </w:pPr>
      <w:r>
        <w:t>Detailed Option-by-Option Rationales</w:t>
      </w:r>
    </w:p>
    <w:p>
      <w:pPr>
        <w:pStyle w:val="CTABody"/>
      </w:pPr>
      <w:r>
        <w:t>A. Incorrect. The alternative substitutes the worker’s agenda, misrepresents the role, or promises an outcome outside the social worker’s control.</w:t>
      </w:r>
    </w:p>
    <w:p>
      <w:pPr>
        <w:pStyle w:val="CTABody"/>
      </w:pPr>
      <w:r>
        <w:t>B. Correct. Advocacy should advance informed client goals with consent, accurate role description, and authorized information sharing.</w:t>
      </w:r>
    </w:p>
    <w:p>
      <w:pPr>
        <w:pStyle w:val="CTABody"/>
      </w:pPr>
      <w:r>
        <w:t>C. Incorrect. The alternative substitutes the worker’s agenda, misrepresents the role, or promises an outcome outside the social worker’s control.</w:t>
      </w:r>
    </w:p>
    <w:p>
      <w:pPr>
        <w:pStyle w:val="CTABody"/>
      </w:pPr>
      <w:r>
        <w:t>D. Incorrect. The alternative substitutes the worker’s agenda, misrepresents the role, or promises an outcome outside the social worker’s control.</w:t>
      </w:r>
    </w:p>
    <w:p>
      <w:pPr>
        <w:pStyle w:val="CTACallout"/>
      </w:pPr>
      <w:r>
        <w:t>CTA Exam Strategy: Client-directed advocacy equals informed goals, consent, accurate role description, and no unsupported guarantee.</w:t>
      </w:r>
    </w:p>
    <w:p>
      <w:pPr>
        <w:pStyle w:val="CTABody"/>
      </w:pPr>
      <w:r>
        <w:t>Remediation: Return to Workbook 3, Chapter 6: Professional Roles and Role Clarification; review Client-directed advocacy; log error category ADVOCACY.</w:t>
      </w:r>
    </w:p>
    <w:p>
      <w:pPr>
        <w:pStyle w:val="CTASmall"/>
      </w:pPr>
      <w:r>
        <w:t>Primary source control: BPC 4996.9; NASW Code of Ethics; California Rules of Court 5.220 and 5.225; current California privilege/legal-process law</w:t>
      </w:r>
    </w:p>
    <w:p>
      <w:pPr>
        <w:pStyle w:val="CTAH2"/>
      </w:pPr>
      <w:r>
        <w:t>Question 95 | WB3-C6-Q010</w:t>
      </w:r>
    </w:p>
    <w:p>
      <w:pPr>
        <w:pStyle w:val="CTAMeta"/>
      </w:pPr>
      <w:r>
        <w:t>Difficulty: Moderate | Type: Application | Primary concept: Role-change pause and renewed clarification</w:t>
      </w:r>
    </w:p>
    <w:p>
      <w:pPr>
        <w:pStyle w:val="CTABody"/>
      </w:pPr>
      <w:r>
        <w:t>A social worker’s role changes from therapist to organizational investigator. What should occur BEFORE sensitive investigative information is gathered?</w:t>
      </w:r>
    </w:p>
    <w:p>
      <w:pPr>
        <w:pStyle w:val="CTAOption"/>
      </w:pPr>
      <w:r>
        <w:t>A. Continue under the original treatment consent because the profession is unchanged.</w:t>
      </w:r>
    </w:p>
    <w:p>
      <w:pPr>
        <w:pStyle w:val="CTAOption"/>
      </w:pPr>
      <w:r>
        <w:t>B. The employer should decide what information the client needs to know.</w:t>
      </w:r>
    </w:p>
    <w:p>
      <w:pPr>
        <w:pStyle w:val="CTAOption"/>
      </w:pPr>
      <w:r>
        <w:t>C. Pause, clarify the new purpose, authority, audience, confidentiality limits, expected output, and consequences, and document the role change.</w:t>
      </w:r>
    </w:p>
    <w:p>
      <w:pPr>
        <w:pStyle w:val="CTAOption"/>
      </w:pPr>
      <w:r>
        <w:t>D. End all prior services without explanation.</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The alternative assumes old consent or employer direction automatically covers the new role, or uses unexplained termination.</w:t>
      </w:r>
    </w:p>
    <w:p>
      <w:pPr>
        <w:pStyle w:val="CTABody"/>
      </w:pPr>
      <w:r>
        <w:t>B. Incorrect. The alternative assumes old consent or employer direction automatically covers the new role, or uses unexplained termination.</w:t>
      </w:r>
    </w:p>
    <w:p>
      <w:pPr>
        <w:pStyle w:val="CTABody"/>
      </w:pPr>
      <w:r>
        <w:t>C. Correct. A new investigator role changes purpose, power, audience, confidentiality, and consequences, so those changes should be explained and documented first.</w:t>
      </w:r>
    </w:p>
    <w:p>
      <w:pPr>
        <w:pStyle w:val="CTABody"/>
      </w:pPr>
      <w:r>
        <w:t>D. Incorrect. The alternative assumes old consent or employer direction automatically covers the new role, or uses unexplained termination.</w:t>
      </w:r>
    </w:p>
    <w:p>
      <w:pPr>
        <w:pStyle w:val="CTACallout"/>
      </w:pPr>
      <w:r>
        <w:t>CTA Exam Strategy: A role change is not a label change.</w:t>
      </w:r>
    </w:p>
    <w:p>
      <w:pPr>
        <w:pStyle w:val="CTABody"/>
      </w:pPr>
      <w:r>
        <w:t>Remediation: Return to Workbook 3, Chapter 6: Professional Roles and Role Clarification; review Role-change pause and renewed clarification; log error category ROLE-CHANGE.</w:t>
      </w:r>
    </w:p>
    <w:p>
      <w:pPr>
        <w:pStyle w:val="CTASmall"/>
      </w:pPr>
      <w:r>
        <w:t>Primary source control: BPC 4996.9; NASW Code of Ethics; California Rules of Court 5.220 and 5.225; current California privilege/legal-process law</w:t>
      </w:r>
    </w:p>
    <w:p>
      <w:pPr>
        <w:pStyle w:val="CTAH2"/>
      </w:pPr>
      <w:r>
        <w:t>Question 96 | WB3-C6-Q011</w:t>
      </w:r>
    </w:p>
    <w:p>
      <w:pPr>
        <w:pStyle w:val="CTAMeta"/>
      </w:pPr>
      <w:r>
        <w:t>Difficulty: Moderate | Type: Application | Primary concept: When independent evaluation is required</w:t>
      </w:r>
    </w:p>
    <w:p>
      <w:pPr>
        <w:pStyle w:val="CTABody"/>
      </w:pPr>
      <w:r>
        <w:t>Which situation MOST clearly requires an independent evaluator rather than the treating clinician?</w:t>
      </w:r>
    </w:p>
    <w:p>
      <w:pPr>
        <w:pStyle w:val="CTAOption"/>
      </w:pPr>
      <w:r>
        <w:t>A. A routine progress update requested by the client.</w:t>
      </w:r>
    </w:p>
    <w:p>
      <w:pPr>
        <w:pStyle w:val="CTAOption"/>
      </w:pPr>
      <w:r>
        <w:t>B. A court asks the treating clinician to provide existing treatment dates.</w:t>
      </w:r>
    </w:p>
    <w:p>
      <w:pPr>
        <w:pStyle w:val="CTAOption"/>
      </w:pPr>
      <w:r>
        <w:t>C. A treatment client asks for help locating community resources.</w:t>
      </w:r>
    </w:p>
    <w:p>
      <w:pPr>
        <w:pStyle w:val="CTAOption"/>
      </w:pPr>
      <w:r>
        <w:t>D. Treatment loyalties, missing forensic competence, or conflicting roles would make neutral evaluation unreliable.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D</w:t>
            </w:r>
          </w:p>
        </w:tc>
        <w:trPr>
          <w:tblHeader/>
        </w:trPr>
      </w:tr>
    </w:tbl>
    <w:p>
      <w:pPr>
        <w:pStyle w:val="CTAH3"/>
      </w:pPr>
      <w:r>
        <w:t>Detailed Option-by-Option Rationales</w:t>
      </w:r>
    </w:p>
    <w:p>
      <w:pPr>
        <w:pStyle w:val="CTABody"/>
      </w:pPr>
      <w:r>
        <w:t>A. Incorrect. The alternative is a routine treatment, factual, or resource-coordination task that does not itself require a separate neutral evaluator.</w:t>
      </w:r>
    </w:p>
    <w:p>
      <w:pPr>
        <w:pStyle w:val="CTABody"/>
      </w:pPr>
      <w:r>
        <w:t>B. Incorrect. The alternative is a routine treatment, factual, or resource-coordination task that does not itself require a separate neutral evaluator.</w:t>
      </w:r>
    </w:p>
    <w:p>
      <w:pPr>
        <w:pStyle w:val="CTABody"/>
      </w:pPr>
      <w:r>
        <w:t>C. Incorrect. The alternative is a routine treatment, factual, or resource-coordination task that does not itself require a separate neutral evaluator.</w:t>
      </w:r>
    </w:p>
    <w:p>
      <w:pPr>
        <w:pStyle w:val="CTABody"/>
      </w:pPr>
      <w:r>
        <w:t>D. Correct. An independent evaluator is indicated when treatment alliance, missing specialized competence, evidence limits, or conflicting loyalties undermine neutral evaluation.</w:t>
      </w:r>
    </w:p>
    <w:p>
      <w:pPr>
        <w:pStyle w:val="CTACallout"/>
      </w:pPr>
      <w:r>
        <w:t>CTA Exam Strategy: When neutrality or competence is unreliable, separate the roles.</w:t>
      </w:r>
    </w:p>
    <w:p>
      <w:pPr>
        <w:pStyle w:val="CTABody"/>
      </w:pPr>
      <w:r>
        <w:t>Remediation: Return to Workbook 3, Chapter 6: Professional Roles and Role Clarification; review When independent evaluation is required; log error category INDEPENDENT-EVALUATOR.</w:t>
      </w:r>
    </w:p>
    <w:p>
      <w:pPr>
        <w:pStyle w:val="CTASmall"/>
      </w:pPr>
      <w:r>
        <w:t>Primary source control: BPC 4996.9; NASW Code of Ethics; California Rules of Court 5.220 and 5.225; current California privilege/legal-process law</w:t>
      </w:r>
    </w:p>
    <w:p>
      <w:pPr>
        <w:pStyle w:val="CTAH2"/>
      </w:pPr>
      <w:r>
        <w:t>Question 97 | WB3-C6-Q012</w:t>
      </w:r>
    </w:p>
    <w:p>
      <w:pPr>
        <w:pStyle w:val="CTAMeta"/>
      </w:pPr>
      <w:r>
        <w:t>Difficulty: Moderate | Type: Application | Primary concept: Role clarity in interdisciplinary teams</w:t>
      </w:r>
    </w:p>
    <w:p>
      <w:pPr>
        <w:pStyle w:val="CTABody"/>
      </w:pPr>
      <w:r>
        <w:t>An LCSW is serving on an interdisciplinary team. Which action is MOST appropriate?</w:t>
      </w:r>
    </w:p>
    <w:p>
      <w:pPr>
        <w:pStyle w:val="CTAOption"/>
      </w:pPr>
      <w:r>
        <w:t>A. Share all treatment information because team membership creates blanket authorization.</w:t>
      </w:r>
    </w:p>
    <w:p>
      <w:pPr>
        <w:pStyle w:val="CTAOption"/>
      </w:pPr>
      <w:r>
        <w:t>B. Clarify the social worker’s role, identify decision authority, share only relevant authorized information, and correct team misunderstandings.</w:t>
      </w:r>
    </w:p>
    <w:p>
      <w:pPr>
        <w:pStyle w:val="CTAOption"/>
      </w:pPr>
      <w:r>
        <w:t>C. Allow the team label to conceal whether the social worker is acting as therapist, evaluator, or benefits reviewer.</w:t>
      </w:r>
    </w:p>
    <w:p>
      <w:pPr>
        <w:pStyle w:val="CTAOption"/>
      </w:pPr>
      <w:r>
        <w:t>D. Follow the team’s majority decision even when it requires conduct outside the social worker’s role or competence.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B</w:t>
            </w:r>
          </w:p>
        </w:tc>
        <w:trPr>
          <w:tblHeader/>
        </w:trPr>
      </w:tr>
    </w:tbl>
    <w:p>
      <w:pPr>
        <w:pStyle w:val="CTAH3"/>
      </w:pPr>
      <w:r>
        <w:t>Detailed Option-by-Option Rationales</w:t>
      </w:r>
    </w:p>
    <w:p>
      <w:pPr>
        <w:pStyle w:val="CTABody"/>
      </w:pPr>
      <w:r>
        <w:t>A. Incorrect. The alternative treats team membership or majority rule as unlimited authority and obscures the social worker’s actual function.</w:t>
      </w:r>
    </w:p>
    <w:p>
      <w:pPr>
        <w:pStyle w:val="CTABody"/>
      </w:pPr>
      <w:r>
        <w:t>B. Correct. Team participation requires clear roles and authority, relevant authorized information sharing, and independent professional responsibility.</w:t>
      </w:r>
    </w:p>
    <w:p>
      <w:pPr>
        <w:pStyle w:val="CTABody"/>
      </w:pPr>
      <w:r>
        <w:t>C. Incorrect. The alternative treats team membership or majority rule as unlimited authority and obscures the social worker’s actual function.</w:t>
      </w:r>
    </w:p>
    <w:p>
      <w:pPr>
        <w:pStyle w:val="CTABody"/>
      </w:pPr>
      <w:r>
        <w:t>D. Incorrect. The alternative treats team membership or majority rule as unlimited authority and obscures the social worker’s actual function.</w:t>
      </w:r>
    </w:p>
    <w:p>
      <w:pPr>
        <w:pStyle w:val="CTACallout"/>
      </w:pPr>
      <w:r>
        <w:t>CTA Exam Strategy: Team questions test role, authority, relevant information, and independent responsibility.</w:t>
      </w:r>
    </w:p>
    <w:p>
      <w:pPr>
        <w:pStyle w:val="CTABody"/>
      </w:pPr>
      <w:r>
        <w:t>Remediation: Return to Workbook 3, Chapter 6: Professional Roles and Role Clarification; review Role clarity in interdisciplinary teams; log error category TEAM-ROLE.</w:t>
      </w:r>
    </w:p>
    <w:p>
      <w:pPr>
        <w:pStyle w:val="CTASmall"/>
      </w:pPr>
      <w:r>
        <w:t>Primary source control: BPC 4996.9; NASW Code of Ethics; California Rules of Court 5.220 and 5.225; current California privilege/legal-process law</w:t>
      </w:r>
    </w:p>
    <w:p>
      <w:pPr>
        <w:pStyle w:val="CTAH2"/>
      </w:pPr>
      <w:r>
        <w:t>Question 98 | WB3-C6-Q013</w:t>
      </w:r>
    </w:p>
    <w:p>
      <w:pPr>
        <w:pStyle w:val="CTAMeta"/>
      </w:pPr>
      <w:r>
        <w:t>Difficulty: Difficult | Type: Scenario-Based | Primary concept: Client information in teaching</w:t>
      </w:r>
    </w:p>
    <w:p>
      <w:pPr>
        <w:pStyle w:val="CTABody"/>
      </w:pPr>
      <w:r>
        <w:t>A supervisor plans to use a supervisee’s difficult client session as a classroom example. What should the supervisor do FIRST?</w:t>
      </w:r>
    </w:p>
    <w:p>
      <w:pPr>
        <w:pStyle w:val="CTAOption"/>
      </w:pPr>
      <w:r>
        <w:t>A. Use the case because supervision gives the supervisor ownership of the information.</w:t>
      </w:r>
    </w:p>
    <w:p>
      <w:pPr>
        <w:pStyle w:val="CTAOption"/>
      </w:pPr>
      <w:r>
        <w:t>B. Ask students to keep the information confidential after the presentation.</w:t>
      </w:r>
    </w:p>
    <w:p>
      <w:pPr>
        <w:pStyle w:val="CTAOption"/>
      </w:pPr>
      <w:r>
        <w:t>C. De-identify the material or obtain appropriate consent and safeguards before using client information for teaching.</w:t>
      </w:r>
    </w:p>
    <w:p>
      <w:pPr>
        <w:pStyle w:val="CTAOption"/>
      </w:pPr>
      <w:r>
        <w:t>D. Use the full record because educational purposes automatically permit disclosure.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The alternative assumes supervision or educational purpose automatically authorizes disclosure or relies on a promise after disclosure.</w:t>
      </w:r>
    </w:p>
    <w:p>
      <w:pPr>
        <w:pStyle w:val="CTABody"/>
      </w:pPr>
      <w:r>
        <w:t>B. Incorrect. The alternative assumes supervision or educational purpose automatically authorizes disclosure or relies on a promise after disclosure.</w:t>
      </w:r>
    </w:p>
    <w:p>
      <w:pPr>
        <w:pStyle w:val="CTABody"/>
      </w:pPr>
      <w:r>
        <w:t>C. Correct. Teaching does not create ownership or a blanket confidentiality exception; de-identify rigorously or obtain appropriate consent and safeguards first.</w:t>
      </w:r>
    </w:p>
    <w:p>
      <w:pPr>
        <w:pStyle w:val="CTABody"/>
      </w:pPr>
      <w:r>
        <w:t>D. Incorrect. The alternative assumes supervision or educational purpose automatically authorizes disclosure or relies on a promise after disclosure.</w:t>
      </w:r>
    </w:p>
    <w:p>
      <w:pPr>
        <w:pStyle w:val="CTACallout"/>
      </w:pPr>
      <w:r>
        <w:t>CTA Exam Strategy: Protect confidentiality before teaching.</w:t>
      </w:r>
    </w:p>
    <w:p>
      <w:pPr>
        <w:pStyle w:val="CTABody"/>
      </w:pPr>
      <w:r>
        <w:t>Remediation: Return to Workbook 3, Chapter 6: Professional Roles and Role Clarification; review Client information in teaching; log error category TEACHING-CONFIDENTIALITY.</w:t>
      </w:r>
    </w:p>
    <w:p>
      <w:pPr>
        <w:pStyle w:val="CTASmall"/>
      </w:pPr>
      <w:r>
        <w:t>Primary source control: BPC 4996.9; NASW Code of Ethics; California Rules of Court 5.220 and 5.225; current California privilege/legal-process law</w:t>
      </w:r>
    </w:p>
    <w:p>
      <w:pPr>
        <w:pStyle w:val="CTAH2"/>
      </w:pPr>
      <w:r>
        <w:t>Question 99 | WB3-C6-Q014</w:t>
      </w:r>
    </w:p>
    <w:p>
      <w:pPr>
        <w:pStyle w:val="CTAMeta"/>
      </w:pPr>
      <w:r>
        <w:t>Difficulty: Difficult | Type: Scenario-Based | Primary concept: Research role, coercion, consent, and oversight</w:t>
      </w:r>
    </w:p>
    <w:p>
      <w:pPr>
        <w:pStyle w:val="CTABody"/>
      </w:pPr>
      <w:r>
        <w:t>An LCSW recruits current therapy clients into a research study and implies that participation will show commitment to treatment. What is the BEST response?</w:t>
      </w:r>
    </w:p>
    <w:p>
      <w:pPr>
        <w:pStyle w:val="CTAOption"/>
      </w:pPr>
      <w:r>
        <w:t>A. Remove coercive pressure, clarify the research role, ensure voluntary informed consent and alternatives, protect confidentiality, and obtain appropriate oversight.</w:t>
      </w:r>
    </w:p>
    <w:p>
      <w:pPr>
        <w:pStyle w:val="CTAOption"/>
      </w:pPr>
      <w:r>
        <w:t>B. Proceed because current clients are the most relevant research participants.</w:t>
      </w:r>
    </w:p>
    <w:p>
      <w:pPr>
        <w:pStyle w:val="CTAOption"/>
      </w:pPr>
      <w:r>
        <w:t>C. Require participation when the study may improve treatment quality.</w:t>
      </w:r>
    </w:p>
    <w:p>
      <w:pPr>
        <w:pStyle w:val="CTAOption"/>
      </w:pPr>
      <w:r>
        <w:t>D. Obtain a general treatment consent and avoid discussing research risks.</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A</w:t>
            </w:r>
          </w:p>
        </w:tc>
        <w:trPr>
          <w:tblHeader/>
        </w:trPr>
      </w:tr>
    </w:tbl>
    <w:p>
      <w:pPr>
        <w:pStyle w:val="CTAH3"/>
      </w:pPr>
      <w:r>
        <w:t>Detailed Option-by-Option Rationales</w:t>
      </w:r>
    </w:p>
    <w:p>
      <w:pPr>
        <w:pStyle w:val="CTABody"/>
      </w:pPr>
      <w:r>
        <w:t>A. Correct. Treatment power can make participation feel required; remove pressure, clarify the separate research role, protect voluntariness/privacy, and obtain appropriate oversight.</w:t>
      </w:r>
    </w:p>
    <w:p>
      <w:pPr>
        <w:pStyle w:val="CTABody"/>
      </w:pPr>
      <w:r>
        <w:t>B. Incorrect. The alternative ignores coercion, role separation, informed consent, alternatives, or research oversight.</w:t>
      </w:r>
    </w:p>
    <w:p>
      <w:pPr>
        <w:pStyle w:val="CTABody"/>
      </w:pPr>
      <w:r>
        <w:t>C. Incorrect. The alternative ignores coercion, role separation, informed consent, alternatives, or research oversight.</w:t>
      </w:r>
    </w:p>
    <w:p>
      <w:pPr>
        <w:pStyle w:val="CTABody"/>
      </w:pPr>
      <w:r>
        <w:t>D. Incorrect. The alternative ignores coercion, role separation, informed consent, alternatives, or research oversight.</w:t>
      </w:r>
    </w:p>
    <w:p>
      <w:pPr>
        <w:pStyle w:val="CTACallout"/>
      </w:pPr>
      <w:r>
        <w:t>CTA Exam Strategy: Research with current clients tests voluntariness, coercion, confidentiality, alternatives, and oversight.</w:t>
      </w:r>
    </w:p>
    <w:p>
      <w:pPr>
        <w:pStyle w:val="CTABody"/>
      </w:pPr>
      <w:r>
        <w:t>Remediation: Return to Workbook 3, Chapter 6: Professional Roles and Role Clarification; review Research role, coercion, consent, and oversight; log error category RESEARCH-COERCION.</w:t>
      </w:r>
    </w:p>
    <w:p>
      <w:pPr>
        <w:pStyle w:val="CTASmall"/>
      </w:pPr>
      <w:r>
        <w:t>Primary source control: BPC 4996.9; NASW Code of Ethics; California Rules of Court 5.220 and 5.225; current California privilege/legal-process law</w:t>
      </w:r>
    </w:p>
    <w:p>
      <w:pPr>
        <w:pStyle w:val="CTAH2"/>
      </w:pPr>
      <w:r>
        <w:t>Question 100 | WB3-C6-Q015</w:t>
      </w:r>
    </w:p>
    <w:p>
      <w:pPr>
        <w:pStyle w:val="CTAMeta"/>
      </w:pPr>
      <w:r>
        <w:t>Difficulty: Difficult | Type: Integrated Challenge | Primary concept: Minimum necessary information in benefits gatekeeping</w:t>
      </w:r>
    </w:p>
    <w:p>
      <w:pPr>
        <w:pStyle w:val="CTABody"/>
      </w:pPr>
      <w:r>
        <w:t>A benefits reviewer wants to use the client’s entire psychotherapy record to decide eligibility, although only limited functional information is relevant. What should the social worker do?</w:t>
      </w:r>
    </w:p>
    <w:p>
      <w:pPr>
        <w:pStyle w:val="CTAOption"/>
      </w:pPr>
      <w:r>
        <w:t>A. Provide the entire record because the reviewer has organizational authority.</w:t>
      </w:r>
    </w:p>
    <w:p>
      <w:pPr>
        <w:pStyle w:val="CTAOption"/>
      </w:pPr>
      <w:r>
        <w:t>B. Refuse any communication even when the client authorizes limited relevant disclosure.</w:t>
      </w:r>
    </w:p>
    <w:p>
      <w:pPr>
        <w:pStyle w:val="CTAOption"/>
      </w:pPr>
      <w:r>
        <w:t>C. Use only information that is relevant and authorized for the eligibility purpose, clarify the information flow, and separate treatment and gatekeeping functions when feasible.</w:t>
      </w:r>
    </w:p>
    <w:p>
      <w:pPr>
        <w:pStyle w:val="CTAOption"/>
      </w:pPr>
      <w:r>
        <w:t>D. Tell the client that eligibility decisions are outside social-work ethics.</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The alternative either overdiscloses, blocks appropriate limited communication, or wrongly treats eligibility functions as outside social-work ethics.</w:t>
      </w:r>
    </w:p>
    <w:p>
      <w:pPr>
        <w:pStyle w:val="CTABody"/>
      </w:pPr>
      <w:r>
        <w:t>B. Incorrect. The alternative either overdiscloses, blocks appropriate limited communication, or wrongly treats eligibility functions as outside social-work ethics.</w:t>
      </w:r>
    </w:p>
    <w:p>
      <w:pPr>
        <w:pStyle w:val="CTABody"/>
      </w:pPr>
      <w:r>
        <w:t>C. Correct. Clarify the eligibility purpose, use only relevant authorized information, explain information flow, and separate treatment from gatekeeping when feasible.</w:t>
      </w:r>
    </w:p>
    <w:p>
      <w:pPr>
        <w:pStyle w:val="CTABody"/>
      </w:pPr>
      <w:r>
        <w:t>D. Incorrect. The alternative either overdiscloses, blocks appropriate limited communication, or wrongly treats eligibility functions as outside social-work ethics.</w:t>
      </w:r>
    </w:p>
    <w:p>
      <w:pPr>
        <w:pStyle w:val="CTACallout"/>
      </w:pPr>
      <w:r>
        <w:t>CTA Exam Strategy: Reject both overdisclosure and absolute silence.</w:t>
      </w:r>
    </w:p>
    <w:p>
      <w:pPr>
        <w:pStyle w:val="CTABody"/>
      </w:pPr>
      <w:r>
        <w:t>Remediation: Return to Workbook 3, Chapter 6: Professional Roles and Role Clarification; review Minimum necessary information in benefits gatekeeping; log error category GATEKEEPING-DISCLOSURE.</w:t>
      </w:r>
    </w:p>
    <w:p>
      <w:pPr>
        <w:pStyle w:val="CTASmall"/>
      </w:pPr>
      <w:r>
        <w:t>Primary source control: BPC 4996.9; NASW Code of Ethics; California Rules of Court 5.220 and 5.225; current California privilege/legal-process law</w:t>
      </w:r>
    </w:p>
    <w:p>
      <w:pPr>
        <w:pStyle w:val="CTAH2"/>
      </w:pPr>
      <w:r>
        <w:t>Question 101 | WB3-C6-Q016</w:t>
      </w:r>
    </w:p>
    <w:p>
      <w:pPr>
        <w:pStyle w:val="CTAMeta"/>
      </w:pPr>
      <w:r>
        <w:t>Difficulty: Difficult | Type: Integrated Challenge | Primary concept: Managing unavoidable multiple roles</w:t>
      </w:r>
    </w:p>
    <w:p>
      <w:pPr>
        <w:pStyle w:val="CTABody"/>
      </w:pPr>
      <w:r>
        <w:t>Which response BEST manages an unavoidable multiple professional relationship?</w:t>
      </w:r>
    </w:p>
    <w:p>
      <w:pPr>
        <w:pStyle w:val="CTAOption"/>
      </w:pPr>
      <w:r>
        <w:t>A. Keep the second role informal so it does not need to be documented.</w:t>
      </w:r>
    </w:p>
    <w:p>
      <w:pPr>
        <w:pStyle w:val="CTAOption"/>
      </w:pPr>
      <w:r>
        <w:t>B. Rely on a signature alone to eliminate all conflicts.</w:t>
      </w:r>
    </w:p>
    <w:p>
      <w:pPr>
        <w:pStyle w:val="CTAOption"/>
      </w:pPr>
      <w:r>
        <w:t>C. Proceed whenever the social worker believes good intentions will prevent harm.</w:t>
      </w:r>
    </w:p>
    <w:p>
      <w:pPr>
        <w:pStyle w:val="CTAOption"/>
      </w:pPr>
      <w:r>
        <w:t>D. Identify risks and alternatives, clarify culturally responsive boundaries, use safeguards, document, and monitor the effect on judgment and client welfare.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D</w:t>
            </w:r>
          </w:p>
        </w:tc>
        <w:trPr>
          <w:tblHeader/>
        </w:trPr>
      </w:tr>
    </w:tbl>
    <w:p>
      <w:pPr>
        <w:pStyle w:val="CTAH3"/>
      </w:pPr>
      <w:r>
        <w:t>Detailed Option-by-Option Rationales</w:t>
      </w:r>
    </w:p>
    <w:p>
      <w:pPr>
        <w:pStyle w:val="CTABody"/>
      </w:pPr>
      <w:r>
        <w:t>A. Incorrect. Informality, a signature, or good intentions do not create competence, neutrality, safe boundaries, or freedom from exploitation.</w:t>
      </w:r>
    </w:p>
    <w:p>
      <w:pPr>
        <w:pStyle w:val="CTABody"/>
      </w:pPr>
      <w:r>
        <w:t>B. Incorrect. Informality, a signature, or good intentions do not create competence, neutrality, safe boundaries, or freedom from exploitation.</w:t>
      </w:r>
    </w:p>
    <w:p>
      <w:pPr>
        <w:pStyle w:val="CTABody"/>
      </w:pPr>
      <w:r>
        <w:t>C. Incorrect. Informality, a signature, or good intentions do not create competence, neutrality, safe boundaries, or freedom from exploitation.</w:t>
      </w:r>
    </w:p>
    <w:p>
      <w:pPr>
        <w:pStyle w:val="CTABody"/>
      </w:pPr>
      <w:r>
        <w:t>D. Correct. When a multiple relationship cannot reasonably be avoided, identify risks and alternatives, set clear culturally responsive boundaries, document safeguards, and monitor impact.</w:t>
      </w:r>
    </w:p>
    <w:p>
      <w:pPr>
        <w:pStyle w:val="CTACallout"/>
      </w:pPr>
      <w:r>
        <w:t>CTA Exam Strategy: Consent is one safeguard, not a cure.</w:t>
      </w:r>
    </w:p>
    <w:p>
      <w:pPr>
        <w:pStyle w:val="CTABody"/>
      </w:pPr>
      <w:r>
        <w:t>Remediation: Return to Workbook 3, Chapter 6: Professional Roles and Role Clarification; review Managing unavoidable multiple roles; log error category MULTIPLE-RELATIONSHIP.</w:t>
      </w:r>
    </w:p>
    <w:p>
      <w:pPr>
        <w:pStyle w:val="CTASmall"/>
      </w:pPr>
      <w:r>
        <w:t>Primary source control: BPC 4996.9; NASW Code of Ethics; California Rules of Court 5.220 and 5.225; current California privilege/legal-process law</w:t>
      </w:r>
    </w:p>
    <w:p>
      <w:pPr>
        <w:pStyle w:val="CTAH2"/>
      </w:pPr>
      <w:r>
        <w:t>Question 102 | WB3-C6-Q017</w:t>
      </w:r>
    </w:p>
    <w:p>
      <w:pPr>
        <w:pStyle w:val="CTAMeta"/>
      </w:pPr>
      <w:r>
        <w:t>Difficulty: Difficult | Type: Integrated Challenge | Primary concept: CTA R-O-L-E decision framework</w:t>
      </w:r>
    </w:p>
    <w:p>
      <w:pPr>
        <w:pStyle w:val="CTABody"/>
      </w:pPr>
      <w:r>
        <w:t>Which sequence BEST reflects the CTA R-O-L-E decision framework?</w:t>
      </w:r>
    </w:p>
    <w:p>
      <w:pPr>
        <w:pStyle w:val="CTAOption"/>
      </w:pPr>
      <w:r>
        <w:t>A. Identify the Role; identify Others and obligations; identify Limits on authority, confidentiality, competence, conflicts, and loyalties; Explain, document, establish safeguards, and evaluate as circumstances change.</w:t>
      </w:r>
    </w:p>
    <w:p>
      <w:pPr>
        <w:pStyle w:val="CTAOption"/>
      </w:pPr>
      <w:r>
        <w:t>B. Review the law; obtain a signature; limit documentation; end the relationship.</w:t>
      </w:r>
    </w:p>
    <w:p>
      <w:pPr>
        <w:pStyle w:val="CTAOption"/>
      </w:pPr>
      <w:r>
        <w:t>C. Rely on organizational policy; obey the requester; limit client questions; evaluate later.</w:t>
      </w:r>
    </w:p>
    <w:p>
      <w:pPr>
        <w:pStyle w:val="CTAOption"/>
      </w:pPr>
      <w:r>
        <w:t>D. Recognize the client’s preferred outcome; offer an opinion; list all records; expand the role.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A</w:t>
            </w:r>
          </w:p>
        </w:tc>
        <w:trPr>
          <w:tblHeader/>
        </w:trPr>
      </w:tr>
    </w:tbl>
    <w:p>
      <w:pPr>
        <w:pStyle w:val="CTAH3"/>
      </w:pPr>
      <w:r>
        <w:t>Detailed Option-by-Option Rationales</w:t>
      </w:r>
    </w:p>
    <w:p>
      <w:pPr>
        <w:pStyle w:val="CTABody"/>
      </w:pPr>
      <w:r>
        <w:t>A. Correct. R-O-L-E means Role and purpose; Others and obligations; Limits, loyalties, and law; Explain, safeguard, document, and Evaluate as circumstances change.</w:t>
      </w:r>
    </w:p>
    <w:p>
      <w:pPr>
        <w:pStyle w:val="CTABody"/>
      </w:pPr>
      <w:r>
        <w:t>B. Incorrect. The alternative skips role/party clarification, treats consent or policy as a cure, or expands the role without analysis.</w:t>
      </w:r>
    </w:p>
    <w:p>
      <w:pPr>
        <w:pStyle w:val="CTABody"/>
      </w:pPr>
      <w:r>
        <w:t>C. Incorrect. The alternative skips role/party clarification, treats consent or policy as a cure, or expands the role without analysis.</w:t>
      </w:r>
    </w:p>
    <w:p>
      <w:pPr>
        <w:pStyle w:val="CTABody"/>
      </w:pPr>
      <w:r>
        <w:t>D. Incorrect. The alternative skips role/party clarification, treats consent or policy as a cure, or expands the role without analysis.</w:t>
      </w:r>
    </w:p>
    <w:p>
      <w:pPr>
        <w:pStyle w:val="CTACallout"/>
      </w:pPr>
      <w:r>
        <w:t>CTA Exam Strategy: Use R-O-L-E before choosing an action.</w:t>
      </w:r>
    </w:p>
    <w:p>
      <w:pPr>
        <w:pStyle w:val="CTABody"/>
      </w:pPr>
      <w:r>
        <w:t>Remediation: Return to Workbook 3, Chapter 6: Professional Roles and Role Clarification; review CTA R-O-L-E decision framework; log error category ROLE-SEQUENCE.</w:t>
      </w:r>
    </w:p>
    <w:p>
      <w:pPr>
        <w:pStyle w:val="CTASmall"/>
      </w:pPr>
      <w:r>
        <w:t>Primary source control: BPC 4996.9; NASW Code of Ethics; California Rules of Court 5.220 and 5.225; current California privilege/legal-process law</w:t>
      </w:r>
    </w:p>
    <w:p>
      <w:r>
        <w:br w:type="page"/>
      </w:r>
    </w:p>
    <w:p>
      <w:pPr>
        <w:pStyle w:val="CTAH1"/>
      </w:pPr>
      <w:r>
        <w:t>Controlled Release and Synchronization Rules</w:t>
      </w:r>
    </w:p>
    <w:p>
      <w:pPr>
        <w:pStyle w:val="ListBullet"/>
      </w:pPr>
      <w:r>
        <w:t>Release only after the associated answer-hidden assessment attempt is completed and preserved.</w:t>
      </w:r>
    </w:p>
    <w:p>
      <w:pPr>
        <w:pStyle w:val="ListBullet"/>
      </w:pPr>
      <w:r>
        <w:t>Keep answer letters, rationales, difficulty/type tags, source mappings, and remediation metadata out of the candidate item body.</w:t>
      </w:r>
    </w:p>
    <w:p>
      <w:pPr>
        <w:pStyle w:val="ListBullet"/>
      </w:pPr>
      <w:r>
        <w:t>Synchronize any correction across the learner workbook, candidate form, controlled rationale file, LMS item bank, flashcards, remediation map, and cumulative examination placements.</w:t>
      </w:r>
    </w:p>
    <w:p>
      <w:pPr>
        <w:pStyle w:val="ListBullet"/>
      </w:pPr>
      <w:r>
        <w:t>Recheck current BBS laws/guidance, NASW standards, and role-specific California authority before bank/LMS lock and within 30 days of public release.</w:t>
      </w:r>
    </w:p>
    <w:p>
      <w:pPr>
        <w:pStyle w:val="ListBullet"/>
      </w:pPr>
      <w:r>
        <w:t>These are original CTA educational questions and are not copied or recalled licensing-examination items.</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D6873"/>
        <w:sz w:val="16"/>
      </w:rPr>
      <w:t xml:space="preserve">CTA-EP-002 | WB3 LCSW Controlled Rationales | RESTRICTED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Title">
    <w:name w:val="CTA Title"/>
    <w:rPr>
      <w:rFonts w:ascii="Arial" w:hAnsi="Arial"/>
      <w:b/>
      <w:color w:val="102A43"/>
      <w:sz w:val="48"/>
    </w:rPr>
  </w:style>
  <w:style w:type="paragraph" w:customStyle="1" w:styleId="CTASubtitle">
    <w:name w:val="CTA Subtitle"/>
    <w:rPr>
      <w:rFonts w:ascii="Arial" w:hAnsi="Arial"/>
      <w:b/>
      <w:color w:val="176B78"/>
      <w:sz w:val="30"/>
    </w:rPr>
  </w:style>
  <w:style w:type="paragraph" w:customStyle="1" w:styleId="CTAH1">
    <w:name w:val="CTA H1"/>
    <w:pPr>
      <w:spacing w:before="160" w:after="80"/>
    </w:pPr>
    <w:rPr>
      <w:rFonts w:ascii="Arial" w:hAnsi="Arial"/>
      <w:b/>
      <w:color w:val="102A43"/>
      <w:sz w:val="32"/>
    </w:rPr>
  </w:style>
  <w:style w:type="paragraph" w:customStyle="1" w:styleId="CTAH2">
    <w:name w:val="CTA H2"/>
    <w:pPr>
      <w:spacing w:before="160" w:after="80"/>
    </w:pPr>
    <w:rPr>
      <w:rFonts w:ascii="Arial" w:hAnsi="Arial"/>
      <w:b/>
      <w:color w:val="102A43"/>
      <w:sz w:val="25"/>
    </w:rPr>
  </w:style>
  <w:style w:type="paragraph" w:customStyle="1" w:styleId="CTAH3">
    <w:name w:val="CTA H3"/>
    <w:pPr>
      <w:spacing w:before="160" w:after="80"/>
    </w:pPr>
    <w:rPr>
      <w:rFonts w:ascii="Arial" w:hAnsi="Arial"/>
      <w:b/>
      <w:color w:val="176B78"/>
      <w:sz w:val="21"/>
    </w:rPr>
  </w:style>
  <w:style w:type="paragraph" w:customStyle="1" w:styleId="CTABody">
    <w:name w:val="CTA Body"/>
    <w:pPr>
      <w:spacing w:after="60"/>
    </w:pPr>
    <w:rPr>
      <w:rFonts w:ascii="Arial" w:hAnsi="Arial"/>
      <w:b w:val="0"/>
      <w:color w:val="1F2933"/>
      <w:sz w:val="19"/>
    </w:rPr>
  </w:style>
  <w:style w:type="paragraph" w:customStyle="1" w:styleId="CTASmall">
    <w:name w:val="CTA Small"/>
    <w:rPr>
      <w:rFonts w:ascii="Arial" w:hAnsi="Arial"/>
      <w:b w:val="0"/>
      <w:color w:val="5D6873"/>
      <w:sz w:val="16"/>
    </w:rPr>
  </w:style>
  <w:style w:type="paragraph" w:customStyle="1" w:styleId="CTAOption">
    <w:name w:val="CTA Option"/>
    <w:pPr>
      <w:spacing w:after="30"/>
    </w:pPr>
    <w:rPr>
      <w:rFonts w:ascii="Arial" w:hAnsi="Arial"/>
      <w:b w:val="0"/>
      <w:color w:val="1F2933"/>
      <w:sz w:val="19"/>
    </w:rPr>
  </w:style>
  <w:style w:type="paragraph" w:customStyle="1" w:styleId="CTAMeta">
    <w:name w:val="CTA Meta"/>
    <w:rPr>
      <w:rFonts w:ascii="Arial" w:hAnsi="Arial"/>
      <w:b w:val="0"/>
      <w:color w:val="5D6873"/>
      <w:sz w:val="17"/>
    </w:rPr>
  </w:style>
  <w:style w:type="paragraph" w:customStyle="1" w:styleId="CTACallout">
    <w:name w:val="CTA Callout"/>
    <w:rPr>
      <w:rFonts w:ascii="Arial" w:hAnsi="Arial"/>
      <w:b/>
      <w:color w:val="102A43"/>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Law &amp; Ethics EP WB3 Controlled Answer Key and Detailed Rationales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