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5440680" cy="3742267"/>
            <wp:docPr id="1" name="Picture 1" title="Clinical Training and Supervision Academy logo" descr="Clinical Training and Supervision Academy horizontal logo."/>
            <wp:cNvGraphicFramePr>
              <a:graphicFrameLocks noChangeAspect="1"/>
            </wp:cNvGraphicFramePr>
            <a:graphic>
              <a:graphicData uri="http://schemas.openxmlformats.org/drawingml/2006/picture">
                <pic:pic>
                  <pic:nvPicPr>
                    <pic:cNvPr id="0" name="Primary Horizontal Logo.png"/>
                    <pic:cNvPicPr/>
                  </pic:nvPicPr>
                  <pic:blipFill>
                    <a:blip r:embed="rId11"/>
                    <a:stretch>
                      <a:fillRect/>
                    </a:stretch>
                  </pic:blipFill>
                  <pic:spPr>
                    <a:xfrm>
                      <a:off x="0" y="0"/>
                      <a:ext cx="5440680" cy="3742267"/>
                    </a:xfrm>
                    <a:prstGeom prst="rect"/>
                  </pic:spPr>
                </pic:pic>
              </a:graphicData>
            </a:graphic>
          </wp:inline>
        </w:drawing>
      </w:r>
    </w:p>
    <w:p>
      <w:pPr>
        <w:spacing w:before="100" w:after="160"/>
        <w:jc w:val="center"/>
      </w:pPr>
      <w:r>
        <w:rPr>
          <w:rFonts w:ascii="Calibri" w:hAnsi="Calibri" w:eastAsia="Calibri"/>
          <w:b/>
          <w:color w:val="10A79B"/>
          <w:sz w:val="21"/>
        </w:rPr>
        <w:t>CALIFORNIA LAW &amp; ETHICS EXAM PREPARATION</w:t>
      </w:r>
    </w:p>
    <w:p>
      <w:pPr>
        <w:pStyle w:val="Title"/>
        <w:spacing w:after="120"/>
        <w:jc w:val="center"/>
        <w:pBdr>
          <w:bottom w:val="single" w:sz="6" w:space="5" w:color="2F69BF"/>
        </w:pBdr>
      </w:pPr>
      <w:r>
        <w:rPr>
          <w:rFonts w:ascii="Calibri" w:hAnsi="Calibri" w:eastAsia="Calibri"/>
          <w:b/>
          <w:color w:val="102A4C"/>
          <w:sz w:val="44"/>
        </w:rPr>
        <w:t>LCSW Practice Act, ASW Professional Identity,</w:t>
        <w:br/>
        <w:t>Social Work Ethics &amp; California Examination Distinctions</w:t>
      </w:r>
    </w:p>
    <w:p>
      <w:pPr>
        <w:pStyle w:val="Subtitle"/>
        <w:spacing w:before="200" w:after="200"/>
        <w:jc w:val="center"/>
      </w:pPr>
      <w:r>
        <w:rPr>
          <w:rFonts w:ascii="Calibri" w:hAnsi="Calibri" w:eastAsia="Calibri"/>
          <w:i/>
          <w:color w:val="5E6670"/>
          <w:sz w:val="27"/>
        </w:rPr>
        <w:t>Required License-Specific Instructional Module</w:t>
      </w:r>
    </w:p>
    <w:p>
      <w:pPr>
        <w:spacing w:after="260"/>
        <w:jc w:val="center"/>
      </w:pPr>
      <w:r>
        <w:rPr>
          <w:rFonts w:ascii="Calibri" w:hAnsi="Calibri" w:eastAsia="Calibri"/>
          <w:b/>
          <w:color w:val="102A4C"/>
          <w:sz w:val="20"/>
        </w:rPr>
        <w:t>CTA-EP-002  |  Version 1.0  |  August 5, 2026</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9EDF2"/>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18"/>
              </w:rPr>
              <w:t>LCSW/ASW CANDIDATE EDITION  This original CTA module is designed for California ASWs and eligible LCSW applicants preparing for the profession-specific California LCSW Law and Ethics Examination. It is exam preparation only, provides no CE credit or certificate, and does not prepare learners for the later ASWB Clinical Examination. Stage 5D currentness and consistency review is complete; this file is ready for private implementation/staging. Public activation remains subject to Stage 5E learner-view testing and owner release approval.</w:t>
            </w:r>
            <w:r>
              <w:rPr>
                <w:rFonts w:ascii="Calibri" w:hAnsi="Calibri" w:eastAsia="Calibri"/>
                <w:color w:val="111111"/>
                <w:sz w:val="18"/>
              </w:rPr>
            </w:r>
          </w:p>
        </w:tc>
      </w:tr>
    </w:tbl>
    <w:p>
      <w:pPr>
        <w:spacing w:after="0"/>
      </w:pPr>
    </w:p>
    <w:p>
      <w:pPr>
        <w:spacing w:before="240"/>
        <w:jc w:val="center"/>
      </w:pPr>
      <w:r>
        <w:rPr>
          <w:rFonts w:ascii="Calibri" w:hAnsi="Calibri" w:eastAsia="Calibri"/>
          <w:b/>
          <w:i/>
          <w:color w:val="10A79B"/>
          <w:sz w:val="21"/>
        </w:rPr>
        <w:t>Teaching Clinicians How to Think.</w:t>
      </w:r>
    </w:p>
    <w:p>
      <w:r>
        <w:br w:type="page"/>
      </w:r>
    </w:p>
    <w:p>
      <w:pPr>
        <w:pStyle w:val="Heading1"/>
        <w:keepNext/>
      </w:pPr>
      <w:r>
        <w:t>Program control and learner notice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Field</w:t>
            </w:r>
          </w:p>
        </w:tc>
        <w:tc>
          <w:tcPr>
            <w:tcW w:type="dxa" w:w="763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Controlling entry</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Formal program</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CTA LCSW California Law &amp; Ethics Exam Preparation Program</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Public display title</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LCSW California Law &amp; Ethics Exam Preparation</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Program code</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CTA-EP-002</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Module placement</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Required immediately after Start Here and before Workbook 1</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Audience</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California ASWs and other eligible LCSW applicants preparing for the California LCSW Law and Ethics Examination</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Classification</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Self-paced asynchronous exam preparation | No CE credit, CE evaluation, or CE certificate</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Separate examination</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ASWB Clinical Examination is a later, separate licensure examination and a separate CTA product</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Current-source review</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California/BBS, Pearson, and NASW sources checked August 5, 2026; high-change sources require recheck before assessment lock and release</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Status</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STAGE 5D IMPLEMENTATION READY - instructional content/currentness review complete; private staging authorized; public activation remains blocked pending Stage 5E testing and owner release approval</w:t>
            </w:r>
          </w:p>
        </w:tc>
      </w:tr>
    </w:tbl>
    <w:p>
      <w:pPr>
        <w:spacing w:after="2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FF6D9"/>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18"/>
              </w:rPr>
              <w:t xml:space="preserve">IMPORTANT  </w:t>
            </w:r>
            <w:r>
              <w:rPr>
                <w:rFonts w:ascii="Calibri" w:hAnsi="Calibri" w:eastAsia="Calibri"/>
                <w:color w:val="111111"/>
                <w:sz w:val="18"/>
              </w:rPr>
              <w:t>CTA is an independent educational provider. This module is not legal advice, does not determine examination or licensure eligibility, does not reproduce live or recalled examination content, and does not guarantee passage. CTA is not affiliated with or endorsed by the California Board of Behavioral Sciences, Pearson VUE, NASW, ASWB, or another licensing or examination organization.</w:t>
            </w:r>
          </w:p>
        </w:tc>
      </w:tr>
    </w:tbl>
    <w:p>
      <w:pPr>
        <w:spacing w:after="0"/>
      </w:pPr>
    </w:p>
    <w:p>
      <w:pPr>
        <w:pStyle w:val="Heading2"/>
        <w:keepNext/>
      </w:pPr>
      <w:r>
        <w:t>How to use this module</w:t>
      </w:r>
    </w:p>
    <w:p>
      <w:pPr>
        <w:keepLines w:val="0"/>
        <w:spacing w:after="120" w:line="266" w:lineRule="auto"/>
      </w:pPr>
      <w:r>
        <w:rPr>
          <w:rFonts w:ascii="Calibri" w:hAnsi="Calibri" w:eastAsia="Calibri"/>
          <w:color w:val="111111"/>
          <w:sz w:val="20"/>
        </w:rPr>
        <w:t>This module establishes the profession-specific foundation used throughout the nine shared-core workbooks. Read it before Workbook 1. The purpose is not to memorize isolated statute numbers. The purpose is to identify the actor’s status, the setting, the controlling source, the immediate duty, and the best sequence of professional action.</w:t>
      </w:r>
    </w:p>
    <w:p>
      <w:pPr>
        <w:pStyle w:val="ListBullet"/>
        <w:spacing w:after="66" w:line="259" w:lineRule="auto"/>
        <w:ind w:left="403" w:hanging="202"/>
      </w:pPr>
      <w:r>
        <w:rPr>
          <w:rFonts w:ascii="Calibri" w:hAnsi="Calibri" w:eastAsia="Calibri"/>
          <w:color w:val="111111"/>
          <w:sz w:val="19"/>
        </w:rPr>
        <w:t>Read each unit in order. Later units assume that you can distinguish law, regulation, Board guidance, professional ethics, employer policy, and prudent risk management.</w:t>
      </w:r>
    </w:p>
    <w:p>
      <w:pPr>
        <w:pStyle w:val="ListBullet"/>
        <w:spacing w:after="66" w:line="259" w:lineRule="auto"/>
        <w:ind w:left="403" w:hanging="202"/>
      </w:pPr>
      <w:r>
        <w:rPr>
          <w:rFonts w:ascii="Calibri" w:hAnsi="Calibri" w:eastAsia="Calibri"/>
          <w:color w:val="111111"/>
          <w:sz w:val="19"/>
        </w:rPr>
        <w:t>Use the guided applications to practice FIRST, NEXT, BEST, MOST, INITIAL, and PRIMARY reasoning. Do not jump to a final solution before resolving immediate legal or safety duties.</w:t>
      </w:r>
    </w:p>
    <w:p>
      <w:pPr>
        <w:pStyle w:val="ListBullet"/>
        <w:spacing w:after="66" w:line="259" w:lineRule="auto"/>
        <w:ind w:left="403" w:hanging="202"/>
      </w:pPr>
      <w:r>
        <w:rPr>
          <w:rFonts w:ascii="Calibri" w:hAnsi="Calibri" w:eastAsia="Calibri"/>
          <w:color w:val="111111"/>
          <w:sz w:val="19"/>
        </w:rPr>
        <w:t>Treat every date-bound rule as current only through the source-review date. Use the official BBS and examination links listed in the references when preparing for your actual examination.</w:t>
      </w:r>
    </w:p>
    <w:p>
      <w:pPr>
        <w:pStyle w:val="ListBullet"/>
        <w:spacing w:after="66" w:line="259" w:lineRule="auto"/>
        <w:ind w:left="403" w:hanging="202"/>
      </w:pPr>
      <w:r>
        <w:rPr>
          <w:rFonts w:ascii="Calibri" w:hAnsi="Calibri" w:eastAsia="Calibri"/>
          <w:color w:val="111111"/>
          <w:sz w:val="19"/>
        </w:rPr>
        <w:t>When a shared-core workbook addresses consent, telehealth, competence, impairment, welfare, boundaries, culture, confidentiality, or records, return to this module for the LCSW/ASW identity and ethics lens.</w:t>
      </w:r>
    </w:p>
    <w:p>
      <w:pPr>
        <w:pStyle w:val="Heading1"/>
        <w:keepNext/>
        <w:pageBreakBefore/>
      </w:pPr>
      <w:r>
        <w:t>Module learning objectives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79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LO</w:t>
            </w:r>
          </w:p>
        </w:tc>
        <w:tc>
          <w:tcPr>
            <w:tcW w:type="dxa" w:w="936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By the conclusion of this module, the learner will be able to...</w:t>
            </w:r>
          </w:p>
        </w:tc>
      </w:tr>
      <w:tr>
        <w:trPr>
          <w:cantSplit/>
        </w:trPr>
        <w:tc>
          <w:tcPr>
            <w:tcW w:type="dxa" w:w="792"/>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1</w:t>
            </w:r>
          </w:p>
        </w:tc>
        <w:tc>
          <w:tcPr>
            <w:tcW w:type="dxa" w:w="9360"/>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Apply the approved source hierarchy when resolving an LCSW/ASW legal or ethical question.</w:t>
            </w:r>
          </w:p>
        </w:tc>
      </w:tr>
      <w:tr>
        <w:trPr>
          <w:cantSplit/>
        </w:trPr>
        <w:tc>
          <w:tcPr>
            <w:tcW w:type="dxa" w:w="792"/>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2</w:t>
            </w:r>
          </w:p>
        </w:tc>
        <w:tc>
          <w:tcPr>
            <w:tcW w:type="dxa" w:w="9360"/>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Explain California’s statutory scope of clinical social work and distinguish professional scope from individual competence, current status, setting, and role.</w:t>
            </w:r>
          </w:p>
        </w:tc>
      </w:tr>
      <w:tr>
        <w:trPr>
          <w:cantSplit/>
        </w:trPr>
        <w:tc>
          <w:tcPr>
            <w:tcW w:type="dxa" w:w="792"/>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3</w:t>
            </w:r>
          </w:p>
        </w:tc>
        <w:tc>
          <w:tcPr>
            <w:tcW w:type="dxa" w:w="9360"/>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Differentiate LCSW, registered ASW, pending-registration applicant, social work intern, applicant for licensure, supervisor, and employer responsibilities.</w:t>
            </w:r>
          </w:p>
        </w:tc>
      </w:tr>
      <w:tr>
        <w:trPr>
          <w:cantSplit/>
        </w:trPr>
        <w:tc>
          <w:tcPr>
            <w:tcW w:type="dxa" w:w="792"/>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4</w:t>
            </w:r>
          </w:p>
        </w:tc>
        <w:tc>
          <w:tcPr>
            <w:tcW w:type="dxa" w:w="9360"/>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Apply the ASW 90-day rule, annual renewal and examination duties, Law and Ethics continuing-education requirement, six-year registration limit, and subsequent-registration restrictions.</w:t>
            </w:r>
          </w:p>
        </w:tc>
      </w:tr>
      <w:tr>
        <w:trPr>
          <w:cantSplit/>
        </w:trPr>
        <w:tc>
          <w:tcPr>
            <w:tcW w:type="dxa" w:w="792"/>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5</w:t>
            </w:r>
          </w:p>
        </w:tc>
        <w:tc>
          <w:tcPr>
            <w:tcW w:type="dxa" w:w="9360"/>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Evaluate client notices and advertising for complete title, identifying number, employer or volunteer entity, supervised-status language, readability, placement, and digital-media accuracy.</w:t>
            </w:r>
          </w:p>
        </w:tc>
      </w:tr>
      <w:tr>
        <w:trPr>
          <w:cantSplit/>
        </w:trPr>
        <w:tc>
          <w:tcPr>
            <w:tcW w:type="dxa" w:w="792"/>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6</w:t>
            </w:r>
          </w:p>
        </w:tc>
        <w:tc>
          <w:tcPr>
            <w:tcW w:type="dxa" w:w="9360"/>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Determine whether an ASW supervision, employment, setting, payment, record-access, or service-location arrangement is legally permissible and potentially creditable.</w:t>
            </w:r>
          </w:p>
        </w:tc>
      </w:tr>
      <w:tr>
        <w:trPr>
          <w:cantSplit/>
        </w:trPr>
        <w:tc>
          <w:tcPr>
            <w:tcW w:type="dxa" w:w="792"/>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7</w:t>
            </w:r>
          </w:p>
        </w:tc>
        <w:tc>
          <w:tcPr>
            <w:tcW w:type="dxa" w:w="9360"/>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Identify professional-conduct risks and select client-protective, lawful, consultative or supervisory, and documented responses.</w:t>
            </w:r>
          </w:p>
        </w:tc>
      </w:tr>
      <w:tr>
        <w:trPr>
          <w:cantSplit/>
        </w:trPr>
        <w:tc>
          <w:tcPr>
            <w:tcW w:type="dxa" w:w="792"/>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8</w:t>
            </w:r>
          </w:p>
        </w:tc>
        <w:tc>
          <w:tcPr>
            <w:tcW w:type="dxa" w:w="9360"/>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Apply social-work values and ethical standards to autonomy, safety, cultural humility, advocacy, organizational conflict, collaboration, referral, continuity, and termination.</w:t>
            </w:r>
          </w:p>
        </w:tc>
      </w:tr>
      <w:tr>
        <w:trPr>
          <w:cantSplit/>
        </w:trPr>
        <w:tc>
          <w:tcPr>
            <w:tcW w:type="dxa" w:w="792"/>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9</w:t>
            </w:r>
          </w:p>
        </w:tc>
        <w:tc>
          <w:tcPr>
            <w:tcW w:type="dxa" w:w="9360"/>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Resolve integrated law-versus-ethics cases by identifying the controlling issue and sequencing immediate, next, and longer-term actions.</w:t>
            </w:r>
          </w:p>
        </w:tc>
      </w:tr>
      <w:tr>
        <w:trPr>
          <w:cantSplit/>
        </w:trPr>
        <w:tc>
          <w:tcPr>
            <w:tcW w:type="dxa" w:w="792"/>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10</w:t>
            </w:r>
          </w:p>
        </w:tc>
        <w:tc>
          <w:tcPr>
            <w:tcW w:type="dxa" w:w="9360"/>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Distinguish CTA scored-style practice forms from the official 75-question administration and distinguish the California LCSW Law and Ethics Examination from the later ASWB Clinical Examination.</w:t>
            </w:r>
          </w:p>
        </w:tc>
      </w:tr>
    </w:tbl>
    <w:p>
      <w:pPr>
        <w:spacing w:after="20"/>
      </w:pPr>
    </w:p>
    <w:p>
      <w:pPr>
        <w:pStyle w:val="Heading2"/>
        <w:keepNext/>
      </w:pPr>
      <w:r>
        <w:t>The CTA LCSW/ASW reasoning sequence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Step</w:t>
            </w:r>
          </w:p>
        </w:tc>
        <w:tc>
          <w:tcPr>
            <w:tcW w:type="dxa" w:w="727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Application</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Name the role and setting</w:t>
            </w:r>
          </w:p>
        </w:tc>
        <w:tc>
          <w:tcPr>
            <w:tcW w:type="dxa" w:w="72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Identify whether the actor is an LCSW, registered ASW, applicant, student, supervisor, employer, or another professional. Identify exempt/nonexempt status, private practice, telehealth, and client configuration.</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Name the issue</w:t>
            </w:r>
          </w:p>
        </w:tc>
        <w:tc>
          <w:tcPr>
            <w:tcW w:type="dxa" w:w="727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State the precise legal, ethical, status, supervision, safety, confidentiality, records, fee, advertising, or competence question.</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Find the highest-authority current source</w:t>
            </w:r>
          </w:p>
        </w:tc>
        <w:tc>
          <w:tcPr>
            <w:tcW w:type="dxa" w:w="72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Use current law and effective regulation first; Board guidance explains implementation; official examination materials control blueprint and administration; NASW ethics controls professional ethical framing.</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Complete the immediate duty</w:t>
            </w:r>
          </w:p>
        </w:tc>
        <w:tc>
          <w:tcPr>
            <w:tcW w:type="dxa" w:w="727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Do not postpone an urgent legal or safety action merely to seek routine consultation, obtain employer permission, or finish administrative work.</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Choose the least harmful lawful response</w:t>
            </w:r>
          </w:p>
        </w:tc>
        <w:tc>
          <w:tcPr>
            <w:tcW w:type="dxa" w:w="72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Protect client welfare, dignity, autonomy, privacy, continuity, and public understanding without exceeding legal authority.</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Use supervision, consultation, collaboration, escalation, and advocacy</w:t>
            </w:r>
          </w:p>
        </w:tc>
        <w:tc>
          <w:tcPr>
            <w:tcW w:type="dxa" w:w="727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Use each tool for its proper purpose. Consultation cannot replace legally required supervision; advocacy cannot authorize unlawful conduct.</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Communicate, document, and follow through</w:t>
            </w:r>
          </w:p>
        </w:tc>
        <w:tc>
          <w:tcPr>
            <w:tcW w:type="dxa" w:w="72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Explain the action when appropriate, document facts and reasoning, correct inaccurate representations, arrange continuity, and reassess when conditions change.</w:t>
            </w:r>
          </w:p>
        </w:tc>
      </w:tr>
    </w:tbl>
    <w:p>
      <w:pPr>
        <w:spacing w:after="2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9F7F5"/>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18"/>
              </w:rPr>
              <w:t xml:space="preserve">CORE CONTROL  </w:t>
            </w:r>
            <w:r>
              <w:rPr>
                <w:rFonts w:ascii="Calibri" w:hAnsi="Calibri" w:eastAsia="Calibri"/>
                <w:color w:val="111111"/>
                <w:sz w:val="18"/>
              </w:rPr>
              <w:t>Employer policy does not override independent legal or ethical duties. NASW ethics does not replace California law. BBS guidance does not amend a statute. The examination outline does not create a practice rule. Identify the source class before applying the content.</w:t>
            </w:r>
          </w:p>
        </w:tc>
      </w:tr>
    </w:tbl>
    <w:p>
      <w:pPr>
        <w:spacing w:after="0"/>
      </w:pPr>
    </w:p>
    <w:p>
      <w:pPr>
        <w:pStyle w:val="Heading1"/>
        <w:keepNext/>
      </w:pPr>
      <w:r>
        <w:t>Module contents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94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Section</w:t>
            </w:r>
          </w:p>
        </w:tc>
        <w:tc>
          <w:tcPr>
            <w:tcW w:type="dxa" w:w="820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Focus</w:t>
            </w:r>
          </w:p>
        </w:tc>
      </w:tr>
      <w:tr>
        <w:trPr>
          <w:cantSplit/>
        </w:trPr>
        <w:tc>
          <w:tcPr>
            <w:tcW w:type="dxa" w:w="194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Unit 1</w:t>
            </w:r>
          </w:p>
        </w:tc>
        <w:tc>
          <w:tcPr>
            <w:tcW w:type="dxa" w:w="820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Authority and Source Hierarchy</w:t>
            </w:r>
          </w:p>
        </w:tc>
      </w:tr>
      <w:tr>
        <w:trPr>
          <w:cantSplit/>
        </w:trPr>
        <w:tc>
          <w:tcPr>
            <w:tcW w:type="dxa" w:w="194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Unit 2</w:t>
            </w:r>
          </w:p>
        </w:tc>
        <w:tc>
          <w:tcPr>
            <w:tcW w:type="dxa" w:w="820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LCSW/ASW Identity, Scope and Competence</w:t>
            </w:r>
          </w:p>
        </w:tc>
      </w:tr>
      <w:tr>
        <w:trPr>
          <w:cantSplit/>
        </w:trPr>
        <w:tc>
          <w:tcPr>
            <w:tcW w:type="dxa" w:w="194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Unit 3</w:t>
            </w:r>
          </w:p>
        </w:tc>
        <w:tc>
          <w:tcPr>
            <w:tcW w:type="dxa" w:w="820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ASW Registration, the 90-Day Rule and Licensure Pathway</w:t>
            </w:r>
          </w:p>
        </w:tc>
      </w:tr>
      <w:tr>
        <w:trPr>
          <w:cantSplit/>
        </w:trPr>
        <w:tc>
          <w:tcPr>
            <w:tcW w:type="dxa" w:w="194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Unit 4</w:t>
            </w:r>
          </w:p>
        </w:tc>
        <w:tc>
          <w:tcPr>
            <w:tcW w:type="dxa" w:w="820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Titles, Client Notices, Advertising and Telehealth Representation</w:t>
            </w:r>
          </w:p>
        </w:tc>
      </w:tr>
      <w:tr>
        <w:trPr>
          <w:cantSplit/>
        </w:trPr>
        <w:tc>
          <w:tcPr>
            <w:tcW w:type="dxa" w:w="194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Unit 5</w:t>
            </w:r>
          </w:p>
        </w:tc>
        <w:tc>
          <w:tcPr>
            <w:tcW w:type="dxa" w:w="820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ASW Supervision, Employment, Settings and Payment</w:t>
            </w:r>
          </w:p>
        </w:tc>
      </w:tr>
      <w:tr>
        <w:trPr>
          <w:cantSplit/>
        </w:trPr>
        <w:tc>
          <w:tcPr>
            <w:tcW w:type="dxa" w:w="194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Unit 6</w:t>
            </w:r>
          </w:p>
        </w:tc>
        <w:tc>
          <w:tcPr>
            <w:tcW w:type="dxa" w:w="820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Professional Conduct, Records and Enforcement</w:t>
            </w:r>
          </w:p>
        </w:tc>
      </w:tr>
      <w:tr>
        <w:trPr>
          <w:cantSplit/>
        </w:trPr>
        <w:tc>
          <w:tcPr>
            <w:tcW w:type="dxa" w:w="194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Unit 7</w:t>
            </w:r>
          </w:p>
        </w:tc>
        <w:tc>
          <w:tcPr>
            <w:tcW w:type="dxa" w:w="820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Social-Work Ethics, Autonomy and Advocacy</w:t>
            </w:r>
          </w:p>
        </w:tc>
      </w:tr>
      <w:tr>
        <w:trPr>
          <w:cantSplit/>
        </w:trPr>
        <w:tc>
          <w:tcPr>
            <w:tcW w:type="dxa" w:w="194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Unit 8</w:t>
            </w:r>
          </w:p>
        </w:tc>
        <w:tc>
          <w:tcPr>
            <w:tcW w:type="dxa" w:w="820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Integrated LCSW/ASW Application</w:t>
            </w:r>
          </w:p>
        </w:tc>
      </w:tr>
      <w:tr>
        <w:trPr>
          <w:cantSplit/>
        </w:trPr>
        <w:tc>
          <w:tcPr>
            <w:tcW w:type="dxa" w:w="194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Rapid Review</w:t>
            </w:r>
          </w:p>
        </w:tc>
        <w:tc>
          <w:tcPr>
            <w:tcW w:type="dxa" w:w="820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High-yield distinctions, examination traps, readiness checklist, glossary, and references</w:t>
            </w:r>
          </w:p>
        </w:tc>
      </w:tr>
    </w:tbl>
    <w:p>
      <w:pPr>
        <w:spacing w:after="20"/>
      </w:pPr>
    </w:p>
    <w:p>
      <w:pPr>
        <w:pageBreakBefore/>
        <w:spacing w:after="160"/>
        <w:jc w:val="center"/>
      </w:pPr>
      <w:r>
        <w:rPr>
          <w:rFonts w:ascii="Calibri" w:hAnsi="Calibri" w:eastAsia="Calibri"/>
          <w:b/>
          <w:color w:val="10A79B"/>
          <w:sz w:val="22"/>
        </w:rPr>
        <w:t>UNIT 1</w:t>
      </w:r>
    </w:p>
    <w:p>
      <w:pPr>
        <w:spacing w:after="240"/>
        <w:jc w:val="center"/>
        <w:pBdr>
          <w:bottom w:val="single" w:sz="6" w:space="5" w:color="2F69BF"/>
        </w:pBdr>
      </w:pPr>
      <w:r>
        <w:rPr>
          <w:rFonts w:ascii="Calibri" w:hAnsi="Calibri" w:eastAsia="Calibri"/>
          <w:b/>
          <w:color w:val="102A4C"/>
          <w:sz w:val="42"/>
        </w:rPr>
        <w:t>Authority and Source Hierarchy</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AF1FB"/>
            <w:tcMar>
              <w:top w:w="90" w:type="dxa"/>
              <w:start w:w="105" w:type="dxa"/>
              <w:bottom w:w="90" w:type="dxa"/>
              <w:end w:w="105" w:type="dxa"/>
            </w:tcMar>
            <w:tcBorders>
              <w:top w:val="nil"/>
              <w:left w:val="single" w:sz="18" w:color="2F69BF"/>
              <w:bottom w:val="nil"/>
              <w:right w:val="nil"/>
            </w:tcBorders>
          </w:tcPr>
          <w:p>
            <w:pPr>
              <w:spacing w:after="0" w:line="252" w:lineRule="auto"/>
            </w:pPr>
            <w:r>
              <w:rPr>
                <w:rFonts w:ascii="Calibri" w:hAnsi="Calibri" w:eastAsia="Calibri"/>
                <w:b/>
                <w:color w:val="102A4C"/>
                <w:sz w:val="19"/>
              </w:rPr>
              <w:t xml:space="preserve">WHY THIS MATTERS  </w:t>
            </w:r>
            <w:r>
              <w:rPr>
                <w:rFonts w:ascii="Calibri" w:hAnsi="Calibri" w:eastAsia="Calibri"/>
                <w:color w:val="111111"/>
                <w:sz w:val="19"/>
              </w:rPr>
              <w:t>Law-and-ethics questions become easier when you first identify what kind of source is speaking. A statute, regulation, BBS FAQ, examination outline, NASW standard, employer policy, and risk-management recommendation do not carry the same authority or answer the same question.</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9F7F5"/>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20"/>
              </w:rPr>
              <w:t xml:space="preserve">BIG IDEA  </w:t>
            </w:r>
            <w:r>
              <w:rPr>
                <w:rFonts w:ascii="Calibri" w:hAnsi="Calibri" w:eastAsia="Calibri"/>
                <w:color w:val="111111"/>
                <w:sz w:val="20"/>
              </w:rPr>
              <w:t>Before asking what to do, ask what controls.</w:t>
            </w:r>
          </w:p>
        </w:tc>
      </w:tr>
    </w:tbl>
    <w:p>
      <w:pPr>
        <w:spacing w:after="0"/>
      </w:pPr>
    </w:p>
    <w:p>
      <w:pPr>
        <w:pStyle w:val="Heading2"/>
        <w:keepNext/>
      </w:pPr>
      <w:r>
        <w:t>Unit learning objectives</w:t>
      </w:r>
    </w:p>
    <w:p>
      <w:pPr>
        <w:pStyle w:val="ListBullet"/>
        <w:spacing w:after="66" w:line="259" w:lineRule="auto"/>
        <w:ind w:left="403" w:hanging="202"/>
      </w:pPr>
      <w:r>
        <w:rPr>
          <w:rFonts w:ascii="Calibri" w:hAnsi="Calibri" w:eastAsia="Calibri"/>
          <w:color w:val="111111"/>
          <w:sz w:val="19"/>
        </w:rPr>
        <w:t>Classify a source as legal, regulatory, Board guidance, examination control, professional ethics, federal overlay, or CTA instructional control.</w:t>
      </w:r>
    </w:p>
    <w:p>
      <w:pPr>
        <w:pStyle w:val="ListBullet"/>
        <w:spacing w:after="66" w:line="259" w:lineRule="auto"/>
        <w:ind w:left="403" w:hanging="202"/>
      </w:pPr>
      <w:r>
        <w:rPr>
          <w:rFonts w:ascii="Calibri" w:hAnsi="Calibri" w:eastAsia="Calibri"/>
          <w:color w:val="111111"/>
          <w:sz w:val="19"/>
        </w:rPr>
        <w:t>Select the highest-authority current source that actually applies to the actor, setting, issue, and jurisdiction.</w:t>
      </w:r>
    </w:p>
    <w:p>
      <w:pPr>
        <w:pStyle w:val="ListBullet"/>
        <w:spacing w:after="66" w:line="259" w:lineRule="auto"/>
        <w:ind w:left="403" w:hanging="202"/>
      </w:pPr>
      <w:r>
        <w:rPr>
          <w:rFonts w:ascii="Calibri" w:hAnsi="Calibri" w:eastAsia="Calibri"/>
          <w:color w:val="111111"/>
          <w:sz w:val="19"/>
        </w:rPr>
        <w:t>Distinguish the official examination administration from CTA practice forms and from the later ASWB Clinical Examination.</w:t>
      </w:r>
    </w:p>
    <w:p>
      <w:pPr>
        <w:pStyle w:val="Heading2"/>
        <w:keepNext/>
      </w:pPr>
      <w:r>
        <w:t>Lesson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44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Lesson</w:t>
            </w:r>
          </w:p>
        </w:tc>
        <w:tc>
          <w:tcPr>
            <w:tcW w:type="dxa" w:w="871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Focus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1.1</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The LCSW/ASW authority stack</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1.2</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Law, ethics, policy and best practice</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1.3</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Conflict-resolution sequence</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1.4</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Official examination and CTA boundaries</w:t>
            </w:r>
          </w:p>
        </w:tc>
      </w:tr>
    </w:tbl>
    <w:p>
      <w:pPr>
        <w:spacing w:after="20"/>
      </w:pPr>
    </w:p>
    <w:p>
      <w:pPr>
        <w:pStyle w:val="Heading2"/>
        <w:keepNext/>
      </w:pPr>
      <w:r>
        <w:t>1.1 The LCSW/ASW authority stack</w:t>
      </w:r>
    </w:p>
    <w:p>
      <w:pPr>
        <w:keepLines w:val="0"/>
        <w:spacing w:after="120" w:line="266" w:lineRule="auto"/>
      </w:pPr>
      <w:r>
        <w:rPr>
          <w:rFonts w:ascii="Calibri" w:hAnsi="Calibri" w:eastAsia="Calibri"/>
          <w:color w:val="111111"/>
          <w:sz w:val="20"/>
        </w:rPr>
        <w:t>California clinical social work practice is governed first by enacted law and effective regulation. The Clinical Social Worker Practice Act appears in Business and Professions Code Chapter 14, beginning with section 4991. Title 16 regulations add operational requirements. BBS handbooks, FAQs, fact sheets, examples, and forms explain Board procedures and implementation, but the underlying statute or regulation remains controlling when the question is a legal duty.</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Priority</w:t>
            </w:r>
          </w:p>
        </w:tc>
        <w:tc>
          <w:tcPr>
            <w:tcW w:type="dxa" w:w="338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Source class</w:t>
            </w:r>
          </w:p>
        </w:tc>
        <w:tc>
          <w:tcPr>
            <w:tcW w:type="dxa" w:w="504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What it controls</w:t>
            </w:r>
          </w:p>
        </w:tc>
      </w:tr>
      <w:tr>
        <w:trPr>
          <w:cantSplit/>
        </w:trPr>
        <w:tc>
          <w:tcPr>
            <w:tcW w:type="dxa" w:w="172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1. Law</w:t>
            </w:r>
          </w:p>
        </w:tc>
        <w:tc>
          <w:tcPr>
            <w:tcW w:type="dxa" w:w="338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Current enacted California or federal statute</w:t>
            </w:r>
          </w:p>
        </w:tc>
        <w:tc>
          <w:tcPr>
            <w:tcW w:type="dxa" w:w="5040"/>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Definitions, duties, permissions, prohibitions, exceptions, consequences</w:t>
            </w:r>
          </w:p>
        </w:tc>
      </w:tr>
      <w:tr>
        <w:trPr>
          <w:cantSplit/>
        </w:trPr>
        <w:tc>
          <w:tcPr>
            <w:tcW w:type="dxa" w:w="172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2. Regulation</w:t>
            </w:r>
          </w:p>
        </w:tc>
        <w:tc>
          <w:tcPr>
            <w:tcW w:type="dxa" w:w="338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Current effective California or federal regulation</w:t>
            </w:r>
          </w:p>
        </w:tc>
        <w:tc>
          <w:tcPr>
            <w:tcW w:type="dxa" w:w="5040"/>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Operational requirements, forms, procedures, effective dates</w:t>
            </w:r>
          </w:p>
        </w:tc>
      </w:tr>
      <w:tr>
        <w:trPr>
          <w:cantSplit/>
        </w:trPr>
        <w:tc>
          <w:tcPr>
            <w:tcW w:type="dxa" w:w="172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3. BBS guidance</w:t>
            </w:r>
          </w:p>
        </w:tc>
        <w:tc>
          <w:tcPr>
            <w:tcW w:type="dxa" w:w="338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Official FAQ, fact sheet, handbook, examples, forms</w:t>
            </w:r>
          </w:p>
        </w:tc>
        <w:tc>
          <w:tcPr>
            <w:tcW w:type="dxa" w:w="5040"/>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Board process and practical implementation; supplemental to law</w:t>
            </w:r>
          </w:p>
        </w:tc>
      </w:tr>
      <w:tr>
        <w:trPr>
          <w:cantSplit/>
        </w:trPr>
        <w:tc>
          <w:tcPr>
            <w:tcW w:type="dxa" w:w="172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4. Examination control</w:t>
            </w:r>
          </w:p>
        </w:tc>
        <w:tc>
          <w:tcPr>
            <w:tcW w:type="dxa" w:w="338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Current Pearson/BBS outline and candidate handbook</w:t>
            </w:r>
          </w:p>
        </w:tc>
        <w:tc>
          <w:tcPr>
            <w:tcW w:type="dxa" w:w="5040"/>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Blueprint, administration, security, timing, score/retake process</w:t>
            </w:r>
          </w:p>
        </w:tc>
      </w:tr>
      <w:tr>
        <w:trPr>
          <w:cantSplit/>
        </w:trPr>
        <w:tc>
          <w:tcPr>
            <w:tcW w:type="dxa" w:w="172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5. Professional ethics</w:t>
            </w:r>
          </w:p>
        </w:tc>
        <w:tc>
          <w:tcPr>
            <w:tcW w:type="dxa" w:w="338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Current NASW Code of Ethics</w:t>
            </w:r>
          </w:p>
        </w:tc>
        <w:tc>
          <w:tcPr>
            <w:tcW w:type="dxa" w:w="5040"/>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Social-work values and ethical duties; cite law separately</w:t>
            </w:r>
          </w:p>
        </w:tc>
      </w:tr>
      <w:tr>
        <w:trPr>
          <w:cantSplit/>
        </w:trPr>
        <w:tc>
          <w:tcPr>
            <w:tcW w:type="dxa" w:w="172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6. Federal or setting overlay</w:t>
            </w:r>
          </w:p>
        </w:tc>
        <w:tc>
          <w:tcPr>
            <w:tcW w:type="dxa" w:w="338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HIPAA, Part 2, payer, funding, civil-rights, education rules</w:t>
            </w:r>
          </w:p>
        </w:tc>
        <w:tc>
          <w:tcPr>
            <w:tcW w:type="dxa" w:w="5040"/>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Apply only after the facts establish coverage</w:t>
            </w:r>
          </w:p>
        </w:tc>
      </w:tr>
      <w:tr>
        <w:trPr>
          <w:cantSplit/>
        </w:trPr>
        <w:tc>
          <w:tcPr>
            <w:tcW w:type="dxa" w:w="172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7. CTA control</w:t>
            </w:r>
          </w:p>
        </w:tc>
        <w:tc>
          <w:tcPr>
            <w:tcW w:type="dxa" w:w="338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Approved curriculum, assessment, remediation and release records</w:t>
            </w:r>
          </w:p>
        </w:tc>
        <w:tc>
          <w:tcPr>
            <w:tcW w:type="dxa" w:w="5040"/>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How CTA teaches and protects the product; never overrides authority</w:t>
            </w:r>
          </w:p>
        </w:tc>
      </w:tr>
    </w:tbl>
    <w:p>
      <w:pPr>
        <w:spacing w:after="20"/>
      </w:pPr>
    </w:p>
    <w:p>
      <w:pPr>
        <w:pStyle w:val="Heading2"/>
        <w:keepNext/>
      </w:pPr>
      <w:r>
        <w:t>1.2 Law, ethics, policy and best practice</w:t>
      </w:r>
    </w:p>
    <w:p>
      <w:pPr>
        <w:keepLines w:val="0"/>
        <w:spacing w:after="120" w:line="266" w:lineRule="auto"/>
      </w:pPr>
      <w:r>
        <w:rPr>
          <w:rFonts w:ascii="Calibri" w:hAnsi="Calibri" w:eastAsia="Calibri"/>
          <w:color w:val="111111"/>
          <w:sz w:val="20"/>
        </w:rPr>
        <w:t>A legal rule may require, permit, or prohibit an action. An ethical standard may ask how to carry out a lawful action while protecting dignity, autonomy, equity, confidentiality, and continuity. An employer policy may organize workflow, but it cannot authorize conduct that law forbids or prevent a clinician from meeting an independent legal obligation. A best-practice recommendation can strengthen care, but it should not be mislabeled as a statutory mandate.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Question</w:t>
            </w:r>
          </w:p>
        </w:tc>
        <w:tc>
          <w:tcPr>
            <w:tcW w:type="dxa" w:w="78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Ask this</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Is it law?</w:t>
            </w:r>
          </w:p>
        </w:tc>
        <w:tc>
          <w:tcPr>
            <w:tcW w:type="dxa" w:w="784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What exact statute or regulation requires, permits, or prohibits the action?</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Is it ethics?</w:t>
            </w:r>
          </w:p>
        </w:tc>
        <w:tc>
          <w:tcPr>
            <w:tcW w:type="dxa" w:w="784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What NASW value or standard shapes professional conduct beyond the legal minimum?</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Is it policy?</w:t>
            </w:r>
          </w:p>
        </w:tc>
        <w:tc>
          <w:tcPr>
            <w:tcW w:type="dxa" w:w="784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Does the policy fit current law and ethics, and what should happen if it conflicts?</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Is it best practice?</w:t>
            </w:r>
          </w:p>
        </w:tc>
        <w:tc>
          <w:tcPr>
            <w:tcW w:type="dxa" w:w="784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Is it a clinically prudent safeguard rather than an enforceable rule?</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Is it examination administration?</w:t>
            </w:r>
          </w:p>
        </w:tc>
        <w:tc>
          <w:tcPr>
            <w:tcW w:type="dxa" w:w="784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Does it describe the test rather than clinical practice?</w:t>
            </w:r>
          </w:p>
        </w:tc>
      </w:tr>
    </w:tbl>
    <w:p>
      <w:pPr>
        <w:spacing w:after="20"/>
      </w:pPr>
    </w:p>
    <w:p>
      <w:pPr>
        <w:pStyle w:val="Heading2"/>
        <w:keepNext/>
      </w:pPr>
      <w:r>
        <w:t>1.3 Conflict-resolution sequence</w:t>
      </w:r>
    </w:p>
    <w:p>
      <w:pPr>
        <w:spacing w:after="80" w:line="259" w:lineRule="auto"/>
        <w:ind w:left="446" w:hanging="446"/>
      </w:pPr>
      <w:r>
        <w:rPr>
          <w:rFonts w:ascii="Calibri" w:hAnsi="Calibri" w:eastAsia="Calibri"/>
          <w:b/>
          <w:color w:val="10A79B"/>
          <w:sz w:val="19"/>
        </w:rPr>
        <w:t xml:space="preserve">1. </w:t>
      </w:r>
      <w:r>
        <w:rPr>
          <w:rFonts w:ascii="Calibri" w:hAnsi="Calibri" w:eastAsia="Calibri"/>
          <w:b/>
          <w:color w:val="102A4C"/>
          <w:sz w:val="19"/>
        </w:rPr>
        <w:t xml:space="preserve">Clarify the facts. </w:t>
      </w:r>
      <w:r>
        <w:rPr>
          <w:rFonts w:ascii="Calibri" w:hAnsi="Calibri" w:eastAsia="Calibri"/>
          <w:color w:val="111111"/>
          <w:sz w:val="19"/>
        </w:rPr>
        <w:t>Identify role, status, setting, jurisdiction, client configuration, current risk, and the exact action being considered.</w:t>
      </w:r>
    </w:p>
    <w:p>
      <w:pPr>
        <w:spacing w:after="80" w:line="259" w:lineRule="auto"/>
        <w:ind w:left="446" w:hanging="446"/>
      </w:pPr>
      <w:r>
        <w:rPr>
          <w:rFonts w:ascii="Calibri" w:hAnsi="Calibri" w:eastAsia="Calibri"/>
          <w:b/>
          <w:color w:val="10A79B"/>
          <w:sz w:val="19"/>
        </w:rPr>
        <w:t xml:space="preserve">2. </w:t>
      </w:r>
      <w:r>
        <w:rPr>
          <w:rFonts w:ascii="Calibri" w:hAnsi="Calibri" w:eastAsia="Calibri"/>
          <w:b/>
          <w:color w:val="102A4C"/>
          <w:sz w:val="19"/>
        </w:rPr>
        <w:t xml:space="preserve">Locate the controlling source. </w:t>
      </w:r>
      <w:r>
        <w:rPr>
          <w:rFonts w:ascii="Calibri" w:hAnsi="Calibri" w:eastAsia="Calibri"/>
          <w:color w:val="111111"/>
          <w:sz w:val="19"/>
        </w:rPr>
        <w:t>Use current law and regulation for legal conclusions. Confirm effective dates and whether later changes supersede the annual BBS booklet.</w:t>
      </w:r>
    </w:p>
    <w:p>
      <w:pPr>
        <w:spacing w:after="80" w:line="259" w:lineRule="auto"/>
        <w:ind w:left="446" w:hanging="446"/>
      </w:pPr>
      <w:r>
        <w:rPr>
          <w:rFonts w:ascii="Calibri" w:hAnsi="Calibri" w:eastAsia="Calibri"/>
          <w:b/>
          <w:color w:val="10A79B"/>
          <w:sz w:val="19"/>
        </w:rPr>
        <w:t xml:space="preserve">3. </w:t>
      </w:r>
      <w:r>
        <w:rPr>
          <w:rFonts w:ascii="Calibri" w:hAnsi="Calibri" w:eastAsia="Calibri"/>
          <w:b/>
          <w:color w:val="102A4C"/>
          <w:sz w:val="19"/>
        </w:rPr>
        <w:t xml:space="preserve">Separate legal and ethical analysis. </w:t>
      </w:r>
      <w:r>
        <w:rPr>
          <w:rFonts w:ascii="Calibri" w:hAnsi="Calibri" w:eastAsia="Calibri"/>
          <w:color w:val="111111"/>
          <w:sz w:val="19"/>
        </w:rPr>
        <w:t>A legal permission is not automatically an ethical recommendation; an ethical preference does not create legal authority.</w:t>
      </w:r>
    </w:p>
    <w:p>
      <w:pPr>
        <w:spacing w:after="80" w:line="259" w:lineRule="auto"/>
        <w:ind w:left="446" w:hanging="446"/>
      </w:pPr>
      <w:r>
        <w:rPr>
          <w:rFonts w:ascii="Calibri" w:hAnsi="Calibri" w:eastAsia="Calibri"/>
          <w:b/>
          <w:color w:val="10A79B"/>
          <w:sz w:val="19"/>
        </w:rPr>
        <w:t xml:space="preserve">4. </w:t>
      </w:r>
      <w:r>
        <w:rPr>
          <w:rFonts w:ascii="Calibri" w:hAnsi="Calibri" w:eastAsia="Calibri"/>
          <w:b/>
          <w:color w:val="102A4C"/>
          <w:sz w:val="19"/>
        </w:rPr>
        <w:t xml:space="preserve">Complete the immediate duty. </w:t>
      </w:r>
      <w:r>
        <w:rPr>
          <w:rFonts w:ascii="Calibri" w:hAnsi="Calibri" w:eastAsia="Calibri"/>
          <w:color w:val="111111"/>
          <w:sz w:val="19"/>
        </w:rPr>
        <w:t>Safety, mandated action, accurate public representation, and prevention of ongoing unlawful conduct may require action before routine consultation.</w:t>
      </w:r>
    </w:p>
    <w:p>
      <w:pPr>
        <w:spacing w:after="80" w:line="259" w:lineRule="auto"/>
        <w:ind w:left="446" w:hanging="446"/>
      </w:pPr>
      <w:r>
        <w:rPr>
          <w:rFonts w:ascii="Calibri" w:hAnsi="Calibri" w:eastAsia="Calibri"/>
          <w:b/>
          <w:color w:val="10A79B"/>
          <w:sz w:val="19"/>
        </w:rPr>
        <w:t xml:space="preserve">5. </w:t>
      </w:r>
      <w:r>
        <w:rPr>
          <w:rFonts w:ascii="Calibri" w:hAnsi="Calibri" w:eastAsia="Calibri"/>
          <w:b/>
          <w:color w:val="102A4C"/>
          <w:sz w:val="19"/>
        </w:rPr>
        <w:t xml:space="preserve">Use consultation and advocacy correctly. </w:t>
      </w:r>
      <w:r>
        <w:rPr>
          <w:rFonts w:ascii="Calibri" w:hAnsi="Calibri" w:eastAsia="Calibri"/>
          <w:color w:val="111111"/>
          <w:sz w:val="19"/>
        </w:rPr>
        <w:t>Consult to clarify or strengthen judgment; escalate or advocate when policies interfere with lawful and ethical care.</w:t>
      </w:r>
    </w:p>
    <w:p>
      <w:pPr>
        <w:spacing w:after="80" w:line="259" w:lineRule="auto"/>
        <w:ind w:left="446" w:hanging="446"/>
      </w:pPr>
      <w:r>
        <w:rPr>
          <w:rFonts w:ascii="Calibri" w:hAnsi="Calibri" w:eastAsia="Calibri"/>
          <w:b/>
          <w:color w:val="10A79B"/>
          <w:sz w:val="19"/>
        </w:rPr>
        <w:t xml:space="preserve">6. </w:t>
      </w:r>
      <w:r>
        <w:rPr>
          <w:rFonts w:ascii="Calibri" w:hAnsi="Calibri" w:eastAsia="Calibri"/>
          <w:b/>
          <w:color w:val="102A4C"/>
          <w:sz w:val="19"/>
        </w:rPr>
        <w:t xml:space="preserve">Document the reasoning. </w:t>
      </w:r>
      <w:r>
        <w:rPr>
          <w:rFonts w:ascii="Calibri" w:hAnsi="Calibri" w:eastAsia="Calibri"/>
          <w:color w:val="111111"/>
          <w:sz w:val="19"/>
        </w:rPr>
        <w:t>Record the facts, source, consultation, decision, action, communication, and follow-up that matter to continuity and accountability.</w:t>
      </w:r>
    </w:p>
    <w:p>
      <w:pPr>
        <w:pStyle w:val="Heading2"/>
        <w:keepNext/>
      </w:pPr>
      <w:r>
        <w:t>1.4 Official examination and CTA boundaries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Control</w:t>
            </w:r>
          </w:p>
        </w:tc>
        <w:tc>
          <w:tcPr>
            <w:tcW w:type="dxa" w:w="691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Meaning</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Official LCSW Law and Ethics Examination</w:t>
            </w:r>
          </w:p>
        </w:tc>
        <w:tc>
          <w:tcPr>
            <w:tcW w:type="dxa" w:w="69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75 multiple-choice questions: 50 scored and 25 unscored pretest; 90 minutes.</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Current content weighting</w:t>
            </w:r>
          </w:p>
        </w:tc>
        <w:tc>
          <w:tcPr>
            <w:tcW w:type="dxa" w:w="69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Law 44% and Ethics 56% under the LCSW outline effective January 2024.</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CTA Practice A and B</w:t>
            </w:r>
          </w:p>
        </w:tc>
        <w:tc>
          <w:tcPr>
            <w:tcW w:type="dxa" w:w="69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50 scored-style educational items each. They do not reproduce the 25 unscored pretest component and are not exact replicas.</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CTA Comprehensive Final</w:t>
            </w:r>
          </w:p>
        </w:tc>
        <w:tc>
          <w:tcPr>
            <w:tcW w:type="dxa" w:w="69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100 original educational items for cumulative review and readiness analysis.</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ASWB Clinical Examination</w:t>
            </w:r>
          </w:p>
        </w:tc>
        <w:tc>
          <w:tcPr>
            <w:tcW w:type="dxa" w:w="69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 later, separate examination after BBS approval of the licensure application. This module does not simulate it.</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Security</w:t>
            </w:r>
          </w:p>
        </w:tc>
        <w:tc>
          <w:tcPr>
            <w:tcW w:type="dxa" w:w="69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Do not seek, share, reproduce, or use live, recalled, or unauthorized examination content.</w:t>
            </w:r>
          </w:p>
        </w:tc>
      </w:tr>
    </w:tbl>
    <w:p>
      <w:pPr>
        <w:spacing w:after="20"/>
      </w:pPr>
    </w:p>
    <w:p>
      <w:pPr>
        <w:pStyle w:val="Heading3"/>
        <w:keepNext/>
      </w:pPr>
      <w:r>
        <w:t>Guided Application 1A - The outdated agency template</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 community agency tells an ASW to keep using a professional profile that lists only “ASW” because the template was approved several years ago. The current profile omits the full registered title and the required supervised-status statement.</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source controls, and what should happen first?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STATUS + SETTING</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actor is a registered ASW whose employer created the public profile. Employer authorship does not remove the registrant’s responsibility for accurate public representation.</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SOURCE</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Current operative regulation controls. CCR section 1811, effective April 1, 2026, requires the full “Registered Associate Clinical Social Worker” title when ASW is used, the registration number, employer or volunteer entity, and that the registrant is supervised by a licensed person.</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STEP</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Correct or remove the misleading advertisement promptly. Then notify the employer, document the correction, and update the template so the error does not recur.</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ETHICS</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NASW integrity and misrepresentation standards reinforce accurate public representation but do not replace the regulation.</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The ASW should not continue a known inaccurate advertisement while waiting for routine policy revision. The current regulation controls over the legacy template. The sequence is contain the active misrepresentation, correct it, communicate, document, and repair the system.</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Treating an employer-approved template as a defense when the current regulation is different.</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5F7F9"/>
            <w:tcMar>
              <w:top w:w="90" w:type="dxa"/>
              <w:start w:w="105" w:type="dxa"/>
              <w:bottom w:w="90" w:type="dxa"/>
              <w:end w:w="105" w:type="dxa"/>
            </w:tcMar>
            <w:tcBorders>
              <w:top w:val="nil"/>
              <w:left w:val="single" w:sz="18" w:color="5E6670"/>
              <w:bottom w:val="nil"/>
              <w:right w:val="nil"/>
            </w:tcBorders>
          </w:tcPr>
          <w:p>
            <w:pPr>
              <w:spacing w:after="0" w:line="252" w:lineRule="auto"/>
            </w:pPr>
            <w:r>
              <w:rPr>
                <w:rFonts w:ascii="Calibri" w:hAnsi="Calibri" w:eastAsia="Calibri"/>
                <w:b/>
                <w:color w:val="102A4C"/>
                <w:sz w:val="16"/>
              </w:rPr>
              <w:t>SOURCE NOTE  Source anchors: BPC Chapter 14; BPC sections 4992.2-4992.3; 16 CCR sections 1811 and 1815.5; Pearson VUE LCSW Law and Ethics Examination Outline and July 2026 Candidate Handbook; NASW Code of Ethics, Purpose and core values. Current-source verification refreshed August 7, 2026. Verify high-change sources again within 30 days of public release and after material legal/regulatory change.</w:t>
            </w:r>
            <w:r>
              <w:rPr>
                <w:rFonts w:ascii="Calibri" w:hAnsi="Calibri" w:eastAsia="Calibri"/>
                <w:color w:val="111111"/>
                <w:sz w:val="16"/>
              </w:rPr>
            </w:r>
          </w:p>
        </w:tc>
      </w:tr>
    </w:tbl>
    <w:p>
      <w:pPr>
        <w:spacing w:after="0"/>
      </w:pPr>
    </w:p>
    <w:p>
      <w:pPr>
        <w:pageBreakBefore/>
        <w:spacing w:after="160"/>
        <w:jc w:val="center"/>
      </w:pPr>
      <w:r>
        <w:rPr>
          <w:rFonts w:ascii="Calibri" w:hAnsi="Calibri" w:eastAsia="Calibri"/>
          <w:b/>
          <w:color w:val="10A79B"/>
          <w:sz w:val="22"/>
        </w:rPr>
        <w:t>UNIT 2</w:t>
      </w:r>
    </w:p>
    <w:p>
      <w:pPr>
        <w:spacing w:after="240"/>
        <w:jc w:val="center"/>
        <w:pBdr>
          <w:bottom w:val="single" w:sz="6" w:space="5" w:color="2F69BF"/>
        </w:pBdr>
      </w:pPr>
      <w:r>
        <w:rPr>
          <w:rFonts w:ascii="Calibri" w:hAnsi="Calibri" w:eastAsia="Calibri"/>
          <w:b/>
          <w:color w:val="102A4C"/>
          <w:sz w:val="42"/>
        </w:rPr>
        <w:t>LCSW/ASW Identity, Scope and Competence</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AF1FB"/>
            <w:tcMar>
              <w:top w:w="90" w:type="dxa"/>
              <w:start w:w="105" w:type="dxa"/>
              <w:bottom w:w="90" w:type="dxa"/>
              <w:end w:w="105" w:type="dxa"/>
            </w:tcMar>
            <w:tcBorders>
              <w:top w:val="nil"/>
              <w:left w:val="single" w:sz="18" w:color="2F69BF"/>
              <w:bottom w:val="nil"/>
              <w:right w:val="nil"/>
            </w:tcBorders>
          </w:tcPr>
          <w:p>
            <w:pPr>
              <w:spacing w:after="0" w:line="252" w:lineRule="auto"/>
            </w:pPr>
            <w:r>
              <w:rPr>
                <w:rFonts w:ascii="Calibri" w:hAnsi="Calibri" w:eastAsia="Calibri"/>
                <w:b/>
                <w:color w:val="102A4C"/>
                <w:sz w:val="19"/>
              </w:rPr>
              <w:t xml:space="preserve">WHY THIS MATTERS  </w:t>
            </w:r>
            <w:r>
              <w:rPr>
                <w:rFonts w:ascii="Calibri" w:hAnsi="Calibri" w:eastAsia="Calibri"/>
                <w:color w:val="111111"/>
                <w:sz w:val="19"/>
              </w:rPr>
              <w:t>Many distractors collapse four different questions: Is the service inside the profession’s scope? Is this person legally authorized to perform it now? Does this clinician have the competence to perform it well? Does the setting and role permit the service? Strong answers separate all four.</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9F7F5"/>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20"/>
              </w:rPr>
              <w:t xml:space="preserve">BIG IDEA  </w:t>
            </w:r>
            <w:r>
              <w:rPr>
                <w:rFonts w:ascii="Calibri" w:hAnsi="Calibri" w:eastAsia="Calibri"/>
                <w:color w:val="111111"/>
                <w:sz w:val="20"/>
              </w:rPr>
              <w:t>Professional scope opens the door; status, setting, role and competence determine whether the clinician may walk through it.</w:t>
            </w:r>
          </w:p>
        </w:tc>
      </w:tr>
    </w:tbl>
    <w:p>
      <w:pPr>
        <w:spacing w:after="0"/>
      </w:pPr>
    </w:p>
    <w:p>
      <w:pPr>
        <w:pStyle w:val="Heading2"/>
        <w:keepNext/>
      </w:pPr>
      <w:r>
        <w:t>Unit learning objectives</w:t>
      </w:r>
    </w:p>
    <w:p>
      <w:pPr>
        <w:pStyle w:val="ListBullet"/>
        <w:spacing w:after="66" w:line="259" w:lineRule="auto"/>
        <w:ind w:left="403" w:hanging="202"/>
      </w:pPr>
      <w:r>
        <w:rPr>
          <w:rFonts w:ascii="Calibri" w:hAnsi="Calibri" w:eastAsia="Calibri"/>
          <w:color w:val="111111"/>
          <w:sz w:val="19"/>
        </w:rPr>
        <w:t>Describe the statutory scope of clinical social work without substituting an LMFT or LPCC definition.</w:t>
      </w:r>
    </w:p>
    <w:p>
      <w:pPr>
        <w:pStyle w:val="ListBullet"/>
        <w:spacing w:after="66" w:line="259" w:lineRule="auto"/>
        <w:ind w:left="403" w:hanging="202"/>
      </w:pPr>
      <w:r>
        <w:rPr>
          <w:rFonts w:ascii="Calibri" w:hAnsi="Calibri" w:eastAsia="Calibri"/>
          <w:color w:val="111111"/>
          <w:sz w:val="19"/>
        </w:rPr>
        <w:t>Distinguish profession-wide scope from individual competence, legal status, work-setting authority, and role.</w:t>
      </w:r>
    </w:p>
    <w:p>
      <w:pPr>
        <w:pStyle w:val="ListBullet"/>
        <w:spacing w:after="66" w:line="259" w:lineRule="auto"/>
        <w:ind w:left="403" w:hanging="202"/>
      </w:pPr>
      <w:r>
        <w:rPr>
          <w:rFonts w:ascii="Calibri" w:hAnsi="Calibri" w:eastAsia="Calibri"/>
          <w:color w:val="111111"/>
          <w:sz w:val="19"/>
        </w:rPr>
        <w:t>Select consultation, supervision, education, referral, limitation, transfer, or continuity steps when competence is incomplete.</w:t>
      </w:r>
    </w:p>
    <w:p>
      <w:pPr>
        <w:pStyle w:val="Heading2"/>
        <w:keepNext/>
      </w:pPr>
      <w:r>
        <w:t>Lesson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44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Lesson</w:t>
            </w:r>
          </w:p>
        </w:tc>
        <w:tc>
          <w:tcPr>
            <w:tcW w:type="dxa" w:w="871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Focus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2.1</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Protected identity and licensure</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2.2</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California clinical-social-work scope</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2.3</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Psychotherapy within clinical social work</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2.4</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Scope versus competence</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2.5</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Professional roles and role clarity</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2.6</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Referral, consultation and continuity</w:t>
            </w:r>
          </w:p>
        </w:tc>
      </w:tr>
    </w:tbl>
    <w:p>
      <w:pPr>
        <w:spacing w:after="20"/>
      </w:pPr>
    </w:p>
    <w:p>
      <w:pPr>
        <w:pStyle w:val="Heading2"/>
        <w:keepNext/>
      </w:pPr>
      <w:r>
        <w:t>2.1 Protected identity and legal authority</w:t>
      </w:r>
    </w:p>
    <w:p>
      <w:pPr>
        <w:keepLines w:val="0"/>
        <w:spacing w:after="120" w:line="266" w:lineRule="auto"/>
      </w:pPr>
      <w:r>
        <w:rPr>
          <w:rFonts w:ascii="Calibri" w:hAnsi="Calibri" w:eastAsia="Calibri"/>
          <w:color w:val="111111"/>
          <w:sz w:val="20"/>
        </w:rPr>
        <w:t>California protects the title “Licensed Clinical Social Worker.” A person may not hold themselves out as an LCSW without a valid license. An ASW is registered and unlicensed. Passing an examination, completing most experience hours, working in a licensed setting, or receiving favorable supervision does not convert an ASW into an LCSW. Legal status changes only through the Board’s licensing process.</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FF6D9"/>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19"/>
              </w:rPr>
              <w:t xml:space="preserve">EXAM DISTINCTION  </w:t>
            </w:r>
            <w:r>
              <w:rPr>
                <w:rFonts w:ascii="Calibri" w:hAnsi="Calibri" w:eastAsia="Calibri"/>
                <w:color w:val="111111"/>
                <w:sz w:val="19"/>
              </w:rPr>
              <w:t>“Eligible,” “registered,” “under supervision,” “passed the exam,” “completed hours,” and “licensed” are different statuses. Do not let a near-complete pathway become an answer that assumes independent-practice authority.</w:t>
            </w:r>
          </w:p>
        </w:tc>
      </w:tr>
    </w:tbl>
    <w:p>
      <w:pPr>
        <w:spacing w:after="0"/>
      </w:pPr>
    </w:p>
    <w:p>
      <w:pPr>
        <w:pStyle w:val="Heading2"/>
        <w:keepNext/>
      </w:pPr>
      <w:r>
        <w:t>2.2 California clinical-social-work scope</w:t>
      </w:r>
    </w:p>
    <w:p>
      <w:pPr>
        <w:keepLines w:val="0"/>
        <w:spacing w:after="120" w:line="266" w:lineRule="auto"/>
      </w:pPr>
      <w:r>
        <w:rPr>
          <w:rFonts w:ascii="Calibri" w:hAnsi="Calibri" w:eastAsia="Calibri"/>
          <w:color w:val="111111"/>
          <w:sz w:val="20"/>
        </w:rPr>
        <w:t>Business and Professions Code section 4996.9 defines clinical social work broadly. It applies specialized knowledge of social resources, human capacities, psychosocial adjustment, and motivation to help people achieve more adequate and productive social functioning. The statute includes counseling and nonmedical psychotherapy with individuals, families, or groups; information and referral; provision or arrangement of social services; interpretation of psychosocial aspects of situations; community organization; and social-work research.</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Scope area</w:t>
            </w:r>
          </w:p>
        </w:tc>
        <w:tc>
          <w:tcPr>
            <w:tcW w:type="dxa" w:w="748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Examples within the statutory and professional social-work frame</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Clinical and psychotherapeutic</w:t>
            </w:r>
          </w:p>
        </w:tc>
        <w:tc>
          <w:tcPr>
            <w:tcW w:type="dxa" w:w="748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Psychosocial diagnosis, assessment and treatment; counseling; nonmedical psychotherapy; attention to internal and external conditions.</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Resource and systems</w:t>
            </w:r>
          </w:p>
        </w:tc>
        <w:tc>
          <w:tcPr>
            <w:tcW w:type="dxa" w:w="748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Information, referral, linkage, social services, coordination, and environmental intervention.</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Family, group and community</w:t>
            </w:r>
          </w:p>
        </w:tc>
        <w:tc>
          <w:tcPr>
            <w:tcW w:type="dxa" w:w="748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Work with individuals, families, groups, organizations and communities within role, competence and authority.</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Advocacy and administration</w:t>
            </w:r>
          </w:p>
        </w:tc>
        <w:tc>
          <w:tcPr>
            <w:tcW w:type="dxa" w:w="748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Support access, remove barriers, improve services, clarify roles, and address organizational conditions.</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Research and evaluation</w:t>
            </w:r>
          </w:p>
        </w:tc>
        <w:tc>
          <w:tcPr>
            <w:tcW w:type="dxa" w:w="748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Social-work research and evaluation conducted with appropriate consent, role clarity, competence and safeguards.</w:t>
            </w:r>
          </w:p>
        </w:tc>
      </w:tr>
    </w:tbl>
    <w:p>
      <w:pPr>
        <w:spacing w:after="20"/>
      </w:pPr>
    </w:p>
    <w:p>
      <w:pPr>
        <w:pStyle w:val="Heading2"/>
        <w:keepNext/>
      </w:pPr>
      <w:r>
        <w:t>2.3 Psychotherapy within clinical social work</w:t>
      </w:r>
    </w:p>
    <w:p>
      <w:pPr>
        <w:keepLines w:val="0"/>
        <w:spacing w:after="120" w:line="266" w:lineRule="auto"/>
      </w:pPr>
      <w:r>
        <w:rPr>
          <w:rFonts w:ascii="Calibri" w:hAnsi="Calibri" w:eastAsia="Calibri"/>
          <w:color w:val="111111"/>
          <w:sz w:val="20"/>
        </w:rPr>
        <w:t>The statute describes psychotherapy as the use of psychosocial methods within a professional relationship to support better psychosocial adaptation, greater realization of human potential, and change in internal and external conditions affecting behavior, emotions, thinking, and interpersonal or intrapersonal processes. This definition reflects the profession’s person-in-environment and systems orientation. It does not make every social-work activity psychotherapy, and it does not eliminate the need for valid consent, competence, lawful status, and role clarity.</w:t>
      </w:r>
    </w:p>
    <w:p>
      <w:pPr>
        <w:pStyle w:val="Heading2"/>
        <w:keepNext/>
      </w:pPr>
      <w:r>
        <w:t>2.4 Scope of practice versus competence</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Layer</w:t>
            </w:r>
          </w:p>
        </w:tc>
        <w:tc>
          <w:tcPr>
            <w:tcW w:type="dxa" w:w="367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Question</w:t>
            </w:r>
          </w:p>
        </w:tc>
        <w:tc>
          <w:tcPr>
            <w:tcW w:type="dxa" w:w="439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Possible response</w:t>
            </w:r>
          </w:p>
        </w:tc>
      </w:tr>
      <w:tr>
        <w:trPr>
          <w:cantSplit/>
        </w:trPr>
        <w:tc>
          <w:tcPr>
            <w:tcW w:type="dxa" w:w="208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Profession scope</w:t>
            </w:r>
          </w:p>
        </w:tc>
        <w:tc>
          <w:tcPr>
            <w:tcW w:type="dxa" w:w="36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Is the service within California clinical social work at all?</w:t>
            </w:r>
          </w:p>
        </w:tc>
        <w:tc>
          <w:tcPr>
            <w:tcW w:type="dxa" w:w="439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Proceed to the next layer or refer if outside scope.</w:t>
            </w:r>
          </w:p>
        </w:tc>
      </w:tr>
      <w:tr>
        <w:trPr>
          <w:cantSplit/>
        </w:trPr>
        <w:tc>
          <w:tcPr>
            <w:tcW w:type="dxa" w:w="208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Present legal authority</w:t>
            </w:r>
          </w:p>
        </w:tc>
        <w:tc>
          <w:tcPr>
            <w:tcW w:type="dxa" w:w="367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Is the person licensed or registered as required, and is the setting lawful?</w:t>
            </w:r>
          </w:p>
        </w:tc>
        <w:tc>
          <w:tcPr>
            <w:tcW w:type="dxa" w:w="439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Correct status/setting or stop; competence cannot cure missing authority.</w:t>
            </w:r>
          </w:p>
        </w:tc>
      </w:tr>
      <w:tr>
        <w:trPr>
          <w:cantSplit/>
        </w:trPr>
        <w:tc>
          <w:tcPr>
            <w:tcW w:type="dxa" w:w="208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Individual competence</w:t>
            </w:r>
          </w:p>
        </w:tc>
        <w:tc>
          <w:tcPr>
            <w:tcW w:type="dxa" w:w="36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Does the clinician have the education, training, supervised experience and current knowledge?</w:t>
            </w:r>
          </w:p>
        </w:tc>
        <w:tc>
          <w:tcPr>
            <w:tcW w:type="dxa" w:w="439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Study, train, consult, obtain supervision, limit, refer or transfer.</w:t>
            </w:r>
          </w:p>
        </w:tc>
      </w:tr>
      <w:tr>
        <w:trPr>
          <w:cantSplit/>
        </w:trPr>
        <w:tc>
          <w:tcPr>
            <w:tcW w:type="dxa" w:w="208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Role and client understanding</w:t>
            </w:r>
          </w:p>
        </w:tc>
        <w:tc>
          <w:tcPr>
            <w:tcW w:type="dxa" w:w="367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Is the clinician acting as therapist, evaluator, advocate, administrator, supervisor, researcher or witness?</w:t>
            </w:r>
          </w:p>
        </w:tc>
        <w:tc>
          <w:tcPr>
            <w:tcW w:type="dxa" w:w="439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Clarify the role, limits, conflicts, confidentiality and intended use.</w:t>
            </w:r>
          </w:p>
        </w:tc>
      </w:tr>
      <w:tr>
        <w:trPr>
          <w:cantSplit/>
        </w:trPr>
        <w:tc>
          <w:tcPr>
            <w:tcW w:type="dxa" w:w="208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Client and context fit</w:t>
            </w:r>
          </w:p>
        </w:tc>
        <w:tc>
          <w:tcPr>
            <w:tcW w:type="dxa" w:w="36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Is the service responsive to the client’s needs, culture, access, risk and preferences?</w:t>
            </w:r>
          </w:p>
        </w:tc>
        <w:tc>
          <w:tcPr>
            <w:tcW w:type="dxa" w:w="439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Adapt, collaborate, consult, advocate or identify alternatives.</w:t>
            </w:r>
          </w:p>
        </w:tc>
      </w:tr>
    </w:tbl>
    <w:p>
      <w:pPr>
        <w:spacing w:after="20"/>
      </w:pPr>
    </w:p>
    <w:p>
      <w:pPr>
        <w:pStyle w:val="Heading2"/>
        <w:keepNext/>
      </w:pPr>
      <w:r>
        <w:t>2.5 Professional roles and role clarity</w:t>
      </w:r>
    </w:p>
    <w:p>
      <w:pPr>
        <w:keepLines w:val="0"/>
        <w:spacing w:after="120" w:line="266" w:lineRule="auto"/>
      </w:pPr>
      <w:r>
        <w:rPr>
          <w:rFonts w:ascii="Calibri" w:hAnsi="Calibri" w:eastAsia="Calibri"/>
          <w:color w:val="111111"/>
          <w:sz w:val="20"/>
        </w:rPr>
        <w:t>Social workers may work in clinical, case-management, advocacy, administrative, evaluative, educational, research, supervisory, forensic, organizational, and community roles. The ethical risk is not having multiple capacities; the risk is allowing clients or third parties to misunderstand which role is active, what confidentiality applies, who the client is, how information will be used, and whether treatment and evaluation duties can conflict.</w:t>
      </w:r>
    </w:p>
    <w:p>
      <w:pPr>
        <w:pStyle w:val="ListBullet"/>
        <w:spacing w:after="66" w:line="259" w:lineRule="auto"/>
        <w:ind w:left="403" w:hanging="202"/>
      </w:pPr>
      <w:r>
        <w:rPr>
          <w:rFonts w:ascii="Calibri" w:hAnsi="Calibri" w:eastAsia="Calibri"/>
          <w:color w:val="111111"/>
          <w:sz w:val="19"/>
        </w:rPr>
        <w:t>Clarify the purpose of the service and who is considered the client.</w:t>
      </w:r>
    </w:p>
    <w:p>
      <w:pPr>
        <w:pStyle w:val="ListBullet"/>
        <w:spacing w:after="66" w:line="259" w:lineRule="auto"/>
        <w:ind w:left="403" w:hanging="202"/>
      </w:pPr>
      <w:r>
        <w:rPr>
          <w:rFonts w:ascii="Calibri" w:hAnsi="Calibri" w:eastAsia="Calibri"/>
          <w:color w:val="111111"/>
          <w:sz w:val="19"/>
        </w:rPr>
        <w:t>Explain the limits of confidentiality and the intended recipients or uses of information.</w:t>
      </w:r>
    </w:p>
    <w:p>
      <w:pPr>
        <w:pStyle w:val="ListBullet"/>
        <w:spacing w:after="66" w:line="259" w:lineRule="auto"/>
        <w:ind w:left="403" w:hanging="202"/>
      </w:pPr>
      <w:r>
        <w:rPr>
          <w:rFonts w:ascii="Calibri" w:hAnsi="Calibri" w:eastAsia="Calibri"/>
          <w:color w:val="111111"/>
          <w:sz w:val="19"/>
        </w:rPr>
        <w:t>Avoid offering treatment and neutral evaluation as though the roles are interchangeable.</w:t>
      </w:r>
    </w:p>
    <w:p>
      <w:pPr>
        <w:pStyle w:val="ListBullet"/>
        <w:spacing w:after="66" w:line="259" w:lineRule="auto"/>
        <w:ind w:left="403" w:hanging="202"/>
      </w:pPr>
      <w:r>
        <w:rPr>
          <w:rFonts w:ascii="Calibri" w:hAnsi="Calibri" w:eastAsia="Calibri"/>
          <w:color w:val="111111"/>
          <w:sz w:val="19"/>
        </w:rPr>
        <w:t>Identify conflicts early, use consultation, and modify or decline a role when impartiality or client welfare cannot be protected.</w:t>
      </w:r>
    </w:p>
    <w:p>
      <w:pPr>
        <w:pStyle w:val="ListBullet"/>
        <w:spacing w:after="66" w:line="259" w:lineRule="auto"/>
        <w:ind w:left="403" w:hanging="202"/>
      </w:pPr>
      <w:r>
        <w:rPr>
          <w:rFonts w:ascii="Calibri" w:hAnsi="Calibri" w:eastAsia="Calibri"/>
          <w:color w:val="111111"/>
          <w:sz w:val="19"/>
        </w:rPr>
        <w:t>Document role clarification and any later role change.</w:t>
      </w:r>
    </w:p>
    <w:p>
      <w:pPr>
        <w:pStyle w:val="Heading2"/>
        <w:keepNext/>
      </w:pPr>
      <w:r>
        <w:t>2.6 Referral, consultation and continuity</w:t>
      </w:r>
    </w:p>
    <w:p>
      <w:pPr>
        <w:keepLines w:val="0"/>
        <w:spacing w:after="120" w:line="266" w:lineRule="auto"/>
      </w:pPr>
      <w:r>
        <w:rPr>
          <w:rFonts w:ascii="Calibri" w:hAnsi="Calibri" w:eastAsia="Calibri"/>
          <w:color w:val="111111"/>
          <w:sz w:val="20"/>
        </w:rPr>
        <w:t>Consultation supports judgment; supervision carries legal responsibility and control for an ASW’s work; referral transfers or adds specialized service; and termination closes a professional relationship. These actions are not interchangeable. A referral should be qualified and orderly, with client consent for information sharing when required. A clinician should avoid abrupt withdrawal while the client still needs care and should plan continuity when illness, technology failure, relocation, organizational change, or another disruption affects service.</w:t>
      </w:r>
    </w:p>
    <w:p>
      <w:pPr>
        <w:pStyle w:val="Heading3"/>
        <w:keepNext/>
      </w:pPr>
      <w:r>
        <w:t>Guided Application 2A - Within scope, beyond current competence</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An ASW in a county clinic is asked to begin a specialized exposure-based trauma intervention after attending a single introductory webinar. The service is within the broad field of clinical social work, and the clinic has a qualified supervisor, but the ASW has not completed method-specific training or supervised practice.</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is the BEST response?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SCOPE</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Trauma treatment may fit clinical social work. The profession-wide scope question is not the endpoint.</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AUTHORITY + SETTING</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ASW has a lawful role in a qualifying supervised setting. That does not establish competence in a specialized method.</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COMPETENCE</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Assess the gap, discuss it promptly with the supervisor, and identify training, observation, consultation, co-treatment, modified duties, or referral needed to protect the client.</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CONTINUITY</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Do not abandon the client. Continue services that are within competence or arrange an orderly alternative while the competence plan is implemented.</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The ASW should not represent introductory exposure as sufficient competence. The correct response preserves the client’s access while matching the intervention to the clinician’s present preparation and supervision.</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Choosing “within LCSW scope” as though it automatically means “this ASW is competent and authorized to perform it now.”</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5F7F9"/>
            <w:tcMar>
              <w:top w:w="90" w:type="dxa"/>
              <w:start w:w="105" w:type="dxa"/>
              <w:bottom w:w="90" w:type="dxa"/>
              <w:end w:w="105" w:type="dxa"/>
            </w:tcMar>
            <w:tcBorders>
              <w:top w:val="nil"/>
              <w:left w:val="single" w:sz="18" w:color="5E6670"/>
              <w:bottom w:val="nil"/>
              <w:right w:val="nil"/>
            </w:tcBorders>
          </w:tcPr>
          <w:p>
            <w:pPr>
              <w:spacing w:after="0" w:line="252" w:lineRule="auto"/>
            </w:pPr>
            <w:r>
              <w:rPr>
                <w:rFonts w:ascii="Calibri" w:hAnsi="Calibri" w:eastAsia="Calibri"/>
                <w:b/>
                <w:color w:val="102A4C"/>
                <w:sz w:val="16"/>
              </w:rPr>
              <w:t>SOURCE NOTE  Source anchors: BPC sections 4996 and 4996.9; BPC section 4992.3(d), (t), (u); NASW Code of Ethics standards 1.04, 1.16-1.17, 4.01 and 4.06; LCSW outline Ethics 2A and 2C role/competence tasks. Current-source verification refreshed August 7, 2026. Verify high-change sources again within 30 days of public release and after material legal/regulatory change.</w:t>
            </w:r>
            <w:r>
              <w:rPr>
                <w:rFonts w:ascii="Calibri" w:hAnsi="Calibri" w:eastAsia="Calibri"/>
                <w:color w:val="111111"/>
                <w:sz w:val="16"/>
              </w:rPr>
            </w:r>
          </w:p>
        </w:tc>
      </w:tr>
    </w:tbl>
    <w:p>
      <w:pPr>
        <w:spacing w:after="0"/>
      </w:pPr>
    </w:p>
    <w:p>
      <w:pPr>
        <w:pageBreakBefore/>
        <w:spacing w:after="160"/>
        <w:jc w:val="center"/>
      </w:pPr>
      <w:r>
        <w:rPr>
          <w:rFonts w:ascii="Calibri" w:hAnsi="Calibri" w:eastAsia="Calibri"/>
          <w:b/>
          <w:color w:val="10A79B"/>
          <w:sz w:val="22"/>
        </w:rPr>
        <w:t>UNIT 3</w:t>
      </w:r>
    </w:p>
    <w:p>
      <w:pPr>
        <w:spacing w:after="240"/>
        <w:jc w:val="center"/>
        <w:pBdr>
          <w:bottom w:val="single" w:sz="6" w:space="5" w:color="2F69BF"/>
        </w:pBdr>
      </w:pPr>
      <w:r>
        <w:rPr>
          <w:rFonts w:ascii="Calibri" w:hAnsi="Calibri" w:eastAsia="Calibri"/>
          <w:b/>
          <w:color w:val="102A4C"/>
          <w:sz w:val="42"/>
        </w:rPr>
        <w:t>ASW Registration, the 90-Day Rule and Licensure Pathway</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AF1FB"/>
            <w:tcMar>
              <w:top w:w="90" w:type="dxa"/>
              <w:start w:w="105" w:type="dxa"/>
              <w:bottom w:w="90" w:type="dxa"/>
              <w:end w:w="105" w:type="dxa"/>
            </w:tcMar>
            <w:tcBorders>
              <w:top w:val="nil"/>
              <w:left w:val="single" w:sz="18" w:color="2F69BF"/>
              <w:bottom w:val="nil"/>
              <w:right w:val="nil"/>
            </w:tcBorders>
          </w:tcPr>
          <w:p>
            <w:pPr>
              <w:spacing w:after="0" w:line="252" w:lineRule="auto"/>
            </w:pPr>
            <w:r>
              <w:rPr>
                <w:rFonts w:ascii="Calibri" w:hAnsi="Calibri" w:eastAsia="Calibri"/>
                <w:b/>
                <w:color w:val="102A4C"/>
                <w:sz w:val="19"/>
              </w:rPr>
              <w:t xml:space="preserve">WHY THIS MATTERS  </w:t>
            </w:r>
            <w:r>
              <w:rPr>
                <w:rFonts w:ascii="Calibri" w:hAnsi="Calibri" w:eastAsia="Calibri"/>
                <w:color w:val="111111"/>
                <w:sz w:val="19"/>
              </w:rPr>
              <w:t>Pathway questions often use facts that are almost sufficient: an application has been mailed, an exam has been passed, hours are nearly complete, or a supervisor approves independent work. The exam tests whether you know the status that exists now—not the status expected later.</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9F7F5"/>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20"/>
              </w:rPr>
              <w:t xml:space="preserve">BIG IDEA  </w:t>
            </w:r>
            <w:r>
              <w:rPr>
                <w:rFonts w:ascii="Calibri" w:hAnsi="Calibri" w:eastAsia="Calibri"/>
                <w:color w:val="111111"/>
                <w:sz w:val="20"/>
              </w:rPr>
              <w:t>A future credential does not create present authority.</w:t>
            </w:r>
          </w:p>
        </w:tc>
      </w:tr>
    </w:tbl>
    <w:p>
      <w:pPr>
        <w:spacing w:after="0"/>
      </w:pPr>
    </w:p>
    <w:p>
      <w:pPr>
        <w:pStyle w:val="Heading2"/>
        <w:keepNext/>
      </w:pPr>
      <w:r>
        <w:t>Unit learning objectives</w:t>
      </w:r>
    </w:p>
    <w:p>
      <w:pPr>
        <w:pStyle w:val="ListBullet"/>
        <w:spacing w:after="66" w:line="259" w:lineRule="auto"/>
        <w:ind w:left="403" w:hanging="202"/>
      </w:pPr>
      <w:r>
        <w:rPr>
          <w:rFonts w:ascii="Calibri" w:hAnsi="Calibri" w:eastAsia="Calibri"/>
          <w:color w:val="111111"/>
          <w:sz w:val="19"/>
        </w:rPr>
        <w:t>Apply the 90-day rule only when its timing, workplace and later-registration conditions are met.</w:t>
      </w:r>
    </w:p>
    <w:p>
      <w:pPr>
        <w:pStyle w:val="ListBullet"/>
        <w:spacing w:after="66" w:line="259" w:lineRule="auto"/>
        <w:ind w:left="403" w:hanging="202"/>
      </w:pPr>
      <w:r>
        <w:rPr>
          <w:rFonts w:ascii="Calibri" w:hAnsi="Calibri" w:eastAsia="Calibri"/>
          <w:color w:val="111111"/>
          <w:sz w:val="19"/>
        </w:rPr>
        <w:t>Sequence annual registration renewal, examination participation, Law and Ethics CE, retake timing, and subsequent registration accurately.</w:t>
      </w:r>
    </w:p>
    <w:p>
      <w:pPr>
        <w:pStyle w:val="ListBullet"/>
        <w:spacing w:after="66" w:line="259" w:lineRule="auto"/>
        <w:ind w:left="403" w:hanging="202"/>
      </w:pPr>
      <w:r>
        <w:rPr>
          <w:rFonts w:ascii="Calibri" w:hAnsi="Calibri" w:eastAsia="Calibri"/>
          <w:color w:val="111111"/>
          <w:sz w:val="19"/>
        </w:rPr>
        <w:t>Reject any answer that treats passing an exam or nearing the experience requirement as independent-practice authority.</w:t>
      </w:r>
    </w:p>
    <w:p>
      <w:pPr>
        <w:pStyle w:val="Heading2"/>
        <w:keepNext/>
      </w:pPr>
      <w:r>
        <w:t>Lesson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44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Lesson</w:t>
            </w:r>
          </w:p>
        </w:tc>
        <w:tc>
          <w:tcPr>
            <w:tcW w:type="dxa" w:w="871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Focus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3.1</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Status points on the pathway</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3.2</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The 90-day rule</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3.3</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Pending-registration representation</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3.4</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Annual renewal and examination duty</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3.5</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Six-year limit and subsequent registration</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3.6</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California Law and Ethics versus ASWB Clinical</w:t>
            </w:r>
          </w:p>
        </w:tc>
      </w:tr>
    </w:tbl>
    <w:p>
      <w:pPr>
        <w:spacing w:after="20"/>
      </w:pPr>
    </w:p>
    <w:p>
      <w:pPr>
        <w:pStyle w:val="Heading2"/>
        <w:keepNext/>
      </w:pPr>
      <w:r>
        <w:t>3.1 Status points on the pathway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Status</w:t>
            </w:r>
          </w:p>
        </w:tc>
        <w:tc>
          <w:tcPr>
            <w:tcW w:type="dxa" w:w="727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What it means</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Social work intern/student</w:t>
            </w:r>
          </w:p>
        </w:tc>
        <w:tc>
          <w:tcPr>
            <w:tcW w:type="dxa" w:w="72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Graduate student in an accredited program; training title must clearly indicate student status; no private-practice/professional-corporation clinical social work.</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Graduate / registration applicant</w:t>
            </w:r>
          </w:p>
        </w:tc>
        <w:tc>
          <w:tcPr>
            <w:tcW w:type="dxa" w:w="727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Degree awarded; may qualify for limited pre-registration experience credit under the 90-day rule; may not claim ASW registration before issuance.</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Registered ASW</w:t>
            </w:r>
          </w:p>
        </w:tc>
        <w:tc>
          <w:tcPr>
            <w:tcW w:type="dxa" w:w="72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Unlicensed registrant practicing only in lawful employment/volunteer and supervision arrangements; must disclose unlicensed and supervised status.</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Applicant for LCSW licensure</w:t>
            </w:r>
          </w:p>
        </w:tc>
        <w:tc>
          <w:tcPr>
            <w:tcW w:type="dxa" w:w="727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Education and experience submitted for Board review; remains unlicensed unless and until the license is issued.</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Licensed Clinical Social Worker</w:t>
            </w:r>
          </w:p>
        </w:tc>
        <w:tc>
          <w:tcPr>
            <w:tcW w:type="dxa" w:w="72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Board-issued active LCSW license; independent authority remains subject to scope, competence, setting law, ethics and other applicable rules.</w:t>
            </w:r>
          </w:p>
        </w:tc>
      </w:tr>
    </w:tbl>
    <w:p>
      <w:pPr>
        <w:spacing w:after="20"/>
      </w:pPr>
    </w:p>
    <w:p>
      <w:pPr>
        <w:pStyle w:val="Heading2"/>
        <w:keepNext/>
      </w:pPr>
      <w:r>
        <w:t>3.2 The 90-day rule</w:t>
      </w:r>
    </w:p>
    <w:p>
      <w:pPr>
        <w:keepLines w:val="0"/>
        <w:spacing w:after="120" w:line="266" w:lineRule="auto"/>
      </w:pPr>
      <w:r>
        <w:rPr>
          <w:rFonts w:ascii="Calibri" w:hAnsi="Calibri" w:eastAsia="Calibri"/>
          <w:color w:val="111111"/>
          <w:sz w:val="20"/>
        </w:rPr>
        <w:t>Ordinarily, post-master’s experience begins after ASW registration is issued. Business and Professions Code section 4996.23(b) permits certain postdegree hours obtained before issuance to be credited if the Board receives the ASW application within 90 days of the qualifying degree, the Board later grants the registration, and all experience and supervision requirements are met. For applicants who completed graduate study on or after January 1, 2020, the pre-registration hours must be obtained at a workplace that required completed Live Scan fingerprinting before the applicant began those hours, and the processed Live Scan form must later be supplied as required.</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FF6D9"/>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19"/>
              </w:rPr>
              <w:t xml:space="preserve">WHAT THE RULE DOES NOT DO  </w:t>
            </w:r>
            <w:r>
              <w:rPr>
                <w:rFonts w:ascii="Calibri" w:hAnsi="Calibri" w:eastAsia="Calibri"/>
                <w:color w:val="111111"/>
                <w:sz w:val="19"/>
              </w:rPr>
              <w:t>The 90-day rule does not create ASW status, authorize private-practice or professional-corporation work before registration, eliminate supervision, or validate hours that otherwise fail experience requirements.</w:t>
            </w:r>
          </w:p>
        </w:tc>
      </w:tr>
    </w:tbl>
    <w:p>
      <w:pPr>
        <w:spacing w:after="0"/>
      </w:pPr>
    </w:p>
    <w:p>
      <w:pPr>
        <w:pStyle w:val="Heading2"/>
        <w:keepNext/>
      </w:pPr>
      <w:r>
        <w:t>3.3 Pending-registration representation</w:t>
      </w:r>
    </w:p>
    <w:p>
      <w:pPr>
        <w:keepLines w:val="0"/>
        <w:spacing w:after="120" w:line="266" w:lineRule="auto"/>
      </w:pPr>
      <w:r>
        <w:rPr>
          <w:rFonts w:ascii="Calibri" w:hAnsi="Calibri" w:eastAsia="Calibri"/>
          <w:color w:val="111111"/>
          <w:sz w:val="20"/>
        </w:rPr>
        <w:t>An applicant whose ASW number has not been issued should not advertise or introduce themselves as a registered ASW. The accurate description depends on the setting and facts, but it must make the unlicensed and supervised nature of the role clear and must not imply independent registration or licensure. Once the number is issued, all client notices, profiles, directories, email signatures, telehealth pages, and other advertisements must be updated to the current ASW requirements.</w:t>
      </w:r>
    </w:p>
    <w:p>
      <w:pPr>
        <w:pStyle w:val="Heading2"/>
        <w:keepNext/>
      </w:pPr>
      <w:r>
        <w:t>3.4 Annual renewal and examination duty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w:t>
            </w:r>
          </w:p>
        </w:tc>
        <w:tc>
          <w:tcPr>
            <w:tcW w:type="dxa" w:w="748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Current rule</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Registration term</w:t>
            </w:r>
          </w:p>
        </w:tc>
        <w:tc>
          <w:tcPr>
            <w:tcW w:type="dxa" w:w="748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ASW registration expires annually.</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Exam participation</w:t>
            </w:r>
          </w:p>
        </w:tc>
        <w:tc>
          <w:tcPr>
            <w:tcW w:type="dxa" w:w="748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Until the California Law and Ethics Examination is passed, the ASW must participate in the examination during each renewal cycle to renew.</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Passing versus taking</w:t>
            </w:r>
          </w:p>
        </w:tc>
        <w:tc>
          <w:tcPr>
            <w:tcW w:type="dxa" w:w="748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exam does not need to be passed to renew during the initial registration period; participation is required until passed.</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CE requirement</w:t>
            </w:r>
          </w:p>
        </w:tc>
        <w:tc>
          <w:tcPr>
            <w:tcW w:type="dxa" w:w="748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At least three hours of California Law and Ethics continuing education during each one-year registration renewal cycle, including after the exam has been passed.</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Retake interval</w:t>
            </w:r>
          </w:p>
        </w:tc>
        <w:tc>
          <w:tcPr>
            <w:tcW w:type="dxa" w:w="748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After an unsuccessful attempt, the official waiting period is 90 days; submit the current reexamination process and fee.</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Lapsed registration</w:t>
            </w:r>
          </w:p>
        </w:tc>
        <w:tc>
          <w:tcPr>
            <w:tcW w:type="dxa" w:w="748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Do not practice or claim experience under an expired registration when current registration is required.</w:t>
            </w:r>
          </w:p>
        </w:tc>
      </w:tr>
    </w:tbl>
    <w:p>
      <w:pPr>
        <w:spacing w:after="20"/>
      </w:pPr>
    </w:p>
    <w:p>
      <w:pPr>
        <w:pStyle w:val="Heading2"/>
        <w:keepNext/>
      </w:pPr>
      <w:r>
        <w:t>3.5 Six-year limit and subsequent registration</w:t>
      </w:r>
    </w:p>
    <w:p>
      <w:pPr>
        <w:keepLines w:val="0"/>
        <w:spacing w:after="120" w:line="266" w:lineRule="auto"/>
      </w:pPr>
      <w:r>
        <w:rPr>
          <w:rFonts w:ascii="Calibri" w:hAnsi="Calibri" w:eastAsia="Calibri"/>
          <w:color w:val="111111"/>
          <w:sz w:val="20"/>
        </w:rPr>
        <w:t>An ASW registration may be renewed a maximum of five times and may not be renewed or reinstated beyond six years from the end of the month in which it was issued. A subsequent ASW number requires compliance with current registration requirements and passage of the California Law and Ethics Examination. Experience may continue under a subsequent number subject to the separate age-of-hours rules, but the person may not be employed or volunteer in a private practice under the subsequent registration.</w:t>
      </w:r>
    </w:p>
    <w:p>
      <w:pPr>
        <w:pStyle w:val="Heading2"/>
        <w:keepNext/>
      </w:pPr>
      <w:r>
        <w:t>3.6 California Law and Ethics versus ASWB Clinical</w:t>
      </w:r>
    </w:p>
    <w:p>
      <w:pPr>
        <w:keepLines w:val="0"/>
        <w:spacing w:after="120" w:line="266" w:lineRule="auto"/>
      </w:pPr>
      <w:r>
        <w:rPr>
          <w:rFonts w:ascii="Calibri" w:hAnsi="Calibri" w:eastAsia="Calibri"/>
          <w:color w:val="111111"/>
          <w:sz w:val="20"/>
        </w:rPr>
        <w:t>The California LCSW Law and Ethics Examination is profession-specific and is taken during the associate pathway. Passing it does not issue an LCSW license and does not by itself create eligibility for the ASWB Clinical Examination. After education and supervised experience are complete, the candidate submits the Application for Licensure. If BBS approves the application, the candidate then takes the separate ASWB Clinical Examination. Independent practice begins only after the Board issues the LCSW license.</w:t>
      </w:r>
    </w:p>
    <w:p>
      <w:pPr>
        <w:pStyle w:val="Heading3"/>
        <w:keepNext/>
      </w:pPr>
      <w:r>
        <w:t>Guided Application 3A - Almost registered is not registered</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 graduate submits an ASW application 45 days after the degree date and begins supervised clinical work at a qualifying nonprofit clinic that required Live Scan before the start date. The application is pending. The clinic also offers the graduate a weekend shift in the owner’s private practice.</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Which work may potentially qualify, and what status may the graduate use?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90-DAY FACTS</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application timing and Live Scan facts may support credit for qualifying postdegree hours if the Board later issues the registration and all other requirements are met.</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SETTING</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pending applicant may not perform clinical social work in a private practice or professional corporation before the ASW number is issued.</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STATUS</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graduate cannot advertise or introduce themselves as a registered ASW while the registration is pending.</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DOCUMENTATION</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Preserve the processed Live Scan form, supervision documentation, employment/volunteer evidence, and accurate status disclosures.</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The qualifying clinic hours may potentially be credited under the 90-day rule if every statutory condition is met and registration is later granted. The private-practice shift must wait until the ASW number is issued. The applicant must use accurate pending/unlicensed status language rather than ASW.</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Treating a timely application as if it were the registration itself.</w:t>
            </w:r>
          </w:p>
        </w:tc>
      </w:tr>
    </w:tbl>
    <w:p>
      <w:pPr>
        <w:spacing w:after="0"/>
      </w:pPr>
    </w:p>
    <w:p>
      <w:pPr>
        <w:pStyle w:val="Heading3"/>
        <w:keepNext/>
      </w:pPr>
      <w:r>
        <w:t>Guided Application 3B - Passed the exam, not yet licensed</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An ASW has passed the California Law and Ethics Examination and completed 2,900 supervised hours. A supervisor tells the ASW to start an independent caseload because the remaining hours and licensing paperwork are “only technicalities.”</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is the BEST response?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STATUS</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person remains an ASW until BBS issues an LCSW license.</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EXAM EFFECT</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Passing Law and Ethics satisfies one pathway requirement; it does not create independent-practice authority.</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SETTING + SUPERVISION</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Services must continue only in a lawful ASW employment/volunteer and supervision arrangement.</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NEXT STEPS</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Complete qualifying hours, submit the licensure application, obtain BBS approval, pass the separate ASWB Clinical Examination, and await license issuance.</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The ASW should reject the independent-practice arrangement and continue only under lawful registered status and supervision. A supervisor cannot grant a license or waive the Board’s pathway.</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Confusing professional confidence or supervisor permission with legal status.</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5F7F9"/>
            <w:tcMar>
              <w:top w:w="90" w:type="dxa"/>
              <w:start w:w="105" w:type="dxa"/>
              <w:bottom w:w="90" w:type="dxa"/>
              <w:end w:w="105" w:type="dxa"/>
            </w:tcMar>
            <w:tcBorders>
              <w:top w:val="nil"/>
              <w:left w:val="single" w:sz="18" w:color="5E6670"/>
              <w:bottom w:val="nil"/>
              <w:right w:val="nil"/>
            </w:tcBorders>
          </w:tcPr>
          <w:p>
            <w:pPr>
              <w:spacing w:after="0" w:line="252" w:lineRule="auto"/>
            </w:pPr>
            <w:r>
              <w:rPr>
                <w:rFonts w:ascii="Calibri" w:hAnsi="Calibri" w:eastAsia="Calibri"/>
                <w:b/>
                <w:color w:val="102A4C"/>
                <w:sz w:val="16"/>
              </w:rPr>
              <w:t>SOURCE NOTE  Source anchors: BPC sections 4996.14.2, 4996.18, 4996.23 and 4996.28; BPC section 4996.22(a)(3); BBS ASW FAQ, revised January 2026; Pearson July 2026 Candidate Handbook; BBS LCSW applicant guidance. Current-source verification refreshed August 7, 2026. Verify high-change sources again within 30 days of public release and after material legal/regulatory change.</w:t>
            </w:r>
            <w:r>
              <w:rPr>
                <w:rFonts w:ascii="Calibri" w:hAnsi="Calibri" w:eastAsia="Calibri"/>
                <w:color w:val="111111"/>
                <w:sz w:val="16"/>
              </w:rPr>
            </w:r>
          </w:p>
        </w:tc>
      </w:tr>
    </w:tbl>
    <w:p>
      <w:pPr>
        <w:spacing w:after="0"/>
      </w:pPr>
    </w:p>
    <w:p>
      <w:pPr>
        <w:pageBreakBefore/>
        <w:spacing w:after="160"/>
        <w:jc w:val="center"/>
      </w:pPr>
      <w:r>
        <w:rPr>
          <w:rFonts w:ascii="Calibri" w:hAnsi="Calibri" w:eastAsia="Calibri"/>
          <w:b/>
          <w:color w:val="10A79B"/>
          <w:sz w:val="22"/>
        </w:rPr>
        <w:t>UNIT 4</w:t>
      </w:r>
    </w:p>
    <w:p>
      <w:pPr>
        <w:spacing w:after="240"/>
        <w:jc w:val="center"/>
        <w:pBdr>
          <w:bottom w:val="single" w:sz="6" w:space="5" w:color="2F69BF"/>
        </w:pBdr>
      </w:pPr>
      <w:r>
        <w:rPr>
          <w:rFonts w:ascii="Calibri" w:hAnsi="Calibri" w:eastAsia="Calibri"/>
          <w:b/>
          <w:color w:val="102A4C"/>
          <w:sz w:val="42"/>
        </w:rPr>
        <w:t>Titles, Client Notices, Advertising and Telehealth Representation</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AF1FB"/>
            <w:tcMar>
              <w:top w:w="90" w:type="dxa"/>
              <w:start w:w="105" w:type="dxa"/>
              <w:bottom w:w="90" w:type="dxa"/>
              <w:end w:w="105" w:type="dxa"/>
            </w:tcMar>
            <w:tcBorders>
              <w:top w:val="nil"/>
              <w:left w:val="single" w:sz="18" w:color="2F69BF"/>
              <w:bottom w:val="nil"/>
              <w:right w:val="nil"/>
            </w:tcBorders>
          </w:tcPr>
          <w:p>
            <w:pPr>
              <w:spacing w:after="0" w:line="252" w:lineRule="auto"/>
            </w:pPr>
            <w:r>
              <w:rPr>
                <w:rFonts w:ascii="Calibri" w:hAnsi="Calibri" w:eastAsia="Calibri"/>
                <w:b/>
                <w:color w:val="102A4C"/>
                <w:sz w:val="19"/>
              </w:rPr>
              <w:t xml:space="preserve">WHY THIS MATTERS  </w:t>
            </w:r>
            <w:r>
              <w:rPr>
                <w:rFonts w:ascii="Calibri" w:hAnsi="Calibri" w:eastAsia="Calibri"/>
                <w:color w:val="111111"/>
                <w:sz w:val="19"/>
              </w:rPr>
              <w:t>Clients and the public should be able to tell who is providing the service, the person’s current status, where accountability rests, and how to contact the Board. Small omissions can create a misleading impression of independent licensure even when the clinician never says “I am licensed.”</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9F7F5"/>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20"/>
              </w:rPr>
              <w:t xml:space="preserve">BIG IDEA  </w:t>
            </w:r>
            <w:r>
              <w:rPr>
                <w:rFonts w:ascii="Calibri" w:hAnsi="Calibri" w:eastAsia="Calibri"/>
                <w:color w:val="111111"/>
                <w:sz w:val="20"/>
              </w:rPr>
              <w:t>Accuracy must be complete, visible and current at every contact point.</w:t>
            </w:r>
          </w:p>
        </w:tc>
      </w:tr>
    </w:tbl>
    <w:p>
      <w:pPr>
        <w:spacing w:after="0"/>
      </w:pPr>
    </w:p>
    <w:p>
      <w:pPr>
        <w:pStyle w:val="Heading2"/>
        <w:keepNext/>
      </w:pPr>
      <w:r>
        <w:t>Unit learning objectives</w:t>
      </w:r>
    </w:p>
    <w:p>
      <w:pPr>
        <w:pStyle w:val="ListBullet"/>
        <w:spacing w:after="66" w:line="259" w:lineRule="auto"/>
        <w:ind w:left="403" w:hanging="202"/>
      </w:pPr>
      <w:r>
        <w:rPr>
          <w:rFonts w:ascii="Calibri" w:hAnsi="Calibri" w:eastAsia="Calibri"/>
          <w:color w:val="111111"/>
          <w:sz w:val="19"/>
        </w:rPr>
        <w:t>Identify every required component of current LCSW/ASW notices and advertising.</w:t>
      </w:r>
    </w:p>
    <w:p>
      <w:pPr>
        <w:pStyle w:val="ListBullet"/>
        <w:spacing w:after="66" w:line="259" w:lineRule="auto"/>
        <w:ind w:left="403" w:hanging="202"/>
      </w:pPr>
      <w:r>
        <w:rPr>
          <w:rFonts w:ascii="Calibri" w:hAnsi="Calibri" w:eastAsia="Calibri"/>
          <w:color w:val="111111"/>
          <w:sz w:val="19"/>
        </w:rPr>
        <w:t>Evaluate employer-created and digital content for misleading omissions, status confusion, or incomplete disclosure.</w:t>
      </w:r>
    </w:p>
    <w:p>
      <w:pPr>
        <w:pStyle w:val="ListBullet"/>
        <w:spacing w:after="66" w:line="259" w:lineRule="auto"/>
        <w:ind w:left="403" w:hanging="202"/>
      </w:pPr>
      <w:r>
        <w:rPr>
          <w:rFonts w:ascii="Calibri" w:hAnsi="Calibri" w:eastAsia="Calibri"/>
          <w:color w:val="111111"/>
          <w:sz w:val="19"/>
        </w:rPr>
        <w:t>Apply current telehealth identity, location, consent, emergency-resource, privacy and jurisdiction controls.</w:t>
      </w:r>
    </w:p>
    <w:p>
      <w:pPr>
        <w:pStyle w:val="Heading2"/>
        <w:keepNext/>
      </w:pPr>
      <w:r>
        <w:t>Lesson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44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Lesson</w:t>
            </w:r>
          </w:p>
        </w:tc>
        <w:tc>
          <w:tcPr>
            <w:tcW w:type="dxa" w:w="871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Focus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4.1</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Client notices and status disclosures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4.2</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Advertising definition and responsibility</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4.3</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LCSW minimum advertising content</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4.4</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ASW minimum advertising content</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4.5</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Digital advertising and social media</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4.6</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Telehealth identity and representation</w:t>
            </w:r>
          </w:p>
        </w:tc>
      </w:tr>
    </w:tbl>
    <w:p>
      <w:pPr>
        <w:spacing w:after="20"/>
      </w:pPr>
    </w:p>
    <w:p>
      <w:pPr>
        <w:pStyle w:val="Heading2"/>
        <w:keepNext/>
      </w:pPr>
      <w:r>
        <w:t>4.1 Client notices and status disclosures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Notice element</w:t>
            </w:r>
          </w:p>
        </w:tc>
        <w:tc>
          <w:tcPr>
            <w:tcW w:type="dxa" w:w="763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Current control</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Timing</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Before initiating psychotherapy, or as soon as practicably possible afterward.</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Readability</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Written in at least 12-point type.</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Complaint notice</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Current BBS notice explaining that the Board receives and responds to complaints and providing Board contact information.</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Identifying details</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For services initiated on or after July 1, 2025: full name as filed with BBS, license or registration number, type, and expiration date.</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ASW status</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Before professional services, tell each client that the ASW is unlicensed and under the supervision of a licensed professional.</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Documentation</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Document delivery of the statutory notice.</w:t>
            </w:r>
          </w:p>
        </w:tc>
      </w:tr>
    </w:tbl>
    <w:p>
      <w:pPr>
        <w:spacing w:after="20"/>
      </w:pPr>
    </w:p>
    <w:p>
      <w:pPr>
        <w:keepLines w:val="0"/>
        <w:spacing w:after="120" w:line="266" w:lineRule="auto"/>
      </w:pPr>
      <w:r>
        <w:rPr>
          <w:rFonts w:ascii="Calibri" w:hAnsi="Calibri" w:eastAsia="Calibri"/>
          <w:color w:val="111111"/>
          <w:sz w:val="20"/>
        </w:rPr>
        <w:t>The statutory complaint notice and the ASW’s unlicensed/supervised disclosure serve different functions. The complaint notice gives every psychotherapy client Board information and identifying details. The ASW disclosure prevents confusion about professional status and supervision. A complete informed-consent process may contain additional information about fees, policies, confidentiality, telehealth, risks, alternatives, roles, and client rights; those topics are developed in the shared-core workbooks.</w:t>
      </w:r>
    </w:p>
    <w:p>
      <w:pPr>
        <w:pStyle w:val="Heading2"/>
        <w:keepNext/>
      </w:pPr>
      <w:r>
        <w:t>4.2 Advertising definition and responsibility</w:t>
      </w:r>
    </w:p>
    <w:p>
      <w:pPr>
        <w:keepLines w:val="0"/>
        <w:spacing w:after="120" w:line="266" w:lineRule="auto"/>
      </w:pPr>
      <w:r>
        <w:rPr>
          <w:rFonts w:ascii="Calibri" w:hAnsi="Calibri" w:eastAsia="Calibri"/>
          <w:color w:val="111111"/>
          <w:sz w:val="20"/>
        </w:rPr>
        <w:t>California defines advertising broadly. It includes public communications, cards, signs, directories, printed matter, websites, social media, profiles, email identifiers, and other public-facing representations. A clinician cannot avoid responsibility by saying that an employer, directory service, or marketing vendor created the page. Once the clinician knows of a misleading representation, the professional response is to contain and correct it promptly.</w:t>
      </w:r>
    </w:p>
    <w:p>
      <w:pPr>
        <w:pStyle w:val="Heading2"/>
        <w:keepNext/>
      </w:pPr>
      <w:r>
        <w:t>4.3 LCSW minimum advertising content</w:t>
      </w:r>
    </w:p>
    <w:p>
      <w:pPr>
        <w:pStyle w:val="ListBullet"/>
        <w:spacing w:after="66" w:line="259" w:lineRule="auto"/>
        <w:ind w:left="403" w:hanging="202"/>
      </w:pPr>
      <w:r>
        <w:rPr>
          <w:rFonts w:ascii="Calibri" w:hAnsi="Calibri" w:eastAsia="Calibri"/>
          <w:color w:val="111111"/>
          <w:sz w:val="19"/>
        </w:rPr>
        <w:t>First and last name as filed with BBS.</w:t>
      </w:r>
    </w:p>
    <w:p>
      <w:pPr>
        <w:pStyle w:val="ListBullet"/>
        <w:spacing w:after="66" w:line="259" w:lineRule="auto"/>
        <w:ind w:left="403" w:hanging="202"/>
      </w:pPr>
      <w:r>
        <w:rPr>
          <w:rFonts w:ascii="Calibri" w:hAnsi="Calibri" w:eastAsia="Calibri"/>
          <w:color w:val="111111"/>
          <w:sz w:val="19"/>
        </w:rPr>
        <w:t>Complete title “Licensed Clinical Social Worker” or the permitted abbreviation “LCSW.”</w:t>
      </w:r>
    </w:p>
    <w:p>
      <w:pPr>
        <w:pStyle w:val="ListBullet"/>
        <w:spacing w:after="66" w:line="259" w:lineRule="auto"/>
        <w:ind w:left="403" w:hanging="202"/>
      </w:pPr>
      <w:r>
        <w:rPr>
          <w:rFonts w:ascii="Calibri" w:hAnsi="Calibri" w:eastAsia="Calibri"/>
          <w:color w:val="111111"/>
          <w:sz w:val="19"/>
        </w:rPr>
        <w:t>License number.</w:t>
      </w:r>
    </w:p>
    <w:p>
      <w:pPr>
        <w:pStyle w:val="ListBullet"/>
        <w:spacing w:after="66" w:line="259" w:lineRule="auto"/>
        <w:ind w:left="403" w:hanging="202"/>
      </w:pPr>
      <w:r>
        <w:rPr>
          <w:rFonts w:ascii="Calibri" w:hAnsi="Calibri" w:eastAsia="Calibri"/>
          <w:color w:val="111111"/>
          <w:sz w:val="19"/>
        </w:rPr>
        <w:t>Only accurate qualifications, affiliations, specializations, outcomes, and academic credentials.</w:t>
      </w:r>
    </w:p>
    <w:p>
      <w:pPr>
        <w:pStyle w:val="ListBullet"/>
        <w:spacing w:after="66" w:line="259" w:lineRule="auto"/>
        <w:ind w:left="403" w:hanging="202"/>
      </w:pPr>
      <w:r>
        <w:rPr>
          <w:rFonts w:ascii="Calibri" w:hAnsi="Calibri" w:eastAsia="Calibri"/>
          <w:color w:val="111111"/>
          <w:sz w:val="19"/>
        </w:rPr>
        <w:t>A nickname or former legal name may appear only in addition to the required filed name and may not be misleading.</w:t>
      </w:r>
    </w:p>
    <w:p>
      <w:pPr>
        <w:pStyle w:val="Heading2"/>
        <w:keepNext/>
      </w:pPr>
      <w:r>
        <w:t>4.4 ASW minimum advertising content</w:t>
      </w:r>
    </w:p>
    <w:p>
      <w:pPr>
        <w:pStyle w:val="ListBullet"/>
        <w:spacing w:after="66" w:line="259" w:lineRule="auto"/>
        <w:ind w:left="403" w:hanging="202"/>
      </w:pPr>
      <w:r>
        <w:rPr>
          <w:rFonts w:ascii="Calibri" w:hAnsi="Calibri" w:eastAsia="Calibri"/>
          <w:color w:val="111111"/>
          <w:sz w:val="19"/>
        </w:rPr>
        <w:t>First and last name as filed with BBS.</w:t>
      </w:r>
    </w:p>
    <w:p>
      <w:pPr>
        <w:pStyle w:val="ListBullet"/>
        <w:spacing w:after="66" w:line="259" w:lineRule="auto"/>
        <w:ind w:left="403" w:hanging="202"/>
      </w:pPr>
      <w:r>
        <w:rPr>
          <w:rFonts w:ascii="Calibri" w:hAnsi="Calibri" w:eastAsia="Calibri"/>
          <w:color w:val="111111"/>
          <w:sz w:val="19"/>
        </w:rPr>
        <w:t>Full title “Registered Associate Clinical Social Worker.” The abbreviation “ASW” may appear only when the full title also appears in the advertisement.</w:t>
      </w:r>
    </w:p>
    <w:p>
      <w:pPr>
        <w:pStyle w:val="ListBullet"/>
        <w:spacing w:after="66" w:line="259" w:lineRule="auto"/>
        <w:ind w:left="403" w:hanging="202"/>
      </w:pPr>
      <w:r>
        <w:rPr>
          <w:rFonts w:ascii="Calibri" w:hAnsi="Calibri" w:eastAsia="Calibri"/>
          <w:color w:val="111111"/>
          <w:sz w:val="19"/>
        </w:rPr>
        <w:t>Registration number.</w:t>
      </w:r>
    </w:p>
    <w:p>
      <w:pPr>
        <w:pStyle w:val="ListBullet"/>
        <w:spacing w:after="66" w:line="259" w:lineRule="auto"/>
        <w:ind w:left="403" w:hanging="202"/>
      </w:pPr>
      <w:r>
        <w:rPr>
          <w:rFonts w:ascii="Calibri" w:hAnsi="Calibri" w:eastAsia="Calibri"/>
          <w:color w:val="111111"/>
          <w:sz w:val="19"/>
        </w:rPr>
        <w:t>Name of the employer or, if not employed, the entity for which the ASW volunteers.</w:t>
      </w:r>
    </w:p>
    <w:p>
      <w:pPr>
        <w:pStyle w:val="ListBullet"/>
        <w:spacing w:after="66" w:line="259" w:lineRule="auto"/>
        <w:ind w:left="403" w:hanging="202"/>
      </w:pPr>
      <w:r>
        <w:rPr>
          <w:rFonts w:ascii="Calibri" w:hAnsi="Calibri" w:eastAsia="Calibri"/>
          <w:color w:val="111111"/>
          <w:sz w:val="19"/>
        </w:rPr>
        <w:t>A statement that the ASW is supervised by a licensed person.</w:t>
      </w:r>
    </w:p>
    <w:p>
      <w:pPr>
        <w:pStyle w:val="ListBullet"/>
        <w:spacing w:after="66" w:line="259" w:lineRule="auto"/>
        <w:ind w:left="403" w:hanging="202"/>
      </w:pPr>
      <w:r>
        <w:rPr>
          <w:rFonts w:ascii="Calibri" w:hAnsi="Calibri" w:eastAsia="Calibri"/>
          <w:color w:val="111111"/>
          <w:sz w:val="19"/>
        </w:rPr>
        <w:t>Do not use “ACSW” as a California ASW advertising abbreviation and do not describe the registration number as a license number.</w:t>
      </w:r>
    </w:p>
    <w:p>
      <w:pPr>
        <w:pStyle w:val="Heading2"/>
        <w:keepNext/>
      </w:pPr>
      <w:r>
        <w:t>4.5 Digital advertising and social media</w:t>
      </w:r>
    </w:p>
    <w:p>
      <w:pPr>
        <w:keepLines w:val="0"/>
        <w:spacing w:after="120" w:line="266" w:lineRule="auto"/>
      </w:pPr>
      <w:r>
        <w:rPr>
          <w:rFonts w:ascii="Calibri" w:hAnsi="Calibri" w:eastAsia="Calibri"/>
          <w:color w:val="111111"/>
          <w:sz w:val="20"/>
        </w:rPr>
        <w:t>Required information must be understandable in the context in which the public sees it. A compliant footer cannot cure a headline that says “Licensed Therapist” when the clinician is an ASW. Tiny type, buried links, platform-specific truncation, misleading website addresses, current-client testimonials, and personal-professional boundary confusion can all create legal or ethical risk. Review every page, profile, directory entry, post, email signature, telehealth portal, recruitment page, and employer-generated biography that represents the clinician’s services.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Ask</w:t>
            </w:r>
          </w:p>
        </w:tc>
        <w:tc>
          <w:tcPr>
            <w:tcW w:type="dxa" w:w="691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Reason</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What does the first screen imply?</w:t>
            </w:r>
          </w:p>
        </w:tc>
        <w:tc>
          <w:tcPr>
            <w:tcW w:type="dxa" w:w="69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public may not click a disclosure link or expand hidden text.</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Is the full ASW title present?</w:t>
            </w:r>
          </w:p>
        </w:tc>
        <w:tc>
          <w:tcPr>
            <w:tcW w:type="dxa" w:w="69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ASW alone is not sufficient under the operative regulation.</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Are employer/entity and supervision visible?</w:t>
            </w:r>
          </w:p>
        </w:tc>
        <w:tc>
          <w:tcPr>
            <w:tcW w:type="dxa" w:w="69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They communicate the lawful structure and avoid an independent-practice impression.</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Are credentials and services accurate?</w:t>
            </w:r>
          </w:p>
        </w:tc>
        <w:tc>
          <w:tcPr>
            <w:tcW w:type="dxa" w:w="69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Avoid claims beyond status, competence, role or evidence.</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Are boundaries protected?</w:t>
            </w:r>
          </w:p>
        </w:tc>
        <w:tc>
          <w:tcPr>
            <w:tcW w:type="dxa" w:w="69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Personal social-media interaction, testimonials and online searches may create ethical risk.</w:t>
            </w:r>
          </w:p>
        </w:tc>
      </w:tr>
    </w:tbl>
    <w:p>
      <w:pPr>
        <w:spacing w:after="20"/>
      </w:pPr>
    </w:p>
    <w:p>
      <w:pPr>
        <w:pStyle w:val="Heading2"/>
        <w:keepNext/>
      </w:pPr>
      <w:r>
        <w:t>4.6 Telehealth identity and representation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Telehealth point</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Current control</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At initiation</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Obtain telehealth informed consent; explain potential risks and limitations; provide license/registration number and type; make reasonable efforts to identify emergency resources in the client’s geographic area.</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Every session</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Verbally obtain and document the client’s full name and address of present location at the beginning; assess appropriateness for telehealth.</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Privacy and security</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Comply with applicable California and federal privacy, confidentiality and security requirements; do not assume HIPAA applies to every setting.</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Client in California</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clinician must hold a current and active BBS license or registration, subject to the trainee exception described in law.</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Client outside California</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California status alone is not enough. The clinician must meet the other jurisdiction’s requirements and telehealth must be permitted there.</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Disruption or emergency</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Use the location and emergency-resource plan, protect continuity, communicate limits, and document the response.</w:t>
            </w:r>
          </w:p>
        </w:tc>
      </w:tr>
    </w:tbl>
    <w:p>
      <w:pPr>
        <w:spacing w:after="20"/>
      </w:pPr>
    </w:p>
    <w:p>
      <w:pPr>
        <w:pStyle w:val="Heading3"/>
        <w:keepNext/>
      </w:pPr>
      <w:r>
        <w:t>Guided Application 4A - Employer-created ASW profile</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An employer posts: “Jordan Patel, ASW, Trauma Therapist.” The page lists Jordan’s registration number but omits the full registered title, the employer name within the profile, and the statement that Jordan is supervised by a licensed person. Jordan notices the page after a client mentions it.</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should Jordan do FIRST?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ACTIVE MISREPRESENTATION</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page currently creates incomplete status information and may imply independent professional standing.</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CURRENT RULE</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CCR section 1811 requires the full registered title when ASW is used, the registration number, employer or volunteer entity, and supervised-by-a-licensed-person statement.</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FIRST STEP</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Request immediate correction or temporary removal of the inaccurate profile; do not wait for the next marketing meeting.</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FOLLOW-UP</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Notify supervisor/employer, assess whether clients received inaccurate information, document the correction, and repair the template and approval process.</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Jordan should promptly stop the continuing public misrepresentation and then complete communication, impact review, documentation, and system repair. The employer’s authorship does not make the inaccurate profile acceptable.</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Waiting for a complaint or proof that a client relied on the profile before correcting it.</w:t>
            </w:r>
          </w:p>
        </w:tc>
      </w:tr>
    </w:tbl>
    <w:p>
      <w:pPr>
        <w:spacing w:after="0"/>
      </w:pPr>
    </w:p>
    <w:p>
      <w:pPr>
        <w:pStyle w:val="Heading3"/>
        <w:keepNext/>
      </w:pPr>
      <w:r>
        <w:t>Guided Application 4B - Client physically outside California</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At the start of a scheduled video session, an ASW learns that the client is temporarily staying in another state. The client is distressed but denies an immediate emergency. The ASW has not verified whether practice is lawful in that state.</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should the ASW do FIRST?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LOCATION + SAFETY</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Confirm the client’s exact present location and immediate safety, and identify local emergency resources.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JURISDICTION</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Do not assume a California ASW registration authorizes service in another state. Determine the other jurisdiction’s requirements and employer procedures.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SUPERVISION</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Obtain timely supervisory and organizational direction without using consultation as a reason to ignore an active emergency.</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CONTINUITY</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If routine treatment cannot lawfully continue, explain the limit, use an appropriate safety/transition response, and document the disposition and follow-up.</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The ASW should resolve location, safety, jurisdiction, and required supervision before providing routine psychotherapy. If urgent risk emerges, follow applicable emergency procedures and avoid abandonment while lawful authority is clarified.</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Focusing only on technology quality or informed consent while ignoring the client’s physical jurisdiction.</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5F7F9"/>
            <w:tcMar>
              <w:top w:w="90" w:type="dxa"/>
              <w:start w:w="105" w:type="dxa"/>
              <w:bottom w:w="90" w:type="dxa"/>
              <w:end w:w="105" w:type="dxa"/>
            </w:tcMar>
            <w:tcBorders>
              <w:top w:val="nil"/>
              <w:left w:val="single" w:sz="18" w:color="5E6670"/>
              <w:bottom w:val="nil"/>
              <w:right w:val="nil"/>
            </w:tcBorders>
          </w:tcPr>
          <w:p>
            <w:pPr>
              <w:spacing w:after="0" w:line="252" w:lineRule="auto"/>
            </w:pPr>
            <w:r>
              <w:rPr>
                <w:rFonts w:ascii="Calibri" w:hAnsi="Calibri" w:eastAsia="Calibri"/>
                <w:b/>
                <w:color w:val="102A4C"/>
                <w:sz w:val="16"/>
              </w:rPr>
              <w:t>SOURCE NOTE  Source anchors: BPC sections 4996.18(g), 4996.75 and 4992.2-4992.3; 16 CCR section 1811, operative April 1, 2026; 16 CCR section 1815.5, effective January 1, 2026; BBS Advertising Requirements Fact Sheet/FAQs and Advertising Examples, revised March 2026; NASW standards 1.03, 1.04-1.07 and 4.06-4.07. Current-source verification refreshed August 7, 2026. Verify high-change sources again within 30 days of public release and after material legal/regulatory change.</w:t>
            </w:r>
            <w:r>
              <w:rPr>
                <w:rFonts w:ascii="Calibri" w:hAnsi="Calibri" w:eastAsia="Calibri"/>
                <w:color w:val="111111"/>
                <w:sz w:val="16"/>
              </w:rPr>
            </w:r>
          </w:p>
        </w:tc>
      </w:tr>
    </w:tbl>
    <w:p>
      <w:pPr>
        <w:spacing w:after="0"/>
      </w:pPr>
    </w:p>
    <w:p>
      <w:pPr>
        <w:pageBreakBefore w:val="0"/>
        <w:spacing w:after="160"/>
        <w:jc w:val="center"/>
      </w:pPr>
      <w:r>
        <w:rPr>
          <w:rFonts w:ascii="Calibri" w:hAnsi="Calibri" w:eastAsia="Calibri"/>
          <w:b/>
          <w:color w:val="10A79B"/>
          <w:sz w:val="22"/>
        </w:rPr>
        <w:t>UNIT 5</w:t>
      </w:r>
    </w:p>
    <w:p>
      <w:pPr>
        <w:spacing w:after="240"/>
        <w:jc w:val="center"/>
        <w:pBdr>
          <w:bottom w:val="single" w:sz="6" w:space="5" w:color="2F69BF"/>
        </w:pBdr>
      </w:pPr>
      <w:r>
        <w:rPr>
          <w:rFonts w:ascii="Calibri" w:hAnsi="Calibri" w:eastAsia="Calibri"/>
          <w:b/>
          <w:color w:val="102A4C"/>
          <w:sz w:val="42"/>
        </w:rPr>
        <w:t>ASW Supervision, Employment, Settings and Payment</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AF1FB"/>
            <w:tcMar>
              <w:top w:w="90" w:type="dxa"/>
              <w:start w:w="105" w:type="dxa"/>
              <w:bottom w:w="90" w:type="dxa"/>
              <w:end w:w="105" w:type="dxa"/>
            </w:tcMar>
            <w:tcBorders>
              <w:top w:val="nil"/>
              <w:left w:val="single" w:sz="18" w:color="2F69BF"/>
              <w:bottom w:val="nil"/>
              <w:right w:val="nil"/>
            </w:tcBorders>
          </w:tcPr>
          <w:p>
            <w:pPr>
              <w:spacing w:after="0" w:line="252" w:lineRule="auto"/>
            </w:pPr>
            <w:r>
              <w:rPr>
                <w:rFonts w:ascii="Calibri" w:hAnsi="Calibri" w:eastAsia="Calibri"/>
                <w:b/>
                <w:color w:val="102A4C"/>
                <w:sz w:val="19"/>
              </w:rPr>
              <w:t xml:space="preserve">WHY THIS MATTERS  </w:t>
            </w:r>
            <w:r>
              <w:rPr>
                <w:rFonts w:ascii="Calibri" w:hAnsi="Calibri" w:eastAsia="Calibri"/>
                <w:color w:val="111111"/>
                <w:sz w:val="19"/>
              </w:rPr>
              <w:t>A supportive supervisor, a sophisticated clinic, or a useful consultation arrangement does not automatically create lawful supervised experience. The Board examines the employment or volunteer relationship, setting, supervisor qualifications, direct contact, agreements, records access, payment flow, and actual control of service quality.</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9F7F5"/>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20"/>
              </w:rPr>
              <w:t xml:space="preserve">BIG IDEA  </w:t>
            </w:r>
            <w:r>
              <w:rPr>
                <w:rFonts w:ascii="Calibri" w:hAnsi="Calibri" w:eastAsia="Calibri"/>
                <w:color w:val="111111"/>
                <w:sz w:val="20"/>
              </w:rPr>
              <w:t>Supervision is a legal accountability structure—not a label for occasional advice.</w:t>
            </w:r>
          </w:p>
        </w:tc>
      </w:tr>
    </w:tbl>
    <w:p>
      <w:pPr>
        <w:spacing w:after="0"/>
      </w:pPr>
    </w:p>
    <w:p>
      <w:pPr>
        <w:pStyle w:val="Heading2"/>
        <w:keepNext/>
      </w:pPr>
      <w:r>
        <w:t>Unit learning objectives</w:t>
      </w:r>
    </w:p>
    <w:p>
      <w:pPr>
        <w:pStyle w:val="ListBullet"/>
        <w:spacing w:after="66" w:line="259" w:lineRule="auto"/>
        <w:ind w:left="403" w:hanging="202"/>
      </w:pPr>
      <w:r>
        <w:rPr>
          <w:rFonts w:ascii="Calibri" w:hAnsi="Calibri" w:eastAsia="Calibri"/>
          <w:color w:val="111111"/>
          <w:sz w:val="19"/>
        </w:rPr>
        <w:t>Determine whether an ASW arrangement is employment/volunteer service rather than independent contracting.</w:t>
      </w:r>
    </w:p>
    <w:p>
      <w:pPr>
        <w:pStyle w:val="ListBullet"/>
        <w:spacing w:after="66" w:line="259" w:lineRule="auto"/>
        <w:ind w:left="403" w:hanging="202"/>
      </w:pPr>
      <w:r>
        <w:rPr>
          <w:rFonts w:ascii="Calibri" w:hAnsi="Calibri" w:eastAsia="Calibri"/>
          <w:color w:val="111111"/>
          <w:sz w:val="19"/>
        </w:rPr>
        <w:t>Calculate the required direct supervisor contact and distinguish supervision from consultation.</w:t>
      </w:r>
    </w:p>
    <w:p>
      <w:pPr>
        <w:pStyle w:val="ListBullet"/>
        <w:spacing w:after="66" w:line="259" w:lineRule="auto"/>
        <w:ind w:left="403" w:hanging="202"/>
      </w:pPr>
      <w:r>
        <w:rPr>
          <w:rFonts w:ascii="Calibri" w:hAnsi="Calibri" w:eastAsia="Calibri"/>
          <w:color w:val="111111"/>
          <w:sz w:val="19"/>
        </w:rPr>
        <w:t>Identify prohibited client payment, rent, proprietary-interest, and employer-obligation arrangements.</w:t>
      </w:r>
    </w:p>
    <w:p>
      <w:pPr>
        <w:pStyle w:val="Heading2"/>
        <w:keepNext/>
      </w:pPr>
      <w:r>
        <w:t>Lesson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44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Lesson</w:t>
            </w:r>
          </w:p>
        </w:tc>
        <w:tc>
          <w:tcPr>
            <w:tcW w:type="dxa" w:w="871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Focus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5.1</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Employment or volunteer status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5.2</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Acceptable settings and oversight</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5.3</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Private practice and professional corporations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5.4</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Supervisor qualification and function</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5.5</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Direct supervisor contact</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5.6</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Agreements, logs and oversight</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5.7</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Payment and proprietary-interest restrictions</w:t>
            </w:r>
          </w:p>
        </w:tc>
      </w:tr>
    </w:tbl>
    <w:p>
      <w:pPr>
        <w:spacing w:after="20"/>
      </w:pPr>
    </w:p>
    <w:p>
      <w:pPr>
        <w:pStyle w:val="Heading2"/>
        <w:keepNext/>
      </w:pPr>
      <w:r>
        <w:t>5.1 Employment or volunteer status</w:t>
      </w:r>
    </w:p>
    <w:p>
      <w:pPr>
        <w:keepLines w:val="0"/>
        <w:spacing w:after="120" w:line="266" w:lineRule="auto"/>
      </w:pPr>
      <w:r>
        <w:rPr>
          <w:rFonts w:ascii="Calibri" w:hAnsi="Calibri" w:eastAsia="Calibri"/>
          <w:color w:val="111111"/>
          <w:sz w:val="20"/>
        </w:rPr>
        <w:t>An ASW or applicant for licensure may perform mental health and related services only as an employee or volunteer—not as an independent contractor. The same experience and supervision requirements apply to paid and volunteer service. Employment documentation normally includes W-2 forms, with a current pay stub permitted for an unfinished tax year; volunteer experience requires employer verification. A contract label, 1099 tax treatment, or “self-employed associate” description does not satisfy the statutory structure.</w:t>
      </w:r>
    </w:p>
    <w:p>
      <w:pPr>
        <w:pStyle w:val="Heading2"/>
        <w:keepNext/>
      </w:pPr>
      <w:r>
        <w:t>5.2 Acceptable settings and oversight</w:t>
      </w:r>
    </w:p>
    <w:p>
      <w:pPr>
        <w:keepLines w:val="0"/>
        <w:spacing w:after="120" w:line="266" w:lineRule="auto"/>
      </w:pPr>
      <w:r>
        <w:rPr>
          <w:rFonts w:ascii="Calibri" w:hAnsi="Calibri" w:eastAsia="Calibri"/>
          <w:color w:val="111111"/>
          <w:sz w:val="20"/>
        </w:rPr>
        <w:t>Experience must be gained in a setting that lawfully and regularly provides clinical social work, mental health counseling, or psychotherapy and provides oversight to keep the ASW’s work within the profession’s scope and experience requirements. Only work performed in the position for which the person is employed or volunteers may qualify. The ASW may provide services only where the employer permits business to be conducted.</w:t>
      </w:r>
    </w:p>
    <w:p>
      <w:pPr>
        <w:pStyle w:val="Heading2"/>
        <w:keepNext/>
      </w:pPr>
      <w:r>
        <w:t>5.3 Private practice and professional corporations</w:t>
      </w:r>
    </w:p>
    <w:p>
      <w:pPr>
        <w:pStyle w:val="ListBullet"/>
        <w:spacing w:after="66" w:line="259" w:lineRule="auto"/>
        <w:ind w:left="403" w:hanging="202"/>
      </w:pPr>
      <w:r>
        <w:rPr>
          <w:rFonts w:ascii="Calibri" w:hAnsi="Calibri" w:eastAsia="Calibri"/>
          <w:color w:val="111111"/>
          <w:sz w:val="19"/>
        </w:rPr>
        <w:t>An applicant may not begin clinical social work in a private practice or professional corporation before the ASW registration number is issued.</w:t>
      </w:r>
    </w:p>
    <w:p>
      <w:pPr>
        <w:pStyle w:val="ListBullet"/>
        <w:spacing w:after="66" w:line="259" w:lineRule="auto"/>
        <w:ind w:left="403" w:hanging="202"/>
      </w:pPr>
      <w:r>
        <w:rPr>
          <w:rFonts w:ascii="Calibri" w:hAnsi="Calibri" w:eastAsia="Calibri"/>
          <w:color w:val="111111"/>
          <w:sz w:val="19"/>
        </w:rPr>
        <w:t>A subsequent ASW registration number cannot be used for employment or volunteer service in private practice.</w:t>
      </w:r>
    </w:p>
    <w:p>
      <w:pPr>
        <w:pStyle w:val="ListBullet"/>
        <w:spacing w:after="66" w:line="259" w:lineRule="auto"/>
        <w:ind w:left="403" w:hanging="202"/>
      </w:pPr>
      <w:r>
        <w:rPr>
          <w:rFonts w:ascii="Calibri" w:hAnsi="Calibri" w:eastAsia="Calibri"/>
          <w:color w:val="111111"/>
          <w:sz w:val="19"/>
        </w:rPr>
        <w:t>In a private practice or professional corporation, the supervisor must have the required connection to the employer and access to clinical records, including client authorization when the supervisor is not an employee with ordinary access.</w:t>
      </w:r>
    </w:p>
    <w:p>
      <w:pPr>
        <w:pStyle w:val="ListBullet"/>
        <w:spacing w:after="66" w:line="259" w:lineRule="auto"/>
        <w:ind w:left="403" w:hanging="202"/>
      </w:pPr>
      <w:r>
        <w:rPr>
          <w:rFonts w:ascii="Calibri" w:hAnsi="Calibri" w:eastAsia="Calibri"/>
          <w:color w:val="111111"/>
          <w:sz w:val="19"/>
        </w:rPr>
        <w:t>In nonexempt settings, a supervisor may not serve as individual or triadic supervisor for more than six not-fully-licensed supervisees at one time.</w:t>
      </w:r>
    </w:p>
    <w:p>
      <w:pPr>
        <w:pStyle w:val="Heading2"/>
        <w:keepNext/>
      </w:pPr>
      <w:r>
        <w:t>5.4 Supervisor qualification and function</w:t>
      </w:r>
    </w:p>
    <w:p>
      <w:pPr>
        <w:keepLines w:val="0"/>
        <w:spacing w:after="120" w:line="266" w:lineRule="auto"/>
      </w:pPr>
      <w:r>
        <w:rPr>
          <w:rFonts w:ascii="Calibri" w:hAnsi="Calibri" w:eastAsia="Calibri"/>
          <w:color w:val="111111"/>
          <w:sz w:val="20"/>
        </w:rPr>
        <w:t>A qualified ASW supervisor must hold an eligible current and active license, have the required recent licensure and psychotherapy/supervision experience, complete required supervision training, and be free of disqualifying therapy, family, or undermining relationships with the supervisee. Supervision means responsibility for and control of the quality of services. It includes monitoring assessment, diagnosis and treatment decisions; giving regular feedback; evaluating site/client fit; addressing clinical dynamics; ensuring legal compliance; reviewing records; and using observation or recordings with client consent when appropriate.</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9F7F5"/>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19"/>
              </w:rPr>
              <w:t xml:space="preserve">SUPERVISION VERSUS CONSULTATION  </w:t>
            </w:r>
            <w:r>
              <w:rPr>
                <w:rFonts w:ascii="Calibri" w:hAnsi="Calibri" w:eastAsia="Calibri"/>
                <w:color w:val="111111"/>
                <w:sz w:val="19"/>
              </w:rPr>
              <w:t>Consultation or peer discussion may strengthen practice, but it is not legally qualifying supervision. A consultant does not automatically accept responsibility and control for the ASW’s services.</w:t>
            </w:r>
          </w:p>
        </w:tc>
      </w:tr>
    </w:tbl>
    <w:p>
      <w:pPr>
        <w:spacing w:after="0"/>
      </w:pPr>
    </w:p>
    <w:p>
      <w:pPr>
        <w:pStyle w:val="Heading2"/>
        <w:keepNext/>
      </w:pPr>
      <w:r>
        <w:t>5.5 Direct supervisor contact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736"/>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w:t>
            </w:r>
          </w:p>
        </w:tc>
        <w:tc>
          <w:tcPr>
            <w:tcW w:type="dxa" w:w="7416"/>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Requirement</w:t>
            </w:r>
          </w:p>
        </w:tc>
      </w:tr>
      <w:tr>
        <w:trPr>
          <w:cantSplit/>
        </w:trPr>
        <w:tc>
          <w:tcPr>
            <w:tcW w:type="dxa" w:w="273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Baseline</w:t>
            </w:r>
          </w:p>
        </w:tc>
        <w:tc>
          <w:tcPr>
            <w:tcW w:type="dxa" w:w="7416"/>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At least one hour of direct supervisor contact each week for which experience is credited in each work setting.</w:t>
            </w:r>
          </w:p>
        </w:tc>
      </w:tr>
      <w:tr>
        <w:trPr>
          <w:cantSplit/>
        </w:trPr>
        <w:tc>
          <w:tcPr>
            <w:tcW w:type="dxa" w:w="273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More than 10 clinical-service hours</w:t>
            </w:r>
          </w:p>
        </w:tc>
        <w:tc>
          <w:tcPr>
            <w:tcW w:type="dxa" w:w="7416"/>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At least one additional hour of direct supervisor contact for that setting during the same week.</w:t>
            </w:r>
          </w:p>
        </w:tc>
      </w:tr>
      <w:tr>
        <w:trPr>
          <w:cantSplit/>
        </w:trPr>
        <w:tc>
          <w:tcPr>
            <w:tcW w:type="dxa" w:w="273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Individual</w:t>
            </w:r>
          </w:p>
        </w:tc>
        <w:tc>
          <w:tcPr>
            <w:tcW w:type="dxa" w:w="7416"/>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One hour: one supervisor and one supervisee.</w:t>
            </w:r>
          </w:p>
        </w:tc>
      </w:tr>
      <w:tr>
        <w:trPr>
          <w:cantSplit/>
        </w:trPr>
        <w:tc>
          <w:tcPr>
            <w:tcW w:type="dxa" w:w="273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Triadic</w:t>
            </w:r>
          </w:p>
        </w:tc>
        <w:tc>
          <w:tcPr>
            <w:tcW w:type="dxa" w:w="7416"/>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One hour: one supervisor and two supervisees.</w:t>
            </w:r>
          </w:p>
        </w:tc>
      </w:tr>
      <w:tr>
        <w:trPr>
          <w:cantSplit/>
        </w:trPr>
        <w:tc>
          <w:tcPr>
            <w:tcW w:type="dxa" w:w="273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Group</w:t>
            </w:r>
          </w:p>
        </w:tc>
        <w:tc>
          <w:tcPr>
            <w:tcW w:type="dxa" w:w="7416"/>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Two hours: one supervisor and no more than eight supervisees; may be split into segments of at least one continuous hour in the same week.</w:t>
            </w:r>
          </w:p>
        </w:tc>
      </w:tr>
      <w:tr>
        <w:trPr>
          <w:cantSplit/>
        </w:trPr>
        <w:tc>
          <w:tcPr>
            <w:tcW w:type="dxa" w:w="273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Videoconference</w:t>
            </w:r>
          </w:p>
        </w:tc>
        <w:tc>
          <w:tcPr>
            <w:tcW w:type="dxa" w:w="7416"/>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Counts as face-to-face when two-way and real time; supervisor must complete and document an appropriateness assessment within 60 days of starting supervision.</w:t>
            </w:r>
          </w:p>
        </w:tc>
      </w:tr>
      <w:tr>
        <w:trPr>
          <w:cantSplit/>
        </w:trPr>
        <w:tc>
          <w:tcPr>
            <w:tcW w:type="dxa" w:w="273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Same-week control</w:t>
            </w:r>
          </w:p>
        </w:tc>
        <w:tc>
          <w:tcPr>
            <w:tcW w:type="dxa" w:w="7416"/>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Direct supervisor contact must occur in the same week as the hours claimed.</w:t>
            </w:r>
          </w:p>
        </w:tc>
      </w:tr>
    </w:tbl>
    <w:p>
      <w:pPr>
        <w:spacing w:after="20"/>
      </w:pPr>
    </w:p>
    <w:p>
      <w:pPr>
        <w:pStyle w:val="Heading2"/>
        <w:keepNext/>
      </w:pPr>
      <w:r>
        <w:t>5.6 Agreements, logs and oversight</w:t>
      </w:r>
    </w:p>
    <w:p>
      <w:pPr>
        <w:pStyle w:val="ListBullet"/>
        <w:spacing w:after="66" w:line="259" w:lineRule="auto"/>
        <w:ind w:left="403" w:hanging="202"/>
      </w:pPr>
      <w:r>
        <w:rPr>
          <w:rFonts w:ascii="Calibri" w:hAnsi="Calibri" w:eastAsia="Calibri"/>
          <w:color w:val="111111"/>
          <w:sz w:val="19"/>
        </w:rPr>
        <w:t>When required, the written oversight agreement between supervisor and employer is signed before supervision begins and addresses noninterference, record access, and clinical guidance.</w:t>
      </w:r>
    </w:p>
    <w:p>
      <w:pPr>
        <w:pStyle w:val="ListBullet"/>
        <w:spacing w:after="66" w:line="259" w:lineRule="auto"/>
        <w:ind w:left="403" w:hanging="202"/>
      </w:pPr>
      <w:r>
        <w:rPr>
          <w:rFonts w:ascii="Calibri" w:hAnsi="Calibri" w:eastAsia="Calibri"/>
          <w:color w:val="111111"/>
          <w:sz w:val="19"/>
        </w:rPr>
        <w:t>For supervisory relationships beginning January 1, 2022 or later, the supervisor and supervisee sign the BBS supervision agreement within 60 days; the agreement includes a collaboratively developed supervisory plan.</w:t>
      </w:r>
    </w:p>
    <w:p>
      <w:pPr>
        <w:pStyle w:val="ListBullet"/>
        <w:spacing w:after="66" w:line="259" w:lineRule="auto"/>
        <w:ind w:left="403" w:hanging="202"/>
      </w:pPr>
      <w:r>
        <w:rPr>
          <w:rFonts w:ascii="Calibri" w:hAnsi="Calibri" w:eastAsia="Calibri"/>
          <w:color w:val="111111"/>
          <w:sz w:val="19"/>
        </w:rPr>
        <w:t>The supervisee maintains a weekly log, and the supervisor signs it weekly.</w:t>
      </w:r>
    </w:p>
    <w:p>
      <w:pPr>
        <w:pStyle w:val="ListBullet"/>
        <w:spacing w:after="66" w:line="259" w:lineRule="auto"/>
        <w:ind w:left="403" w:hanging="202"/>
      </w:pPr>
      <w:r>
        <w:rPr>
          <w:rFonts w:ascii="Calibri" w:hAnsi="Calibri" w:eastAsia="Calibri"/>
          <w:color w:val="111111"/>
          <w:sz w:val="19"/>
        </w:rPr>
        <w:t>Experience verification is completed at termination or completion of the supervisory relationship and includes employment/volunteer, setting, hours, supervision, dates, and supervisor information.</w:t>
      </w:r>
    </w:p>
    <w:p>
      <w:pPr>
        <w:pStyle w:val="ListBullet"/>
        <w:spacing w:after="66" w:line="259" w:lineRule="auto"/>
        <w:ind w:left="403" w:hanging="202"/>
      </w:pPr>
      <w:r>
        <w:rPr>
          <w:rFonts w:ascii="Calibri" w:hAnsi="Calibri" w:eastAsia="Calibri"/>
          <w:color w:val="111111"/>
          <w:sz w:val="19"/>
        </w:rPr>
        <w:t>A temporary substitute supervisor must meet full qualifications and complete the required agreement/log process.</w:t>
      </w:r>
    </w:p>
    <w:p>
      <w:pPr>
        <w:pStyle w:val="Heading2"/>
        <w:keepNext/>
      </w:pPr>
      <w:r>
        <w:t>5.7 Payment and proprietary-interest restrictions</w:t>
      </w:r>
    </w:p>
    <w:p>
      <w:pPr>
        <w:keepLines w:val="0"/>
        <w:spacing w:after="120" w:line="266" w:lineRule="auto"/>
      </w:pPr>
      <w:r>
        <w:rPr>
          <w:rFonts w:ascii="Calibri" w:hAnsi="Calibri" w:eastAsia="Calibri"/>
          <w:color w:val="111111"/>
          <w:sz w:val="20"/>
        </w:rPr>
        <w:t>An ASW may not receive remuneration directly from patients or clients and, when paid, may be paid only by the employer. Reimbursement for actual volunteer expenses and specified recruitment/retention stipends may fit the statute when properly documented. The ASW may not hold a proprietary interest in the employer’s business, lease or rent space, pay for furnishings, equipment or supplies, or otherwise pay the employer’s obligations. These rules prevent an associate from functioning as an independent business while using supervision as a label.</w:t>
      </w:r>
    </w:p>
    <w:p>
      <w:pPr>
        <w:pStyle w:val="Heading3"/>
        <w:keepNext/>
      </w:pPr>
      <w:r>
        <w:t>Guided Application 5A - The contractor arrangement</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 private-practice owner offers an ASW a “contractor” position. Clients will pay the ASW directly. The ASW will pay monthly room rent and software costs. The owner promises informal weekly consultation but will not sign a supervision agreement or accept record access and service-quality responsibility.</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is the BEST response?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EMPLOYMENT</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ASW may serve only as an employee or volunteer, not an independent contractor.</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PAYMENT</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Direct client payment and payment of employer obligations are prohibited.</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SUPERVISION</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Informal consultation is not supervision and does not establish responsibility and control for service quality.</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SETTING</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Private-practice work requires issued ASW registration and a lawful employer/supervisor/records structure.</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ACTION</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Decline or stop the arrangement, communicate the legal requirements, and proceed only if the employer establishes lawful employment, payment, setting and supervision.</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The arrangement is not cured by a registration number or weekly consultation. The ASW should not begin or continue services until the full legal structure is corrected.</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Treating each defect as a minor paperwork issue when the arrangement functions as independent practice.</w:t>
            </w:r>
          </w:p>
        </w:tc>
      </w:tr>
    </w:tbl>
    <w:p>
      <w:pPr>
        <w:spacing w:after="0"/>
      </w:pPr>
    </w:p>
    <w:p>
      <w:pPr>
        <w:pStyle w:val="Heading3"/>
        <w:keepNext/>
      </w:pPr>
      <w:r>
        <w:t>Guided Application 5B - More than 10 clinical-service hours</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An ASW performs 14 hours of qualifying clinical psychosocial diagnosis, assessment and treatment in one setting during a week. The ASW receives one hour of individual supervision in that setting.</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supervision issue must be addressed?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TRIGGER</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More than 10 hours of the specified clinical services were performed in one setting during the week.</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REQUIREMENT</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ASW needs at least one additional hour of direct supervisor contact for that setting in the same week.</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FORM</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additional contact may use a legally permitted individual, triadic or group equivalent, subject to the applicable definitions.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DOCUMENTATION</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Record the service hours and qualifying supervision accurately on the weekly log.</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One hour is not enough for that setting and week. The additional supervision must occur in the same week as the hours claimed.</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Applying the additional-hour trigger to total employment hours rather than the statutory clinical-service category, or postponing it to the following week.</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5F7F9"/>
            <w:tcMar>
              <w:top w:w="90" w:type="dxa"/>
              <w:start w:w="105" w:type="dxa"/>
              <w:bottom w:w="90" w:type="dxa"/>
              <w:end w:w="105" w:type="dxa"/>
            </w:tcMar>
            <w:tcBorders>
              <w:top w:val="nil"/>
              <w:left w:val="single" w:sz="18" w:color="5E6670"/>
              <w:bottom w:val="nil"/>
              <w:right w:val="nil"/>
            </w:tcBorders>
          </w:tcPr>
          <w:p>
            <w:pPr>
              <w:spacing w:after="0" w:line="252" w:lineRule="auto"/>
            </w:pPr>
            <w:r>
              <w:rPr>
                <w:rFonts w:ascii="Calibri" w:hAnsi="Calibri" w:eastAsia="Calibri"/>
                <w:b/>
                <w:color w:val="102A4C"/>
                <w:sz w:val="16"/>
              </w:rPr>
              <w:t>SOURCE NOTE  Source anchors: BPC sections 4996.20 and 4996.23-4996.23.3; 16 CCR sections 1869-1871; BBS ASW FAQ, revised January 2026; BBS supervisor resources, current 2026 forms and guidance; NASW standards 3.01 and 3.09. Current-source verification refreshed August 7, 2026. Verify high-change sources again within 30 days of public release and after material legal/regulatory change.</w:t>
            </w:r>
            <w:r>
              <w:rPr>
                <w:rFonts w:ascii="Calibri" w:hAnsi="Calibri" w:eastAsia="Calibri"/>
                <w:color w:val="111111"/>
                <w:sz w:val="16"/>
              </w:rPr>
            </w:r>
          </w:p>
        </w:tc>
      </w:tr>
    </w:tbl>
    <w:p>
      <w:pPr>
        <w:spacing w:after="0"/>
      </w:pPr>
    </w:p>
    <w:p>
      <w:pPr>
        <w:pageBreakBefore w:val="0"/>
        <w:spacing w:after="160"/>
        <w:jc w:val="center"/>
      </w:pPr>
      <w:r>
        <w:rPr>
          <w:rFonts w:ascii="Calibri" w:hAnsi="Calibri" w:eastAsia="Calibri"/>
          <w:b/>
          <w:color w:val="10A79B"/>
          <w:sz w:val="22"/>
        </w:rPr>
        <w:t>UNIT 6</w:t>
      </w:r>
    </w:p>
    <w:p>
      <w:pPr>
        <w:spacing w:after="240"/>
        <w:jc w:val="center"/>
        <w:pBdr>
          <w:bottom w:val="single" w:sz="6" w:space="5" w:color="2F69BF"/>
        </w:pBdr>
      </w:pPr>
      <w:r>
        <w:rPr>
          <w:rFonts w:ascii="Calibri" w:hAnsi="Calibri" w:eastAsia="Calibri"/>
          <w:b/>
          <w:color w:val="102A4C"/>
          <w:sz w:val="42"/>
        </w:rPr>
        <w:t>Professional Conduct, Records and Enforcement</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AF1FB"/>
            <w:tcMar>
              <w:top w:w="90" w:type="dxa"/>
              <w:start w:w="105" w:type="dxa"/>
              <w:bottom w:w="90" w:type="dxa"/>
              <w:end w:w="105" w:type="dxa"/>
            </w:tcMar>
            <w:tcBorders>
              <w:top w:val="nil"/>
              <w:left w:val="single" w:sz="18" w:color="2F69BF"/>
              <w:bottom w:val="nil"/>
              <w:right w:val="nil"/>
            </w:tcBorders>
          </w:tcPr>
          <w:p>
            <w:pPr>
              <w:spacing w:after="0" w:line="252" w:lineRule="auto"/>
            </w:pPr>
            <w:r>
              <w:rPr>
                <w:rFonts w:ascii="Calibri" w:hAnsi="Calibri" w:eastAsia="Calibri"/>
                <w:b/>
                <w:color w:val="102A4C"/>
                <w:sz w:val="19"/>
              </w:rPr>
              <w:t xml:space="preserve">WHY THIS MATTERS  </w:t>
            </w:r>
            <w:r>
              <w:rPr>
                <w:rFonts w:ascii="Calibri" w:hAnsi="Calibri" w:eastAsia="Calibri"/>
                <w:color w:val="111111"/>
                <w:sz w:val="19"/>
              </w:rPr>
              <w:t>Law-and-ethics questions often present conduct that is clinically understandable but professionally unsafe: continuing while impaired, accepting an employer’s improper billing method, allowing a misleading profile to remain, altering a record after a complaint, or treating the end of a statutory time period as ethical permission.</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9F7F5"/>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20"/>
              </w:rPr>
              <w:t xml:space="preserve">BIG IDEA  </w:t>
            </w:r>
            <w:r>
              <w:rPr>
                <w:rFonts w:ascii="Calibri" w:hAnsi="Calibri" w:eastAsia="Calibri"/>
                <w:color w:val="111111"/>
                <w:sz w:val="20"/>
              </w:rPr>
              <w:t>Professional accountability follows the conduct, not the clinician’s intention.</w:t>
            </w:r>
          </w:p>
        </w:tc>
      </w:tr>
    </w:tbl>
    <w:p>
      <w:pPr>
        <w:spacing w:after="0"/>
      </w:pPr>
    </w:p>
    <w:p>
      <w:pPr>
        <w:pStyle w:val="Heading2"/>
        <w:keepNext/>
      </w:pPr>
      <w:r>
        <w:t>Unit learning objectives</w:t>
      </w:r>
    </w:p>
    <w:p>
      <w:pPr>
        <w:pStyle w:val="ListBullet"/>
        <w:spacing w:after="66" w:line="259" w:lineRule="auto"/>
        <w:ind w:left="403" w:hanging="202"/>
      </w:pPr>
      <w:r>
        <w:rPr>
          <w:rFonts w:ascii="Calibri" w:hAnsi="Calibri" w:eastAsia="Calibri"/>
          <w:color w:val="111111"/>
          <w:sz w:val="19"/>
        </w:rPr>
        <w:t>Recognize high-yield unprofessional-conduct categories without turning penalty schedules into trivia.</w:t>
      </w:r>
    </w:p>
    <w:p>
      <w:pPr>
        <w:pStyle w:val="ListBullet"/>
        <w:spacing w:after="66" w:line="259" w:lineRule="auto"/>
        <w:ind w:left="403" w:hanging="202"/>
      </w:pPr>
      <w:r>
        <w:rPr>
          <w:rFonts w:ascii="Calibri" w:hAnsi="Calibri" w:eastAsia="Calibri"/>
          <w:color w:val="111111"/>
          <w:sz w:val="19"/>
        </w:rPr>
        <w:t>Separate California statutory minimums from broader NASW ethical duties.</w:t>
      </w:r>
    </w:p>
    <w:p>
      <w:pPr>
        <w:pStyle w:val="ListBullet"/>
        <w:spacing w:after="66" w:line="259" w:lineRule="auto"/>
        <w:ind w:left="403" w:hanging="202"/>
      </w:pPr>
      <w:r>
        <w:rPr>
          <w:rFonts w:ascii="Calibri" w:hAnsi="Calibri" w:eastAsia="Calibri"/>
          <w:color w:val="111111"/>
          <w:sz w:val="19"/>
        </w:rPr>
        <w:t>Select prompt containment, client protection, consultation, correction, documentation and continuity responses.</w:t>
      </w:r>
    </w:p>
    <w:p>
      <w:pPr>
        <w:pStyle w:val="Heading2"/>
        <w:keepNext/>
      </w:pPr>
      <w:r>
        <w:t>Lesson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44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Lesson</w:t>
            </w:r>
          </w:p>
        </w:tc>
        <w:tc>
          <w:tcPr>
            <w:tcW w:type="dxa" w:w="871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Focus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6.1</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Unprofessional-conduct architecture</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6.2</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Sexual conduct and exploitation</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6.3</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Fees, billing and referrals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6.4</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Records and documentation</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6.5</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Impairment and colleague conduct</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6.6</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Enforcement and examination security</w:t>
            </w:r>
          </w:p>
        </w:tc>
      </w:tr>
    </w:tbl>
    <w:p>
      <w:pPr>
        <w:spacing w:after="20"/>
      </w:pPr>
    </w:p>
    <w:p>
      <w:pPr>
        <w:pStyle w:val="Heading2"/>
        <w:keepNext/>
      </w:pPr>
      <w:r>
        <w:t>6.1 Unprofessional-conduct architecture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Risk family</w:t>
            </w:r>
          </w:p>
        </w:tc>
        <w:tc>
          <w:tcPr>
            <w:tcW w:type="dxa" w:w="748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Examples</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Status and representation</w:t>
            </w:r>
          </w:p>
        </w:tc>
        <w:tc>
          <w:tcPr>
            <w:tcW w:type="dxa" w:w="748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Fraud, misrepresentation, impersonation, misleading credentials, advertising, aiding unlicensed practice.</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Competence and quality</w:t>
            </w:r>
          </w:p>
        </w:tc>
        <w:tc>
          <w:tcPr>
            <w:tcW w:type="dxa" w:w="748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Incompetence, gross negligence, practice beyond competence, allowing a supervisee to exceed competence.</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Client protection</w:t>
            </w:r>
          </w:p>
        </w:tc>
        <w:tc>
          <w:tcPr>
            <w:tcW w:type="dxa" w:w="748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Intentional or reckless harm, confidentiality failures, reporting failures, telehealth noncompliance.</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Boundaries and exploitation</w:t>
            </w:r>
          </w:p>
        </w:tc>
        <w:tc>
          <w:tcPr>
            <w:tcW w:type="dxa" w:w="748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Sexual conduct, sexual abuse/misconduct, referral payments, financial exploitation, improper relationships.</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Records and administration</w:t>
            </w:r>
          </w:p>
        </w:tc>
        <w:tc>
          <w:tcPr>
            <w:tcW w:type="dxa" w:w="748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Records inconsistent with sound clinical judgment, unlawful access/retention conduct, dishonest billing or documentation.</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Supervision and experience</w:t>
            </w:r>
          </w:p>
        </w:tc>
        <w:tc>
          <w:tcPr>
            <w:tcW w:type="dxa" w:w="748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Violating supervision/experience laws or supervising in a way that violates law or regulation.</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Impairment and public safety</w:t>
            </w:r>
          </w:p>
        </w:tc>
        <w:tc>
          <w:tcPr>
            <w:tcW w:type="dxa" w:w="748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Substance use or other impairment that makes practice dangerous or compromises safe performance.</w:t>
            </w:r>
          </w:p>
        </w:tc>
      </w:tr>
      <w:tr>
        <w:trPr>
          <w:cantSplit/>
        </w:trPr>
        <w:tc>
          <w:tcPr>
            <w:tcW w:type="dxa" w:w="266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Examination integrity</w:t>
            </w:r>
          </w:p>
        </w:tc>
        <w:tc>
          <w:tcPr>
            <w:tcW w:type="dxa" w:w="748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Subverting or attempting to subvert a licensing examination or its administration.</w:t>
            </w:r>
          </w:p>
        </w:tc>
      </w:tr>
    </w:tbl>
    <w:p>
      <w:pPr>
        <w:spacing w:after="20"/>
      </w:pPr>
    </w:p>
    <w:p>
      <w:pPr>
        <w:pStyle w:val="Heading2"/>
        <w:keepNext/>
      </w:pPr>
      <w:r>
        <w:t>6.2 Sexual conduct and exploitation: law and ethics are not identical</w:t>
      </w:r>
    </w:p>
    <w:p>
      <w:pPr>
        <w:keepLines w:val="0"/>
        <w:spacing w:after="120" w:line="266" w:lineRule="auto"/>
      </w:pPr>
      <w:r>
        <w:rPr>
          <w:rFonts w:ascii="Calibri" w:hAnsi="Calibri" w:eastAsia="Calibri"/>
          <w:color w:val="111111"/>
          <w:sz w:val="20"/>
        </w:rPr>
        <w:t>California law identifies sexual relations with a current client, solicitation, sexual abuse or misconduct, and sexual relations with a former client within two years after termination as unprofessional conduct. The NASW Code is broader: it states that social workers should not engage in sexual activities or sexual contact with former clients because of the potential for harm. Therefore, the passage of two years should never be treated as automatic ethical permission or a safe-exam answer.</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Source</w:t>
            </w:r>
          </w:p>
        </w:tc>
        <w:tc>
          <w:tcPr>
            <w:tcW w:type="dxa" w:w="78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What it asks</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California law</w:t>
            </w:r>
          </w:p>
        </w:tc>
        <w:tc>
          <w:tcPr>
            <w:tcW w:type="dxa" w:w="784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Identify prohibited conduct and Board discipline exposure, including the two-year former-client statutory period.</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NASW ethics</w:t>
            </w:r>
          </w:p>
        </w:tc>
        <w:tc>
          <w:tcPr>
            <w:tcW w:type="dxa" w:w="784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Evaluate enduring power, exploitation, coercion, manipulation, client vulnerability and professional integrity beyond the legal minimum.</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Exam reasoning</w:t>
            </w:r>
          </w:p>
        </w:tc>
        <w:tc>
          <w:tcPr>
            <w:tcW w:type="dxa" w:w="784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When law and ethics point to different thresholds, state both and select the more protective ethical response when the question asks what is BEST or MOST ethical.</w:t>
            </w:r>
          </w:p>
        </w:tc>
      </w:tr>
    </w:tbl>
    <w:p>
      <w:pPr>
        <w:spacing w:after="20"/>
      </w:pPr>
    </w:p>
    <w:p>
      <w:pPr>
        <w:pStyle w:val="Heading2"/>
        <w:keepNext/>
      </w:pPr>
      <w:r>
        <w:t>6.3 Fees, billing and referrals</w:t>
      </w:r>
    </w:p>
    <w:p>
      <w:pPr>
        <w:pStyle w:val="ListBullet"/>
        <w:spacing w:after="66" w:line="259" w:lineRule="auto"/>
        <w:ind w:left="403" w:hanging="202"/>
      </w:pPr>
      <w:r>
        <w:rPr>
          <w:rFonts w:ascii="Calibri" w:hAnsi="Calibri" w:eastAsia="Calibri"/>
          <w:color w:val="111111"/>
          <w:sz w:val="19"/>
        </w:rPr>
        <w:t>Disclose the fee or basis for calculating the fee before treatment begins.</w:t>
      </w:r>
    </w:p>
    <w:p>
      <w:pPr>
        <w:pStyle w:val="ListBullet"/>
        <w:spacing w:after="66" w:line="259" w:lineRule="auto"/>
        <w:ind w:left="403" w:hanging="202"/>
      </w:pPr>
      <w:r>
        <w:rPr>
          <w:rFonts w:ascii="Calibri" w:hAnsi="Calibri" w:eastAsia="Calibri"/>
          <w:color w:val="111111"/>
          <w:sz w:val="19"/>
        </w:rPr>
        <w:t>Keep billing accurate to the nature, extent, date and provider of services.</w:t>
      </w:r>
    </w:p>
    <w:p>
      <w:pPr>
        <w:pStyle w:val="ListBullet"/>
        <w:spacing w:after="66" w:line="259" w:lineRule="auto"/>
        <w:ind w:left="403" w:hanging="202"/>
      </w:pPr>
      <w:r>
        <w:rPr>
          <w:rFonts w:ascii="Calibri" w:hAnsi="Calibri" w:eastAsia="Calibri"/>
          <w:color w:val="111111"/>
          <w:sz w:val="19"/>
        </w:rPr>
        <w:t>Do not pay, accept or solicit consideration for referring professional clients when no professional service supports the payment.</w:t>
      </w:r>
    </w:p>
    <w:p>
      <w:pPr>
        <w:pStyle w:val="ListBullet"/>
        <w:spacing w:after="66" w:line="259" w:lineRule="auto"/>
        <w:ind w:left="403" w:hanging="202"/>
      </w:pPr>
      <w:r>
        <w:rPr>
          <w:rFonts w:ascii="Calibri" w:hAnsi="Calibri" w:eastAsia="Calibri"/>
          <w:color w:val="111111"/>
          <w:sz w:val="19"/>
        </w:rPr>
        <w:t>Collaboration is permitted, but a fee for collaboration must be disclosed as required and reflect actual professional services.</w:t>
      </w:r>
    </w:p>
    <w:p>
      <w:pPr>
        <w:pStyle w:val="ListBullet"/>
        <w:spacing w:after="66" w:line="259" w:lineRule="auto"/>
        <w:ind w:left="403" w:hanging="202"/>
      </w:pPr>
      <w:r>
        <w:rPr>
          <w:rFonts w:ascii="Calibri" w:hAnsi="Calibri" w:eastAsia="Calibri"/>
          <w:color w:val="111111"/>
          <w:sz w:val="19"/>
        </w:rPr>
        <w:t>Address unpaid balances through previously disclosed policies, client welfare, risk, continuity and applicable law; do not use abrupt abandonment as a collection method.</w:t>
      </w:r>
    </w:p>
    <w:p>
      <w:pPr>
        <w:pStyle w:val="Heading2"/>
        <w:keepNext/>
      </w:pPr>
      <w:r>
        <w:t>6.4 Records and documentation</w:t>
      </w:r>
    </w:p>
    <w:p>
      <w:pPr>
        <w:keepLines w:val="0"/>
        <w:spacing w:after="120" w:line="266" w:lineRule="auto"/>
      </w:pPr>
      <w:r>
        <w:rPr>
          <w:rFonts w:ascii="Calibri" w:hAnsi="Calibri" w:eastAsia="Calibri"/>
          <w:color w:val="111111"/>
          <w:sz w:val="20"/>
        </w:rPr>
        <w:t>California requires LCSWs to retain health-service records for at least seven years after therapy terminates. For a minor, the minimum period runs seven years from the date the client reaches age 18. The unprofessional-conduct statute separately requires records consistent with sound clinical judgment, professional standards and the nature of the services. Ethical documentation should be accurate, timely, relevant, privacy-protective and sufficient for continuity—without becoming a transcript or a defensive reconstruction.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Situation</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Professional response</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Late entry</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Identify the actual date created and the date of service; do not backdate.</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Correction</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Preserve the original entry and use a transparent correction or addendum according to applicable procedure.</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Complaint/investigation</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Preserve record integrity; do not rewrite history, conceal, or destroy information because review is expected.</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High-risk decision</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Document relevant facts, assessment, reasoning, consultation, action, client response, disposition and follow-up.</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Storage/disposal</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Use safeguards across creation, access, transmission, retention and destruction; check for legal holds or preservation duties.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Client understanding</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Use clear language and assist clients in understanding records when appropriate; follow current access and disclosure law.</w:t>
            </w:r>
          </w:p>
        </w:tc>
      </w:tr>
    </w:tbl>
    <w:p>
      <w:pPr>
        <w:spacing w:after="20"/>
      </w:pPr>
    </w:p>
    <w:p>
      <w:pPr>
        <w:pStyle w:val="Heading2"/>
        <w:keepNext/>
      </w:pPr>
      <w:r>
        <w:t>6.5 Impairment and colleague conduct</w:t>
      </w:r>
    </w:p>
    <w:p>
      <w:pPr>
        <w:keepLines w:val="0"/>
        <w:spacing w:after="120" w:line="266" w:lineRule="auto"/>
      </w:pPr>
      <w:r>
        <w:rPr>
          <w:rFonts w:ascii="Calibri" w:hAnsi="Calibri" w:eastAsia="Calibri"/>
          <w:color w:val="111111"/>
          <w:sz w:val="20"/>
        </w:rPr>
        <w:t>The relevant question is current professional functioning and client risk—not whether the condition, medication, stressor or substance is lawful or morally blameworthy. A social worker whose personal problems, distress, substance use, health condition or legal problems interfere with judgment or performance should seek consultation and take remedial action such as obtaining professional help, modifying workload, arranging coverage, or stopping unsafe practice. Similar client-protective reasoning applies when a colleague’s conduct is unethical or incompetent: use the appropriate direct, supervisory, organizational, regulatory or emergency pathway for the seriousness and immediacy of the risk.</w:t>
      </w:r>
    </w:p>
    <w:p>
      <w:pPr>
        <w:pStyle w:val="Heading2"/>
        <w:keepNext/>
      </w:pPr>
      <w:r>
        <w:t>6.6 Enforcement and examination security</w:t>
      </w:r>
    </w:p>
    <w:p>
      <w:pPr>
        <w:keepLines w:val="0"/>
        <w:spacing w:after="120" w:line="266" w:lineRule="auto"/>
      </w:pPr>
      <w:r>
        <w:rPr>
          <w:rFonts w:ascii="Calibri" w:hAnsi="Calibri" w:eastAsia="Calibri"/>
          <w:color w:val="111111"/>
          <w:sz w:val="20"/>
        </w:rPr>
        <w:t>Board action may include denial, citation, probation, suspension, revocation, or other discipline under applicable law and guidelines. Examination questions generally test recognition, client protection, corrective action and professional reasoning—not memorization of a specific penalty range. The candidate handbook also requires compliance with the examination nondisclosure agreement. Seeking or sharing live, recalled or unauthorized items can invalidate results and create professional consequences.</w:t>
      </w:r>
    </w:p>
    <w:p>
      <w:pPr>
        <w:pStyle w:val="Heading3"/>
        <w:keepNext/>
      </w:pPr>
      <w:r>
        <w:t>Guided Application 6A - Former client after three years</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An LCSW receives a dating invitation from a former psychotherapy client three years after termination. The former client says the two-year California period has passed, so the relationship is now permitted.</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is the BEST analysis?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LAW</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two-year statutory former-client period is a California discipline threshold, not a declaration that later relationships are safe.</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ETHICS</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NASW ethics advises against sexual activities or contact with former clients because of the potential for harm and enduring power effects.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RISK</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Consider exploitation, coercion, transference, vulnerability, prior treatment content, public trust and professional integrity.</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ACTION</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Decline the relationship and maintain a clear boundary; obtain consultation if needed and document only what is professionally necessary.</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The LCSW should not treat the passage of two years as ethical permission. A strong answer states the legal distinction and follows the broader ethical protection.</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Selecting the minimum statutory period as though it were the full ethical analysis.</w:t>
            </w:r>
          </w:p>
        </w:tc>
      </w:tr>
    </w:tbl>
    <w:p>
      <w:pPr>
        <w:spacing w:after="0"/>
      </w:pPr>
    </w:p>
    <w:p>
      <w:pPr>
        <w:pStyle w:val="Heading3"/>
        <w:keepNext/>
      </w:pPr>
      <w:r>
        <w:t>Guided Application 6B - Impairment and a misdirected record</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An LCSW experiencing medication-related sedation emails a draft assessment summary to the wrong client and notices the error minutes later. Another clinical appointment is scheduled in 30 minutes.</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should occur FIRST?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CONTAINMENT</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Address the unauthorized disclosure and preserve evidence needed for the privacy response.</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FUNCTIONING</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Current sedation raises an immediate safe-practice question; do not continue routine work merely because the medication is prescribed.</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ASSISTANCE</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Activate employer/privacy procedures, obtain qualified assistance, arrange coverage, and assess fitness before resuming.</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COMMUNICATION + RECORD</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Complete required notifications and client communication under applicable law/policy; document the incident, containment, consultation, coverage and follow-up.</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The first response is to contain the disclosure and prevent a second client-safety error. The LCSW should stop or limit unsafe practice, obtain assistance, and arrange continuity rather than finish the day as planned.</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Focusing only on whether the medication was prescribed instead of present functioning and active client risk.</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5F7F9"/>
            <w:tcMar>
              <w:top w:w="90" w:type="dxa"/>
              <w:start w:w="105" w:type="dxa"/>
              <w:bottom w:w="90" w:type="dxa"/>
              <w:end w:w="105" w:type="dxa"/>
            </w:tcMar>
            <w:tcBorders>
              <w:top w:val="nil"/>
              <w:left w:val="single" w:sz="18" w:color="5E6670"/>
              <w:bottom w:val="nil"/>
              <w:right w:val="nil"/>
            </w:tcBorders>
          </w:tcPr>
          <w:p>
            <w:pPr>
              <w:spacing w:after="0" w:line="252" w:lineRule="auto"/>
            </w:pPr>
            <w:r>
              <w:rPr>
                <w:rFonts w:ascii="Calibri" w:hAnsi="Calibri" w:eastAsia="Calibri"/>
                <w:b/>
                <w:color w:val="102A4C"/>
                <w:sz w:val="16"/>
              </w:rPr>
              <w:t>SOURCE NOTE  Source anchors: BPC sections 4992.2-4992.3 and 4993; BBS Disciplinary Guidelines, July 1, 2026; NASW standards 1.07, 1.09, 1.13, 2.08-2.10, 3.04-3.05 and 4.03-4.07; Pearson Candidate Handbook security requirements. Current-source verification refreshed August 7, 2026. Verify high-change sources again within 30 days of public release and after material legal/regulatory change.</w:t>
            </w:r>
            <w:r>
              <w:rPr>
                <w:rFonts w:ascii="Calibri" w:hAnsi="Calibri" w:eastAsia="Calibri"/>
                <w:color w:val="111111"/>
                <w:sz w:val="16"/>
              </w:rPr>
            </w:r>
          </w:p>
        </w:tc>
      </w:tr>
    </w:tbl>
    <w:p>
      <w:pPr>
        <w:spacing w:after="0"/>
      </w:pPr>
    </w:p>
    <w:p>
      <w:pPr>
        <w:pageBreakBefore w:val="0"/>
        <w:spacing w:after="160"/>
        <w:jc w:val="center"/>
      </w:pPr>
      <w:r>
        <w:rPr>
          <w:rFonts w:ascii="Calibri" w:hAnsi="Calibri" w:eastAsia="Calibri"/>
          <w:b/>
          <w:color w:val="10A79B"/>
          <w:sz w:val="22"/>
        </w:rPr>
        <w:t>UNIT 7</w:t>
      </w:r>
    </w:p>
    <w:p>
      <w:pPr>
        <w:spacing w:after="240"/>
        <w:jc w:val="center"/>
        <w:pBdr>
          <w:bottom w:val="single" w:sz="6" w:space="5" w:color="2F69BF"/>
        </w:pBdr>
      </w:pPr>
      <w:r>
        <w:rPr>
          <w:rFonts w:ascii="Calibri" w:hAnsi="Calibri" w:eastAsia="Calibri"/>
          <w:b/>
          <w:color w:val="102A4C"/>
          <w:sz w:val="42"/>
        </w:rPr>
        <w:t>Social-Work Ethics, Autonomy and Advocacy</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AF1FB"/>
            <w:tcMar>
              <w:top w:w="90" w:type="dxa"/>
              <w:start w:w="105" w:type="dxa"/>
              <w:bottom w:w="90" w:type="dxa"/>
              <w:end w:w="105" w:type="dxa"/>
            </w:tcMar>
            <w:tcBorders>
              <w:top w:val="nil"/>
              <w:left w:val="single" w:sz="18" w:color="2F69BF"/>
              <w:bottom w:val="nil"/>
              <w:right w:val="nil"/>
            </w:tcBorders>
          </w:tcPr>
          <w:p>
            <w:pPr>
              <w:spacing w:after="0" w:line="252" w:lineRule="auto"/>
            </w:pPr>
            <w:r>
              <w:rPr>
                <w:rFonts w:ascii="Calibri" w:hAnsi="Calibri" w:eastAsia="Calibri"/>
                <w:b/>
                <w:color w:val="102A4C"/>
                <w:sz w:val="19"/>
              </w:rPr>
              <w:t xml:space="preserve">WHY THIS MATTERS  </w:t>
            </w:r>
            <w:r>
              <w:rPr>
                <w:rFonts w:ascii="Calibri" w:hAnsi="Calibri" w:eastAsia="Calibri"/>
                <w:color w:val="111111"/>
                <w:sz w:val="19"/>
              </w:rPr>
              <w:t>The LCSW outline gives ethics greater weight than law. It tests not only whether the social worker avoids misconduct, but whether the response reflects dignity, self-determination, social justice, cultural humility, client welfare, human relationships, integrity, competence, organizational responsibility and advocacy.</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9F7F5"/>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20"/>
              </w:rPr>
              <w:t xml:space="preserve">BIG IDEA  </w:t>
            </w:r>
            <w:r>
              <w:rPr>
                <w:rFonts w:ascii="Calibri" w:hAnsi="Calibri" w:eastAsia="Calibri"/>
                <w:color w:val="111111"/>
                <w:sz w:val="20"/>
              </w:rPr>
              <w:t>Law establishes authority; social-work ethics shapes how the professional uses it.</w:t>
            </w:r>
          </w:p>
        </w:tc>
      </w:tr>
    </w:tbl>
    <w:p>
      <w:pPr>
        <w:spacing w:after="0"/>
      </w:pPr>
    </w:p>
    <w:p>
      <w:pPr>
        <w:pStyle w:val="Heading2"/>
        <w:keepNext/>
      </w:pPr>
      <w:r>
        <w:t>Unit learning objectives</w:t>
      </w:r>
    </w:p>
    <w:p>
      <w:pPr>
        <w:pStyle w:val="ListBullet"/>
        <w:spacing w:after="66" w:line="259" w:lineRule="auto"/>
        <w:ind w:left="403" w:hanging="202"/>
      </w:pPr>
      <w:r>
        <w:rPr>
          <w:rFonts w:ascii="Calibri" w:hAnsi="Calibri" w:eastAsia="Calibri"/>
          <w:color w:val="111111"/>
          <w:sz w:val="19"/>
        </w:rPr>
        <w:t>Apply the six NASW core values to client, colleague, organization, profession and society questions.</w:t>
      </w:r>
    </w:p>
    <w:p>
      <w:pPr>
        <w:pStyle w:val="ListBullet"/>
        <w:spacing w:after="66" w:line="259" w:lineRule="auto"/>
        <w:ind w:left="403" w:hanging="202"/>
      </w:pPr>
      <w:r>
        <w:rPr>
          <w:rFonts w:ascii="Calibri" w:hAnsi="Calibri" w:eastAsia="Calibri"/>
          <w:color w:val="111111"/>
          <w:sz w:val="19"/>
        </w:rPr>
        <w:t>Balance self-determination with serious, foreseeable and imminent risk without defaulting to control.</w:t>
      </w:r>
    </w:p>
    <w:p>
      <w:pPr>
        <w:pStyle w:val="ListBullet"/>
        <w:spacing w:after="66" w:line="259" w:lineRule="auto"/>
        <w:ind w:left="403" w:hanging="202"/>
      </w:pPr>
      <w:r>
        <w:rPr>
          <w:rFonts w:ascii="Calibri" w:hAnsi="Calibri" w:eastAsia="Calibri"/>
          <w:color w:val="111111"/>
          <w:sz w:val="19"/>
        </w:rPr>
        <w:t>Use cultural humility, advocacy, collaboration, continuity and organizational escalation in ethically complex cases.</w:t>
      </w:r>
    </w:p>
    <w:p>
      <w:pPr>
        <w:pStyle w:val="Heading2"/>
        <w:keepNext/>
      </w:pPr>
      <w:r>
        <w:t>Lesson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44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Lesson</w:t>
            </w:r>
          </w:p>
        </w:tc>
        <w:tc>
          <w:tcPr>
            <w:tcW w:type="dxa" w:w="871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Focus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7.1</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Purpose, values and ethical principles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7.2</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Commitment, dignity and self-determination</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7.3</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Confidentiality and safety</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7.4</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Cultural humility and social justice</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7.5</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Relationships, teams and referrals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7.6</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Organizations, roles and professional integrity</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7.7</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Competence, impairment and self-care</w:t>
            </w:r>
          </w:p>
        </w:tc>
      </w:tr>
    </w:tbl>
    <w:p>
      <w:pPr>
        <w:spacing w:after="20"/>
      </w:pPr>
    </w:p>
    <w:p>
      <w:pPr>
        <w:pStyle w:val="Heading2"/>
        <w:keepNext/>
      </w:pPr>
      <w:r>
        <w:t>7.1 Purpose, values and ethical principles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736"/>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Core value</w:t>
            </w:r>
          </w:p>
        </w:tc>
        <w:tc>
          <w:tcPr>
            <w:tcW w:type="dxa" w:w="7416"/>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Applied meaning</w:t>
            </w:r>
          </w:p>
        </w:tc>
      </w:tr>
      <w:tr>
        <w:trPr>
          <w:cantSplit/>
        </w:trPr>
        <w:tc>
          <w:tcPr>
            <w:tcW w:type="dxa" w:w="273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Service</w:t>
            </w:r>
          </w:p>
        </w:tc>
        <w:tc>
          <w:tcPr>
            <w:tcW w:type="dxa" w:w="7416"/>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Use knowledge and skill to address social problems and help people in need.</w:t>
            </w:r>
          </w:p>
        </w:tc>
      </w:tr>
      <w:tr>
        <w:trPr>
          <w:cantSplit/>
        </w:trPr>
        <w:tc>
          <w:tcPr>
            <w:tcW w:type="dxa" w:w="273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Social justice</w:t>
            </w:r>
          </w:p>
        </w:tc>
        <w:tc>
          <w:tcPr>
            <w:tcW w:type="dxa" w:w="7416"/>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Challenge injustice and barriers, especially those affecting vulnerable and oppressed people.</w:t>
            </w:r>
          </w:p>
        </w:tc>
      </w:tr>
      <w:tr>
        <w:trPr>
          <w:cantSplit/>
        </w:trPr>
        <w:tc>
          <w:tcPr>
            <w:tcW w:type="dxa" w:w="273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Dignity and worth</w:t>
            </w:r>
          </w:p>
        </w:tc>
        <w:tc>
          <w:tcPr>
            <w:tcW w:type="dxa" w:w="7416"/>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Treat each person with care and respect, attentive to difference, autonomy and socially responsible self-determination.</w:t>
            </w:r>
          </w:p>
        </w:tc>
      </w:tr>
      <w:tr>
        <w:trPr>
          <w:cantSplit/>
        </w:trPr>
        <w:tc>
          <w:tcPr>
            <w:tcW w:type="dxa" w:w="273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Importance of human relationships</w:t>
            </w:r>
          </w:p>
        </w:tc>
        <w:tc>
          <w:tcPr>
            <w:tcW w:type="dxa" w:w="7416"/>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Use relationships as a vehicle for change and strengthen relationships among people and systems.</w:t>
            </w:r>
          </w:p>
        </w:tc>
      </w:tr>
      <w:tr>
        <w:trPr>
          <w:cantSplit/>
        </w:trPr>
        <w:tc>
          <w:tcPr>
            <w:tcW w:type="dxa" w:w="273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Integrity</w:t>
            </w:r>
          </w:p>
        </w:tc>
        <w:tc>
          <w:tcPr>
            <w:tcW w:type="dxa" w:w="7416"/>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Act honestly and responsibly; accurately represent role, credentials, limits and commitments.</w:t>
            </w:r>
          </w:p>
        </w:tc>
      </w:tr>
      <w:tr>
        <w:trPr>
          <w:cantSplit/>
        </w:trPr>
        <w:tc>
          <w:tcPr>
            <w:tcW w:type="dxa" w:w="273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Competence</w:t>
            </w:r>
          </w:p>
        </w:tc>
        <w:tc>
          <w:tcPr>
            <w:tcW w:type="dxa" w:w="7416"/>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Practice within preparation, remain current, use consultation and supervision, and contribute to professional knowledge.</w:t>
            </w:r>
          </w:p>
        </w:tc>
      </w:tr>
    </w:tbl>
    <w:p>
      <w:pPr>
        <w:spacing w:after="20"/>
      </w:pPr>
    </w:p>
    <w:p>
      <w:pPr>
        <w:keepLines w:val="0"/>
        <w:spacing w:after="120" w:line="266" w:lineRule="auto"/>
      </w:pPr>
      <w:r>
        <w:rPr>
          <w:rFonts w:ascii="Calibri" w:hAnsi="Calibri" w:eastAsia="Calibri"/>
          <w:color w:val="111111"/>
          <w:sz w:val="20"/>
        </w:rPr>
        <w:t>The Code is a framework, not a mechanical ranking system. Ethical reasoning requires context, informed judgment, consultation when appropriate, and attention to conflicts among duties. Always identify when a separate California legal requirement supersedes or limits an ethical preference.</w:t>
      </w:r>
    </w:p>
    <w:p>
      <w:pPr>
        <w:pStyle w:val="Heading2"/>
        <w:keepNext/>
      </w:pPr>
      <w:r>
        <w:t>7.2 Commitment, dignity and self-determination</w:t>
      </w:r>
    </w:p>
    <w:p>
      <w:pPr>
        <w:keepLines w:val="0"/>
        <w:spacing w:after="120" w:line="266" w:lineRule="auto"/>
      </w:pPr>
      <w:r>
        <w:rPr>
          <w:rFonts w:ascii="Calibri" w:hAnsi="Calibri" w:eastAsia="Calibri"/>
          <w:color w:val="111111"/>
          <w:sz w:val="20"/>
        </w:rPr>
        <w:t>Clients’ interests are generally primary, but legal obligations or responsibilities to the larger society may sometimes supersede loyalty to the client, and the client should be informed when appropriate. Self-determination means helping clients identify and clarify their own goals, not substituting the clinician’s values. NASW ethics recognizes that self-determination may be limited when a client’s actions or potential actions create serious, foreseeable and imminent risk to self or others.</w:t>
      </w:r>
    </w:p>
    <w:p>
      <w:pPr>
        <w:pStyle w:val="ListBullet"/>
        <w:spacing w:after="66" w:line="259" w:lineRule="auto"/>
        <w:ind w:left="403" w:hanging="202"/>
      </w:pPr>
      <w:r>
        <w:rPr>
          <w:rFonts w:ascii="Calibri" w:hAnsi="Calibri" w:eastAsia="Calibri"/>
          <w:color w:val="111111"/>
          <w:sz w:val="19"/>
        </w:rPr>
        <w:t>Use clear, understandable informed-consent language and support questions, refusal, withdrawal and meaningful choice.</w:t>
      </w:r>
    </w:p>
    <w:p>
      <w:pPr>
        <w:pStyle w:val="ListBullet"/>
        <w:spacing w:after="66" w:line="259" w:lineRule="auto"/>
        <w:ind w:left="403" w:hanging="202"/>
      </w:pPr>
      <w:r>
        <w:rPr>
          <w:rFonts w:ascii="Calibri" w:hAnsi="Calibri" w:eastAsia="Calibri"/>
          <w:color w:val="111111"/>
          <w:sz w:val="19"/>
        </w:rPr>
        <w:t>When capacity is limited, protect rights and interests, involve an appropriate representative when required, and include the client at the level they can understand.</w:t>
      </w:r>
    </w:p>
    <w:p>
      <w:pPr>
        <w:pStyle w:val="ListBullet"/>
        <w:spacing w:after="66" w:line="259" w:lineRule="auto"/>
        <w:ind w:left="403" w:hanging="202"/>
      </w:pPr>
      <w:r>
        <w:rPr>
          <w:rFonts w:ascii="Calibri" w:hAnsi="Calibri" w:eastAsia="Calibri"/>
          <w:color w:val="111111"/>
          <w:sz w:val="19"/>
        </w:rPr>
        <w:t>Do not equate disagreement, unconventional values, disability, cultural difference, or organizational inconvenience with incapacity.</w:t>
      </w:r>
    </w:p>
    <w:p>
      <w:pPr>
        <w:pStyle w:val="ListBullet"/>
        <w:spacing w:after="66" w:line="259" w:lineRule="auto"/>
        <w:ind w:left="403" w:hanging="202"/>
      </w:pPr>
      <w:r>
        <w:rPr>
          <w:rFonts w:ascii="Calibri" w:hAnsi="Calibri" w:eastAsia="Calibri"/>
          <w:color w:val="111111"/>
          <w:sz w:val="19"/>
        </w:rPr>
        <w:t>When law requires action, explain the duty and carry it out as transparently and narrowly as the situation permits.</w:t>
      </w:r>
    </w:p>
    <w:p>
      <w:pPr>
        <w:pStyle w:val="Heading2"/>
        <w:keepNext/>
      </w:pPr>
      <w:r>
        <w:t>7.3 Confidentiality and safety</w:t>
      </w:r>
    </w:p>
    <w:p>
      <w:pPr>
        <w:keepLines w:val="0"/>
        <w:spacing w:after="120" w:line="266" w:lineRule="auto"/>
      </w:pPr>
      <w:r>
        <w:rPr>
          <w:rFonts w:ascii="Calibri" w:hAnsi="Calibri" w:eastAsia="Calibri"/>
          <w:color w:val="111111"/>
          <w:sz w:val="20"/>
        </w:rPr>
        <w:t>Ethical confidentiality requires more than silence. It includes collecting only information needed for professional purposes, setting expectations with couples/families/groups, protecting records and electronic communication, using private settings, limiting disclosures to the purpose, and discussing foreseeable limits. When a disclosure is legally required or ethically justified for serious harm, the social worker should disclose only what is needed, explain when feasible, and preserve dignity and continuity.</w:t>
      </w:r>
    </w:p>
    <w:p>
      <w:pPr>
        <w:pStyle w:val="Heading2"/>
        <w:keepNext/>
      </w:pPr>
      <w:r>
        <w:t>7.4 Cultural humility, discrimination and social justice</w:t>
      </w:r>
    </w:p>
    <w:p>
      <w:pPr>
        <w:keepLines w:val="0"/>
        <w:spacing w:after="120" w:line="266" w:lineRule="auto"/>
      </w:pPr>
      <w:r>
        <w:rPr>
          <w:rFonts w:ascii="Calibri" w:hAnsi="Calibri" w:eastAsia="Calibri"/>
          <w:color w:val="111111"/>
          <w:sz w:val="20"/>
        </w:rPr>
        <w:t>Cultural humility is an ongoing practice of self-reflection, correction, learning and accountability. The client is an expert on the meaning of their culture and lived experience. Social workers should recognize strengths, address oppression, racism, discrimination and inequity, acknowledge power and privilege, and hold institutions accountable. In technology-based services, this includes digital access, language, disability, privacy, economic conditions, and the client’s ability to use the platform safely.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324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Avoid</w:t>
            </w:r>
          </w:p>
        </w:tc>
        <w:tc>
          <w:tcPr>
            <w:tcW w:type="dxa" w:w="691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Choose instead</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Assuming group membership explains the client</w:t>
            </w:r>
          </w:p>
        </w:tc>
        <w:tc>
          <w:tcPr>
            <w:tcW w:type="dxa" w:w="69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Ask how identity, culture, community and systems shape this client’s experience.</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Treating “neutral” policy as automatically fair</w:t>
            </w:r>
          </w:p>
        </w:tc>
        <w:tc>
          <w:tcPr>
            <w:tcW w:type="dxa" w:w="69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Examine disparate impact, access barriers and whether alternatives are available.</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Using cultural respect to excuse harm or coercion</w:t>
            </w:r>
          </w:p>
        </w:tc>
        <w:tc>
          <w:tcPr>
            <w:tcW w:type="dxa" w:w="69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Respect context while preserving safety, rights and client-defined goals.</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Performative advocacy without client partnership</w:t>
            </w:r>
          </w:p>
        </w:tc>
        <w:tc>
          <w:tcPr>
            <w:tcW w:type="dxa" w:w="69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Clarify the client’s priorities, consent, risks and preferred role in advocacy.</w:t>
            </w:r>
          </w:p>
        </w:tc>
      </w:tr>
      <w:tr>
        <w:trPr>
          <w:cantSplit/>
        </w:trPr>
        <w:tc>
          <w:tcPr>
            <w:tcW w:type="dxa" w:w="32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Ignoring organizational power</w:t>
            </w:r>
          </w:p>
        </w:tc>
        <w:tc>
          <w:tcPr>
            <w:tcW w:type="dxa" w:w="69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Use role clarity, escalation, documentation and collective/system remedies when appropriate.</w:t>
            </w:r>
          </w:p>
        </w:tc>
      </w:tr>
    </w:tbl>
    <w:p>
      <w:pPr>
        <w:spacing w:after="20"/>
      </w:pPr>
    </w:p>
    <w:p>
      <w:pPr>
        <w:pStyle w:val="Heading2"/>
        <w:keepNext/>
      </w:pPr>
      <w:r>
        <w:t>7.5 Relationships, teams and referrals</w:t>
      </w:r>
    </w:p>
    <w:p>
      <w:pPr>
        <w:keepLines w:val="0"/>
        <w:spacing w:after="120" w:line="266" w:lineRule="auto"/>
      </w:pPr>
      <w:r>
        <w:rPr>
          <w:rFonts w:ascii="Calibri" w:hAnsi="Calibri" w:eastAsia="Calibri"/>
          <w:color w:val="111111"/>
          <w:sz w:val="20"/>
        </w:rPr>
        <w:t>Interdisciplinary collaboration should protect client rights and avoid confusion about roles, consent, information sharing, and decision authority. A qualified referral is appropriate when another professional’s expertise is needed or progress is insufficient. The social worker should facilitate an orderly transfer, disclose information only with appropriate authority, and make reasonable efforts to avoid abandonment. Interruptions caused by illness, relocation, technology, staffing, or practice closure require continuity planning.</w:t>
      </w:r>
    </w:p>
    <w:p>
      <w:pPr>
        <w:pStyle w:val="Heading2"/>
        <w:keepNext/>
      </w:pPr>
      <w:r>
        <w:t>7.6 Organizations, roles and professional integrity</w:t>
      </w:r>
    </w:p>
    <w:p>
      <w:pPr>
        <w:keepLines w:val="0"/>
        <w:spacing w:after="120" w:line="266" w:lineRule="auto"/>
      </w:pPr>
      <w:r>
        <w:rPr>
          <w:rFonts w:ascii="Calibri" w:hAnsi="Calibri" w:eastAsia="Calibri"/>
          <w:color w:val="111111"/>
          <w:sz w:val="20"/>
        </w:rPr>
        <w:t>Social workers generally honor commitments to employers, but they should work to improve policies and should not allow an organization’s procedures or orders to interfere with ethical practice. They should make employers aware of ethical obligations, advocate for adequate resources and nondiscriminatory allocation, clarify different roles, and avoid misleading testimony, evaluations or public statements. Advocacy is not permission to ignore law, but compliance is not a reason to stop addressing preventable organizational harm.</w:t>
      </w:r>
    </w:p>
    <w:p>
      <w:pPr>
        <w:pStyle w:val="Heading2"/>
        <w:keepNext/>
      </w:pPr>
      <w:r>
        <w:t>7.7 Competence, impairment and self-care</w:t>
      </w:r>
    </w:p>
    <w:p>
      <w:pPr>
        <w:keepLines w:val="0"/>
        <w:spacing w:after="120" w:line="266" w:lineRule="auto"/>
      </w:pPr>
      <w:r>
        <w:rPr>
          <w:rFonts w:ascii="Calibri" w:hAnsi="Calibri" w:eastAsia="Calibri"/>
          <w:color w:val="111111"/>
          <w:sz w:val="20"/>
        </w:rPr>
        <w:t>Competence is maintained through current knowledge, education, consultation, supervision, reflective practice and honest limits. Professional self-care supports ethical practice by preserving health, safety and integrity; it is not a substitute for corrective action when functioning is impaired. When personal problems interfere with judgment or performance, the social worker should seek help, adjust workload, arrange coverage or stop unsafe practice as necessary to protect clients and others.</w:t>
      </w:r>
    </w:p>
    <w:p>
      <w:pPr>
        <w:pStyle w:val="Heading3"/>
        <w:keepNext/>
      </w:pPr>
      <w:r>
        <w:t>Guided Application 7A - Client declines family involvement</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An adult client from a family-centered cultural community declines the social worker’s recommendation to invite relatives into treatment. The social worker believes family participation could be helpful and worries that the client is rejecting an important cultural resource.</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is the MOST ethical response?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SELF-DETERMINATION</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client decides whether family participation fits the client’s goals unless a separate legal or safety issue changes the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CULTURAL HUMILITY</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Do not assume that community values dictate this individual’s preference. Ask about meaning, past experience, safety, privacy and pressure.</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INFORMED CHOICE</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Explain potential benefits and risks, clarify confidentiality and roles, and allow the client to decline or reconsider.</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DOCUMENTATION</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Record the discussion and the client’s preference without framing it as resistance or cultural deficiency.</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Respect the client’s informed decision, remain curious about context, and keep the option open without coercion. Cultural responsiveness supports individualized choice rather than imposing a stereotype.</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Assuming that “culturally appropriate” means the clinician may override the client’s stated preference.</w:t>
            </w:r>
          </w:p>
        </w:tc>
      </w:tr>
    </w:tbl>
    <w:p>
      <w:pPr>
        <w:spacing w:after="0"/>
      </w:pPr>
    </w:p>
    <w:p>
      <w:pPr>
        <w:pStyle w:val="Heading3"/>
        <w:keepNext/>
      </w:pPr>
      <w:r>
        <w:t>Guided Application 7B - Employer policy conflicts with ethical care</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An agency instructs social workers to close cases after two missed appointments without assessing barriers, risk, disability access, language needs, or continuity. An LCSW believes the automatic policy may harm several high-risk clients.</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is the BEST response?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IMMEDIATE CLIENT PROTECTION</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Identify active risk and continuity needs before mechanically closing a case.</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POLICY ANALYSIS</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Determine applicable law, contract and agency rules; identify the exact ethical and access concerns rather than simply refusing all policy.</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ORGANIZATIONAL ACTION</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Raise the concern through supervision/leadership, propose a fair review process and reasonable outreach/exception criteria, and advocate for adequate resources.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DOCUMENTATION</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Record client-specific decisions and the organizational escalation without placing unnecessary internal dispute details in the clinical record.</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BOUNDARY</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Advocacy must stay within role and law; the LCSW should not secretly promise services the agency cannot lawfully provide.</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The LCSW should protect current clients, analyze the governing requirements, escalate the ethical conflict, and advocate for a policy that considers risk, access and continuity rather than applying an automatic rule without clinical review.</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Choosing either blind obedience or unilateral defiance without client-specific safety analysis, organizational escalation and lawful continuity planning.</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5F7F9"/>
            <w:tcMar>
              <w:top w:w="90" w:type="dxa"/>
              <w:start w:w="105" w:type="dxa"/>
              <w:bottom w:w="90" w:type="dxa"/>
              <w:end w:w="105" w:type="dxa"/>
            </w:tcMar>
            <w:tcBorders>
              <w:top w:val="nil"/>
              <w:left w:val="single" w:sz="18" w:color="5E6670"/>
              <w:bottom w:val="nil"/>
              <w:right w:val="nil"/>
            </w:tcBorders>
          </w:tcPr>
          <w:p>
            <w:pPr>
              <w:spacing w:after="0" w:line="252" w:lineRule="auto"/>
            </w:pPr>
            <w:r>
              <w:rPr>
                <w:rFonts w:ascii="Calibri" w:hAnsi="Calibri" w:eastAsia="Calibri"/>
                <w:b/>
                <w:color w:val="102A4C"/>
                <w:sz w:val="16"/>
              </w:rPr>
              <w:t>SOURCE NOTE  Source anchors: NASW Code of Ethics: Preamble, Purpose, Ethical Principles and standards 1.01-1.07, 1.14-1.17, 2.01, 2.08-2.10, 3.01-3.10, 4.01-4.07 and 6.01-6.04; LCSW outline Ethics sections 2A-2C; California law and regulation cited separately when a legal duty applies. Current-source verification refreshed August 7, 2026. Verify high-change sources again within 30 days of public release and after material legal/regulatory change.</w:t>
            </w:r>
            <w:r>
              <w:rPr>
                <w:rFonts w:ascii="Calibri" w:hAnsi="Calibri" w:eastAsia="Calibri"/>
                <w:color w:val="111111"/>
                <w:sz w:val="16"/>
              </w:rPr>
            </w:r>
          </w:p>
        </w:tc>
      </w:tr>
    </w:tbl>
    <w:p>
      <w:pPr>
        <w:spacing w:after="0"/>
      </w:pPr>
    </w:p>
    <w:p>
      <w:pPr>
        <w:pageBreakBefore w:val="0"/>
        <w:spacing w:after="160"/>
        <w:jc w:val="center"/>
      </w:pPr>
      <w:r>
        <w:rPr>
          <w:rFonts w:ascii="Calibri" w:hAnsi="Calibri" w:eastAsia="Calibri"/>
          <w:b/>
          <w:color w:val="10A79B"/>
          <w:sz w:val="22"/>
        </w:rPr>
        <w:t>UNIT 8</w:t>
      </w:r>
    </w:p>
    <w:p>
      <w:pPr>
        <w:spacing w:after="240"/>
        <w:jc w:val="center"/>
        <w:pBdr>
          <w:bottom w:val="single" w:sz="6" w:space="5" w:color="2F69BF"/>
        </w:pBdr>
      </w:pPr>
      <w:r>
        <w:rPr>
          <w:rFonts w:ascii="Calibri" w:hAnsi="Calibri" w:eastAsia="Calibri"/>
          <w:b/>
          <w:color w:val="102A4C"/>
          <w:sz w:val="42"/>
        </w:rPr>
        <w:t>Integrated LCSW/ASW Application</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AF1FB"/>
            <w:tcMar>
              <w:top w:w="90" w:type="dxa"/>
              <w:start w:w="105" w:type="dxa"/>
              <w:bottom w:w="90" w:type="dxa"/>
              <w:end w:w="105" w:type="dxa"/>
            </w:tcMar>
            <w:tcBorders>
              <w:top w:val="nil"/>
              <w:left w:val="single" w:sz="18" w:color="2F69BF"/>
              <w:bottom w:val="nil"/>
              <w:right w:val="nil"/>
            </w:tcBorders>
          </w:tcPr>
          <w:p>
            <w:pPr>
              <w:spacing w:after="0" w:line="252" w:lineRule="auto"/>
            </w:pPr>
            <w:r>
              <w:rPr>
                <w:rFonts w:ascii="Calibri" w:hAnsi="Calibri" w:eastAsia="Calibri"/>
                <w:b/>
                <w:color w:val="102A4C"/>
                <w:sz w:val="19"/>
              </w:rPr>
              <w:t xml:space="preserve">WHY THIS MATTERS  </w:t>
            </w:r>
            <w:r>
              <w:rPr>
                <w:rFonts w:ascii="Calibri" w:hAnsi="Calibri" w:eastAsia="Calibri"/>
                <w:color w:val="111111"/>
                <w:sz w:val="19"/>
              </w:rPr>
              <w:t>The examination rarely announces the controlling category. A single scenario may contain status, setting, supervision, competence, consent, confidentiality, advertising, organizational pressure and client-safety facts. The best answer identifies which issue controls the immediate sequence.</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9F7F5"/>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20"/>
              </w:rPr>
              <w:t xml:space="preserve">BIG IDEA  </w:t>
            </w:r>
            <w:r>
              <w:rPr>
                <w:rFonts w:ascii="Calibri" w:hAnsi="Calibri" w:eastAsia="Calibri"/>
                <w:color w:val="111111"/>
                <w:sz w:val="20"/>
              </w:rPr>
              <w:t>Solve the live problem first, then repair the system around it.</w:t>
            </w:r>
          </w:p>
        </w:tc>
      </w:tr>
    </w:tbl>
    <w:p>
      <w:pPr>
        <w:spacing w:after="0"/>
      </w:pPr>
    </w:p>
    <w:p>
      <w:pPr>
        <w:pStyle w:val="Heading2"/>
        <w:keepNext/>
      </w:pPr>
      <w:r>
        <w:t>Unit learning objectives</w:t>
      </w:r>
    </w:p>
    <w:p>
      <w:pPr>
        <w:pStyle w:val="ListBullet"/>
        <w:spacing w:after="66" w:line="259" w:lineRule="auto"/>
        <w:ind w:left="403" w:hanging="202"/>
      </w:pPr>
      <w:r>
        <w:rPr>
          <w:rFonts w:ascii="Calibri" w:hAnsi="Calibri" w:eastAsia="Calibri"/>
          <w:color w:val="111111"/>
          <w:sz w:val="19"/>
        </w:rPr>
        <w:t>Use the CTA seven-step sequence without skipping the immediate duty.</w:t>
      </w:r>
    </w:p>
    <w:p>
      <w:pPr>
        <w:pStyle w:val="ListBullet"/>
        <w:spacing w:after="66" w:line="259" w:lineRule="auto"/>
        <w:ind w:left="403" w:hanging="202"/>
      </w:pPr>
      <w:r>
        <w:rPr>
          <w:rFonts w:ascii="Calibri" w:hAnsi="Calibri" w:eastAsia="Calibri"/>
          <w:color w:val="111111"/>
          <w:sz w:val="19"/>
        </w:rPr>
        <w:t>Distinguish FIRST action from later consultation, documentation, policy repair and remediation.</w:t>
      </w:r>
    </w:p>
    <w:p>
      <w:pPr>
        <w:pStyle w:val="ListBullet"/>
        <w:spacing w:after="66" w:line="259" w:lineRule="auto"/>
        <w:ind w:left="403" w:hanging="202"/>
      </w:pPr>
      <w:r>
        <w:rPr>
          <w:rFonts w:ascii="Calibri" w:hAnsi="Calibri" w:eastAsia="Calibri"/>
          <w:color w:val="111111"/>
          <w:sz w:val="19"/>
        </w:rPr>
        <w:t>Reject answers that add unsupported facts, rely on absolutes, or use the wrong profession’s rule.</w:t>
      </w:r>
    </w:p>
    <w:p>
      <w:pPr>
        <w:pStyle w:val="Heading2"/>
        <w:keepNext/>
      </w:pPr>
      <w:r>
        <w:t>Lesson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44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Lesson</w:t>
            </w:r>
          </w:p>
        </w:tc>
        <w:tc>
          <w:tcPr>
            <w:tcW w:type="dxa" w:w="871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Focus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8.1</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Integrated sequence review</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8.2</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Status and public-representation cases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8.3</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Supervision, setting and payment cases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8.4</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Autonomy, safety and organizational conflict cases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8.5</w:t>
            </w:r>
          </w:p>
        </w:tc>
        <w:tc>
          <w:tcPr>
            <w:tcW w:type="dxa" w:w="871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Role, records and integrity cases</w:t>
            </w:r>
          </w:p>
        </w:tc>
      </w:tr>
      <w:tr>
        <w:trPr>
          <w:cantSplit/>
        </w:trPr>
        <w:tc>
          <w:tcPr>
            <w:tcW w:type="dxa" w:w="144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8"/>
              </w:rPr>
              <w:t>8.6</w:t>
            </w:r>
          </w:p>
        </w:tc>
        <w:tc>
          <w:tcPr>
            <w:tcW w:type="dxa" w:w="871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8"/>
              </w:rPr>
              <w:t>Rapid review and readiness</w:t>
            </w:r>
          </w:p>
        </w:tc>
      </w:tr>
    </w:tbl>
    <w:p>
      <w:pPr>
        <w:spacing w:after="20"/>
      </w:pPr>
    </w:p>
    <w:p>
      <w:pPr>
        <w:pStyle w:val="Heading2"/>
        <w:keepNext/>
      </w:pPr>
      <w:r>
        <w:t>8.1 Integrated sequence review</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0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Lens</w:t>
            </w:r>
          </w:p>
        </w:tc>
        <w:tc>
          <w:tcPr>
            <w:tcW w:type="dxa" w:w="734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Question</w:t>
            </w:r>
          </w:p>
        </w:tc>
      </w:tr>
      <w:tr>
        <w:trPr>
          <w:cantSplit/>
        </w:trPr>
        <w:tc>
          <w:tcPr>
            <w:tcW w:type="dxa" w:w="280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STATUS + SETTING</w:t>
            </w:r>
          </w:p>
        </w:tc>
        <w:tc>
          <w:tcPr>
            <w:tcW w:type="dxa" w:w="734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Who is acting, under what credential/status, in what setting and jurisdiction?</w:t>
            </w:r>
          </w:p>
        </w:tc>
      </w:tr>
      <w:tr>
        <w:trPr>
          <w:cantSplit/>
        </w:trPr>
        <w:tc>
          <w:tcPr>
            <w:tcW w:type="dxa" w:w="280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ISSUE</w:t>
            </w:r>
          </w:p>
        </w:tc>
        <w:tc>
          <w:tcPr>
            <w:tcW w:type="dxa" w:w="734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What exact legal or ethical question controls right now?</w:t>
            </w:r>
          </w:p>
        </w:tc>
      </w:tr>
      <w:tr>
        <w:trPr>
          <w:cantSplit/>
        </w:trPr>
        <w:tc>
          <w:tcPr>
            <w:tcW w:type="dxa" w:w="280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SOURCE</w:t>
            </w:r>
          </w:p>
        </w:tc>
        <w:tc>
          <w:tcPr>
            <w:tcW w:type="dxa" w:w="734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Which current law, regulation, BBS guidance, exam control or NASW standard applies?</w:t>
            </w:r>
          </w:p>
        </w:tc>
      </w:tr>
      <w:tr>
        <w:trPr>
          <w:cantSplit/>
        </w:trPr>
        <w:tc>
          <w:tcPr>
            <w:tcW w:type="dxa" w:w="280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SAFETY + DUTY</w:t>
            </w:r>
          </w:p>
        </w:tc>
        <w:tc>
          <w:tcPr>
            <w:tcW w:type="dxa" w:w="734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What immediate action cannot wait?</w:t>
            </w:r>
          </w:p>
        </w:tc>
      </w:tr>
      <w:tr>
        <w:trPr>
          <w:cantSplit/>
        </w:trPr>
        <w:tc>
          <w:tcPr>
            <w:tcW w:type="dxa" w:w="280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PROPORTIONATE RESPONSE</w:t>
            </w:r>
          </w:p>
        </w:tc>
        <w:tc>
          <w:tcPr>
            <w:tcW w:type="dxa" w:w="734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What lawful response protects welfare, dignity, autonomy, privacy and continuity?</w:t>
            </w:r>
          </w:p>
        </w:tc>
      </w:tr>
      <w:tr>
        <w:trPr>
          <w:cantSplit/>
        </w:trPr>
        <w:tc>
          <w:tcPr>
            <w:tcW w:type="dxa" w:w="280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SUPPORT + ESCALATION</w:t>
            </w:r>
          </w:p>
        </w:tc>
        <w:tc>
          <w:tcPr>
            <w:tcW w:type="dxa" w:w="734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What supervision, consultation, collaboration, employer correction or advocacy is needed next?</w:t>
            </w:r>
          </w:p>
        </w:tc>
      </w:tr>
      <w:tr>
        <w:trPr>
          <w:cantSplit/>
        </w:trPr>
        <w:tc>
          <w:tcPr>
            <w:tcW w:type="dxa" w:w="280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COMMUNICATE + RECORD</w:t>
            </w:r>
          </w:p>
        </w:tc>
        <w:tc>
          <w:tcPr>
            <w:tcW w:type="dxa" w:w="734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What must be explained, documented, corrected, monitored and followed through?</w:t>
            </w:r>
          </w:p>
        </w:tc>
      </w:tr>
    </w:tbl>
    <w:p>
      <w:pPr>
        <w:spacing w:after="20"/>
      </w:pPr>
    </w:p>
    <w:p>
      <w:pPr>
        <w:pStyle w:val="Heading3"/>
        <w:keepNext/>
      </w:pPr>
      <w:r>
        <w:t>Case 8A - Passed exam, incomplete hours and misleading status</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An ASW has passed the California Law and Ethics Examination and completed 2,900 qualifying hours. The supervisor says the ASW may begin practicing independently while the final hours and licensure paperwork are completed. The ASW changes an online profile to “LCSW Candidate - Independent Social Worker.”</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is the BEST response?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STATUS + SETTING</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actor remains an ASW until BBS issues the LCSW license. Passing an exam and nearing the experience threshold do not create licensure or independent-practice authority.</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SOURCE + SAFEGUARD</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Apply protected-title, registration, supervision and advertising rules. Protect the public from status confusion and preserve valid experience.</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STEP</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Reject the independent arrangement, correct the profile promptly, continue only in a lawful supervised ASW structure, and complete the remaining licensure steps.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RECORD</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Document the status correction and supervision discussion; update every linked profile or directory.</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The ASW must continue under registered status and supervision and wait for license issuance before independent practice. “Candidate” does not cure a misleading independent-practice claim.</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Treating exam passage or supervisor approval as a temporary license.</w:t>
            </w:r>
          </w:p>
        </w:tc>
      </w:tr>
    </w:tbl>
    <w:p>
      <w:pPr>
        <w:spacing w:after="0"/>
      </w:pPr>
    </w:p>
    <w:p>
      <w:pPr>
        <w:pStyle w:val="Heading3"/>
        <w:keepNext/>
      </w:pPr>
      <w:r>
        <w:t>Case 8B - Direct client payment under employer pressure</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An employer instructs an ASW to accept direct electronic payments from clients for two weeks while the agency changes billing software. The supervisor says to save receipts and continue so clients do not lose appointments.</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should the ASW do FIRST?</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LEGAL RULE</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An ASW may not receive remuneration directly from clients and, when paid, may be paid only by the employer.</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IMMEDIATE DUTY</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Stop the prohibited payment flow; documentation does not make the conduct lawful.</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CONTINUITY</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Work with the employer and supervisor on a lawful payment alternative that avoids unnecessary disruption of care.</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ESCALATION + RECORD</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Communicate the rule, obtain appropriate operational/legal guidance, document the resolution, and correct any affected transactions.</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The ASW should not continue known prohibited conduct while management “reviews” it. Stop the payment arrangement and build lawful continuity around that decision.</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Choosing uninterrupted convenience over a clear status/payment prohibition.</w:t>
            </w:r>
          </w:p>
        </w:tc>
      </w:tr>
    </w:tbl>
    <w:p>
      <w:pPr>
        <w:spacing w:after="0"/>
      </w:pPr>
    </w:p>
    <w:p>
      <w:pPr>
        <w:pStyle w:val="Heading3"/>
        <w:keepNext/>
      </w:pPr>
      <w:r>
        <w:t>Case 8C - Broad record request and unclear authority</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 hospital administrator asks an LCSW to email an entire psychotherapy record to a partner organization “for care coordination.” The request identifies no client authorization, legal mandate, treatment relationship or applicable privacy framework. The administrator says the agencies have always shared records this way.</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is the BEST next response?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ROLE + FACTS</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Clarify who is requesting, the purpose, the recipient’s role, client identity, treatment relationship and applicable law/policy.</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AUTHORITY</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Do not assume a longstanding practice creates legal authority. Determine whether valid authorization or another legal basis exists.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PROPORTIONALITY</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If disclosure is authorized or required, disclose only information permitted and relevant to the purpose rather than automatically sending the entire record.</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CONSULT + RECORD</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Use privacy/legal/organizational consultation as needed, explain the decision, and document the request, authority analysis and disposition.</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The LCSW should pause the nonurgent disclosure and verify legal authority and applicability before releasing information. “Care coordination” is a purpose description, not a universal authorization.</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Assuming HIPAA either always permits or always prohibits the disclosure without first establishing coverage and the specific legal basis.</w:t>
            </w:r>
          </w:p>
        </w:tc>
      </w:tr>
    </w:tbl>
    <w:p>
      <w:pPr>
        <w:spacing w:after="0"/>
      </w:pPr>
    </w:p>
    <w:p>
      <w:pPr>
        <w:pStyle w:val="Heading3"/>
        <w:keepNext/>
      </w:pPr>
      <w:r>
        <w:t>Case 8D - Client opposes a required action</w:t>
      </w:r>
    </w:p>
    <w:p>
      <w:pPr>
        <w:keepLines w:val="0"/>
        <w:spacing w:after="80" w:line="266" w:lineRule="auto"/>
      </w:pPr>
      <w:r>
        <w:rPr>
          <w:rFonts w:ascii="Calibri" w:hAnsi="Calibri" w:eastAsia="Calibri"/>
          <w:b/>
          <w:color w:val="102A4C"/>
          <w:sz w:val="19"/>
        </w:rPr>
        <w:t>Facts.</w:t>
      </w:r>
      <w:r>
        <w:rPr>
          <w:rFonts w:ascii="Calibri" w:hAnsi="Calibri" w:eastAsia="Calibri"/>
          <w:color w:val="111111"/>
          <w:sz w:val="19"/>
        </w:rPr>
        <w:t xml:space="preserve"> An ASW concludes that a current legal reporting threshold has been met. The client asks the ASW to wait until the regular supervisor returns the next day and says an immediate report will damage trust.</w:t>
      </w:r>
    </w:p>
    <w:p>
      <w:pPr>
        <w:keepLines w:val="0"/>
        <w:spacing w:after="80" w:line="266" w:lineRule="auto"/>
      </w:pPr>
      <w:r>
        <w:rPr>
          <w:rFonts w:ascii="Calibri" w:hAnsi="Calibri" w:eastAsia="Calibri"/>
          <w:b/>
          <w:color w:val="102A4C"/>
          <w:sz w:val="19"/>
        </w:rPr>
        <w:t>Prompt.</w:t>
      </w:r>
      <w:r>
        <w:rPr>
          <w:rFonts w:ascii="Calibri" w:hAnsi="Calibri" w:eastAsia="Calibri"/>
          <w:color w:val="111111"/>
          <w:sz w:val="19"/>
        </w:rPr>
        <w:t xml:space="preserve"> What is the BEST response?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Sequence lens</w:t>
            </w:r>
          </w:p>
        </w:tc>
        <w:tc>
          <w:tcPr>
            <w:tcW w:type="dxa" w:w="77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Controlled analysis</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LEGAL DUTY</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 legally required action is not postponed for routine supervisor availability or client permission.</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TRANSPARENCY</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When safe and appropriate, explain the duty, the information that will be shared, and what will happen next.</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MINIMIZE HARM</w:t>
            </w:r>
          </w:p>
        </w:tc>
        <w:tc>
          <w:tcPr>
            <w:tcW w:type="dxa" w:w="7704"/>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Share only what the reporting law requires, address retaliation or safety concerns, and plan clinical support and continuity.</w:t>
            </w:r>
          </w:p>
        </w:tc>
      </w:tr>
      <w:tr>
        <w:trPr>
          <w:cantSplit/>
        </w:trPr>
        <w:tc>
          <w:tcPr>
            <w:tcW w:type="dxa" w:w="2448"/>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SUPERVISION + RECORD</w:t>
            </w:r>
          </w:p>
        </w:tc>
        <w:tc>
          <w:tcPr>
            <w:tcW w:type="dxa" w:w="7704"/>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Complete the report within the required procedure, document the basis and action, and notify/consult the supervisor without treating supervision as a transfer of the reporter’s duty.</w:t>
            </w:r>
          </w:p>
        </w:tc>
      </w:tr>
    </w:tbl>
    <w:p>
      <w:pPr>
        <w:spacing w:after="20"/>
      </w:pPr>
    </w:p>
    <w:p>
      <w:pPr>
        <w:keepLines w:val="0"/>
        <w:spacing w:after="80" w:line="266" w:lineRule="auto"/>
      </w:pPr>
      <w:r>
        <w:rPr>
          <w:rFonts w:ascii="Calibri" w:hAnsi="Calibri" w:eastAsia="Calibri"/>
          <w:b/>
          <w:color w:val="102A4C"/>
          <w:sz w:val="19"/>
        </w:rPr>
        <w:t>Controlled resolution.</w:t>
      </w:r>
      <w:r>
        <w:rPr>
          <w:rFonts w:ascii="Calibri" w:hAnsi="Calibri" w:eastAsia="Calibri"/>
          <w:color w:val="111111"/>
          <w:sz w:val="19"/>
        </w:rPr>
        <w:t xml:space="preserve"> The ASW should complete the required action without avoidable delay while preserving dignity, explaining the process, addressing safety concerns, and planning follow-up.</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DECEC"/>
            <w:tcMar>
              <w:top w:w="90" w:type="dxa"/>
              <w:start w:w="105" w:type="dxa"/>
              <w:bottom w:w="90" w:type="dxa"/>
              <w:end w:w="105" w:type="dxa"/>
            </w:tcMar>
            <w:tcBorders>
              <w:top w:val="nil"/>
              <w:left w:val="single" w:sz="18" w:color="C94A4A"/>
              <w:bottom w:val="nil"/>
              <w:right w:val="nil"/>
            </w:tcBorders>
          </w:tcPr>
          <w:p>
            <w:pPr>
              <w:spacing w:after="0" w:line="252" w:lineRule="auto"/>
            </w:pPr>
            <w:r>
              <w:rPr>
                <w:rFonts w:ascii="Calibri" w:hAnsi="Calibri" w:eastAsia="Calibri"/>
                <w:b/>
                <w:color w:val="102A4C"/>
                <w:sz w:val="18"/>
              </w:rPr>
              <w:t xml:space="preserve">EXAM TRAP  </w:t>
            </w:r>
            <w:r>
              <w:rPr>
                <w:rFonts w:ascii="Calibri" w:hAnsi="Calibri" w:eastAsia="Calibri"/>
                <w:color w:val="111111"/>
                <w:sz w:val="18"/>
              </w:rPr>
              <w:t>Waiting for certainty, client agreement or supervisor permission after the legal threshold has already been met.</w:t>
            </w:r>
          </w:p>
        </w:tc>
      </w:tr>
    </w:tbl>
    <w:p>
      <w:pPr>
        <w:spacing w:after="0"/>
      </w:pPr>
    </w:p>
    <w:p>
      <w:pPr>
        <w:pStyle w:val="Heading2"/>
        <w:keepNext/>
      </w:pPr>
      <w:r>
        <w:t>8.2 FIRST, NEXT and longer-term action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187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Time frame</w:t>
            </w:r>
          </w:p>
        </w:tc>
        <w:tc>
          <w:tcPr>
            <w:tcW w:type="dxa" w:w="828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Typical focus</w:t>
            </w:r>
          </w:p>
        </w:tc>
      </w:tr>
      <w:tr>
        <w:trPr>
          <w:cantSplit/>
        </w:trPr>
        <w:tc>
          <w:tcPr>
            <w:tcW w:type="dxa" w:w="1872"/>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FIRST</w:t>
            </w:r>
          </w:p>
        </w:tc>
        <w:tc>
          <w:tcPr>
            <w:tcW w:type="dxa" w:w="8280"/>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Stop ongoing harm or illegality; establish location and safety; satisfy the immediate duty; contain a breach or misrepresentation.</w:t>
            </w:r>
          </w:p>
        </w:tc>
      </w:tr>
      <w:tr>
        <w:trPr>
          <w:cantSplit/>
        </w:trPr>
        <w:tc>
          <w:tcPr>
            <w:tcW w:type="dxa" w:w="1872"/>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NEXT</w:t>
            </w:r>
          </w:p>
        </w:tc>
        <w:tc>
          <w:tcPr>
            <w:tcW w:type="dxa" w:w="8280"/>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Consult or supervise as needed; communicate with client/employer; arrange lawful continuity; clarify role and authority.</w:t>
            </w:r>
          </w:p>
        </w:tc>
      </w:tr>
      <w:tr>
        <w:trPr>
          <w:cantSplit/>
        </w:trPr>
        <w:tc>
          <w:tcPr>
            <w:tcW w:type="dxa" w:w="1872"/>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LONGER TERM</w:t>
            </w:r>
          </w:p>
        </w:tc>
        <w:tc>
          <w:tcPr>
            <w:tcW w:type="dxa" w:w="8280"/>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Repair policy/template/workflow; complete training; update records and public copy; monitor outcomes; prevent recurrence.</w:t>
            </w:r>
          </w:p>
        </w:tc>
      </w:tr>
    </w:tbl>
    <w:p>
      <w:pPr>
        <w:spacing w:after="2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9F7F5"/>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19"/>
              </w:rPr>
              <w:t xml:space="preserve">EXAM STRATEGY  </w:t>
            </w:r>
            <w:r>
              <w:rPr>
                <w:rFonts w:ascii="Calibri" w:hAnsi="Calibri" w:eastAsia="Calibri"/>
                <w:color w:val="111111"/>
                <w:sz w:val="19"/>
              </w:rPr>
              <w:t>The correct answer may not solve every problem in one step. It often identifies the action that must occur before the other reasonable actions become appropriate.</w:t>
            </w:r>
          </w:p>
        </w:tc>
      </w:tr>
    </w:tbl>
    <w:p>
      <w:pPr>
        <w:spacing w:after="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5F7F9"/>
            <w:tcMar>
              <w:top w:w="90" w:type="dxa"/>
              <w:start w:w="105" w:type="dxa"/>
              <w:bottom w:w="90" w:type="dxa"/>
              <w:end w:w="105" w:type="dxa"/>
            </w:tcMar>
            <w:tcBorders>
              <w:top w:val="nil"/>
              <w:left w:val="single" w:sz="18" w:color="5E6670"/>
              <w:bottom w:val="nil"/>
              <w:right w:val="nil"/>
            </w:tcBorders>
          </w:tcPr>
          <w:p>
            <w:pPr>
              <w:spacing w:after="0" w:line="252" w:lineRule="auto"/>
            </w:pPr>
            <w:r>
              <w:rPr>
                <w:rFonts w:ascii="Calibri" w:hAnsi="Calibri" w:eastAsia="Calibri"/>
                <w:b/>
                <w:color w:val="102A4C"/>
                <w:sz w:val="16"/>
              </w:rPr>
              <w:t>SOURCE NOTE  Source anchors: Stage 2 Module Master Content Map and Learning Objectives v1.0; Current BBS statutes/regulations and ASW guidance; Current Pearson outline/handbook; Current NASW Code of Ethics. Current-source verification refreshed August 7, 2026. Verify high-change sources again within 30 days of public release and after material legal/regulatory change.</w:t>
            </w:r>
            <w:r>
              <w:rPr>
                <w:rFonts w:ascii="Calibri" w:hAnsi="Calibri" w:eastAsia="Calibri"/>
                <w:color w:val="111111"/>
                <w:sz w:val="16"/>
              </w:rPr>
            </w:r>
          </w:p>
        </w:tc>
      </w:tr>
    </w:tbl>
    <w:p>
      <w:pPr>
        <w:spacing w:after="0"/>
      </w:pPr>
    </w:p>
    <w:p>
      <w:pPr>
        <w:pStyle w:val="Heading1"/>
        <w:keepNext/>
      </w:pPr>
      <w:r>
        <w:t>Rapid Review: High-Yield LCSW/ASW Distinctions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52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Topic</w:t>
            </w:r>
          </w:p>
        </w:tc>
        <w:tc>
          <w:tcPr>
            <w:tcW w:type="dxa" w:w="763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Remember</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Source hierarchy</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Law/regulation first for legal rules; BBS guidance for implementation; exam materials for test administration; NASW for ethics; policy never overrides law.</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Protected status</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ASW is registered and unlicensed. Exam passage, hours or supervisor approval do not create LCSW status.</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Clinical-social-work scope</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Counseling and nonmedical psychotherapy plus psychosocial, resource, service, community, advocacy and research functions.</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Scope versus competence</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Profession-wide permission does not prove individual competence, status, setting authority or role fit.</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90-day rule</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Timely application + qualifying Live Scan workplace for post-2020 graduates + later registration issuance + full compliance; no pre-registration private practice.</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Renewal</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Annual registration; exam participation each cycle until passed; three hours California Law and Ethics CE every cycle.</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Six-year limit</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Maximum five renewals; subsequent number requires passage and current requirements; no private practice on subsequent number.</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ASW disclosure</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Tell clients the ASW is unlicensed and supervised before professional services.</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Client notice</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12-point BBS complaint notice; full filed name, type/number and expiration; document delivery.</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Advertising</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Full Registered Associate Clinical Social Worker title, registration number, employer/volunteer entity, supervised-by-licensed-person statement; ASW only with full title.</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Telehealth</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At initiation: consent, risks/limits, provider type/number, local emergency resources. Each session: full name and present address, appropriateness, privacy/security.</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Out-of-state client</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California registration does not automatically authorize service in another jurisdiction.</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Employment</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Employee or volunteer only; no independent contracting.</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Payment</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No direct client remuneration; paid only by employer when employed; no rent, proprietary interest or employer obligations.</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Supervision</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Responsibility and control for service quality; consultation is not supervision.</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Weekly contact</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One hour per setting per week; additional hour in a setting after more than 10 statutory clinical-service hours.</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Records</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Sound clinical judgment; minimum seven years after termination, or seven years after a minor reaches 18.</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Sexual boundaries</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California two-year former-client statutory rule is not ethical permission; NASW ethics is broader.</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Impairment</w:t>
            </w:r>
          </w:p>
        </w:tc>
        <w:tc>
          <w:tcPr>
            <w:tcW w:type="dxa" w:w="763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Present functioning and client risk control; seek help, modify workload, arrange coverage or stop unsafe practice.</w:t>
            </w:r>
          </w:p>
        </w:tc>
      </w:tr>
      <w:tr>
        <w:trPr>
          <w:cantSplit/>
        </w:trPr>
        <w:tc>
          <w:tcPr>
            <w:tcW w:type="dxa" w:w="252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6"/>
              </w:rPr>
              <w:t>Official examination</w:t>
            </w:r>
          </w:p>
        </w:tc>
        <w:tc>
          <w:tcPr>
            <w:tcW w:type="dxa" w:w="763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6"/>
              </w:rPr>
              <w:t>75 total: 50 scored + 25 pretest, 90 minutes; Law 44%, Ethics 56%; ASWB Clinical is separate.</w:t>
            </w:r>
          </w:p>
        </w:tc>
      </w:tr>
    </w:tbl>
    <w:p>
      <w:pPr>
        <w:spacing w:after="20"/>
      </w:pPr>
    </w:p>
    <w:p>
      <w:pPr>
        <w:pStyle w:val="Heading1"/>
        <w:keepNext/>
      </w:pPr>
      <w:r>
        <w:t>Common examination traps and correction rules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Trap</w:t>
            </w:r>
          </w:p>
        </w:tc>
        <w:tc>
          <w:tcPr>
            <w:tcW w:type="dxa" w:w="7272"/>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Correction</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Title swap</w:t>
            </w:r>
          </w:p>
        </w:tc>
        <w:tc>
          <w:tcPr>
            <w:tcW w:type="dxa" w:w="72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 rule written for an AMFT or APCC is not automatically an ASW rule. Recheck the Clinical Social Worker Practice Act.</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Setting cures status</w:t>
            </w:r>
          </w:p>
        </w:tc>
        <w:tc>
          <w:tcPr>
            <w:tcW w:type="dxa" w:w="727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 hospital, nonprofit or licensed clinic does not automatically create ASW registration, lawful experience or independent authority.</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Supervisor absorbs responsibility</w:t>
            </w:r>
          </w:p>
        </w:tc>
        <w:tc>
          <w:tcPr>
            <w:tcW w:type="dxa" w:w="72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Supervision does not authorize the ASW to continue known unlawful conduct or remove the ASW’s own duties.</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Consultation before immediate duty</w:t>
            </w:r>
          </w:p>
        </w:tc>
        <w:tc>
          <w:tcPr>
            <w:tcW w:type="dxa" w:w="727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Consultation is valuable, but do not delay a clear urgent legal or safety action.</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Ethics equals law</w:t>
            </w:r>
          </w:p>
        </w:tc>
        <w:tc>
          <w:tcPr>
            <w:tcW w:type="dxa" w:w="72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NASW standards guide ethics; cite California law separately for a legal requirement.</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Law equals ethics</w:t>
            </w:r>
          </w:p>
        </w:tc>
        <w:tc>
          <w:tcPr>
            <w:tcW w:type="dxa" w:w="727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 legal minimum may still be an ethically weak answer, especially in former-client, confidentiality, organizational and autonomy questions.</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HIPAA always applies</w:t>
            </w:r>
          </w:p>
        </w:tc>
        <w:tc>
          <w:tcPr>
            <w:tcW w:type="dxa" w:w="72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First establish covered-entity/business-associate or other applicability facts; California privacy law may apply independently.</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Most restrictive is safest</w:t>
            </w:r>
          </w:p>
        </w:tc>
        <w:tc>
          <w:tcPr>
            <w:tcW w:type="dxa" w:w="727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Choose the least harmful lawful response that adequately protects safety and rights.</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Documentation replaces action</w:t>
            </w:r>
          </w:p>
        </w:tc>
        <w:tc>
          <w:tcPr>
            <w:tcW w:type="dxa" w:w="72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 detailed note does not cure ongoing misrepresentation, prohibited payment, unsafe practice or delayed reporting.</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One-step perfection</w:t>
            </w:r>
          </w:p>
        </w:tc>
        <w:tc>
          <w:tcPr>
            <w:tcW w:type="dxa" w:w="7272"/>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best answer often sequences first containment, then consultation/communication, then longer-term repair.</w:t>
            </w:r>
          </w:p>
        </w:tc>
      </w:tr>
      <w:tr>
        <w:trPr>
          <w:cantSplit/>
        </w:trPr>
        <w:tc>
          <w:tcPr>
            <w:tcW w:type="dxa" w:w="2880"/>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Exam form equals official test</w:t>
            </w:r>
          </w:p>
        </w:tc>
        <w:tc>
          <w:tcPr>
            <w:tcW w:type="dxa" w:w="7272"/>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CTA forms are original educational tools and are not exact replicas of the official 75-item administration.</w:t>
            </w:r>
          </w:p>
        </w:tc>
      </w:tr>
    </w:tbl>
    <w:p>
      <w:pPr>
        <w:spacing w:after="20"/>
      </w:pPr>
    </w:p>
    <w:p>
      <w:pPr>
        <w:pStyle w:val="Heading2"/>
        <w:keepNext/>
      </w:pPr>
      <w:r>
        <w:t>Readiness checklist before the 25-question module assessment</w:t>
      </w:r>
    </w:p>
    <w:p>
      <w:pPr>
        <w:pStyle w:val="ListBullet"/>
        <w:spacing w:after="66" w:line="259" w:lineRule="auto"/>
        <w:ind w:left="403" w:hanging="202"/>
      </w:pPr>
      <w:r>
        <w:rPr>
          <w:rFonts w:ascii="Calibri" w:hAnsi="Calibri" w:eastAsia="Calibri"/>
          <w:color w:val="111111"/>
          <w:sz w:val="19"/>
        </w:rPr>
        <w:t>☐ I can name the controlling source class before applying a rule.</w:t>
      </w:r>
    </w:p>
    <w:p>
      <w:pPr>
        <w:pStyle w:val="ListBullet"/>
        <w:spacing w:after="66" w:line="259" w:lineRule="auto"/>
        <w:ind w:left="403" w:hanging="202"/>
      </w:pPr>
      <w:r>
        <w:rPr>
          <w:rFonts w:ascii="Calibri" w:hAnsi="Calibri" w:eastAsia="Calibri"/>
          <w:color w:val="111111"/>
          <w:sz w:val="19"/>
        </w:rPr>
        <w:t>☐ I can distinguish LCSW, ASW, pending applicant, student, supervisor and employer roles.</w:t>
      </w:r>
    </w:p>
    <w:p>
      <w:pPr>
        <w:pStyle w:val="ListBullet"/>
        <w:spacing w:after="66" w:line="259" w:lineRule="auto"/>
        <w:ind w:left="403" w:hanging="202"/>
      </w:pPr>
      <w:r>
        <w:rPr>
          <w:rFonts w:ascii="Calibri" w:hAnsi="Calibri" w:eastAsia="Calibri"/>
          <w:color w:val="111111"/>
          <w:sz w:val="19"/>
        </w:rPr>
        <w:t>☐ I can explain the 90-day rule without treating it as registration or private-practice authority.</w:t>
      </w:r>
    </w:p>
    <w:p>
      <w:pPr>
        <w:pStyle w:val="ListBullet"/>
        <w:spacing w:after="66" w:line="259" w:lineRule="auto"/>
        <w:ind w:left="403" w:hanging="202"/>
      </w:pPr>
      <w:r>
        <w:rPr>
          <w:rFonts w:ascii="Calibri" w:hAnsi="Calibri" w:eastAsia="Calibri"/>
          <w:color w:val="111111"/>
          <w:sz w:val="19"/>
        </w:rPr>
        <w:t>☐ I can identify all current ASW advertising components and correct misleading digital content.</w:t>
      </w:r>
    </w:p>
    <w:p>
      <w:pPr>
        <w:pStyle w:val="ListBullet"/>
        <w:spacing w:after="66" w:line="259" w:lineRule="auto"/>
        <w:ind w:left="403" w:hanging="202"/>
      </w:pPr>
      <w:r>
        <w:rPr>
          <w:rFonts w:ascii="Calibri" w:hAnsi="Calibri" w:eastAsia="Calibri"/>
          <w:color w:val="111111"/>
          <w:sz w:val="19"/>
        </w:rPr>
        <w:t>☐ I can distinguish supervision from consultation and calculate the weekly direct-contact requirement.</w:t>
      </w:r>
    </w:p>
    <w:p>
      <w:pPr>
        <w:pStyle w:val="ListBullet"/>
        <w:spacing w:after="66" w:line="259" w:lineRule="auto"/>
        <w:ind w:left="403" w:hanging="202"/>
      </w:pPr>
      <w:r>
        <w:rPr>
          <w:rFonts w:ascii="Calibri" w:hAnsi="Calibri" w:eastAsia="Calibri"/>
          <w:color w:val="111111"/>
          <w:sz w:val="19"/>
        </w:rPr>
        <w:t>☐ I can identify prohibited independent-contractor, direct-client-payment and rent/proprietary arrangements.</w:t>
      </w:r>
    </w:p>
    <w:p>
      <w:pPr>
        <w:pStyle w:val="ListBullet"/>
        <w:spacing w:after="66" w:line="259" w:lineRule="auto"/>
        <w:ind w:left="403" w:hanging="202"/>
      </w:pPr>
      <w:r>
        <w:rPr>
          <w:rFonts w:ascii="Calibri" w:hAnsi="Calibri" w:eastAsia="Calibri"/>
          <w:color w:val="111111"/>
          <w:sz w:val="19"/>
        </w:rPr>
        <w:t>☐ I can separate California legal minimums from broader NASW ethical duties.</w:t>
      </w:r>
    </w:p>
    <w:p>
      <w:pPr>
        <w:pStyle w:val="ListBullet"/>
        <w:spacing w:after="66" w:line="259" w:lineRule="auto"/>
        <w:ind w:left="403" w:hanging="202"/>
      </w:pPr>
      <w:r>
        <w:rPr>
          <w:rFonts w:ascii="Calibri" w:hAnsi="Calibri" w:eastAsia="Calibri"/>
          <w:color w:val="111111"/>
          <w:sz w:val="19"/>
        </w:rPr>
        <w:t>☐ I can sequence FIRST, NEXT and longer-term actions in integrated cases.</w:t>
      </w:r>
    </w:p>
    <w:p>
      <w:pPr>
        <w:pStyle w:val="ListBullet"/>
        <w:spacing w:after="66" w:line="259" w:lineRule="auto"/>
        <w:ind w:left="403" w:hanging="202"/>
      </w:pPr>
      <w:r>
        <w:rPr>
          <w:rFonts w:ascii="Calibri" w:hAnsi="Calibri" w:eastAsia="Calibri"/>
          <w:color w:val="111111"/>
          <w:sz w:val="19"/>
        </w:rPr>
        <w:t>☐ I know the official examination’s 75-item/90-minute structure and the separate ASWB Clinical pathway.</w:t>
      </w:r>
    </w:p>
    <w:p>
      <w:pPr>
        <w:pStyle w:val="ListBullet"/>
        <w:spacing w:after="66" w:line="259" w:lineRule="auto"/>
        <w:ind w:left="403" w:hanging="202"/>
      </w:pPr>
      <w:r>
        <w:rPr>
          <w:rFonts w:ascii="Calibri" w:hAnsi="Calibri" w:eastAsia="Calibri"/>
          <w:color w:val="111111"/>
          <w:sz w:val="19"/>
        </w:rPr>
        <w:t>☐ I will verify current BBS and Pearson materials before relying on a date-bound rule.</w:t>
      </w:r>
    </w:p>
    <w:p>
      <w:pPr>
        <w:pStyle w:val="Heading1"/>
        <w:keepNext/>
        <w:pageBreakBefore/>
      </w:pPr>
      <w:r>
        <w:t>Glossary</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Term</w:t>
            </w:r>
          </w:p>
        </w:tc>
        <w:tc>
          <w:tcPr>
            <w:tcW w:type="dxa" w:w="7848"/>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7"/>
              </w:rPr>
              <w:t>Meaning</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ASW</w:t>
            </w:r>
          </w:p>
        </w:tc>
        <w:tc>
          <w:tcPr>
            <w:tcW w:type="dxa" w:w="784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Registered Associate Clinical Social Worker. A California BBS registrant who is unlicensed and practices only within lawful employment/volunteer and supervision structures.</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LCSW</w:t>
            </w:r>
          </w:p>
        </w:tc>
        <w:tc>
          <w:tcPr>
            <w:tcW w:type="dxa" w:w="784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Licensed Clinical Social Worker. A person issued an active California clinical social worker license by BBS.</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BBS</w:t>
            </w:r>
          </w:p>
        </w:tc>
        <w:tc>
          <w:tcPr>
            <w:tcW w:type="dxa" w:w="784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California Board of Behavioral Sciences.</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Clinical social work</w:t>
            </w:r>
          </w:p>
        </w:tc>
        <w:tc>
          <w:tcPr>
            <w:tcW w:type="dxa" w:w="784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profession-wide service defined in BPC section 4996.9, including counseling, nonmedical psychotherapy, psychosocial, resource, social-service, community and research functions.</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Competence</w:t>
            </w:r>
          </w:p>
        </w:tc>
        <w:tc>
          <w:tcPr>
            <w:tcW w:type="dxa" w:w="784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The individual clinician’s education, training, experience, supervision, consultation, current knowledge and ability to perform a service safely and effectively.</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Exempt setting</w:t>
            </w:r>
          </w:p>
        </w:tc>
        <w:tc>
          <w:tcPr>
            <w:tcW w:type="dxa" w:w="784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 setting that meets the statutory exemption criteria; licensed and registered individuals in exempt settings remain within BBS jurisdiction as specified.</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Nonexempt setting</w:t>
            </w:r>
          </w:p>
        </w:tc>
        <w:tc>
          <w:tcPr>
            <w:tcW w:type="dxa" w:w="784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 setting that does not qualify as exempt; active license/registration requirements and related controls apply.</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Private practice</w:t>
            </w:r>
          </w:p>
        </w:tc>
        <w:tc>
          <w:tcPr>
            <w:tcW w:type="dxa" w:w="784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 defined type of nonexempt setting owned by licensed health professional(s) that provides clinical mental-health services and controls payment/reimbursement conditions.</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Professional corporation</w:t>
            </w:r>
          </w:p>
        </w:tc>
        <w:tc>
          <w:tcPr>
            <w:tcW w:type="dxa" w:w="784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 defined private-practice/nonexempt business entity formed under the California professional-corporation law.</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Supervision</w:t>
            </w:r>
          </w:p>
        </w:tc>
        <w:tc>
          <w:tcPr>
            <w:tcW w:type="dxa" w:w="784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Responsibility for and control of the quality of services provided by the supervisee; includes monitoring, evaluation, feedback, records review and legal compliance.</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Consultation</w:t>
            </w:r>
          </w:p>
        </w:tc>
        <w:tc>
          <w:tcPr>
            <w:tcW w:type="dxa" w:w="784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Professional advice or discussion that does not itself create legally qualifying supervision.</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Pretest item</w:t>
            </w:r>
          </w:p>
        </w:tc>
        <w:tc>
          <w:tcPr>
            <w:tcW w:type="dxa" w:w="7848"/>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An unscored item used by the examination administrator for development. Candidates are not told which official items are pretest.</w:t>
            </w:r>
          </w:p>
        </w:tc>
      </w:tr>
      <w:tr>
        <w:trPr>
          <w:cantSplit/>
        </w:trPr>
        <w:tc>
          <w:tcPr>
            <w:tcW w:type="dxa" w:w="2304"/>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Controlled rationale</w:t>
            </w:r>
          </w:p>
        </w:tc>
        <w:tc>
          <w:tcPr>
            <w:tcW w:type="dxa" w:w="7848"/>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CTA’s detailed answer explanation. Keep the printable rationale file accessible from enrollment; recommend post-attempt review for strongest diagnostic value.</w:t>
            </w:r>
          </w:p>
        </w:tc>
      </w:tr>
    </w:tbl>
    <w:p>
      <w:pPr>
        <w:spacing w:after="20"/>
      </w:pPr>
    </w:p>
    <w:p>
      <w:pPr>
        <w:pStyle w:val="Heading1"/>
        <w:keepNext/>
        <w:pageBreakBefore/>
      </w:pPr>
      <w:r>
        <w:t>Official source framework and references</w:t>
      </w: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FFF6D9"/>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18"/>
              </w:rPr>
              <w:t>CURRENTNESS RECHECKED AUGUST 7, 2026  The January 2026 BBS statutes-and-regulations booklet is a baseline and may not contain later enacted or adopted changes. CTA must recheck the BBS Law Changes/Updates pages, current codified law and regulation, current Pearson materials, and current NASW ethics before item-bank lock, LMS build, and public release.</w:t>
            </w:r>
            <w:r>
              <w:rPr>
                <w:rFonts w:ascii="Calibri" w:hAnsi="Calibri" w:eastAsia="Calibri"/>
                <w:color w:val="111111"/>
                <w:sz w:val="18"/>
              </w:rPr>
            </w:r>
          </w:p>
        </w:tc>
      </w:tr>
    </w:tbl>
    <w:p>
      <w:pPr>
        <w:spacing w:after="0"/>
      </w:pPr>
    </w:p>
    <w:p>
      <w:pPr>
        <w:spacing w:after="80" w:line="252" w:lineRule="auto"/>
        <w:ind w:left="360" w:hanging="360"/>
      </w:pPr>
      <w:r>
        <w:rPr>
          <w:rFonts w:ascii="Calibri" w:hAnsi="Calibri" w:eastAsia="Calibri"/>
          <w:b/>
          <w:color w:val="102A4C"/>
          <w:sz w:val="18"/>
        </w:rPr>
        <w:t xml:space="preserve">California Board of Behavioral Sciences. </w:t>
      </w:r>
      <w:r>
        <w:rPr>
          <w:rFonts w:ascii="Calibri" w:hAnsi="Calibri" w:eastAsia="Calibri"/>
          <w:color w:val="111111"/>
          <w:sz w:val="18"/>
        </w:rPr>
        <w:t>Statutes and Regulations Relating to the Practices of Professional Clinical Counseling, Marriage and Family Therapy, Educational Psychology, and Clinical Social Work, effective January 1, 2026. https://www.bbs.ca.gov/pdf/publications/lawsregs.pdf</w:t>
      </w:r>
    </w:p>
    <w:p>
      <w:pPr>
        <w:spacing w:after="80" w:line="252" w:lineRule="auto"/>
        <w:ind w:left="360" w:hanging="360"/>
      </w:pPr>
      <w:r>
        <w:rPr>
          <w:rFonts w:ascii="Calibri" w:hAnsi="Calibri" w:eastAsia="Calibri"/>
          <w:b/>
          <w:color w:val="102A4C"/>
          <w:sz w:val="18"/>
        </w:rPr>
        <w:t xml:space="preserve">California Board of Behavioral Sciences. </w:t>
      </w:r>
      <w:r>
        <w:rPr>
          <w:rFonts w:ascii="Calibri" w:hAnsi="Calibri" w:eastAsia="Calibri"/>
          <w:color w:val="111111"/>
          <w:sz w:val="18"/>
        </w:rPr>
        <w:t>Important Answers to Frequently Asked Questions for Associate Clinical Social Workers, revised January 2026. https://www.bbs.ca.gov/pdf/publications/asw_faq.pdf</w:t>
      </w:r>
    </w:p>
    <w:p>
      <w:pPr>
        <w:spacing w:after="80" w:line="252" w:lineRule="auto"/>
        <w:ind w:left="360" w:hanging="360"/>
      </w:pPr>
      <w:r>
        <w:rPr>
          <w:rFonts w:ascii="Calibri" w:hAnsi="Calibri" w:eastAsia="Calibri"/>
          <w:b/>
          <w:color w:val="102A4C"/>
          <w:sz w:val="18"/>
        </w:rPr>
        <w:t xml:space="preserve">California Board of Behavioral Sciences. </w:t>
      </w:r>
      <w:r>
        <w:rPr>
          <w:rFonts w:ascii="Calibri" w:hAnsi="Calibri" w:eastAsia="Calibri"/>
          <w:color w:val="111111"/>
          <w:sz w:val="18"/>
        </w:rPr>
        <w:t>Handbook for Future Licensed Clinical Social Workers, current version available from the LCSW resources page. https://www.bbs.ca.gov/resources/lcsw.html</w:t>
      </w:r>
    </w:p>
    <w:p>
      <w:pPr>
        <w:spacing w:after="80" w:line="252" w:lineRule="auto"/>
        <w:ind w:left="360" w:hanging="360"/>
      </w:pPr>
      <w:r>
        <w:rPr>
          <w:rFonts w:ascii="Calibri" w:hAnsi="Calibri" w:eastAsia="Calibri"/>
          <w:b/>
          <w:color w:val="102A4C"/>
          <w:sz w:val="18"/>
        </w:rPr>
        <w:t xml:space="preserve">California Board of Behavioral Sciences. </w:t>
      </w:r>
      <w:r>
        <w:rPr>
          <w:rFonts w:ascii="Calibri" w:hAnsi="Calibri" w:eastAsia="Calibri"/>
          <w:color w:val="111111"/>
          <w:sz w:val="18"/>
        </w:rPr>
        <w:t>Advertising Requirements Fact Sheet and FAQs, revised March 2026; effective April 1, 2026. Available from the BBS Updates and LCSW Resources pages.</w:t>
      </w:r>
    </w:p>
    <w:p>
      <w:pPr>
        <w:spacing w:after="80" w:line="252" w:lineRule="auto"/>
        <w:ind w:left="360" w:hanging="360"/>
      </w:pPr>
      <w:r>
        <w:rPr>
          <w:rFonts w:ascii="Calibri" w:hAnsi="Calibri" w:eastAsia="Calibri"/>
          <w:b/>
          <w:color w:val="102A4C"/>
          <w:sz w:val="18"/>
        </w:rPr>
        <w:t xml:space="preserve">California Board of Behavioral Sciences. </w:t>
      </w:r>
      <w:r>
        <w:rPr>
          <w:rFonts w:ascii="Calibri" w:hAnsi="Calibri" w:eastAsia="Calibri"/>
          <w:color w:val="111111"/>
          <w:sz w:val="18"/>
        </w:rPr>
        <w:t>Advertising Examples for Associates and MFT Trainees, revised March 2026; effective April 1, 2026. Use the ASW examples for this program.</w:t>
      </w:r>
    </w:p>
    <w:p>
      <w:pPr>
        <w:spacing w:after="80" w:line="252" w:lineRule="auto"/>
        <w:ind w:left="360" w:hanging="360"/>
      </w:pPr>
      <w:r>
        <w:rPr>
          <w:rFonts w:ascii="Calibri" w:hAnsi="Calibri" w:eastAsia="Calibri"/>
          <w:b/>
          <w:color w:val="102A4C"/>
          <w:sz w:val="18"/>
        </w:rPr>
        <w:t xml:space="preserve">California Board of Behavioral Sciences. </w:t>
      </w:r>
      <w:r>
        <w:rPr>
          <w:rFonts w:ascii="Calibri" w:hAnsi="Calibri" w:eastAsia="Calibri"/>
          <w:color w:val="111111"/>
          <w:sz w:val="18"/>
        </w:rPr>
        <w:t>Required Notice to Consumers / Notice to Clients guidance and current forms. Available from BBS LCSW resources.</w:t>
      </w:r>
    </w:p>
    <w:p>
      <w:pPr>
        <w:spacing w:after="80" w:line="252" w:lineRule="auto"/>
        <w:ind w:left="360" w:hanging="360"/>
      </w:pPr>
      <w:r>
        <w:rPr>
          <w:rFonts w:ascii="Calibri" w:hAnsi="Calibri" w:eastAsia="Calibri"/>
          <w:b/>
          <w:color w:val="102A4C"/>
          <w:sz w:val="18"/>
        </w:rPr>
        <w:t xml:space="preserve">California Board of Behavioral Sciences. </w:t>
      </w:r>
      <w:r>
        <w:rPr>
          <w:rFonts w:ascii="Calibri" w:hAnsi="Calibri" w:eastAsia="Calibri"/>
          <w:color w:val="111111"/>
          <w:sz w:val="18"/>
        </w:rPr>
        <w:t>Updates, Law Changes, Supervisor Resources, LCSW Applicant Resources, and California Law and Ethics Examination pages. https://www.bbs.ca.gov/</w:t>
      </w:r>
    </w:p>
    <w:p>
      <w:pPr>
        <w:spacing w:after="80" w:line="252" w:lineRule="auto"/>
        <w:ind w:left="360" w:hanging="360"/>
      </w:pPr>
      <w:r>
        <w:rPr>
          <w:rFonts w:ascii="Calibri" w:hAnsi="Calibri" w:eastAsia="Calibri"/>
          <w:b/>
          <w:color w:val="102A4C"/>
          <w:sz w:val="18"/>
        </w:rPr>
        <w:t xml:space="preserve">Pearson VUE. </w:t>
      </w:r>
      <w:r>
        <w:rPr>
          <w:rFonts w:ascii="Calibri" w:hAnsi="Calibri" w:eastAsia="Calibri"/>
          <w:color w:val="111111"/>
          <w:sz w:val="18"/>
        </w:rPr>
        <w:t>California Board of Behavioral Sciences Candidate Handbook, July 2026.</w:t>
      </w:r>
    </w:p>
    <w:p>
      <w:pPr>
        <w:spacing w:after="80" w:line="252" w:lineRule="auto"/>
        <w:ind w:left="360" w:hanging="360"/>
      </w:pPr>
      <w:r>
        <w:rPr>
          <w:rFonts w:ascii="Calibri" w:hAnsi="Calibri" w:eastAsia="Calibri"/>
          <w:b/>
          <w:color w:val="102A4C"/>
          <w:sz w:val="18"/>
        </w:rPr>
        <w:t xml:space="preserve">Pearson VUE. </w:t>
      </w:r>
      <w:r>
        <w:rPr>
          <w:rFonts w:ascii="Calibri" w:hAnsi="Calibri" w:eastAsia="Calibri"/>
          <w:color w:val="111111"/>
          <w:sz w:val="18"/>
        </w:rPr>
        <w:t>Licensed Clinical Social Worker Law and Ethics Examination Outline, effective January 2024, Stock 5805-01.</w:t>
      </w:r>
    </w:p>
    <w:p>
      <w:pPr>
        <w:spacing w:after="80" w:line="252" w:lineRule="auto"/>
        <w:ind w:left="360" w:hanging="360"/>
      </w:pPr>
      <w:r>
        <w:rPr>
          <w:rFonts w:ascii="Calibri" w:hAnsi="Calibri" w:eastAsia="Calibri"/>
          <w:b/>
          <w:color w:val="102A4C"/>
          <w:sz w:val="18"/>
        </w:rPr>
        <w:t xml:space="preserve">National Association of Social Workers. </w:t>
      </w:r>
      <w:r>
        <w:rPr>
          <w:rFonts w:ascii="Calibri" w:hAnsi="Calibri" w:eastAsia="Calibri"/>
          <w:color w:val="111111"/>
          <w:sz w:val="18"/>
        </w:rPr>
        <w:t>Code of Ethics, current 2021 update. https://www.socialworkers.org/About/Ethics/Code-of-Ethics/Code-of-Ethics-English</w:t>
      </w:r>
    </w:p>
    <w:p>
      <w:pPr>
        <w:pStyle w:val="Heading2"/>
        <w:keepNext/>
      </w:pPr>
      <w:r>
        <w:t>Version and review record</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Field</w:t>
            </w:r>
          </w:p>
        </w:tc>
        <w:tc>
          <w:tcPr>
            <w:tcW w:type="dxa" w:w="7776"/>
            <w:shd w:fill="102A4C"/>
            <w:tcBorders>
              <w:top w:val="single" w:sz="4" w:color="FFFFFF"/>
              <w:left w:val="single" w:sz="4" w:color="FFFFFF"/>
              <w:bottom w:val="single" w:sz="4" w:color="FFFFFF"/>
              <w:right w:val="single" w:sz="4" w:color="FFFFFF"/>
            </w:tcBorders>
            <w:tcMar>
              <w:top w:w="70" w:type="dxa"/>
              <w:start w:w="90" w:type="dxa"/>
              <w:bottom w:w="70" w:type="dxa"/>
              <w:end w:w="90" w:type="dxa"/>
            </w:tcMar>
            <w:vAlign w:val="center"/>
          </w:tcPr>
          <w:p>
            <w:pPr>
              <w:spacing w:after="0"/>
            </w:pPr>
            <w:r>
              <w:rPr>
                <w:rFonts w:ascii="Calibri" w:hAnsi="Calibri" w:eastAsia="Calibri"/>
                <w:b/>
                <w:color w:val="FFFFFF"/>
                <w:sz w:val="18"/>
              </w:rPr>
              <w:t>Record</w:t>
            </w:r>
          </w:p>
        </w:tc>
      </w:tr>
      <w:tr>
        <w:trPr>
          <w:cantSplit/>
        </w:trPr>
        <w:tc>
          <w:tcPr>
            <w:tcW w:type="dxa" w:w="237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Version</w:t>
            </w:r>
          </w:p>
        </w:tc>
        <w:tc>
          <w:tcPr>
            <w:tcW w:type="dxa" w:w="7776"/>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1.0</w:t>
            </w:r>
          </w:p>
        </w:tc>
      </w:tr>
      <w:tr>
        <w:trPr>
          <w:cantSplit/>
        </w:trPr>
        <w:tc>
          <w:tcPr>
            <w:tcW w:type="dxa" w:w="237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Date</w:t>
            </w:r>
          </w:p>
        </w:tc>
        <w:tc>
          <w:tcPr>
            <w:tcW w:type="dxa" w:w="7776"/>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August 5, 2026</w:t>
            </w:r>
          </w:p>
        </w:tc>
      </w:tr>
      <w:tr>
        <w:trPr>
          <w:cantSplit/>
        </w:trPr>
        <w:tc>
          <w:tcPr>
            <w:tcW w:type="dxa" w:w="237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Build status</w:t>
            </w:r>
          </w:p>
        </w:tc>
        <w:tc>
          <w:tcPr>
            <w:tcW w:type="dxa" w:w="7776"/>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Stage 5D implementation-ready learner edition; private staging authorized; public activation pending Stage 5E</w:t>
            </w:r>
          </w:p>
        </w:tc>
      </w:tr>
      <w:tr>
        <w:trPr>
          <w:cantSplit/>
        </w:trPr>
        <w:tc>
          <w:tcPr>
            <w:tcW w:type="dxa" w:w="237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Source review</w:t>
            </w:r>
          </w:p>
        </w:tc>
        <w:tc>
          <w:tcPr>
            <w:tcW w:type="dxa" w:w="7776"/>
            <w:shd w:fill="F5F7F9"/>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BBS/Pearson/NASW current-source verification completed August 5, 2026; recurring rechecks remain required</w:t>
            </w:r>
          </w:p>
        </w:tc>
      </w:tr>
      <w:tr>
        <w:trPr>
          <w:cantSplit/>
        </w:trPr>
        <w:tc>
          <w:tcPr>
            <w:tcW w:type="dxa" w:w="2376"/>
            <w:shd w:fill="EAF1FB"/>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color w:val="102A4C"/>
                <w:sz w:val="17"/>
              </w:rPr>
              <w:t>Next controlled outputs</w:t>
            </w:r>
          </w:p>
        </w:tc>
        <w:tc>
          <w:tcPr>
            <w:tcW w:type="dxa" w:w="7776"/>
            <w:shd w:fill="FFFFFF"/>
            <w:tcBorders>
              <w:top w:val="single" w:sz="3" w:color="A9B0B8"/>
              <w:left w:val="single" w:sz="3" w:color="A9B0B8"/>
              <w:bottom w:val="single" w:sz="3" w:color="A9B0B8"/>
              <w:right w:val="single" w:sz="3" w:color="A9B0B8"/>
            </w:tcBorders>
            <w:tcMar>
              <w:top w:w="70" w:type="dxa"/>
              <w:start w:w="90" w:type="dxa"/>
              <w:bottom w:w="70" w:type="dxa"/>
              <w:end w:w="90" w:type="dxa"/>
            </w:tcMar>
            <w:vAlign w:val="top"/>
          </w:tcPr>
          <w:p>
            <w:pPr>
              <w:spacing w:after="0" w:line="245" w:lineRule="auto"/>
            </w:pPr>
            <w:r>
              <w:rPr>
                <w:rFonts w:ascii="Calibri" w:hAnsi="Calibri" w:eastAsia="Calibri"/>
                <w:b w:val="0"/>
                <w:color w:val="111111"/>
                <w:sz w:val="17"/>
              </w:rPr>
              <w:t>25-question LCSW/ASW module candidate assessment; controlled answer key and detailed rationales; module remediation and flashcards; five expansion-chapter rebuilds</w:t>
            </w:r>
          </w:p>
        </w:tc>
      </w:tr>
    </w:tbl>
    <w:p>
      <w:pPr>
        <w:spacing w:after="20"/>
      </w:pPr>
    </w:p>
    <w:tbl>
      <w:tblPr>
        <w:tblW w:type="auto" w:w="0"/>
        <w:jc w:val="center"/>
        <w:tblLayout w:type="autofit"/>
        <w:tblLook w:firstColumn="1" w:firstRow="1" w:lastColumn="0" w:lastRow="0" w:noHBand="0" w:noVBand="1" w:val="04A0"/>
      </w:tblPr>
      <w:tblGrid>
        <w:gridCol w:w="10166"/>
      </w:tblGrid>
      <w:tr>
        <w:trPr>
          <w:cantSplit/>
          <w:tblHeader/>
        </w:trPr>
        <w:tc>
          <w:tcPr>
            <w:tcW w:type="dxa" w:w="10166"/>
            <w:shd w:fill="E9EDF2"/>
            <w:tcMar>
              <w:top w:w="90" w:type="dxa"/>
              <w:start w:w="105" w:type="dxa"/>
              <w:bottom w:w="90" w:type="dxa"/>
              <w:end w:w="105" w:type="dxa"/>
            </w:tcMar>
            <w:tcBorders>
              <w:top w:val="nil"/>
              <w:left w:val="single" w:sz="18" w:color="10A79B"/>
              <w:bottom w:val="nil"/>
              <w:right w:val="nil"/>
            </w:tcBorders>
          </w:tcPr>
          <w:p>
            <w:pPr>
              <w:spacing w:after="0" w:line="252" w:lineRule="auto"/>
            </w:pPr>
            <w:r>
              <w:rPr>
                <w:rFonts w:ascii="Calibri" w:hAnsi="Calibri" w:eastAsia="Calibri"/>
                <w:b/>
                <w:color w:val="102A4C"/>
                <w:sz w:val="18"/>
              </w:rPr>
              <w:t>FINAL MODULE BOUNDARY  This instructional module has completed Stage 5D currentness, consistency, and implementation-readiness review. It may be placed in private staging and made available to enrolled learners after final public release. It does not provide legal advice, determine examination eligibility, reproduce official examination content, or guarantee passage. Public activation remains subject to Stage 5E learner-view testing, defect closure, backup/rollback verification, and owner release approval.</w:t>
            </w:r>
            <w:r>
              <w:rPr>
                <w:rFonts w:ascii="Calibri" w:hAnsi="Calibri" w:eastAsia="Calibri"/>
                <w:color w:val="111111"/>
                <w:sz w:val="18"/>
              </w:rPr>
            </w:r>
          </w:p>
        </w:tc>
      </w:tr>
    </w:tbl>
    <w:p>
      <w:pPr>
        <w:spacing w:after="0"/>
      </w:pPr>
    </w:p>
    <w:p>
      <w:pPr>
        <w:jc w:val="center"/>
      </w:pPr>
      <w:r>
        <w:rPr>
          <w:rFonts w:ascii="Calibri" w:hAnsi="Calibri" w:eastAsia="Calibri"/>
          <w:b/>
          <w:color w:val="5E6670"/>
          <w:sz w:val="17"/>
        </w:rPr>
        <w:t>Clinical Training and Supervision Academy  |  CTA-EP-002</w:t>
      </w:r>
    </w:p>
    <w:sectPr w:rsidR="00FC693F" w:rsidRPr="0006063C" w:rsidSect="00034616">
      <w:headerReference w:type="default" r:id="rId9"/>
      <w:footerReference w:type="default" r:id="rId10"/>
      <w:pgSz w:w="12240" w:h="15840"/>
      <w:pgMar w:top="922" w:right="1037" w:bottom="893"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color w:val="5E6670"/>
        <w:sz w:val="15"/>
      </w:rPr>
      <w:t xml:space="preserve">LCSW CANDIDATE EDITION  |  v1.0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color w:val="102A4C"/>
        <w:sz w:val="15"/>
      </w:rPr>
      <w:t>CTA-EP-002  |  LCSW CALIFORNIA LAW &amp; ETHICS  |  LICENSE-SPECIFIC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6" w:lineRule="auto"/>
    </w:pPr>
    <w:rPr>
      <w:rFonts w:ascii="Calibri" w:hAnsi="Calibri" w:eastAsia="Calibri"/>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i w:val="0"/>
      <w:color w:val="102A4C"/>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i w:val="0"/>
      <w:color w:val="10A79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i w:val="0"/>
      <w:color w:val="102A4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i w:val="0"/>
      <w:color w:val="102A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before="0"/>
    </w:pPr>
    <w:rPr>
      <w:rFonts w:asciiTheme="majorHAnsi" w:eastAsiaTheme="majorEastAsia" w:hAnsiTheme="majorHAnsi" w:cstheme="majorBidi" w:ascii="Calibri" w:hAnsi="Calibri" w:eastAsia="Calibri"/>
      <w:b w:val="0"/>
      <w:i/>
      <w:iCs/>
      <w:color w:val="5E66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California Law &amp; Ethics Exam Preparation - LCSW Practice Act, ASW Professional Identity, Social Work Ethics &amp; California Examination Distinctions</dc:title>
  <dc:subject>CTA-EP-002 license-specific learner module, Stage 3A internal review</dc:subject>
  <dc:creator>Clinical Training and Supervision Academy</dc:creator>
  <cp:keywords>LCSW, ASW, California Law and Ethics, CTA-EP-002, social work ethics, BBS, exam preparation</cp:keywords>
  <dc:description>Exam preparation only. No CE credit or certificate. Internal review edition; public release blocked.</dc:description>
  <cp:lastModifiedBy/>
  <cp:revision>1</cp:revision>
  <dcterms:created xsi:type="dcterms:W3CDTF">2013-12-23T23:15:00Z</dcterms:created>
  <dcterms:modified xsi:type="dcterms:W3CDTF">2013-12-23T23:15:00Z</dcterms:modified>
  <cp:category/>
</cp:coreProperties>
</file>