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680"/>
        <w:jc w:val="center"/>
      </w:pPr>
      <w:r>
        <w:drawing>
          <wp:inline xmlns:a="http://schemas.openxmlformats.org/drawingml/2006/main" xmlns:pic="http://schemas.openxmlformats.org/drawingml/2006/picture">
            <wp:extent cx="4480560" cy="3081867"/>
            <wp:docPr id="1" name="Picture 1" descr="Clinical Training and Supervision Academy horizontal logo" title="CTA logo"/>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480560" cy="3081867"/>
                    </a:xfrm>
                    <a:prstGeom prst="rect"/>
                  </pic:spPr>
                </pic:pic>
              </a:graphicData>
            </a:graphic>
          </wp:inline>
        </w:drawing>
      </w:r>
    </w:p>
    <w:p>
      <w:pPr>
        <w:spacing w:after="160"/>
        <w:jc w:val="center"/>
      </w:pPr>
      <w:r>
        <w:rPr>
          <w:rFonts w:ascii="Calibri" w:hAnsi="Calibri"/>
          <w:b/>
          <w:i w:val="0"/>
          <w:color w:val="10A79B"/>
          <w:sz w:val="21"/>
        </w:rPr>
        <w:t>CALIFORNIA LAW &amp; ETHICS EXAM PREPARATION</w:t>
      </w:r>
    </w:p>
    <w:p>
      <w:pPr>
        <w:pStyle w:val="Title"/>
        <w:spacing w:after="100"/>
        <w:jc w:val="center"/>
      </w:pPr>
      <w:r>
        <w:t>LCSW/ASW License-Specific Module</w:t>
        <w:br/>
        <w:t>25-Question Candidate Assessment</w:t>
      </w:r>
    </w:p>
    <w:p>
      <w:pPr>
        <w:spacing w:after="160"/>
        <w:pBdr>
          <w:bottom w:val="single" w:sz="10" w:space="1" w:color="2B67C8"/>
        </w:pBdr>
      </w:pPr>
    </w:p>
    <w:p>
      <w:pPr>
        <w:pStyle w:val="Subtitle"/>
        <w:spacing w:after="280"/>
        <w:jc w:val="center"/>
      </w:pPr>
      <w:r>
        <w:t>Questions and Answer Choices Only</w:t>
      </w:r>
    </w:p>
    <w:p>
      <w:pPr>
        <w:spacing w:after="320"/>
        <w:jc w:val="center"/>
      </w:pPr>
      <w:r>
        <w:rPr>
          <w:rFonts w:ascii="Calibri" w:hAnsi="Calibri"/>
          <w:b/>
          <w:i w:val="0"/>
          <w:color w:val="102A4C"/>
          <w:sz w:val="20"/>
        </w:rPr>
        <w:t>CTA-EP-002  |  Version 1.0  |  August 5, 2026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008"/>
      </w:tblGrid>
      <w:tr>
        <w:trPr>
          <w:cantSplit/>
          <w:tblHeader/>
        </w:trPr>
        <w:tc>
          <w:tcPr>
            <w:tcW w:type="dxa" w:w="5083"/>
            <w:shd w:fill="10A79B"/>
            <w:tcMar>
              <w:top w:w="0" w:type="dxa"/>
              <w:start w:w="0" w:type="dxa"/>
              <w:bottom w:w="0" w:type="dxa"/>
              <w:end w:w="0" w:type="dxa"/>
            </w:tcMar>
          </w:tcPr>
          <w:p/>
        </w:tc>
        <w:tc>
          <w:tcPr>
            <w:tcW w:type="dxa" w:w="5083"/>
            <w:shd w:fill="F1F3F6"/>
            <w:tcMar>
              <w:top w:w="90" w:type="dxa"/>
              <w:start w:w="100" w:type="dxa"/>
              <w:bottom w:w="90" w:type="dxa"/>
              <w:end w:w="100" w:type="dxa"/>
            </w:tcMar>
          </w:tcPr>
          <w:p>
            <w:pPr>
              <w:spacing w:after="0"/>
            </w:pPr>
            <w:r>
              <w:rPr>
                <w:rFonts w:ascii="Calibri" w:hAnsi="Calibri"/>
                <w:b/>
                <w:i w:val="0"/>
                <w:color w:val="102A4C"/>
                <w:sz w:val="17"/>
              </w:rPr>
              <w:t>ANSWER-HIDDEN CANDIDATE FORM This 25-question form evaluates the required LCSW/ASW license-specific module. Answers, rationales, internal IDs, domains, difficulty labels, source codes, and remediation metadata are intentionally withheld. Stage 5D currentness and consistency review is complete; private implementation/staging is authorized. Public activation remains subject to Stage 5E learner-view testing and owner release approval.</w:t>
            </w:r>
            <w:r>
              <w:rPr>
                <w:rFonts w:ascii="Calibri" w:hAnsi="Calibri"/>
                <w:b w:val="0"/>
                <w:i w:val="0"/>
                <w:color w:val="111111"/>
                <w:sz w:val="17"/>
              </w:rPr>
            </w:r>
          </w:p>
        </w:tc>
      </w:tr>
    </w:tbl>
    <w:p>
      <w:pPr>
        <w:spacing w:before="360"/>
        <w:jc w:val="center"/>
      </w:pPr>
      <w:r>
        <w:rPr>
          <w:rFonts w:ascii="Calibri" w:hAnsi="Calibri"/>
          <w:b/>
          <w:i/>
          <w:color w:val="10A79B"/>
          <w:sz w:val="22"/>
        </w:rPr>
        <w:t>Teaching Clinicians How to Think.</w:t>
      </w:r>
    </w:p>
    <w:p>
      <w:r>
        <w:br w:type="page"/>
      </w:r>
    </w:p>
    <w:p>
      <w:pPr>
        <w:pStyle w:val="Heading1"/>
      </w:pPr>
      <w:r>
        <w:t>Program control and assessment notice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3240"/>
        <w:gridCol w:w="6912"/>
      </w:tblGrid>
      <w:tr>
        <w:trPr>
          <w:tblHeader w:val="true"/>
        </w:trPr>
        <w:tc>
          <w:tcPr>
            <w:tcW w:type="dxa" w:w="5083"/>
            <w:shd w:fill="102A4C"/>
            <w:tcMar>
              <w:top w:w="80" w:type="dxa"/>
              <w:start w:w="90" w:type="dxa"/>
              <w:bottom w:w="80" w:type="dxa"/>
              <w:end w:w="90" w:type="dxa"/>
            </w:tcMar>
            <w:vAlign w:val="center"/>
          </w:tcPr>
          <w:p>
            <w:pPr>
              <w:spacing w:after="0"/>
            </w:pPr>
            <w:r>
              <w:rPr>
                <w:rFonts w:ascii="Calibri" w:hAnsi="Calibri"/>
                <w:b/>
                <w:i w:val="0"/>
                <w:color w:val="FFFFFF"/>
                <w:sz w:val="18"/>
              </w:rPr>
              <w:t>Field</w:t>
            </w:r>
          </w:p>
        </w:tc>
        <w:tc>
          <w:tcPr>
            <w:tcW w:type="dxa" w:w="5083"/>
            <w:shd w:fill="102A4C"/>
            <w:tcMar>
              <w:top w:w="80" w:type="dxa"/>
              <w:start w:w="90" w:type="dxa"/>
              <w:bottom w:w="80" w:type="dxa"/>
              <w:end w:w="90" w:type="dxa"/>
            </w:tcMar>
            <w:vAlign w:val="center"/>
          </w:tcPr>
          <w:p>
            <w:pPr>
              <w:spacing w:after="0"/>
            </w:pPr>
            <w:r>
              <w:rPr>
                <w:rFonts w:ascii="Calibri" w:hAnsi="Calibri"/>
                <w:b/>
                <w:i w:val="0"/>
                <w:color w:val="FFFFFF"/>
                <w:sz w:val="18"/>
              </w:rPr>
              <w:t>Controlling entry</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Formal program</w:t>
            </w:r>
          </w:p>
        </w:tc>
        <w:tc>
          <w:tcPr>
            <w:tcW w:type="dxa" w:w="6912"/>
            <w:shd w:fill="FFFFFF"/>
            <w:tcMar>
              <w:top w:w="65" w:type="dxa"/>
              <w:start w:w="80" w:type="dxa"/>
              <w:bottom w:w="65" w:type="dxa"/>
              <w:end w:w="80" w:type="dxa"/>
            </w:tcMar>
            <w:vAlign w:val="center"/>
          </w:tcPr>
          <w:p>
            <w:r>
              <w:rPr>
                <w:rFonts w:ascii="Calibri" w:hAnsi="Calibri"/>
                <w:b w:val="0"/>
                <w:i w:val="0"/>
                <w:color w:val="111111"/>
                <w:sz w:val="17"/>
              </w:rPr>
              <w:t>CTA LCSW California Law &amp; Ethics Exam Preparation Program</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Public display title</w:t>
            </w:r>
          </w:p>
        </w:tc>
        <w:tc>
          <w:tcPr>
            <w:tcW w:type="dxa" w:w="6912"/>
            <w:shd w:fill="F1F3F6"/>
            <w:tcMar>
              <w:top w:w="65" w:type="dxa"/>
              <w:start w:w="80" w:type="dxa"/>
              <w:bottom w:w="65" w:type="dxa"/>
              <w:end w:w="80" w:type="dxa"/>
            </w:tcMar>
            <w:vAlign w:val="center"/>
          </w:tcPr>
          <w:p>
            <w:r>
              <w:rPr>
                <w:rFonts w:ascii="Calibri" w:hAnsi="Calibri"/>
                <w:b w:val="0"/>
                <w:i w:val="0"/>
                <w:color w:val="111111"/>
                <w:sz w:val="17"/>
              </w:rPr>
              <w:t>LCSW California Law &amp; Ethics Exam Preparation</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Program code</w:t>
            </w:r>
          </w:p>
        </w:tc>
        <w:tc>
          <w:tcPr>
            <w:tcW w:type="dxa" w:w="6912"/>
            <w:shd w:fill="FFFFFF"/>
            <w:tcMar>
              <w:top w:w="65" w:type="dxa"/>
              <w:start w:w="80" w:type="dxa"/>
              <w:bottom w:w="65" w:type="dxa"/>
              <w:end w:w="80" w:type="dxa"/>
            </w:tcMar>
            <w:vAlign w:val="center"/>
          </w:tcPr>
          <w:p>
            <w:r>
              <w:rPr>
                <w:rFonts w:ascii="Calibri" w:hAnsi="Calibri"/>
                <w:b w:val="0"/>
                <w:i w:val="0"/>
                <w:color w:val="111111"/>
                <w:sz w:val="17"/>
              </w:rPr>
              <w:t>CTA-EP-002</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Audience</w:t>
            </w:r>
          </w:p>
        </w:tc>
        <w:tc>
          <w:tcPr>
            <w:tcW w:type="dxa" w:w="6912"/>
            <w:shd w:fill="F1F3F6"/>
            <w:tcMar>
              <w:top w:w="65" w:type="dxa"/>
              <w:start w:w="80" w:type="dxa"/>
              <w:bottom w:w="65" w:type="dxa"/>
              <w:end w:w="80" w:type="dxa"/>
            </w:tcMar>
            <w:vAlign w:val="center"/>
          </w:tcPr>
          <w:p>
            <w:r>
              <w:rPr>
                <w:rFonts w:ascii="Calibri" w:hAnsi="Calibri"/>
                <w:b w:val="0"/>
                <w:i w:val="0"/>
                <w:color w:val="111111"/>
                <w:sz w:val="17"/>
              </w:rPr>
              <w:t>California ASWs and other eligible LCSW applicants preparing for the California LCSW Law and Ethics Examination</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Classification</w:t>
            </w:r>
          </w:p>
        </w:tc>
        <w:tc>
          <w:tcPr>
            <w:tcW w:type="dxa" w:w="6912"/>
            <w:shd w:fill="FFFFFF"/>
            <w:tcMar>
              <w:top w:w="65" w:type="dxa"/>
              <w:start w:w="80" w:type="dxa"/>
              <w:bottom w:w="65" w:type="dxa"/>
              <w:end w:w="80" w:type="dxa"/>
            </w:tcMar>
            <w:vAlign w:val="center"/>
          </w:tcPr>
          <w:p>
            <w:r>
              <w:rPr>
                <w:rFonts w:ascii="Calibri" w:hAnsi="Calibri"/>
                <w:b w:val="0"/>
                <w:i w:val="0"/>
                <w:color w:val="111111"/>
                <w:sz w:val="17"/>
              </w:rPr>
              <w:t>Self-paced asynchronous exam preparation | No CE credit, CE evaluation, or CE certificate</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Assessment</w:t>
            </w:r>
          </w:p>
        </w:tc>
        <w:tc>
          <w:tcPr>
            <w:tcW w:type="dxa" w:w="6912"/>
            <w:shd w:fill="F1F3F6"/>
            <w:tcMar>
              <w:top w:w="65" w:type="dxa"/>
              <w:start w:w="80" w:type="dxa"/>
              <w:bottom w:w="65" w:type="dxa"/>
              <w:end w:w="80" w:type="dxa"/>
            </w:tcMar>
            <w:vAlign w:val="center"/>
          </w:tcPr>
          <w:p>
            <w:r>
              <w:rPr>
                <w:rFonts w:ascii="Calibri" w:hAnsi="Calibri"/>
                <w:b w:val="0"/>
                <w:i w:val="0"/>
                <w:color w:val="111111"/>
                <w:sz w:val="17"/>
              </w:rPr>
              <w:t>25 original one-best-answer questions | Answer-hidden candidate form</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Suggested first attempt</w:t>
            </w:r>
          </w:p>
        </w:tc>
        <w:tc>
          <w:tcPr>
            <w:tcW w:type="dxa" w:w="6912"/>
            <w:shd w:fill="FFFFFF"/>
            <w:tcMar>
              <w:top w:w="65" w:type="dxa"/>
              <w:start w:w="80" w:type="dxa"/>
              <w:bottom w:w="65" w:type="dxa"/>
              <w:end w:w="80" w:type="dxa"/>
            </w:tcMar>
            <w:vAlign w:val="center"/>
          </w:tcPr>
          <w:p>
            <w:r>
              <w:rPr>
                <w:rFonts w:ascii="Calibri" w:hAnsi="Calibri"/>
                <w:b w:val="0"/>
                <w:i w:val="0"/>
                <w:color w:val="111111"/>
                <w:sz w:val="17"/>
              </w:rPr>
              <w:t>30 minutes as a study benchmark; not a time limit and not a claim that this form reproduces the official examination</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Current-source review</w:t>
            </w:r>
          </w:p>
        </w:tc>
        <w:tc>
          <w:tcPr>
            <w:tcW w:type="dxa" w:w="6912"/>
            <w:shd w:fill="F1F3F6"/>
            <w:tcMar>
              <w:top w:w="65" w:type="dxa"/>
              <w:start w:w="80" w:type="dxa"/>
              <w:bottom w:w="65" w:type="dxa"/>
              <w:end w:w="80" w:type="dxa"/>
            </w:tcMar>
            <w:vAlign w:val="center"/>
          </w:tcPr>
          <w:p>
            <w:r>
              <w:rPr>
                <w:rFonts w:ascii="Calibri" w:hAnsi="Calibri"/>
                <w:b w:val="0"/>
                <w:i w:val="0"/>
                <w:color w:val="111111"/>
                <w:sz w:val="17"/>
              </w:rPr>
              <w:t>California/BBS, Pearson, and NASW sources rechecked August 7, 2026; high-change sources require another check within 30 days of public release</w:t>
            </w:r>
          </w:p>
        </w:tc>
      </w:tr>
      <w:tr>
        <w:trPr>
          <w:cantSplit/>
        </w:trPr>
        <w:tc>
          <w:tcPr>
            <w:tcW w:type="dxa" w:w="3240"/>
            <w:shd w:fill="EAF2FC"/>
            <w:tcMar>
              <w:top w:w="65" w:type="dxa"/>
              <w:start w:w="80" w:type="dxa"/>
              <w:bottom w:w="65" w:type="dxa"/>
              <w:end w:w="80" w:type="dxa"/>
            </w:tcMar>
            <w:vAlign w:val="center"/>
          </w:tcPr>
          <w:p>
            <w:r>
              <w:rPr>
                <w:rFonts w:ascii="Calibri" w:hAnsi="Calibri"/>
                <w:b/>
                <w:i w:val="0"/>
                <w:color w:val="102A4C"/>
                <w:sz w:val="17"/>
              </w:rPr>
              <w:t>Status</w:t>
            </w:r>
          </w:p>
        </w:tc>
        <w:tc>
          <w:tcPr>
            <w:tcW w:type="dxa" w:w="6912"/>
            <w:shd w:fill="FFFFFF"/>
            <w:tcMar>
              <w:top w:w="65" w:type="dxa"/>
              <w:start w:w="80" w:type="dxa"/>
              <w:bottom w:w="65" w:type="dxa"/>
              <w:end w:w="80" w:type="dxa"/>
            </w:tcMar>
            <w:vAlign w:val="center"/>
          </w:tcPr>
          <w:p>
            <w:r>
              <w:rPr>
                <w:rFonts w:ascii="Calibri" w:hAnsi="Calibri"/>
                <w:b w:val="0"/>
                <w:i w:val="0"/>
                <w:color w:val="111111"/>
                <w:sz w:val="17"/>
              </w:rPr>
              <w:t>STAGE 5D IMPLEMENTATION READY - candidate assessment synchronized; private staging authorized; public activation pending Stage 5E testing and owner release approval</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008"/>
      </w:tblGrid>
      <w:tr>
        <w:trPr>
          <w:cantSplit/>
          <w:tblHeader/>
        </w:trPr>
        <w:tc>
          <w:tcPr>
            <w:tcW w:type="dxa" w:w="5083"/>
            <w:shd w:fill="10A79B"/>
            <w:tcMar>
              <w:top w:w="0" w:type="dxa"/>
              <w:start w:w="0" w:type="dxa"/>
              <w:bottom w:w="0" w:type="dxa"/>
              <w:end w:w="0" w:type="dxa"/>
            </w:tcMar>
          </w:tcPr>
          <w:p/>
        </w:tc>
        <w:tc>
          <w:tcPr>
            <w:tcW w:type="dxa" w:w="5083"/>
            <w:shd w:fill="FFF4D2"/>
            <w:tcMar>
              <w:top w:w="90" w:type="dxa"/>
              <w:start w:w="100" w:type="dxa"/>
              <w:bottom w:w="90" w:type="dxa"/>
              <w:end w:w="100" w:type="dxa"/>
            </w:tcMar>
          </w:tcPr>
          <w:p>
            <w:pPr>
              <w:spacing w:after="0"/>
            </w:pPr>
            <w:r>
              <w:rPr>
                <w:rFonts w:ascii="Calibri" w:hAnsi="Calibri"/>
                <w:b/>
                <w:i w:val="0"/>
                <w:color w:val="102A4C"/>
                <w:sz w:val="17"/>
              </w:rPr>
              <w:t xml:space="preserve">IMPORTANT </w:t>
            </w:r>
            <w:r>
              <w:rPr>
                <w:rFonts w:ascii="Calibri" w:hAnsi="Calibri"/>
                <w:b w:val="0"/>
                <w:i w:val="0"/>
                <w:color w:val="111111"/>
                <w:sz w:val="17"/>
              </w:rPr>
              <w:t>CTA is an independent educational provider. This assessment is not legal advice, does not determine examination or licensure eligibility, does not reproduce live or recalled examination content, and does not guarantee passage. CTA is not affiliated with or endorsed by the California Board of Behavioral Sciences, Pearson VUE, NASW, ASWB, or another licensing or examination organization.</w:t>
            </w:r>
          </w:p>
        </w:tc>
      </w:tr>
    </w:tbl>
    <w:p>
      <w:pPr>
        <w:pStyle w:val="Heading2"/>
      </w:pPr>
      <w:r>
        <w:t>Candidate instructions</w:t>
      </w:r>
    </w:p>
    <w:p>
      <w:pPr>
        <w:pStyle w:val="ListBullet"/>
        <w:spacing w:after="46" w:line="245" w:lineRule="auto"/>
      </w:pPr>
      <w:r>
        <w:rPr>
          <w:rFonts w:ascii="Calibri" w:hAnsi="Calibri"/>
          <w:b w:val="0"/>
          <w:i w:val="0"/>
          <w:color w:val="111111"/>
          <w:sz w:val="18"/>
        </w:rPr>
        <w:t>Complete the license-specific instructional module before beginning this assessment.</w:t>
      </w:r>
    </w:p>
    <w:p>
      <w:pPr>
        <w:pStyle w:val="ListBullet"/>
        <w:spacing w:after="46" w:line="245" w:lineRule="auto"/>
      </w:pPr>
      <w:r>
        <w:rPr>
          <w:rFonts w:ascii="Calibri" w:hAnsi="Calibri"/>
          <w:b w:val="0"/>
          <w:i w:val="0"/>
          <w:color w:val="111111"/>
          <w:sz w:val="18"/>
        </w:rPr>
        <w:t>Choose the single BEST answer for each question. Some options may contain a reasonable later step but fail at the tested FIRST, NEXT, BEST, MOST, INITIAL, or PRIMARY decision point.</w:t>
      </w:r>
    </w:p>
    <w:p>
      <w:pPr>
        <w:pStyle w:val="ListBullet"/>
        <w:spacing w:after="46" w:line="245" w:lineRule="auto"/>
      </w:pPr>
      <w:r>
        <w:rPr>
          <w:rFonts w:ascii="Calibri" w:hAnsi="Calibri"/>
          <w:b w:val="0"/>
          <w:i w:val="0"/>
          <w:color w:val="111111"/>
          <w:sz w:val="18"/>
        </w:rPr>
        <w:t>For a first attempt, work without the module, notes, or controlled answer file. The suggested 30-minute benchmark is a study condition, not a formal time limit.</w:t>
      </w:r>
    </w:p>
    <w:p>
      <w:pPr>
        <w:pStyle w:val="ListBullet"/>
        <w:spacing w:after="46" w:line="245" w:lineRule="auto"/>
      </w:pPr>
      <w:r>
        <w:rPr>
          <w:rFonts w:ascii="Calibri" w:hAnsi="Calibri"/>
          <w:b w:val="0"/>
          <w:i w:val="0"/>
          <w:color w:val="111111"/>
          <w:sz w:val="18"/>
        </w:rPr>
        <w:t>Record your answer and confidence. Use 1 = guess, 2 = low confidence, 3 = moderate confidence, and 4 = high confidence. Mark Review when you want to revisit an item before submitting.</w:t>
      </w:r>
    </w:p>
    <w:p>
      <w:pPr>
        <w:pStyle w:val="ListBullet"/>
        <w:spacing w:after="46" w:line="245" w:lineRule="auto"/>
      </w:pPr>
      <w:r>
        <w:rPr>
          <w:rFonts w:ascii="Calibri" w:hAnsi="Calibri"/>
          <w:b w:val="0"/>
          <w:i w:val="0"/>
          <w:color w:val="111111"/>
          <w:sz w:val="18"/>
        </w:rPr>
        <w:t>For strongest diagnostic value, complete and record the first attempt before opening the separate detailed rationales. The rationale file remains accessible from enrollment and is not technically locked.</w:t>
      </w:r>
    </w:p>
    <w:p>
      <w:pPr>
        <w:pStyle w:val="ListBullet"/>
        <w:spacing w:after="46" w:line="245" w:lineRule="auto"/>
      </w:pPr>
      <w:r>
        <w:rPr>
          <w:rFonts w:ascii="Calibri" w:hAnsi="Calibri"/>
          <w:b w:val="0"/>
          <w:i w:val="0"/>
          <w:color w:val="111111"/>
          <w:sz w:val="18"/>
        </w:rPr>
        <w:t>The official California BBS administration contains 75 total items and allows 90 minutes. This 25-question module assessment is a targeted CTA learning tool and does not reproduce the official form or complete blueprint.</w:t>
      </w:r>
    </w:p>
    <w:p>
      <w:pPr>
        <w:pStyle w:val="ListBullet"/>
        <w:spacing w:after="46" w:line="245" w:lineRule="auto"/>
      </w:pPr>
      <w:r>
        <w:rPr>
          <w:rFonts w:ascii="Calibri" w:hAnsi="Calibri"/>
          <w:b w:val="0"/>
          <w:i w:val="0"/>
          <w:color w:val="111111"/>
          <w:sz w:val="18"/>
        </w:rPr>
        <w:t>All questions are original CTA educational content. Personal study and printing are permitted for the enrolled learner after release. Sharing, resale, public posting, or commercial reproduction is prohibited.</w:t>
      </w:r>
    </w:p>
    <w:p>
      <w:r>
        <w:br w:type="page"/>
      </w:r>
    </w:p>
    <w:p>
      <w:pPr>
        <w:pStyle w:val="Heading1"/>
      </w:pPr>
      <w:r>
        <w:t>First-attempt response sheet</w:t>
      </w:r>
    </w:p>
    <w:p>
      <w:pPr>
        <w:spacing w:after="140"/>
      </w:pPr>
      <w:r>
        <w:t>Record your answer and confidence before reviewing the controlled key. Use the Review flag for items you want to revisit before time expires.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584"/>
        <w:gridCol w:w="3384"/>
        <w:gridCol w:w="1584"/>
        <w:gridCol w:w="3384"/>
      </w:tblGrid>
      <w:tr>
        <w:trPr>
          <w:cantSplit/>
          <w:tblHeader/>
        </w:trPr>
        <w:tc>
          <w:tcPr>
            <w:tcW w:type="dxa" w:w="2541"/>
            <w:shd w:fill="EAF2FC"/>
            <w:tcMar>
              <w:top w:w="75" w:type="dxa"/>
              <w:start w:w="85" w:type="dxa"/>
              <w:bottom w:w="75" w:type="dxa"/>
              <w:end w:w="85" w:type="dxa"/>
            </w:tcMar>
          </w:tcPr>
          <w:p>
            <w:r>
              <w:rPr>
                <w:rFonts w:ascii="Calibri" w:hAnsi="Calibri"/>
                <w:b/>
                <w:i w:val="0"/>
                <w:color w:val="102A4C"/>
                <w:sz w:val="17"/>
              </w:rPr>
              <w:t>Candidate</w:t>
            </w:r>
          </w:p>
        </w:tc>
        <w:tc>
          <w:tcPr>
            <w:tcW w:type="dxa" w:w="2541"/>
            <w:tcMar>
              <w:top w:w="75" w:type="dxa"/>
              <w:start w:w="85" w:type="dxa"/>
              <w:bottom w:w="75" w:type="dxa"/>
              <w:end w:w="85" w:type="dxa"/>
            </w:tcMar>
          </w:tcPr>
          <w:p>
            <w:r/>
          </w:p>
        </w:tc>
        <w:tc>
          <w:tcPr>
            <w:tcW w:type="dxa" w:w="2541"/>
            <w:shd w:fill="EAF2FC"/>
            <w:tcMar>
              <w:top w:w="75" w:type="dxa"/>
              <w:start w:w="85" w:type="dxa"/>
              <w:bottom w:w="75" w:type="dxa"/>
              <w:end w:w="85" w:type="dxa"/>
            </w:tcMar>
          </w:tcPr>
          <w:p>
            <w:r>
              <w:rPr>
                <w:rFonts w:ascii="Calibri" w:hAnsi="Calibri"/>
                <w:b/>
                <w:i w:val="0"/>
                <w:color w:val="102A4C"/>
                <w:sz w:val="17"/>
              </w:rPr>
              <w:t>Date</w:t>
            </w:r>
          </w:p>
        </w:tc>
        <w:tc>
          <w:tcPr>
            <w:tcW w:type="dxa" w:w="2541"/>
            <w:tcMar>
              <w:top w:w="75" w:type="dxa"/>
              <w:start w:w="85" w:type="dxa"/>
              <w:bottom w:w="75" w:type="dxa"/>
              <w:end w:w="85" w:type="dxa"/>
            </w:tcMar>
          </w:tcPr>
          <w:p>
            <w:r/>
          </w:p>
        </w:tc>
      </w:tr>
      <w:tr>
        <w:trPr>
          <w:cantSplit/>
        </w:trPr>
        <w:tc>
          <w:tcPr>
            <w:tcW w:type="dxa" w:w="2541"/>
            <w:shd w:fill="EAF2FC"/>
            <w:tcMar>
              <w:top w:w="75" w:type="dxa"/>
              <w:start w:w="85" w:type="dxa"/>
              <w:bottom w:w="75" w:type="dxa"/>
              <w:end w:w="85" w:type="dxa"/>
            </w:tcMar>
          </w:tcPr>
          <w:p>
            <w:r>
              <w:rPr>
                <w:rFonts w:ascii="Calibri" w:hAnsi="Calibri"/>
                <w:b/>
                <w:i w:val="0"/>
                <w:color w:val="102A4C"/>
                <w:sz w:val="17"/>
              </w:rPr>
              <w:t>Start time</w:t>
            </w:r>
          </w:p>
        </w:tc>
        <w:tc>
          <w:tcPr>
            <w:tcW w:type="dxa" w:w="2541"/>
            <w:tcMar>
              <w:top w:w="75" w:type="dxa"/>
              <w:start w:w="85" w:type="dxa"/>
              <w:bottom w:w="75" w:type="dxa"/>
              <w:end w:w="85" w:type="dxa"/>
            </w:tcMar>
          </w:tcPr>
          <w:p>
            <w:r/>
          </w:p>
        </w:tc>
        <w:tc>
          <w:tcPr>
            <w:tcW w:type="dxa" w:w="2541"/>
            <w:shd w:fill="EAF2FC"/>
            <w:tcMar>
              <w:top w:w="75" w:type="dxa"/>
              <w:start w:w="85" w:type="dxa"/>
              <w:bottom w:w="75" w:type="dxa"/>
              <w:end w:w="85" w:type="dxa"/>
            </w:tcMar>
          </w:tcPr>
          <w:p>
            <w:r>
              <w:rPr>
                <w:rFonts w:ascii="Calibri" w:hAnsi="Calibri"/>
                <w:b/>
                <w:i w:val="0"/>
                <w:color w:val="102A4C"/>
                <w:sz w:val="17"/>
              </w:rPr>
              <w:t>End time</w:t>
            </w:r>
          </w:p>
        </w:tc>
        <w:tc>
          <w:tcPr>
            <w:tcW w:type="dxa" w:w="2541"/>
            <w:tcMar>
              <w:top w:w="75" w:type="dxa"/>
              <w:start w:w="85" w:type="dxa"/>
              <w:bottom w:w="75" w:type="dxa"/>
              <w:end w:w="85" w:type="dxa"/>
            </w:tcMar>
          </w:tcPr>
          <w:p>
            <w:r/>
          </w:p>
        </w:tc>
      </w:tr>
    </w:tbl>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504"/>
        <w:gridCol w:w="936"/>
        <w:gridCol w:w="1037"/>
        <w:gridCol w:w="792"/>
        <w:gridCol w:w="504"/>
        <w:gridCol w:w="936"/>
        <w:gridCol w:w="1037"/>
        <w:gridCol w:w="792"/>
      </w:tblGrid>
      <w:tr>
        <w:trPr>
          <w:tblHeader w:val="true"/>
        </w:trPr>
        <w:tc>
          <w:tcPr>
            <w:tcW w:type="dxa" w:w="1271"/>
            <w:shd w:fill="102A4C"/>
            <w:tcMar>
              <w:top w:w="60" w:type="dxa"/>
              <w:start w:w="45" w:type="dxa"/>
              <w:bottom w:w="60" w:type="dxa"/>
              <w:end w:w="45" w:type="dxa"/>
            </w:tcMar>
          </w:tcPr>
          <w:p>
            <w:pPr>
              <w:jc w:val="center"/>
            </w:pPr>
            <w:r>
              <w:rPr>
                <w:rFonts w:ascii="Calibri" w:hAnsi="Calibri"/>
                <w:b/>
                <w:i w:val="0"/>
                <w:color w:val="FFFFFF"/>
                <w:sz w:val="15"/>
              </w:rPr>
              <w:t>#</w:t>
            </w:r>
          </w:p>
        </w:tc>
        <w:tc>
          <w:tcPr>
            <w:tcW w:type="dxa" w:w="1271"/>
            <w:shd w:fill="102A4C"/>
            <w:tcMar>
              <w:top w:w="60" w:type="dxa"/>
              <w:start w:w="45" w:type="dxa"/>
              <w:bottom w:w="60" w:type="dxa"/>
              <w:end w:w="45" w:type="dxa"/>
            </w:tcMar>
          </w:tcPr>
          <w:p>
            <w:pPr>
              <w:jc w:val="center"/>
            </w:pPr>
            <w:r>
              <w:rPr>
                <w:rFonts w:ascii="Calibri" w:hAnsi="Calibri"/>
                <w:b/>
                <w:i w:val="0"/>
                <w:color w:val="FFFFFF"/>
                <w:sz w:val="15"/>
              </w:rPr>
              <w:t>Answer</w:t>
            </w:r>
          </w:p>
        </w:tc>
        <w:tc>
          <w:tcPr>
            <w:tcW w:type="dxa" w:w="1271"/>
            <w:shd w:fill="102A4C"/>
            <w:tcMar>
              <w:top w:w="60" w:type="dxa"/>
              <w:start w:w="45" w:type="dxa"/>
              <w:bottom w:w="60" w:type="dxa"/>
              <w:end w:w="45" w:type="dxa"/>
            </w:tcMar>
          </w:tcPr>
          <w:p>
            <w:pPr>
              <w:jc w:val="center"/>
            </w:pPr>
            <w:r>
              <w:rPr>
                <w:rFonts w:ascii="Calibri" w:hAnsi="Calibri"/>
                <w:b/>
                <w:i w:val="0"/>
                <w:color w:val="FFFFFF"/>
                <w:sz w:val="15"/>
              </w:rPr>
              <w:t>Conf.</w:t>
            </w:r>
          </w:p>
        </w:tc>
        <w:tc>
          <w:tcPr>
            <w:tcW w:type="dxa" w:w="1271"/>
            <w:shd w:fill="102A4C"/>
            <w:tcMar>
              <w:top w:w="60" w:type="dxa"/>
              <w:start w:w="45" w:type="dxa"/>
              <w:bottom w:w="60" w:type="dxa"/>
              <w:end w:w="45" w:type="dxa"/>
            </w:tcMar>
          </w:tcPr>
          <w:p>
            <w:pPr>
              <w:jc w:val="center"/>
            </w:pPr>
            <w:r>
              <w:rPr>
                <w:rFonts w:ascii="Calibri" w:hAnsi="Calibri"/>
                <w:b/>
                <w:i w:val="0"/>
                <w:color w:val="FFFFFF"/>
                <w:sz w:val="15"/>
              </w:rPr>
              <w:t>Review</w:t>
            </w:r>
          </w:p>
        </w:tc>
        <w:tc>
          <w:tcPr>
            <w:tcW w:type="dxa" w:w="1271"/>
            <w:shd w:fill="102A4C"/>
            <w:tcMar>
              <w:top w:w="60" w:type="dxa"/>
              <w:start w:w="45" w:type="dxa"/>
              <w:bottom w:w="60" w:type="dxa"/>
              <w:end w:w="45" w:type="dxa"/>
            </w:tcMar>
          </w:tcPr>
          <w:p>
            <w:pPr>
              <w:jc w:val="center"/>
            </w:pPr>
            <w:r>
              <w:rPr>
                <w:rFonts w:ascii="Calibri" w:hAnsi="Calibri"/>
                <w:b/>
                <w:i w:val="0"/>
                <w:color w:val="FFFFFF"/>
                <w:sz w:val="15"/>
              </w:rPr>
              <w:t>#</w:t>
            </w:r>
          </w:p>
        </w:tc>
        <w:tc>
          <w:tcPr>
            <w:tcW w:type="dxa" w:w="1271"/>
            <w:shd w:fill="102A4C"/>
            <w:tcMar>
              <w:top w:w="60" w:type="dxa"/>
              <w:start w:w="45" w:type="dxa"/>
              <w:bottom w:w="60" w:type="dxa"/>
              <w:end w:w="45" w:type="dxa"/>
            </w:tcMar>
          </w:tcPr>
          <w:p>
            <w:pPr>
              <w:jc w:val="center"/>
            </w:pPr>
            <w:r>
              <w:rPr>
                <w:rFonts w:ascii="Calibri" w:hAnsi="Calibri"/>
                <w:b/>
                <w:i w:val="0"/>
                <w:color w:val="FFFFFF"/>
                <w:sz w:val="15"/>
              </w:rPr>
              <w:t>Answer</w:t>
            </w:r>
          </w:p>
        </w:tc>
        <w:tc>
          <w:tcPr>
            <w:tcW w:type="dxa" w:w="1271"/>
            <w:shd w:fill="102A4C"/>
            <w:tcMar>
              <w:top w:w="60" w:type="dxa"/>
              <w:start w:w="45" w:type="dxa"/>
              <w:bottom w:w="60" w:type="dxa"/>
              <w:end w:w="45" w:type="dxa"/>
            </w:tcMar>
          </w:tcPr>
          <w:p>
            <w:pPr>
              <w:jc w:val="center"/>
            </w:pPr>
            <w:r>
              <w:rPr>
                <w:rFonts w:ascii="Calibri" w:hAnsi="Calibri"/>
                <w:b/>
                <w:i w:val="0"/>
                <w:color w:val="FFFFFF"/>
                <w:sz w:val="15"/>
              </w:rPr>
              <w:t>Conf.</w:t>
            </w:r>
          </w:p>
        </w:tc>
        <w:tc>
          <w:tcPr>
            <w:tcW w:type="dxa" w:w="1271"/>
            <w:shd w:fill="102A4C"/>
            <w:tcMar>
              <w:top w:w="60" w:type="dxa"/>
              <w:start w:w="45" w:type="dxa"/>
              <w:bottom w:w="60" w:type="dxa"/>
              <w:end w:w="45" w:type="dxa"/>
            </w:tcMar>
          </w:tcPr>
          <w:p>
            <w:pPr>
              <w:jc w:val="center"/>
            </w:pPr>
            <w:r>
              <w:rPr>
                <w:rFonts w:ascii="Calibri" w:hAnsi="Calibri"/>
                <w:b/>
                <w:i w:val="0"/>
                <w:color w:val="FFFFFF"/>
                <w:sz w:val="15"/>
              </w:rPr>
              <w:t>Review</w:t>
            </w:r>
          </w:p>
        </w:tc>
      </w:tr>
      <w:tr>
        <w:trPr>
          <w:cantSplit/>
        </w:trPr>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1</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14</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2</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15</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3</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16</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4</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17</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5</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18</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6</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19</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7</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20</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8</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21</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9</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22</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10</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23</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11</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24</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12</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25</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1F3F6"/>
          </w:tcPr>
          <w:p>
            <w:pPr>
              <w:spacing w:after="0"/>
              <w:jc w:val="center"/>
            </w:pPr>
            <w:r>
              <w:rPr>
                <w:rFonts w:ascii="Calibri" w:hAnsi="Calibri"/>
                <w:b w:val="0"/>
                <w:i w:val="0"/>
                <w:color w:val="111111"/>
                <w:sz w:val="16"/>
              </w:rPr>
              <w:t>[ ]</w:t>
            </w:r>
          </w:p>
        </w:tc>
      </w:tr>
      <w:tr>
        <w:trPr>
          <w:cantSplit/>
        </w:trPr>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13</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__</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t>[ ]</w:t>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r>
          </w:p>
        </w:tc>
        <w:tc>
          <w:tcPr>
            <w:tcW w:type="dxa" w:w="1271"/>
            <w:tcMar>
              <w:top w:w="58" w:type="dxa"/>
              <w:start w:w="35" w:type="dxa"/>
              <w:bottom w:w="58" w:type="dxa"/>
              <w:end w:w="35" w:type="dxa"/>
            </w:tcMar>
            <w:shd w:fill="FFFFFF"/>
          </w:tcPr>
          <w:p>
            <w:pPr>
              <w:spacing w:after="0"/>
              <w:jc w:val="center"/>
            </w:pPr>
            <w:r>
              <w:rPr>
                <w:rFonts w:ascii="Calibri" w:hAnsi="Calibri"/>
                <w:b w:val="0"/>
                <w:i w:val="0"/>
                <w:color w:val="111111"/>
                <w:sz w:val="16"/>
              </w:rPr>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008"/>
      </w:tblGrid>
      <w:tr>
        <w:trPr>
          <w:cantSplit/>
          <w:tblHeader/>
        </w:trPr>
        <w:tc>
          <w:tcPr>
            <w:tcW w:type="dxa" w:w="5083"/>
            <w:shd w:fill="10A79B"/>
            <w:tcMar>
              <w:top w:w="0" w:type="dxa"/>
              <w:start w:w="0" w:type="dxa"/>
              <w:bottom w:w="0" w:type="dxa"/>
              <w:end w:w="0" w:type="dxa"/>
            </w:tcMar>
          </w:tcPr>
          <w:p/>
        </w:tc>
        <w:tc>
          <w:tcPr>
            <w:tcW w:type="dxa" w:w="5083"/>
            <w:shd w:fill="EAF2FC"/>
            <w:tcMar>
              <w:top w:w="90" w:type="dxa"/>
              <w:start w:w="100" w:type="dxa"/>
              <w:bottom w:w="90" w:type="dxa"/>
              <w:end w:w="100" w:type="dxa"/>
            </w:tcMar>
          </w:tcPr>
          <w:p>
            <w:pPr>
              <w:spacing w:after="0"/>
            </w:pPr>
            <w:r>
              <w:rPr>
                <w:rFonts w:ascii="Calibri" w:hAnsi="Calibri"/>
                <w:b/>
                <w:i w:val="0"/>
                <w:color w:val="102A4C"/>
                <w:sz w:val="17"/>
              </w:rPr>
              <w:t>RECOMMENDED STUDY SEQUENCE Preserve the completed response sheet, start and end times, confidence ratings, and Review flags before reviewing the separate detailed rationales.</w:t>
            </w:r>
            <w:r>
              <w:rPr>
                <w:rFonts w:ascii="Calibri" w:hAnsi="Calibri"/>
                <w:b w:val="0"/>
                <w:i w:val="0"/>
                <w:color w:val="111111"/>
                <w:sz w:val="17"/>
              </w:rPr>
            </w:r>
          </w:p>
        </w:tc>
      </w:tr>
    </w:tbl>
    <w:p>
      <w:r>
        <w:br w:type="page"/>
      </w:r>
    </w:p>
    <w:p>
      <w:pPr>
        <w:pStyle w:val="Heading1"/>
      </w:pPr>
      <w:r>
        <w:t>25-question candidate assessment</w:t>
      </w:r>
    </w:p>
    <w:p>
      <w:pPr>
        <w:spacing w:after="100"/>
      </w:pPr>
      <w:r>
        <w:t>Select one answer for every item. Questions and answer choices only appear in this candidate form.</w:t>
      </w:r>
    </w:p>
    <w:p>
      <w:pPr>
        <w:keepNext/>
        <w:keepLines/>
        <w:spacing w:before="160" w:after="60" w:line="250" w:lineRule="auto"/>
      </w:pPr>
      <w:r>
        <w:rPr>
          <w:rFonts w:ascii="Calibri" w:hAnsi="Calibri"/>
          <w:b/>
          <w:i w:val="0"/>
          <w:color w:val="102A4C"/>
          <w:sz w:val="20"/>
        </w:rPr>
        <w:t xml:space="preserve">1. </w:t>
      </w:r>
      <w:r>
        <w:rPr>
          <w:rFonts w:ascii="Calibri" w:hAnsi="Calibri"/>
          <w:b/>
          <w:i w:val="0"/>
          <w:color w:val="111111"/>
          <w:sz w:val="20"/>
        </w:rPr>
        <w:t>An old agency manual conflicts with a current California statute and an effective Board of Behavioral Sciences regulation that directly address an ASW's legal duty. Which source should control the legal conclusion?</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The current statute and effective regulation that apply to the issue.</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The agency manual because employer policies control employee conduct.</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The NASW Code of Ethics because ethical standards always supersede law.</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The CTA study module because it is designed for examination preparation.</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2. </w:t>
      </w:r>
      <w:r>
        <w:rPr>
          <w:rFonts w:ascii="Calibri" w:hAnsi="Calibri"/>
          <w:b/>
          <w:i w:val="0"/>
          <w:color w:val="111111"/>
          <w:sz w:val="20"/>
        </w:rPr>
        <w:t>An agency policy directs social workers to send a client's complete psychotherapy record to a partner program whenever “care coordination” is requested. No authorization, legal mandate, or other disclosure basis is documented. What should the LCSW do NEXT?</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Follow the policy after confirming that the request came from another licensed clinician and document routine coordination.</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Refuse all future collaboration because psychotherapy records may never be shared with another program.</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Pause the nonurgent disclosure, verify legal authority and applicability, then share only what is authorized and needed while documenting the reasoning.</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Send the complete record but ask the partner program to limit access and delete unnecessary pages after review.</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3. </w:t>
      </w:r>
      <w:r>
        <w:rPr>
          <w:rFonts w:ascii="Calibri" w:hAnsi="Calibri"/>
          <w:b/>
          <w:i w:val="0"/>
          <w:color w:val="111111"/>
          <w:sz w:val="20"/>
        </w:rPr>
        <w:t>Which statement about California ASW and LCSW status is accurate?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An ASW may practice independently after passing the California Law and Ethics Examination if the profile says “LCSW Candidate.”</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An ASW remains registered and supervised until the Board issues the LCSW license, even after the examination or experience requirements are completed.</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A qualified supervisor may authorize independent practice once the ASW has completed the required supervised hours.</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An ASW registration automatically converts to an LCSW license when the Application for Licensure is submitted.</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4. </w:t>
      </w:r>
      <w:r>
        <w:rPr>
          <w:rFonts w:ascii="Calibri" w:hAnsi="Calibri"/>
          <w:b/>
          <w:i w:val="0"/>
          <w:color w:val="111111"/>
          <w:sz w:val="20"/>
        </w:rPr>
        <w:t>A clinic manager tells an LCSW that psychotherapy with families is outside clinical social work because family treatment belongs only to LMFTs. What is the BEST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Refer every family case to an LMFT because clinical social work is limited to individual psychotherapy.</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Limit services to case management because counseling and psychotherapy are not part of California clinical social work.</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Accept every family case because the LCSW title alone establishes competence for all relational treatment.</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Explain that clinical social work may include counseling and nonmedical psychotherapy with individuals, families, or groups, while still requiring competence, valid consent, lawful status, and role clarity.</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5. </w:t>
      </w:r>
      <w:r>
        <w:rPr>
          <w:rFonts w:ascii="Calibri" w:hAnsi="Calibri"/>
          <w:b/>
          <w:i w:val="0"/>
          <w:color w:val="111111"/>
          <w:sz w:val="20"/>
        </w:rPr>
        <w:t>An LCSW who is treating an employee is asked by the employer to provide a “neutral fitness evaluation” for an employment decision. What should the LCSW do FIRST?</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Clarify the proposed role, who the client would be, how information would be used, applicable confidentiality limits, and whether the treatment and evaluation roles can be separated without conflict.</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Accept the evaluation because an LCSW license authorizes both treatment and evaluative work.</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Obtain a general release from the employee and proceed without further role analysis.</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Treat the request as administrative rather than clinical so ordinary professional-role duties do not apply.</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6. </w:t>
      </w:r>
      <w:r>
        <w:rPr>
          <w:rFonts w:ascii="Calibri" w:hAnsi="Calibri"/>
          <w:b/>
          <w:i w:val="0"/>
          <w:color w:val="111111"/>
          <w:sz w:val="20"/>
        </w:rPr>
        <w:t>An ASW in a county clinic is assigned a specialized exposure-based trauma intervention after attending one introductory webinar. The service is within the broad field of clinical social work, but the ASW has not completed method-specific training or supervised practice. What is the BEST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Begin the intervention after telling the client that the ASW is still learning the method.</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Terminate the client immediately because any competence gap requires ending the professional relationship.</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Proceed as assigned because a qualified supervisor's approval transfers the supervisor's competence to the ASW.</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Discuss the competence gap with the supervisor, obtain appropriate training and supervised practice or arrange qualified referral or consultation, and preserve safe continuity while the plan is implemented.</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7. </w:t>
      </w:r>
      <w:r>
        <w:rPr>
          <w:rFonts w:ascii="Calibri" w:hAnsi="Calibri"/>
          <w:b/>
          <w:i w:val="0"/>
          <w:color w:val="111111"/>
          <w:sz w:val="20"/>
        </w:rPr>
        <w:t>Which description most accurately states the California ASW 90-day rule for a recent graduate whose degree was awarded after January 1, 2020?</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The Board must receive the ASW application within 90 days of the degree; registration must later be granted; all experience and supervision rules must be met; and pre-registration hours require qualifying employer Live Scan documentation.</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All postdegree hours count automatically for 90 days after graduation, even if the ASW application is filed later or registration is denied.</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The rule allows the graduate to begin private-practice work before the ASW number is issued as long as an LCSW provides consultation.</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The rule waives registration, supervision, and fingerprinting requirements for nonprofit and county settings.</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8. </w:t>
      </w:r>
      <w:r>
        <w:rPr>
          <w:rFonts w:ascii="Calibri" w:hAnsi="Calibri"/>
          <w:b/>
          <w:i w:val="0"/>
          <w:color w:val="111111"/>
          <w:sz w:val="20"/>
        </w:rPr>
        <w:t>An ASW has not yet passed the California Law and Ethics Examination and the one-year registration renewal is approaching. Which plan BEST matches the module's current renewal controls?</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Renew without Law and Ethics continuing education because sitting for the examination replaces the education requirement.</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Complete the required California Law and Ethics education, renew annually, and document at least one examination attempt during the renewal cycle until the examination is passed; observe the 90-day retake interval after an unsuccessful attempt.</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Wait to renew until the examination is passed because an unsuccessful candidate cannot renew an ordinary ASW registration.</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Renew every two years and take the examination only during the final renewal cycle.</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9. </w:t>
      </w:r>
      <w:r>
        <w:rPr>
          <w:rFonts w:ascii="Calibri" w:hAnsi="Calibri"/>
          <w:b/>
          <w:i w:val="0"/>
          <w:color w:val="111111"/>
          <w:sz w:val="20"/>
        </w:rPr>
        <w:t>An ASW reaches the end of the six-year registration lifespan, has passed the California Law and Ethics Examination, still needs qualifying experience, and wants to continue in a private practice under a new ASW number. What is the BEST analysis?</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The existing registration may be renewed indefinitely after the examination is passed.</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A subsequent ASW number permits private-practice work because it replaces the original registration.</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The person may seek a subsequent registration if current requirements are met, but the subsequent number may not be used for private-practice or professional-corporation work, and independent practice still requires LCSW license issuance.</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Passing the California Law and Ethics Examination automatically creates LCSW status when the six-year period ends.</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10. </w:t>
      </w:r>
      <w:r>
        <w:rPr>
          <w:rFonts w:ascii="Calibri" w:hAnsi="Calibri"/>
          <w:b/>
          <w:i w:val="0"/>
          <w:color w:val="111111"/>
          <w:sz w:val="20"/>
        </w:rPr>
        <w:t>Which advertisement contains the complete minimum ASW status information taught in the module?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Full name as filed with BBS; “Registered Associate Clinical Social Worker”; registration number; employer or volunteer entity; and a statement that the ASW is supervised by a licensed person.</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Full name; “ASW”; a number labeled as a license number; and the name of the clinical specialty.</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Full registered title and registration number, with employer and supervision information omitted because the page belongs to the agency.</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Full name; “LCSW Candidate”; employer name; and the supervisor's professional title without an ASW registration number.</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11. </w:t>
      </w:r>
      <w:r>
        <w:rPr>
          <w:rFonts w:ascii="Calibri" w:hAnsi="Calibri"/>
          <w:b/>
          <w:i w:val="0"/>
          <w:color w:val="111111"/>
          <w:sz w:val="20"/>
        </w:rPr>
        <w:t>A graduate has submitted an ASW application, but the Board has not issued a registration number. The clinic wants the website to say “Taylor Nguyen, ASW” because the person is working under the 90-day rule. What is the BEST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Use “ASW” because a timely application creates temporary registered status.</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Use “Clinical Social Worker” without any status statement because the clinic is supervising the graduate.</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Do not claim ASW registration; use an accurate pending, unlicensed, and supervised description that does not imply independent registration or licensure, then update all advertising after the number is issued.</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Create a temporary registration number for the website and replace it when the Board issues the official number.</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12. </w:t>
      </w:r>
      <w:r>
        <w:rPr>
          <w:rFonts w:ascii="Calibri" w:hAnsi="Calibri"/>
          <w:b/>
          <w:i w:val="0"/>
          <w:color w:val="111111"/>
          <w:sz w:val="20"/>
        </w:rPr>
        <w:t>An employer posts “Jordan Patel, ASW, Trauma Therapist.” The page lists Jordan's registration number but omits the full registered title, the employer or volunteer entity within the profile, and the supervised-status statement. Jordan notices the page after a client mentions it. What should Jordan do FIRST?</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Ignore the profile because the employer, not Jordan, authored it.</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Wait until the next annual website review so all staff profiles can be updated together.</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Give the client a complete verbal disclosure at the next session and leave the public page unchanged.</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Promptly contain and correct the continuing public misrepresentation, then communicate with the employer, document the response, assess impact, and repair the process that produced the error.</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13. </w:t>
      </w:r>
      <w:r>
        <w:rPr>
          <w:rFonts w:ascii="Calibri" w:hAnsi="Calibri"/>
          <w:b/>
          <w:i w:val="0"/>
          <w:color w:val="111111"/>
          <w:sz w:val="20"/>
        </w:rPr>
        <w:t>At the start of a scheduled video session, an ASW learns that the client is temporarily staying in another state. The client is distressed but denies an immediate emergency, and the ASW has not verified whether practice is lawful in that location. What should the ASW do FIRST?</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Proceed with routine psychotherapy because the treatment relationship began while the client was in California.</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Verify the client's current location, immediate safety, jurisdictional authority, supervision requirements, and available emergency resources before providing routine psychotherapy, while using a lawful continuity plan.</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End the professional relationship immediately because any interstate travel permanently terminates telehealth treatment.</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Use the client's California home address as the service location so the scheduled session can continue.</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14. </w:t>
      </w:r>
      <w:r>
        <w:rPr>
          <w:rFonts w:ascii="Calibri" w:hAnsi="Calibri"/>
          <w:b/>
          <w:i w:val="0"/>
          <w:color w:val="111111"/>
          <w:sz w:val="20"/>
        </w:rPr>
        <w:t>A private-practice owner offers an ASW a 1099 contractor position and promises weekly supervision. Which response BEST reflects the module?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Accept because tax classification does not matter when a qualified supervisor is available.</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Accept if the ASW signs a supervision agreement and limits the caseload to six clients.</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Form a separate business entity so the contractor arrangement becomes an approved professional corporation structure.</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Do not begin under the contractor arrangement; the work must be restructured as lawful employee or volunteer service with all setting, supervision, oversight, and documentation requirements satisfied.</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15. </w:t>
      </w:r>
      <w:r>
        <w:rPr>
          <w:rFonts w:ascii="Calibri" w:hAnsi="Calibri"/>
          <w:b/>
          <w:i w:val="0"/>
          <w:color w:val="111111"/>
          <w:sz w:val="20"/>
        </w:rPr>
        <w:t>An agency billing system fails. The supervisor instructs an ASW to accept direct electronic payments from clients for two weeks, save the receipts, and transfer the money to the agency later. What should the ASW do FIRST?</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Accept the payments because preserving appointments is more important than the temporary payment route.</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Collect cash instead of electronic payments so the arrangement is easier to document.</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Stop the direct-client-payment arrangement and coordinate with the employer and supervisor on a lawful continuity and billing plan that does not require the ASW to receive client remuneration.</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Ask clients to pay the supervisor personally until the agency system is restored.</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16. </w:t>
      </w:r>
      <w:r>
        <w:rPr>
          <w:rFonts w:ascii="Calibri" w:hAnsi="Calibri"/>
          <w:b/>
          <w:i w:val="0"/>
          <w:color w:val="111111"/>
          <w:sz w:val="20"/>
        </w:rPr>
        <w:t>During one week in one setting, an ASW performs 14 hours of qualifying clinical psychosocial diagnosis, assessment, and treatment and receives one hour of individual supervision. What supervision issue must be corrected?</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An additional hour of qualifying direct supervisor contact is required in that same week because the ASW performed more than 10 qualifying clinical-service hours in the setting.</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The missing supervision may be added during the following week as long as the monthly total is sufficient.</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One hour is sufficient because a second hour is not required until the ASW exceeds 20 clinical-service hours.</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All supervision must be individual; triadic or properly constituted group supervision can never satisfy any part of the requirement.</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17. </w:t>
      </w:r>
      <w:r>
        <w:rPr>
          <w:rFonts w:ascii="Calibri" w:hAnsi="Calibri"/>
          <w:b/>
          <w:i w:val="0"/>
          <w:color w:val="111111"/>
          <w:sz w:val="20"/>
        </w:rPr>
        <w:t>A supervisor orders an ASW to complete a specialized forensic evaluation outside the ASW's training and says the supervisor's signature will make the service acceptable. What is the BEST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Complete the evaluation because a supervisor assumes all responsibility for the supervisee's professional decisions.</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Identify the competence and role problem, decline or limit the unsafe assignment, seek appropriate supervision or consultation, arrange qualified referral or coverage, document the response, and escalate if client or public protection remains at risk.</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Use the supervisor's name as the evaluator and complete the report without identifying the ASW's role.</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Resign immediately without addressing the client's current needs or the pending evaluation.</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18. </w:t>
      </w:r>
      <w:r>
        <w:rPr>
          <w:rFonts w:ascii="Calibri" w:hAnsi="Calibri"/>
          <w:b/>
          <w:i w:val="0"/>
          <w:color w:val="111111"/>
          <w:sz w:val="20"/>
        </w:rPr>
        <w:t>Which statement accurately reflects the California LCSW health-service record-retention minimum taught in the module?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Retain every record for five years after the final session, regardless of the client's age.</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Retain adult records for seven years from the first session and minor records until the client reaches age 18.</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Follow the employer's destruction schedule even when it is shorter than the applicable professional minimum.</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Retain adult records for at least seven years after therapy terminates; for a minor, the minimum period runs seven years from the date the client reaches age 18.</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19. </w:t>
      </w:r>
      <w:r>
        <w:rPr>
          <w:rFonts w:ascii="Calibri" w:hAnsi="Calibri"/>
          <w:b/>
          <w:i w:val="0"/>
          <w:color w:val="111111"/>
          <w:sz w:val="20"/>
        </w:rPr>
        <w:t>A treatment center offers an LCSW $200 for every client referred to the center. The LCSW would provide no consultation, assessment, or other professional service connected to the payment. What is the MOST appropriate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Accept the payment if the client is told about it before the referral is made.</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Decline the referral payment, preserve the client's informed choice, and use compensation only when it reflects an actual professional service and is handled with the required transparency.</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Accept the payment and donate it to a client-assistance fund so the LCSW does not personally benefit.</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Accept the payment only for former clients because the professional relationship has ended.</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20. </w:t>
      </w:r>
      <w:r>
        <w:rPr>
          <w:rFonts w:ascii="Calibri" w:hAnsi="Calibri"/>
          <w:b/>
          <w:i w:val="0"/>
          <w:color w:val="111111"/>
          <w:sz w:val="20"/>
        </w:rPr>
        <w:t>An LCSW experiencing medication-related sedation emails a draft assessment summary to the wrong client and notices the error minutes later. Another clinical appointment is scheduled in 30 minutes. What should occur FIRST?</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Complete the remaining appointment schedule and address the disclosure after the workday ends.</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Delete the sent message from the LCSW's account and continue working because the error was noticed quickly.</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Contain the disclosure, stop or limit unsafe practice, obtain assistance and coverage, assess required notification or reporting steps, and document the response and continuity plan.</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Wait until a routine supervision meeting because medication effects are private health information.</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21. </w:t>
      </w:r>
      <w:r>
        <w:rPr>
          <w:rFonts w:ascii="Calibri" w:hAnsi="Calibri"/>
          <w:b/>
          <w:i w:val="0"/>
          <w:color w:val="111111"/>
          <w:sz w:val="20"/>
        </w:rPr>
        <w:t>Which statement BEST describes the relationship between the NASW Code of Ethics and California law in the module?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The NASW Code guides professional reasoning and may set broader ethical expectations, while current law and regulation control legal mandates and limits.</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The NASW Code automatically overrides any California law that appears less protective of the client.</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Once minimum legal compliance is achieved, no additional ethical analysis is necessary.</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Employer policy determines whether the social worker should follow law or the NASW Code in a particular case.</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22. </w:t>
      </w:r>
      <w:r>
        <w:rPr>
          <w:rFonts w:ascii="Calibri" w:hAnsi="Calibri"/>
          <w:b/>
          <w:i w:val="0"/>
          <w:color w:val="111111"/>
          <w:sz w:val="20"/>
        </w:rPr>
        <w:t>An adult client from a family-centered cultural community declines the LCSW's recommendation to invite relatives into treatment. The LCSW believes family participation could be helpful. What is the MOST ethical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Require family participation because culturally responsive treatment should prioritize the community's collective values.</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Assume the refusal reflects internalized stigma and continue persuading the client until consent is obtained.</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Respect the client's informed decision, explore the meaning and context with cultural humility, and keep the option open without coercion or stereotyping.</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Terminate treatment because the client rejected an intervention the LCSW believes is clinically indicated.</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23. </w:t>
      </w:r>
      <w:r>
        <w:rPr>
          <w:rFonts w:ascii="Calibri" w:hAnsi="Calibri"/>
          <w:b/>
          <w:i w:val="0"/>
          <w:color w:val="111111"/>
          <w:sz w:val="20"/>
        </w:rPr>
        <w:t>An agency instructs social workers to close every case after two missed appointments without reviewing risk, disability access, language needs, transportation barriers, technology access, or continuity. An LCSW identifies several high-risk clients who could be harmed by automatic closure. What is the BEST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Apply the policy exactly because consistency is more ethical than individualized professional judgment.</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Ignore the policy privately for selected clients and avoid documenting the exception so management will not object.</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File an external complaint immediately without first protecting current clients or clarifying the legal, clinical, and organizational facts.</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Assess and protect the affected clients, identify controlling duties, document barriers and risk, raise the ethical conflict through appropriate supervisory and organizational channels, and advocate for a policy that includes access, equity, safety, and continuity review.</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24. </w:t>
      </w:r>
      <w:r>
        <w:rPr>
          <w:rFonts w:ascii="Calibri" w:hAnsi="Calibri"/>
          <w:b/>
          <w:i w:val="0"/>
          <w:color w:val="111111"/>
          <w:sz w:val="20"/>
        </w:rPr>
        <w:t>An ASW has passed the California Law and Ethics Examination, completed 2,900 qualifying hours, and changed an online profile to “LCSW Candidate - Independent Social Worker” after a supervisor said the remaining requirements were technicalities. What should occur FIRST?</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Stop and correct the misleading independent-LCSW representation and continue only within lawful ASW status and supervision until the Board issues the license, then complete communication and documentation.</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Keep the profile because “candidate” tells the public that the person is not fully licensed.</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Begin independent work because a qualified supervisor may authorize practice after the Law and Ethics Examination is passed.</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Stop all social-work employment because an ASW may not provide any clinical service before LCSW licensure.</w:t>
      </w:r>
    </w:p>
    <w:p>
      <w:pPr>
        <w:keepLines/>
        <w:spacing w:before="40" w:after="100"/>
        <w:ind w:left="317"/>
      </w:pPr>
      <w:r>
        <w:rPr>
          <w:rFonts w:ascii="Calibri" w:hAnsi="Calibri"/>
          <w:b w:val="0"/>
          <w:i/>
          <w:color w:val="5E6670"/>
          <w:sz w:val="15"/>
        </w:rPr>
        <w:t>Answer: ______    Confidence: [ ] 1 Guess  [ ] 2 Low  [ ] 3 Moderate  [ ] 4 High    Review: [ ]</w:t>
      </w:r>
    </w:p>
    <w:p>
      <w:pPr>
        <w:keepNext/>
        <w:keepLines/>
        <w:spacing w:before="160" w:after="60" w:line="250" w:lineRule="auto"/>
      </w:pPr>
      <w:r>
        <w:rPr>
          <w:rFonts w:ascii="Calibri" w:hAnsi="Calibri"/>
          <w:b/>
          <w:i w:val="0"/>
          <w:color w:val="102A4C"/>
          <w:sz w:val="20"/>
        </w:rPr>
        <w:t xml:space="preserve">25. </w:t>
      </w:r>
      <w:r>
        <w:rPr>
          <w:rFonts w:ascii="Calibri" w:hAnsi="Calibri"/>
          <w:b/>
          <w:i w:val="0"/>
          <w:color w:val="111111"/>
          <w:sz w:val="20"/>
        </w:rPr>
        <w:t>An ASW concludes that a current legal reporting threshold has been met. The client asks the ASW to wait until the regular supervisor returns the next day and says an immediate report will damage trust. What is the BEST response?</w:t>
      </w:r>
    </w:p>
    <w:p>
      <w:pPr>
        <w:keepNext/>
        <w:keepLines/>
        <w:spacing w:after="30" w:line="245" w:lineRule="auto"/>
        <w:ind w:left="317" w:hanging="317"/>
      </w:pPr>
      <w:r>
        <w:rPr>
          <w:rFonts w:ascii="Calibri" w:hAnsi="Calibri"/>
          <w:b/>
          <w:i w:val="0"/>
          <w:color w:val="102A4C"/>
          <w:sz w:val="18"/>
        </w:rPr>
        <w:t xml:space="preserve">A. </w:t>
      </w:r>
      <w:r>
        <w:rPr>
          <w:rFonts w:ascii="Calibri" w:hAnsi="Calibri"/>
          <w:b w:val="0"/>
          <w:i w:val="0"/>
          <w:color w:val="111111"/>
          <w:sz w:val="18"/>
        </w:rPr>
        <w:t>Delay the report because preserving the therapeutic alliance is the primary ethical obligation.</w:t>
      </w:r>
    </w:p>
    <w:p>
      <w:pPr>
        <w:keepNext/>
        <w:keepLines/>
        <w:spacing w:after="30" w:line="245" w:lineRule="auto"/>
        <w:ind w:left="317" w:hanging="317"/>
      </w:pPr>
      <w:r>
        <w:rPr>
          <w:rFonts w:ascii="Calibri" w:hAnsi="Calibri"/>
          <w:b/>
          <w:i w:val="0"/>
          <w:color w:val="102A4C"/>
          <w:sz w:val="18"/>
        </w:rPr>
        <w:t xml:space="preserve">B. </w:t>
      </w:r>
      <w:r>
        <w:rPr>
          <w:rFonts w:ascii="Calibri" w:hAnsi="Calibri"/>
          <w:b w:val="0"/>
          <w:i w:val="0"/>
          <w:color w:val="111111"/>
          <w:sz w:val="18"/>
        </w:rPr>
        <w:t>Complete the required action without avoidable delay, explain the duty as transparently as the situation permits, limit the disclosure to what is required, address immediate safety and continuity, seek consultation that does not delay the duty, and document the response.</w:t>
      </w:r>
    </w:p>
    <w:p>
      <w:pPr>
        <w:keepNext/>
        <w:keepLines/>
        <w:spacing w:after="30" w:line="245" w:lineRule="auto"/>
        <w:ind w:left="317" w:hanging="317"/>
      </w:pPr>
      <w:r>
        <w:rPr>
          <w:rFonts w:ascii="Calibri" w:hAnsi="Calibri"/>
          <w:b/>
          <w:i w:val="0"/>
          <w:color w:val="102A4C"/>
          <w:sz w:val="18"/>
        </w:rPr>
        <w:t xml:space="preserve">C. </w:t>
      </w:r>
      <w:r>
        <w:rPr>
          <w:rFonts w:ascii="Calibri" w:hAnsi="Calibri"/>
          <w:b w:val="0"/>
          <w:i w:val="0"/>
          <w:color w:val="111111"/>
          <w:sz w:val="18"/>
        </w:rPr>
        <w:t>Ask the client to sign a release so the report becomes voluntary rather than mandatory.</w:t>
      </w:r>
    </w:p>
    <w:p>
      <w:pPr>
        <w:keepNext w:val="0"/>
        <w:keepLines/>
        <w:spacing w:after="30" w:line="245" w:lineRule="auto"/>
        <w:ind w:left="317" w:hanging="317"/>
      </w:pPr>
      <w:r>
        <w:rPr>
          <w:rFonts w:ascii="Calibri" w:hAnsi="Calibri"/>
          <w:b/>
          <w:i w:val="0"/>
          <w:color w:val="102A4C"/>
          <w:sz w:val="18"/>
        </w:rPr>
        <w:t xml:space="preserve">D. </w:t>
      </w:r>
      <w:r>
        <w:rPr>
          <w:rFonts w:ascii="Calibri" w:hAnsi="Calibri"/>
          <w:b w:val="0"/>
          <w:i w:val="0"/>
          <w:color w:val="111111"/>
          <w:sz w:val="18"/>
        </w:rPr>
        <w:t>End services immediately after making the report because the client objected to the social worker's legal duty.</w:t>
      </w:r>
    </w:p>
    <w:p>
      <w:pPr>
        <w:keepLines/>
        <w:spacing w:before="40" w:after="100"/>
        <w:ind w:left="317"/>
      </w:pPr>
      <w:r>
        <w:rPr>
          <w:rFonts w:ascii="Calibri" w:hAnsi="Calibri"/>
          <w:b w:val="0"/>
          <w:i/>
          <w:color w:val="5E6670"/>
          <w:sz w:val="15"/>
        </w:rPr>
        <w:t>Answer: ______    Confidence: [ ] 1 Guess  [ ] 2 Low  [ ] 3 Moderate  [ ] 4 High    Review: [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008"/>
      </w:tblGrid>
      <w:tr>
        <w:trPr>
          <w:cantSplit/>
          <w:tblHeader/>
        </w:trPr>
        <w:tc>
          <w:tcPr>
            <w:tcW w:type="dxa" w:w="5083"/>
            <w:shd w:fill="10A79B"/>
            <w:tcMar>
              <w:top w:w="0" w:type="dxa"/>
              <w:start w:w="0" w:type="dxa"/>
              <w:bottom w:w="0" w:type="dxa"/>
              <w:end w:w="0" w:type="dxa"/>
            </w:tcMar>
          </w:tcPr>
          <w:p/>
        </w:tc>
        <w:tc>
          <w:tcPr>
            <w:tcW w:type="dxa" w:w="5083"/>
            <w:shd w:fill="EAF2FC"/>
            <w:tcMar>
              <w:top w:w="90" w:type="dxa"/>
              <w:start w:w="100" w:type="dxa"/>
              <w:bottom w:w="90" w:type="dxa"/>
              <w:end w:w="100" w:type="dxa"/>
            </w:tcMar>
          </w:tcPr>
          <w:p>
            <w:pPr>
              <w:spacing w:after="0"/>
            </w:pPr>
            <w:r>
              <w:rPr>
                <w:rFonts w:ascii="Calibri" w:hAnsi="Calibri"/>
                <w:b/>
                <w:i w:val="0"/>
                <w:color w:val="102A4C"/>
                <w:sz w:val="17"/>
              </w:rPr>
              <w:t>END OF CANDIDATE FORM Confirm that all 25 responses and confidence ratings are recorded before ending the attempt. For strongest diagnostic value, review the separate detailed rationales afterward; the rationale file remains openly accessible from enrollment.</w:t>
            </w:r>
            <w:r>
              <w:rPr>
                <w:rFonts w:ascii="Calibri" w:hAnsi="Calibri"/>
                <w:b w:val="0"/>
                <w:i w:val="0"/>
                <w:color w:val="111111"/>
                <w:sz w:val="17"/>
              </w:rPr>
            </w:r>
          </w:p>
        </w:tc>
      </w:tr>
    </w:tbl>
    <w:p>
      <w:pPr>
        <w:spacing w:before="160"/>
        <w:jc w:val="center"/>
      </w:pPr>
      <w:r>
        <w:rPr>
          <w:rFonts w:ascii="Calibri" w:hAnsi="Calibri"/>
          <w:b w:val="0"/>
          <w:i w:val="0"/>
          <w:color w:val="5E6670"/>
          <w:sz w:val="14"/>
        </w:rPr>
        <w:t>Copyright © 2026 Clinical Training &amp; Supervision Academy. All rights reserved.</w:t>
      </w:r>
    </w:p>
    <w:sectPr w:rsidR="00FC693F" w:rsidRPr="0006063C" w:rsidSect="00034616">
      <w:headerReference w:type="default" r:id="rId9"/>
      <w:footerReference w:type="default" r:id="rId10"/>
      <w:pgSz w:w="12240" w:h="15840"/>
      <w:pgMar w:top="950" w:right="1037" w:bottom="922"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5E6670"/>
        <w:sz w:val="15"/>
      </w:rPr>
      <w:t xml:space="preserve">LCSW CANDIDATE FORM  |  v1.0  |  </w:t>
    </w:r>
    <w:r>
      <w:rPr>
        <w:rFonts w:ascii="Calibri" w:hAnsi="Calibri"/>
        <w:b/>
        <w:color w:val="5E667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102A4C"/>
        <w:sz w:val="15"/>
      </w:rPr>
      <w:t>CTA-EP-002  |  LCSW CALIFORNIA LAW &amp; ETHICS  |  LICENSE-SPECIFIC MODULE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sz w:val="15"/>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5"/>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02A4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0A79B"/>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102A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02A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E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LCSW/ASW License-Specific Module 25-Question Candidate Assessment</dc:title>
  <dc:subject>CTA-EP-002 LCSW California Law and Ethics Exam Preparation Program</dc:subject>
  <dc:creator>Clinical Training &amp; Supervision Academy</dc:creator>
  <cp:keywords>LCSW, ASW, California Law and Ethics, candidate assessment, CTA-EP-002</cp:keywords>
  <dc:description>Answer-hidden Stage 3B internal review candidate form.</dc:description>
  <cp:lastModifiedBy/>
  <cp:revision>1</cp:revision>
  <dcterms:created xsi:type="dcterms:W3CDTF">2013-12-23T23:15:00Z</dcterms:created>
  <dcterms:modified xsi:type="dcterms:W3CDTF">2013-12-23T23:15:00Z</dcterms:modified>
  <cp:category/>
</cp:coreProperties>
</file>