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A6A6"/>
          <w:sz w:val="23"/>
        </w:rPr>
        <w:t>LEARNER ORIENTATION</w:t>
      </w:r>
    </w:p>
    <w:p>
      <w:pPr>
        <w:jc w:val="center"/>
      </w:pPr>
      <w:r>
        <w:rPr>
          <w:b/>
          <w:color w:val="17365D"/>
          <w:sz w:val="42"/>
        </w:rPr>
        <w:t>LCSW California Law &amp; Ethics</w:t>
        <w:br/>
        <w:t>Exam Preparation</w:t>
      </w:r>
    </w:p>
    <w:p>
      <w:pPr>
        <w:jc w:val="center"/>
      </w:pPr>
      <w:r>
        <w:rPr>
          <w:b/>
          <w:color w:val="17365D"/>
          <w:sz w:val="30"/>
        </w:rPr>
        <w:t>Start Here &amp; Program Orientation</w:t>
      </w:r>
    </w:p>
    <w:p>
      <w:pPr>
        <w:jc w:val="center"/>
      </w:pPr>
      <w:r>
        <w:rPr>
          <w:b/>
          <w:color w:val="1AA6A6"/>
          <w:sz w:val="21"/>
        </w:rPr>
        <w:t>SELF-PACED STUDY | SIX-MONTH ACCESS | NO CE CREDIT</w:t>
      </w:r>
    </w:p>
    <w:p>
      <w:pPr>
        <w:jc w:val="center"/>
      </w:pPr>
      <w:r>
        <w:rPr>
          <w:color w:val="5A5A5A"/>
          <w:sz w:val="19"/>
        </w:rPr>
        <w:t>CTA-EP-002 | Version 1.0 | August 6, 2026</w:t>
      </w:r>
    </w:p>
    <w:p>
      <w:pPr>
        <w:jc w:val="center"/>
      </w:pPr>
      <w:r>
        <w:rPr>
          <w:i/>
          <w:color w:val="1AA6A6"/>
        </w:rPr>
        <w:t>Teaching Clinicians How to Think.</w:t>
      </w:r>
    </w:p>
    <w:tbl>
      <w:tblPr>
        <w:tblStyle w:val="TableGrid"/>
        <w:tblW w:type="auto" w:w="0"/>
        <w:jc w:val="center"/>
        <w:tblLayout w:type="fixed"/>
        <w:tblLook w:firstColumn="1" w:firstRow="1" w:lastColumn="0" w:lastRow="0" w:noHBand="0" w:noVBand="1" w:val="04A0"/>
      </w:tblPr>
      <w:tblGrid>
        <w:gridCol w:w="10368"/>
      </w:tblGrid>
      <w:tr>
        <w:trPr>
          <w:tblHeader w:val="true"/>
          <w:cantSplit/>
        </w:trPr>
        <w:tc>
          <w:tcPr>
            <w:tcW w:type="dxa" w:w="9504"/>
            <w:shd w:fill="EAF7F7"/>
            <w:tcMar>
              <w:top w:w="60" w:type="dxa"/>
              <w:start w:w="70" w:type="dxa"/>
              <w:bottom w:w="60" w:type="dxa"/>
              <w:end w:w="70" w:type="dxa"/>
            </w:tcMar>
            <w:vAlign w:val="center"/>
          </w:tcPr>
          <w:p>
            <w:pPr>
              <w:spacing w:after="0"/>
            </w:pPr>
            <w:r>
              <w:rPr>
                <w:b/>
                <w:color w:val="17365D"/>
                <w:sz w:val="18"/>
              </w:rPr>
              <w:t>WELCOME</w:t>
            </w:r>
            <w:r>
              <w:rPr>
                <w:sz w:val="18"/>
              </w:rPr>
              <w:br/>
              <w:t>This program is designed for California ASWs and other eligible LCSW applicants preparing for the profession-specific California LCSW Law and Ethics Examination. It is an educational study resource, not legal advice, an eligibility determination, official examination content, or a promise of passage.</w:t>
            </w:r>
          </w:p>
        </w:tc>
      </w:tr>
    </w:tbl>
    <w:p>
      <w:pPr>
        <w:pStyle w:val="Heading1"/>
      </w:pPr>
      <w:r>
        <w:t>Program at a Glance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7365D"/>
            <w:tcMar>
              <w:top w:w="60" w:type="dxa"/>
              <w:start w:w="70" w:type="dxa"/>
              <w:bottom w:w="60" w:type="dxa"/>
              <w:end w:w="70" w:type="dxa"/>
            </w:tcMar>
            <w:vAlign w:val="center"/>
          </w:tcPr>
          <w:p>
            <w:pPr>
              <w:spacing w:after="0"/>
            </w:pPr>
            <w:r>
              <w:rPr>
                <w:sz w:val="17"/>
              </w:rPr>
            </w:r>
            <w:r>
              <w:rPr>
                <w:b/>
                <w:color w:val="FFFFFF"/>
                <w:sz w:val="17"/>
              </w:rPr>
              <w:t>Field</w:t>
            </w:r>
          </w:p>
        </w:tc>
        <w:tc>
          <w:tcPr>
            <w:tcW w:type="dxa" w:w="5184"/>
            <w:shd w:fill="17365D"/>
            <w:tcMar>
              <w:top w:w="60" w:type="dxa"/>
              <w:start w:w="70" w:type="dxa"/>
              <w:bottom w:w="60" w:type="dxa"/>
              <w:end w:w="70" w:type="dxa"/>
            </w:tcMar>
            <w:vAlign w:val="center"/>
          </w:tcPr>
          <w:p>
            <w:pPr>
              <w:spacing w:after="0"/>
            </w:pPr>
            <w:r>
              <w:rPr>
                <w:sz w:val="17"/>
              </w:rPr>
            </w:r>
            <w:r>
              <w:rPr>
                <w:b/>
                <w:color w:val="FFFFFF"/>
                <w:sz w:val="17"/>
              </w:rPr>
              <w:t>Program information</w:t>
            </w:r>
          </w:p>
        </w:tc>
      </w:tr>
      <w:tr>
        <w:trPr>
          <w:cantSplit/>
        </w:trPr>
        <w:tc>
          <w:tcPr>
            <w:tcW w:type="dxa" w:w="5184"/>
            <w:vAlign w:val="center"/>
            <w:tcMar>
              <w:top w:w="60" w:type="dxa"/>
              <w:start w:w="70" w:type="dxa"/>
              <w:bottom w:w="60" w:type="dxa"/>
              <w:end w:w="70" w:type="dxa"/>
            </w:tcMar>
          </w:tcPr>
          <w:p>
            <w:pPr>
              <w:spacing w:after="0"/>
            </w:pPr>
            <w:r>
              <w:rPr>
                <w:sz w:val="17"/>
              </w:rPr>
              <w:t>Formal program</w:t>
            </w:r>
          </w:p>
        </w:tc>
        <w:tc>
          <w:tcPr>
            <w:tcW w:type="dxa" w:w="5184"/>
            <w:vAlign w:val="center"/>
            <w:tcMar>
              <w:top w:w="60" w:type="dxa"/>
              <w:start w:w="70" w:type="dxa"/>
              <w:bottom w:w="60" w:type="dxa"/>
              <w:end w:w="70" w:type="dxa"/>
            </w:tcMar>
          </w:tcPr>
          <w:p>
            <w:pPr>
              <w:spacing w:after="0"/>
            </w:pPr>
            <w:r>
              <w:rPr>
                <w:sz w:val="17"/>
              </w:rPr>
              <w:t>CTA LCSW California Law &amp; Ethics Exam Preparation Program</w:t>
            </w:r>
          </w:p>
        </w:tc>
      </w:tr>
      <w:tr>
        <w:trPr>
          <w:cantSplit/>
        </w:trPr>
        <w:tc>
          <w:tcPr>
            <w:tcW w:type="dxa" w:w="5184"/>
            <w:vAlign w:val="center"/>
            <w:tcMar>
              <w:top w:w="60" w:type="dxa"/>
              <w:start w:w="70" w:type="dxa"/>
              <w:bottom w:w="60" w:type="dxa"/>
              <w:end w:w="70" w:type="dxa"/>
            </w:tcMar>
            <w:shd w:fill="F2F4F7"/>
          </w:tcPr>
          <w:p>
            <w:pPr>
              <w:spacing w:after="0"/>
            </w:pPr>
            <w:r>
              <w:rPr>
                <w:sz w:val="17"/>
              </w:rPr>
              <w:t>Public title</w:t>
            </w:r>
          </w:p>
        </w:tc>
        <w:tc>
          <w:tcPr>
            <w:tcW w:type="dxa" w:w="5184"/>
            <w:vAlign w:val="center"/>
            <w:tcMar>
              <w:top w:w="60" w:type="dxa"/>
              <w:start w:w="70" w:type="dxa"/>
              <w:bottom w:w="60" w:type="dxa"/>
              <w:end w:w="70" w:type="dxa"/>
            </w:tcMar>
            <w:shd w:fill="F2F4F7"/>
          </w:tcPr>
          <w:p>
            <w:pPr>
              <w:spacing w:after="0"/>
            </w:pPr>
            <w:r>
              <w:rPr>
                <w:sz w:val="17"/>
              </w:rPr>
              <w:t>LCSW California Law &amp; Ethics Exam Preparation</w:t>
            </w:r>
          </w:p>
        </w:tc>
      </w:tr>
      <w:tr>
        <w:trPr>
          <w:cantSplit/>
        </w:trPr>
        <w:tc>
          <w:tcPr>
            <w:tcW w:type="dxa" w:w="5184"/>
            <w:vAlign w:val="center"/>
            <w:tcMar>
              <w:top w:w="60" w:type="dxa"/>
              <w:start w:w="70" w:type="dxa"/>
              <w:bottom w:w="60" w:type="dxa"/>
              <w:end w:w="70" w:type="dxa"/>
            </w:tcMar>
          </w:tcPr>
          <w:p>
            <w:pPr>
              <w:spacing w:after="0"/>
            </w:pPr>
            <w:r>
              <w:rPr>
                <w:sz w:val="17"/>
              </w:rPr>
              <w:t>Program code</w:t>
            </w:r>
          </w:p>
        </w:tc>
        <w:tc>
          <w:tcPr>
            <w:tcW w:type="dxa" w:w="5184"/>
            <w:vAlign w:val="center"/>
            <w:tcMar>
              <w:top w:w="60" w:type="dxa"/>
              <w:start w:w="70" w:type="dxa"/>
              <w:bottom w:w="60" w:type="dxa"/>
              <w:end w:w="70" w:type="dxa"/>
            </w:tcMar>
          </w:tcPr>
          <w:p>
            <w:pPr>
              <w:spacing w:after="0"/>
            </w:pPr>
            <w:r>
              <w:rPr>
                <w:sz w:val="17"/>
              </w:rPr>
              <w:t>CTA-EP-002</w:t>
            </w:r>
          </w:p>
        </w:tc>
      </w:tr>
      <w:tr>
        <w:trPr>
          <w:cantSplit/>
        </w:trPr>
        <w:tc>
          <w:tcPr>
            <w:tcW w:type="dxa" w:w="5184"/>
            <w:vAlign w:val="center"/>
            <w:tcMar>
              <w:top w:w="60" w:type="dxa"/>
              <w:start w:w="70" w:type="dxa"/>
              <w:bottom w:w="60" w:type="dxa"/>
              <w:end w:w="70" w:type="dxa"/>
            </w:tcMar>
            <w:shd w:fill="F2F4F7"/>
          </w:tcPr>
          <w:p>
            <w:pPr>
              <w:spacing w:after="0"/>
            </w:pPr>
            <w:r>
              <w:rPr>
                <w:sz w:val="17"/>
              </w:rPr>
              <w:t>Primary audience</w:t>
            </w:r>
          </w:p>
        </w:tc>
        <w:tc>
          <w:tcPr>
            <w:tcW w:type="dxa" w:w="5184"/>
            <w:vAlign w:val="center"/>
            <w:tcMar>
              <w:top w:w="60" w:type="dxa"/>
              <w:start w:w="70" w:type="dxa"/>
              <w:bottom w:w="60" w:type="dxa"/>
              <w:end w:w="70" w:type="dxa"/>
            </w:tcMar>
            <w:shd w:fill="F2F4F7"/>
          </w:tcPr>
          <w:p>
            <w:pPr>
              <w:spacing w:after="0"/>
            </w:pPr>
            <w:r>
              <w:rPr>
                <w:sz w:val="17"/>
              </w:rPr>
              <w:t>California ASWs and other eligible LCSW applicants</w:t>
            </w:r>
          </w:p>
        </w:tc>
      </w:tr>
      <w:tr>
        <w:trPr>
          <w:cantSplit/>
        </w:trPr>
        <w:tc>
          <w:tcPr>
            <w:tcW w:type="dxa" w:w="5184"/>
            <w:vAlign w:val="center"/>
            <w:tcMar>
              <w:top w:w="60" w:type="dxa"/>
              <w:start w:w="70" w:type="dxa"/>
              <w:bottom w:w="60" w:type="dxa"/>
              <w:end w:w="70" w:type="dxa"/>
            </w:tcMar>
          </w:tcPr>
          <w:p>
            <w:pPr>
              <w:spacing w:after="0"/>
            </w:pPr>
            <w:r>
              <w:rPr>
                <w:sz w:val="17"/>
              </w:rPr>
              <w:t>Examination</w:t>
            </w:r>
          </w:p>
        </w:tc>
        <w:tc>
          <w:tcPr>
            <w:tcW w:type="dxa" w:w="5184"/>
            <w:vAlign w:val="center"/>
            <w:tcMar>
              <w:top w:w="60" w:type="dxa"/>
              <w:start w:w="70" w:type="dxa"/>
              <w:bottom w:w="60" w:type="dxa"/>
              <w:end w:w="70" w:type="dxa"/>
            </w:tcMar>
          </w:tcPr>
          <w:p>
            <w:pPr>
              <w:spacing w:after="0"/>
            </w:pPr>
            <w:r>
              <w:rPr>
                <w:sz w:val="17"/>
              </w:rPr>
              <w:t>California LCSW Law and Ethics Examination</w:t>
            </w:r>
          </w:p>
        </w:tc>
      </w:tr>
      <w:tr>
        <w:trPr>
          <w:cantSplit/>
        </w:trPr>
        <w:tc>
          <w:tcPr>
            <w:tcW w:type="dxa" w:w="5184"/>
            <w:vAlign w:val="center"/>
            <w:tcMar>
              <w:top w:w="60" w:type="dxa"/>
              <w:start w:w="70" w:type="dxa"/>
              <w:bottom w:w="60" w:type="dxa"/>
              <w:end w:w="70" w:type="dxa"/>
            </w:tcMar>
            <w:shd w:fill="F2F4F7"/>
          </w:tcPr>
          <w:p>
            <w:pPr>
              <w:spacing w:after="0"/>
            </w:pPr>
            <w:r>
              <w:rPr>
                <w:sz w:val="17"/>
              </w:rPr>
              <w:t>Separate later examination</w:t>
            </w:r>
          </w:p>
        </w:tc>
        <w:tc>
          <w:tcPr>
            <w:tcW w:type="dxa" w:w="5184"/>
            <w:vAlign w:val="center"/>
            <w:tcMar>
              <w:top w:w="60" w:type="dxa"/>
              <w:start w:w="70" w:type="dxa"/>
              <w:bottom w:w="60" w:type="dxa"/>
              <w:end w:w="70" w:type="dxa"/>
            </w:tcMar>
            <w:shd w:fill="F2F4F7"/>
          </w:tcPr>
          <w:p>
            <w:pPr>
              <w:spacing w:after="0"/>
            </w:pPr>
            <w:r>
              <w:rPr>
                <w:sz w:val="17"/>
              </w:rPr>
              <w:t>ASWB Clinical Examination - not covered by this program</w:t>
            </w:r>
          </w:p>
        </w:tc>
      </w:tr>
      <w:tr>
        <w:trPr>
          <w:cantSplit/>
        </w:trPr>
        <w:tc>
          <w:tcPr>
            <w:tcW w:type="dxa" w:w="5184"/>
            <w:vAlign w:val="center"/>
            <w:tcMar>
              <w:top w:w="60" w:type="dxa"/>
              <w:start w:w="70" w:type="dxa"/>
              <w:bottom w:w="60" w:type="dxa"/>
              <w:end w:w="70" w:type="dxa"/>
            </w:tcMar>
          </w:tcPr>
          <w:p>
            <w:pPr>
              <w:spacing w:after="0"/>
            </w:pPr>
            <w:r>
              <w:rPr>
                <w:sz w:val="17"/>
              </w:rPr>
              <w:t>Format</w:t>
            </w:r>
          </w:p>
        </w:tc>
        <w:tc>
          <w:tcPr>
            <w:tcW w:type="dxa" w:w="5184"/>
            <w:vAlign w:val="center"/>
            <w:tcMar>
              <w:top w:w="60" w:type="dxa"/>
              <w:start w:w="70" w:type="dxa"/>
              <w:bottom w:w="60" w:type="dxa"/>
              <w:end w:w="70" w:type="dxa"/>
            </w:tcMar>
          </w:tcPr>
          <w:p>
            <w:pPr>
              <w:spacing w:after="0"/>
            </w:pPr>
            <w:r>
              <w:rPr>
                <w:sz w:val="17"/>
              </w:rPr>
              <w:t>Self-paced asynchronous study with downloadable and printable resources</w:t>
            </w:r>
          </w:p>
        </w:tc>
      </w:tr>
      <w:tr>
        <w:trPr>
          <w:cantSplit/>
        </w:trPr>
        <w:tc>
          <w:tcPr>
            <w:tcW w:type="dxa" w:w="5184"/>
            <w:vAlign w:val="center"/>
            <w:tcMar>
              <w:top w:w="60" w:type="dxa"/>
              <w:start w:w="70" w:type="dxa"/>
              <w:bottom w:w="60" w:type="dxa"/>
              <w:end w:w="70" w:type="dxa"/>
            </w:tcMar>
            <w:shd w:fill="F2F4F7"/>
          </w:tcPr>
          <w:p>
            <w:pPr>
              <w:spacing w:after="0"/>
            </w:pPr>
            <w:r>
              <w:rPr>
                <w:sz w:val="17"/>
              </w:rPr>
              <w:t>Access</w:t>
            </w:r>
          </w:p>
        </w:tc>
        <w:tc>
          <w:tcPr>
            <w:tcW w:type="dxa" w:w="5184"/>
            <w:vAlign w:val="center"/>
            <w:tcMar>
              <w:top w:w="60" w:type="dxa"/>
              <w:start w:w="70" w:type="dxa"/>
              <w:bottom w:w="60" w:type="dxa"/>
              <w:end w:w="70" w:type="dxa"/>
            </w:tcMar>
            <w:shd w:fill="F2F4F7"/>
          </w:tcPr>
          <w:p>
            <w:pPr>
              <w:spacing w:after="0"/>
            </w:pPr>
            <w:r>
              <w:rPr>
                <w:sz w:val="17"/>
              </w:rPr>
              <w:t>Six months from enrollment</w:t>
            </w:r>
          </w:p>
        </w:tc>
      </w:tr>
      <w:tr>
        <w:trPr>
          <w:cantSplit/>
        </w:trPr>
        <w:tc>
          <w:tcPr>
            <w:tcW w:type="dxa" w:w="5184"/>
            <w:vAlign w:val="center"/>
            <w:tcMar>
              <w:top w:w="60" w:type="dxa"/>
              <w:start w:w="70" w:type="dxa"/>
              <w:bottom w:w="60" w:type="dxa"/>
              <w:end w:w="70" w:type="dxa"/>
            </w:tcMar>
          </w:tcPr>
          <w:p>
            <w:pPr>
              <w:spacing w:after="0"/>
            </w:pPr>
            <w:r>
              <w:rPr>
                <w:sz w:val="17"/>
              </w:rPr>
              <w:t>Price</w:t>
            </w:r>
          </w:p>
        </w:tc>
        <w:tc>
          <w:tcPr>
            <w:tcW w:type="dxa" w:w="5184"/>
            <w:vAlign w:val="center"/>
            <w:tcMar>
              <w:top w:w="60" w:type="dxa"/>
              <w:start w:w="70" w:type="dxa"/>
              <w:bottom w:w="60" w:type="dxa"/>
              <w:end w:w="70" w:type="dxa"/>
            </w:tcMar>
          </w:tcPr>
          <w:p>
            <w:pPr>
              <w:spacing w:after="0"/>
            </w:pPr>
            <w:r>
              <w:rPr>
                <w:sz w:val="17"/>
              </w:rPr>
              <w:t>$199</w:t>
            </w:r>
          </w:p>
        </w:tc>
      </w:tr>
      <w:tr>
        <w:trPr>
          <w:cantSplit/>
        </w:trPr>
        <w:tc>
          <w:tcPr>
            <w:tcW w:type="dxa" w:w="5184"/>
            <w:vAlign w:val="center"/>
            <w:tcMar>
              <w:top w:w="60" w:type="dxa"/>
              <w:start w:w="70" w:type="dxa"/>
              <w:bottom w:w="60" w:type="dxa"/>
              <w:end w:w="70" w:type="dxa"/>
            </w:tcMar>
            <w:shd w:fill="F2F4F7"/>
          </w:tcPr>
          <w:p>
            <w:pPr>
              <w:spacing w:after="0"/>
            </w:pPr>
            <w:r>
              <w:rPr>
                <w:sz w:val="17"/>
              </w:rPr>
              <w:t>CE status</w:t>
            </w:r>
          </w:p>
        </w:tc>
        <w:tc>
          <w:tcPr>
            <w:tcW w:type="dxa" w:w="5184"/>
            <w:vAlign w:val="center"/>
            <w:tcMar>
              <w:top w:w="60" w:type="dxa"/>
              <w:start w:w="70" w:type="dxa"/>
              <w:bottom w:w="60" w:type="dxa"/>
              <w:end w:w="70" w:type="dxa"/>
            </w:tcMar>
            <w:shd w:fill="F2F4F7"/>
          </w:tcPr>
          <w:p>
            <w:pPr>
              <w:spacing w:after="0"/>
            </w:pPr>
            <w:r>
              <w:rPr>
                <w:sz w:val="17"/>
              </w:rPr>
              <w:t>No continuing education credit, evaluation, or certificate</w:t>
            </w:r>
          </w:p>
        </w:tc>
      </w:tr>
      <w:tr>
        <w:trPr>
          <w:cantSplit/>
        </w:trPr>
        <w:tc>
          <w:tcPr>
            <w:tcW w:type="dxa" w:w="5184"/>
            <w:vAlign w:val="center"/>
            <w:tcMar>
              <w:top w:w="60" w:type="dxa"/>
              <w:start w:w="70" w:type="dxa"/>
              <w:bottom w:w="60" w:type="dxa"/>
              <w:end w:w="70" w:type="dxa"/>
            </w:tcMar>
          </w:tcPr>
          <w:p>
            <w:pPr>
              <w:spacing w:after="0"/>
            </w:pPr>
            <w:r>
              <w:rPr>
                <w:sz w:val="17"/>
              </w:rPr>
              <w:t>Multimedia</w:t>
            </w:r>
          </w:p>
        </w:tc>
        <w:tc>
          <w:tcPr>
            <w:tcW w:type="dxa" w:w="5184"/>
            <w:vAlign w:val="center"/>
            <w:tcMar>
              <w:top w:w="60" w:type="dxa"/>
              <w:start w:w="70" w:type="dxa"/>
              <w:bottom w:w="60" w:type="dxa"/>
              <w:end w:w="70" w:type="dxa"/>
            </w:tcMar>
          </w:tcPr>
          <w:p>
            <w:pPr>
              <w:spacing w:after="0"/>
            </w:pPr>
            <w:r>
              <w:rPr>
                <w:sz w:val="17"/>
              </w:rPr>
              <w:t>No PowerPoint decks or recordings are required for this program</w:t>
            </w:r>
          </w:p>
        </w:tc>
      </w:tr>
    </w:tbl>
    <w:p>
      <w:pPr>
        <w:pStyle w:val="Heading1"/>
      </w:pPr>
      <w:r>
        <w:t>1. How to Use the Program</w:t>
      </w:r>
    </w:p>
    <w:p>
      <w:pPr>
        <w:pStyle w:val="ListBullet"/>
      </w:pPr>
      <w:r>
        <w:t>Use the recommended sequence below as a study plan, not as an access requirement.</w:t>
      </w:r>
    </w:p>
    <w:p>
      <w:pPr>
        <w:pStyle w:val="ListBullet"/>
      </w:pPr>
      <w:r>
        <w:t>Download and print learner-facing workbooks, practice materials, rationale files, performance tools, flashcards, and toolkits for personal study during your access term.</w:t>
      </w:r>
    </w:p>
    <w:p>
      <w:pPr>
        <w:pStyle w:val="ListBullet"/>
      </w:pPr>
      <w:r>
        <w:t>For the strongest diagnostic value, complete each answer-hidden assessment before opening its detailed rationale document—even though the files are not locked.</w:t>
      </w:r>
    </w:p>
    <w:p>
      <w:pPr>
        <w:pStyle w:val="ListBullet"/>
      </w:pPr>
      <w:r>
        <w:t>Record your answer, confidence, review flags, and timing before checking rationales.</w:t>
      </w:r>
    </w:p>
    <w:p>
      <w:pPr>
        <w:pStyle w:val="ListBullet"/>
      </w:pPr>
      <w:r>
        <w:t>Review all four option rationales. Correct guesses and low-confidence correct answers still identify study needs.</w:t>
      </w:r>
    </w:p>
    <w:p>
      <w:pPr>
        <w:pStyle w:val="ListBullet"/>
      </w:pPr>
      <w:r>
        <w:t>Use remediation routes, flashcards, and performance workbooks to repair the reasoning pattern before retesting.</w:t>
      </w:r>
    </w:p>
    <w:p>
      <w:pPr>
        <w:pStyle w:val="ListBullet"/>
      </w:pPr>
      <w:r>
        <w:t>Check current official BBS and examination materials near your test date because laws, regulations, forms, fees, and procedures can change.</w:t>
      </w:r>
    </w:p>
    <w:tbl>
      <w:tblPr>
        <w:tblStyle w:val="TableGrid"/>
        <w:tblW w:type="auto" w:w="0"/>
        <w:jc w:val="center"/>
        <w:tblLayout w:type="fixed"/>
        <w:tblLook w:firstColumn="1" w:firstRow="1" w:lastColumn="0" w:lastRow="0" w:noHBand="0" w:noVBand="1" w:val="04A0"/>
      </w:tblPr>
      <w:tblGrid>
        <w:gridCol w:w="10368"/>
      </w:tblGrid>
      <w:tr>
        <w:trPr>
          <w:tblHeader w:val="true"/>
          <w:cantSplit/>
        </w:trPr>
        <w:tc>
          <w:tcPr>
            <w:tcW w:type="dxa" w:w="9504"/>
            <w:shd w:fill="FFF4D6"/>
            <w:tcMar>
              <w:top w:w="60" w:type="dxa"/>
              <w:start w:w="70" w:type="dxa"/>
              <w:bottom w:w="60" w:type="dxa"/>
              <w:end w:w="70" w:type="dxa"/>
            </w:tcMar>
            <w:vAlign w:val="center"/>
          </w:tcPr>
          <w:p>
            <w:pPr>
              <w:spacing w:after="0"/>
            </w:pPr>
            <w:r>
              <w:rPr>
                <w:b/>
                <w:color w:val="17365D"/>
                <w:sz w:val="18"/>
              </w:rPr>
              <w:t>NO SEQUENTIAL ACCESS LOCKS</w:t>
            </w:r>
            <w:r>
              <w:rPr>
                <w:sz w:val="18"/>
              </w:rPr>
              <w:br/>
              <w:t>All approved learner-facing study materials should be available from the beginning of enrollment. You may study offline and in the order that best supports your preparation. The course may display a recommended order, but it does not require you to finish one resource before opening another.</w:t>
            </w:r>
          </w:p>
        </w:tc>
      </w:tr>
    </w:tbl>
    <w:p>
      <w:pPr>
        <w:pStyle w:val="Heading1"/>
      </w:pPr>
      <w:r>
        <w:t>2. Recommended Study Sequence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17365D"/>
            <w:tcMar>
              <w:top w:w="60" w:type="dxa"/>
              <w:start w:w="70" w:type="dxa"/>
              <w:bottom w:w="60" w:type="dxa"/>
              <w:end w:w="70" w:type="dxa"/>
            </w:tcMar>
            <w:vAlign w:val="center"/>
          </w:tcPr>
          <w:p>
            <w:pPr>
              <w:spacing w:after="0"/>
            </w:pPr>
            <w:r>
              <w:rPr>
                <w:sz w:val="16"/>
              </w:rPr>
            </w:r>
            <w:r>
              <w:rPr>
                <w:b/>
                <w:color w:val="FFFFFF"/>
                <w:sz w:val="16"/>
              </w:rPr>
              <w:t>Unit</w:t>
            </w:r>
          </w:p>
        </w:tc>
        <w:tc>
          <w:tcPr>
            <w:tcW w:type="dxa" w:w="3456"/>
            <w:shd w:fill="17365D"/>
            <w:tcMar>
              <w:top w:w="60" w:type="dxa"/>
              <w:start w:w="70" w:type="dxa"/>
              <w:bottom w:w="60" w:type="dxa"/>
              <w:end w:w="70" w:type="dxa"/>
            </w:tcMar>
            <w:vAlign w:val="center"/>
          </w:tcPr>
          <w:p>
            <w:pPr>
              <w:spacing w:after="0"/>
            </w:pPr>
            <w:r>
              <w:rPr>
                <w:sz w:val="16"/>
              </w:rPr>
            </w:r>
            <w:r>
              <w:rPr>
                <w:b/>
                <w:color w:val="FFFFFF"/>
                <w:sz w:val="16"/>
              </w:rPr>
              <w:t>Learner area</w:t>
            </w:r>
          </w:p>
        </w:tc>
        <w:tc>
          <w:tcPr>
            <w:tcW w:type="dxa" w:w="3456"/>
            <w:shd w:fill="17365D"/>
            <w:tcMar>
              <w:top w:w="60" w:type="dxa"/>
              <w:start w:w="70" w:type="dxa"/>
              <w:bottom w:w="60" w:type="dxa"/>
              <w:end w:w="70" w:type="dxa"/>
            </w:tcMar>
            <w:vAlign w:val="center"/>
          </w:tcPr>
          <w:p>
            <w:pPr>
              <w:spacing w:after="0"/>
            </w:pPr>
            <w:r>
              <w:rPr>
                <w:sz w:val="16"/>
              </w:rPr>
            </w:r>
            <w:r>
              <w:rPr>
                <w:b/>
                <w:color w:val="FFFFFF"/>
                <w:sz w:val="16"/>
              </w:rPr>
              <w:t>Recommended use</w:t>
            </w:r>
          </w:p>
        </w:tc>
      </w:tr>
      <w:tr>
        <w:trPr>
          <w:cantSplit/>
        </w:trPr>
        <w:tc>
          <w:tcPr>
            <w:tcW w:type="dxa" w:w="3456"/>
            <w:vAlign w:val="center"/>
            <w:tcMar>
              <w:top w:w="60" w:type="dxa"/>
              <w:start w:w="70" w:type="dxa"/>
              <w:bottom w:w="60" w:type="dxa"/>
              <w:end w:w="70" w:type="dxa"/>
            </w:tcMar>
          </w:tcPr>
          <w:p>
            <w:pPr>
              <w:spacing w:after="0"/>
            </w:pPr>
            <w:r>
              <w:rPr>
                <w:sz w:val="16"/>
              </w:rPr>
              <w:t>00</w:t>
            </w:r>
          </w:p>
        </w:tc>
        <w:tc>
          <w:tcPr>
            <w:tcW w:type="dxa" w:w="3456"/>
            <w:vAlign w:val="center"/>
            <w:tcMar>
              <w:top w:w="60" w:type="dxa"/>
              <w:start w:w="70" w:type="dxa"/>
              <w:bottom w:w="60" w:type="dxa"/>
              <w:end w:w="70" w:type="dxa"/>
            </w:tcMar>
          </w:tcPr>
          <w:p>
            <w:pPr>
              <w:spacing w:after="0"/>
            </w:pPr>
            <w:r>
              <w:rPr>
                <w:sz w:val="16"/>
              </w:rPr>
              <w:t>Start Here</w:t>
            </w:r>
          </w:p>
        </w:tc>
        <w:tc>
          <w:tcPr>
            <w:tcW w:type="dxa" w:w="3456"/>
            <w:vAlign w:val="center"/>
            <w:tcMar>
              <w:top w:w="60" w:type="dxa"/>
              <w:start w:w="70" w:type="dxa"/>
              <w:bottom w:w="60" w:type="dxa"/>
              <w:end w:w="70" w:type="dxa"/>
            </w:tcMar>
          </w:tcPr>
          <w:p>
            <w:pPr>
              <w:spacing w:after="0"/>
            </w:pPr>
            <w:r>
              <w:rPr>
                <w:sz w:val="16"/>
              </w:rPr>
              <w:t>Read program boundaries, access rules, source-currentness notice, and study instructions.</w:t>
            </w:r>
          </w:p>
        </w:tc>
      </w:tr>
      <w:tr>
        <w:trPr>
          <w:cantSplit/>
        </w:trPr>
        <w:tc>
          <w:tcPr>
            <w:tcW w:type="dxa" w:w="3456"/>
            <w:vAlign w:val="center"/>
            <w:tcMar>
              <w:top w:w="60" w:type="dxa"/>
              <w:start w:w="70" w:type="dxa"/>
              <w:bottom w:w="60" w:type="dxa"/>
              <w:end w:w="70" w:type="dxa"/>
            </w:tcMar>
            <w:shd w:fill="F2F4F7"/>
          </w:tcPr>
          <w:p>
            <w:pPr>
              <w:spacing w:after="0"/>
            </w:pPr>
            <w:r>
              <w:rPr>
                <w:sz w:val="16"/>
              </w:rPr>
              <w:t>01</w:t>
            </w:r>
          </w:p>
        </w:tc>
        <w:tc>
          <w:tcPr>
            <w:tcW w:type="dxa" w:w="3456"/>
            <w:vAlign w:val="center"/>
            <w:tcMar>
              <w:top w:w="60" w:type="dxa"/>
              <w:start w:w="70" w:type="dxa"/>
              <w:bottom w:w="60" w:type="dxa"/>
              <w:end w:w="70" w:type="dxa"/>
            </w:tcMar>
            <w:shd w:fill="F2F4F7"/>
          </w:tcPr>
          <w:p>
            <w:pPr>
              <w:spacing w:after="0"/>
            </w:pPr>
            <w:r>
              <w:rPr>
                <w:sz w:val="16"/>
              </w:rPr>
              <w:t>LCSW/ASW License-Specific Module</w:t>
            </w:r>
          </w:p>
        </w:tc>
        <w:tc>
          <w:tcPr>
            <w:tcW w:type="dxa" w:w="3456"/>
            <w:vAlign w:val="center"/>
            <w:tcMar>
              <w:top w:w="60" w:type="dxa"/>
              <w:start w:w="70" w:type="dxa"/>
              <w:bottom w:w="60" w:type="dxa"/>
              <w:end w:w="70" w:type="dxa"/>
            </w:tcMar>
            <w:shd w:fill="F2F4F7"/>
          </w:tcPr>
          <w:p>
            <w:pPr>
              <w:spacing w:after="0"/>
            </w:pPr>
            <w:r>
              <w:rPr>
                <w:sz w:val="16"/>
              </w:rPr>
              <w:t>Build the profession-specific foundation: LCSW scope, ASW status, advertising, supervision, professional conduct, social-work ethics, and examination distinctions.</w:t>
            </w:r>
          </w:p>
        </w:tc>
      </w:tr>
      <w:tr>
        <w:trPr>
          <w:cantSplit/>
        </w:trPr>
        <w:tc>
          <w:tcPr>
            <w:tcW w:type="dxa" w:w="3456"/>
            <w:vAlign w:val="center"/>
            <w:tcMar>
              <w:top w:w="60" w:type="dxa"/>
              <w:start w:w="70" w:type="dxa"/>
              <w:bottom w:w="60" w:type="dxa"/>
              <w:end w:w="70" w:type="dxa"/>
            </w:tcMar>
          </w:tcPr>
          <w:p>
            <w:pPr>
              <w:spacing w:after="0"/>
            </w:pPr>
            <w:r>
              <w:rPr>
                <w:sz w:val="16"/>
              </w:rPr>
              <w:t>02</w:t>
            </w:r>
          </w:p>
        </w:tc>
        <w:tc>
          <w:tcPr>
            <w:tcW w:type="dxa" w:w="3456"/>
            <w:vAlign w:val="center"/>
            <w:tcMar>
              <w:top w:w="60" w:type="dxa"/>
              <w:start w:w="70" w:type="dxa"/>
              <w:bottom w:w="60" w:type="dxa"/>
              <w:end w:w="70" w:type="dxa"/>
            </w:tcMar>
          </w:tcPr>
          <w:p>
            <w:pPr>
              <w:spacing w:after="0"/>
            </w:pPr>
            <w:r>
              <w:rPr>
                <w:sz w:val="16"/>
              </w:rPr>
              <w:t>Workbook 1 - Informed Consent, Minors, and Family Involvement</w:t>
            </w:r>
          </w:p>
        </w:tc>
        <w:tc>
          <w:tcPr>
            <w:tcW w:type="dxa" w:w="3456"/>
            <w:vAlign w:val="center"/>
            <w:tcMar>
              <w:top w:w="60" w:type="dxa"/>
              <w:start w:w="70" w:type="dxa"/>
              <w:bottom w:w="60" w:type="dxa"/>
              <w:end w:w="70" w:type="dxa"/>
            </w:tcMar>
          </w:tcPr>
          <w:p>
            <w:pPr>
              <w:spacing w:after="0"/>
            </w:pPr>
            <w:r>
              <w:rPr>
                <w:sz w:val="16"/>
              </w:rPr>
              <w:t>Consent, client identity, fees, policies, minors, families, groups, and required disclosures.</w:t>
            </w:r>
          </w:p>
        </w:tc>
      </w:tr>
      <w:tr>
        <w:trPr>
          <w:cantSplit/>
        </w:trPr>
        <w:tc>
          <w:tcPr>
            <w:tcW w:type="dxa" w:w="3456"/>
            <w:vAlign w:val="center"/>
            <w:tcMar>
              <w:top w:w="60" w:type="dxa"/>
              <w:start w:w="70" w:type="dxa"/>
              <w:bottom w:w="60" w:type="dxa"/>
              <w:end w:w="70" w:type="dxa"/>
            </w:tcMar>
            <w:shd w:fill="F2F4F7"/>
          </w:tcPr>
          <w:p>
            <w:pPr>
              <w:spacing w:after="0"/>
            </w:pPr>
            <w:r>
              <w:rPr>
                <w:sz w:val="16"/>
              </w:rPr>
              <w:t>03</w:t>
            </w:r>
          </w:p>
        </w:tc>
        <w:tc>
          <w:tcPr>
            <w:tcW w:type="dxa" w:w="3456"/>
            <w:vAlign w:val="center"/>
            <w:tcMar>
              <w:top w:w="60" w:type="dxa"/>
              <w:start w:w="70" w:type="dxa"/>
              <w:bottom w:w="60" w:type="dxa"/>
              <w:end w:w="70" w:type="dxa"/>
            </w:tcMar>
            <w:shd w:fill="F2F4F7"/>
          </w:tcPr>
          <w:p>
            <w:pPr>
              <w:spacing w:after="0"/>
            </w:pPr>
            <w:r>
              <w:rPr>
                <w:sz w:val="16"/>
              </w:rPr>
              <w:t>Workbook 2 - Telehealth Law and Ethics</w:t>
            </w:r>
          </w:p>
        </w:tc>
        <w:tc>
          <w:tcPr>
            <w:tcW w:type="dxa" w:w="3456"/>
            <w:vAlign w:val="center"/>
            <w:tcMar>
              <w:top w:w="60" w:type="dxa"/>
              <w:start w:w="70" w:type="dxa"/>
              <w:bottom w:w="60" w:type="dxa"/>
              <w:end w:w="70" w:type="dxa"/>
            </w:tcMar>
            <w:shd w:fill="F2F4F7"/>
          </w:tcPr>
          <w:p>
            <w:pPr>
              <w:spacing w:after="0"/>
            </w:pPr>
            <w:r>
              <w:rPr>
                <w:sz w:val="16"/>
              </w:rPr>
              <w:t>Consent, identity/location, jurisdiction, privacy/security, crisis planning, technology, and digital professionalism.</w:t>
            </w:r>
          </w:p>
        </w:tc>
      </w:tr>
      <w:tr>
        <w:trPr>
          <w:cantSplit/>
        </w:trPr>
        <w:tc>
          <w:tcPr>
            <w:tcW w:type="dxa" w:w="3456"/>
            <w:vAlign w:val="center"/>
            <w:tcMar>
              <w:top w:w="60" w:type="dxa"/>
              <w:start w:w="70" w:type="dxa"/>
              <w:bottom w:w="60" w:type="dxa"/>
              <w:end w:w="70" w:type="dxa"/>
            </w:tcMar>
          </w:tcPr>
          <w:p>
            <w:pPr>
              <w:spacing w:after="0"/>
            </w:pPr>
            <w:r>
              <w:rPr>
                <w:sz w:val="16"/>
              </w:rPr>
              <w:t>04</w:t>
            </w:r>
          </w:p>
        </w:tc>
        <w:tc>
          <w:tcPr>
            <w:tcW w:type="dxa" w:w="3456"/>
            <w:vAlign w:val="center"/>
            <w:tcMar>
              <w:top w:w="60" w:type="dxa"/>
              <w:start w:w="70" w:type="dxa"/>
              <w:bottom w:w="60" w:type="dxa"/>
              <w:end w:w="70" w:type="dxa"/>
            </w:tcMar>
          </w:tcPr>
          <w:p>
            <w:pPr>
              <w:spacing w:after="0"/>
            </w:pPr>
            <w:r>
              <w:rPr>
                <w:sz w:val="16"/>
              </w:rPr>
              <w:t>Workbook 3 - Professional Competence</w:t>
            </w:r>
          </w:p>
        </w:tc>
        <w:tc>
          <w:tcPr>
            <w:tcW w:type="dxa" w:w="3456"/>
            <w:vAlign w:val="center"/>
            <w:tcMar>
              <w:top w:w="60" w:type="dxa"/>
              <w:start w:w="70" w:type="dxa"/>
              <w:bottom w:w="60" w:type="dxa"/>
              <w:end w:w="70" w:type="dxa"/>
            </w:tcMar>
          </w:tcPr>
          <w:p>
            <w:pPr>
              <w:spacing w:after="0"/>
            </w:pPr>
            <w:r>
              <w:rPr>
                <w:sz w:val="16"/>
              </w:rPr>
              <w:t>Scope, competence, consultation, supervision, accountability, professional roles, and role clarification.</w:t>
            </w:r>
          </w:p>
        </w:tc>
      </w:tr>
      <w:tr>
        <w:trPr>
          <w:cantSplit/>
        </w:trPr>
        <w:tc>
          <w:tcPr>
            <w:tcW w:type="dxa" w:w="3456"/>
            <w:vAlign w:val="center"/>
            <w:tcMar>
              <w:top w:w="60" w:type="dxa"/>
              <w:start w:w="70" w:type="dxa"/>
              <w:bottom w:w="60" w:type="dxa"/>
              <w:end w:w="70" w:type="dxa"/>
            </w:tcMar>
            <w:shd w:fill="F2F4F7"/>
          </w:tcPr>
          <w:p>
            <w:pPr>
              <w:spacing w:after="0"/>
            </w:pPr>
            <w:r>
              <w:rPr>
                <w:sz w:val="16"/>
              </w:rPr>
              <w:t>05</w:t>
            </w:r>
          </w:p>
        </w:tc>
        <w:tc>
          <w:tcPr>
            <w:tcW w:type="dxa" w:w="3456"/>
            <w:vAlign w:val="center"/>
            <w:tcMar>
              <w:top w:w="60" w:type="dxa"/>
              <w:start w:w="70" w:type="dxa"/>
              <w:bottom w:w="60" w:type="dxa"/>
              <w:end w:w="70" w:type="dxa"/>
            </w:tcMar>
            <w:shd w:fill="F2F4F7"/>
          </w:tcPr>
          <w:p>
            <w:pPr>
              <w:spacing w:after="0"/>
            </w:pPr>
            <w:r>
              <w:rPr>
                <w:sz w:val="16"/>
              </w:rPr>
              <w:t>Workbook 4 - Professional Impairment</w:t>
            </w:r>
          </w:p>
        </w:tc>
        <w:tc>
          <w:tcPr>
            <w:tcW w:type="dxa" w:w="3456"/>
            <w:vAlign w:val="center"/>
            <w:tcMar>
              <w:top w:w="60" w:type="dxa"/>
              <w:start w:w="70" w:type="dxa"/>
              <w:bottom w:w="60" w:type="dxa"/>
              <w:end w:w="70" w:type="dxa"/>
            </w:tcMar>
            <w:shd w:fill="F2F4F7"/>
          </w:tcPr>
          <w:p>
            <w:pPr>
              <w:spacing w:after="0"/>
            </w:pPr>
            <w:r>
              <w:rPr>
                <w:sz w:val="16"/>
              </w:rPr>
              <w:t>Self-monitoring, colleague impairment, consultation, coverage, remediation, and client protection.</w:t>
            </w:r>
          </w:p>
        </w:tc>
      </w:tr>
      <w:tr>
        <w:trPr>
          <w:cantSplit/>
        </w:trPr>
        <w:tc>
          <w:tcPr>
            <w:tcW w:type="dxa" w:w="3456"/>
            <w:vAlign w:val="center"/>
            <w:tcMar>
              <w:top w:w="60" w:type="dxa"/>
              <w:start w:w="70" w:type="dxa"/>
              <w:bottom w:w="60" w:type="dxa"/>
              <w:end w:w="70" w:type="dxa"/>
            </w:tcMar>
          </w:tcPr>
          <w:p>
            <w:pPr>
              <w:spacing w:after="0"/>
            </w:pPr>
            <w:r>
              <w:rPr>
                <w:sz w:val="16"/>
              </w:rPr>
              <w:t>06</w:t>
            </w:r>
          </w:p>
        </w:tc>
        <w:tc>
          <w:tcPr>
            <w:tcW w:type="dxa" w:w="3456"/>
            <w:vAlign w:val="center"/>
            <w:tcMar>
              <w:top w:w="60" w:type="dxa"/>
              <w:start w:w="70" w:type="dxa"/>
              <w:bottom w:w="60" w:type="dxa"/>
              <w:end w:w="70" w:type="dxa"/>
            </w:tcMar>
          </w:tcPr>
          <w:p>
            <w:pPr>
              <w:spacing w:after="0"/>
            </w:pPr>
            <w:r>
              <w:rPr>
                <w:sz w:val="16"/>
              </w:rPr>
              <w:t>Workbook 5 - Preventing Harm and Promoting Client Welfare</w:t>
            </w:r>
          </w:p>
        </w:tc>
        <w:tc>
          <w:tcPr>
            <w:tcW w:type="dxa" w:w="3456"/>
            <w:vAlign w:val="center"/>
            <w:tcMar>
              <w:top w:w="60" w:type="dxa"/>
              <w:start w:w="70" w:type="dxa"/>
              <w:bottom w:w="60" w:type="dxa"/>
              <w:end w:w="70" w:type="dxa"/>
            </w:tcMar>
          </w:tcPr>
          <w:p>
            <w:pPr>
              <w:spacing w:after="0"/>
            </w:pPr>
            <w:r>
              <w:rPr>
                <w:sz w:val="16"/>
              </w:rPr>
              <w:t>Mandated duties, safety, crisis response, nonmaleficence, beneficence, and documentation.</w:t>
            </w:r>
          </w:p>
        </w:tc>
      </w:tr>
      <w:tr>
        <w:trPr>
          <w:cantSplit/>
        </w:trPr>
        <w:tc>
          <w:tcPr>
            <w:tcW w:type="dxa" w:w="3456"/>
            <w:vAlign w:val="center"/>
            <w:tcMar>
              <w:top w:w="60" w:type="dxa"/>
              <w:start w:w="70" w:type="dxa"/>
              <w:bottom w:w="60" w:type="dxa"/>
              <w:end w:w="70" w:type="dxa"/>
            </w:tcMar>
            <w:shd w:fill="F2F4F7"/>
          </w:tcPr>
          <w:p>
            <w:pPr>
              <w:spacing w:after="0"/>
            </w:pPr>
            <w:r>
              <w:rPr>
                <w:sz w:val="16"/>
              </w:rPr>
              <w:t>07</w:t>
            </w:r>
          </w:p>
        </w:tc>
        <w:tc>
          <w:tcPr>
            <w:tcW w:type="dxa" w:w="3456"/>
            <w:vAlign w:val="center"/>
            <w:tcMar>
              <w:top w:w="60" w:type="dxa"/>
              <w:start w:w="70" w:type="dxa"/>
              <w:bottom w:w="60" w:type="dxa"/>
              <w:end w:w="70" w:type="dxa"/>
            </w:tcMar>
            <w:shd w:fill="F2F4F7"/>
          </w:tcPr>
          <w:p>
            <w:pPr>
              <w:spacing w:after="0"/>
            </w:pPr>
            <w:r>
              <w:rPr>
                <w:sz w:val="16"/>
              </w:rPr>
              <w:t>Workbook 6 - Professional Boundaries</w:t>
            </w:r>
          </w:p>
        </w:tc>
        <w:tc>
          <w:tcPr>
            <w:tcW w:type="dxa" w:w="3456"/>
            <w:vAlign w:val="center"/>
            <w:tcMar>
              <w:top w:w="60" w:type="dxa"/>
              <w:start w:w="70" w:type="dxa"/>
              <w:bottom w:w="60" w:type="dxa"/>
              <w:end w:w="70" w:type="dxa"/>
            </w:tcMar>
            <w:shd w:fill="F2F4F7"/>
          </w:tcPr>
          <w:p>
            <w:pPr>
              <w:spacing w:after="0"/>
            </w:pPr>
            <w:r>
              <w:rPr>
                <w:sz w:val="16"/>
              </w:rPr>
              <w:t>Multiple relationships, conflicts, gifts, fees, exploitation, sexual misconduct, and boundary repair.</w:t>
            </w:r>
          </w:p>
        </w:tc>
      </w:tr>
      <w:tr>
        <w:trPr>
          <w:cantSplit/>
        </w:trPr>
        <w:tc>
          <w:tcPr>
            <w:tcW w:type="dxa" w:w="3456"/>
            <w:vAlign w:val="center"/>
            <w:tcMar>
              <w:top w:w="60" w:type="dxa"/>
              <w:start w:w="70" w:type="dxa"/>
              <w:bottom w:w="60" w:type="dxa"/>
              <w:end w:w="70" w:type="dxa"/>
            </w:tcMar>
          </w:tcPr>
          <w:p>
            <w:pPr>
              <w:spacing w:after="0"/>
            </w:pPr>
            <w:r>
              <w:rPr>
                <w:sz w:val="16"/>
              </w:rPr>
              <w:t>08</w:t>
            </w:r>
          </w:p>
        </w:tc>
        <w:tc>
          <w:tcPr>
            <w:tcW w:type="dxa" w:w="3456"/>
            <w:vAlign w:val="center"/>
            <w:tcMar>
              <w:top w:w="60" w:type="dxa"/>
              <w:start w:w="70" w:type="dxa"/>
              <w:bottom w:w="60" w:type="dxa"/>
              <w:end w:w="70" w:type="dxa"/>
            </w:tcMar>
          </w:tcPr>
          <w:p>
            <w:pPr>
              <w:spacing w:after="0"/>
            </w:pPr>
            <w:r>
              <w:rPr>
                <w:sz w:val="16"/>
              </w:rPr>
              <w:t>Workbook 7 - Cultural Humility and Diverse Populations</w:t>
            </w:r>
          </w:p>
        </w:tc>
        <w:tc>
          <w:tcPr>
            <w:tcW w:type="dxa" w:w="3456"/>
            <w:vAlign w:val="center"/>
            <w:tcMar>
              <w:top w:w="60" w:type="dxa"/>
              <w:start w:w="70" w:type="dxa"/>
              <w:bottom w:w="60" w:type="dxa"/>
              <w:end w:w="70" w:type="dxa"/>
            </w:tcMar>
          </w:tcPr>
          <w:p>
            <w:pPr>
              <w:spacing w:after="0"/>
            </w:pPr>
            <w:r>
              <w:rPr>
                <w:sz w:val="16"/>
              </w:rPr>
              <w:t>Dignity, self-determination, intersectionality, language and disability access, advocacy, and organizational barriers.</w:t>
            </w:r>
          </w:p>
        </w:tc>
      </w:tr>
      <w:tr>
        <w:trPr>
          <w:cantSplit/>
        </w:trPr>
        <w:tc>
          <w:tcPr>
            <w:tcW w:type="dxa" w:w="3456"/>
            <w:vAlign w:val="center"/>
            <w:tcMar>
              <w:top w:w="60" w:type="dxa"/>
              <w:start w:w="70" w:type="dxa"/>
              <w:bottom w:w="60" w:type="dxa"/>
              <w:end w:w="70" w:type="dxa"/>
            </w:tcMar>
            <w:shd w:fill="F2F4F7"/>
          </w:tcPr>
          <w:p>
            <w:pPr>
              <w:spacing w:after="0"/>
            </w:pPr>
            <w:r>
              <w:rPr>
                <w:sz w:val="16"/>
              </w:rPr>
              <w:t>09</w:t>
            </w:r>
          </w:p>
        </w:tc>
        <w:tc>
          <w:tcPr>
            <w:tcW w:type="dxa" w:w="3456"/>
            <w:vAlign w:val="center"/>
            <w:tcMar>
              <w:top w:w="60" w:type="dxa"/>
              <w:start w:w="70" w:type="dxa"/>
              <w:bottom w:w="60" w:type="dxa"/>
              <w:end w:w="70" w:type="dxa"/>
            </w:tcMar>
            <w:shd w:fill="F2F4F7"/>
          </w:tcPr>
          <w:p>
            <w:pPr>
              <w:spacing w:after="0"/>
            </w:pPr>
            <w:r>
              <w:rPr>
                <w:sz w:val="16"/>
              </w:rPr>
              <w:t>Workbook 8 - Confidentiality and Information Sharing</w:t>
            </w:r>
          </w:p>
        </w:tc>
        <w:tc>
          <w:tcPr>
            <w:tcW w:type="dxa" w:w="3456"/>
            <w:vAlign w:val="center"/>
            <w:tcMar>
              <w:top w:w="60" w:type="dxa"/>
              <w:start w:w="70" w:type="dxa"/>
              <w:bottom w:w="60" w:type="dxa"/>
              <w:end w:w="70" w:type="dxa"/>
            </w:tcMar>
            <w:shd w:fill="F2F4F7"/>
          </w:tcPr>
          <w:p>
            <w:pPr>
              <w:spacing w:after="0"/>
            </w:pPr>
            <w:r>
              <w:rPr>
                <w:sz w:val="16"/>
              </w:rPr>
              <w:t>Confidentiality, privilege, authorization, subpoenas, court requests, privacy, and multi-person services.</w:t>
            </w:r>
          </w:p>
        </w:tc>
      </w:tr>
      <w:tr>
        <w:trPr>
          <w:cantSplit/>
        </w:trPr>
        <w:tc>
          <w:tcPr>
            <w:tcW w:type="dxa" w:w="3456"/>
            <w:vAlign w:val="center"/>
            <w:tcMar>
              <w:top w:w="60" w:type="dxa"/>
              <w:start w:w="70" w:type="dxa"/>
              <w:bottom w:w="60" w:type="dxa"/>
              <w:end w:w="70" w:type="dxa"/>
            </w:tcMar>
          </w:tcPr>
          <w:p>
            <w:pPr>
              <w:spacing w:after="0"/>
            </w:pPr>
            <w:r>
              <w:rPr>
                <w:sz w:val="16"/>
              </w:rPr>
              <w:t>10</w:t>
            </w:r>
          </w:p>
        </w:tc>
        <w:tc>
          <w:tcPr>
            <w:tcW w:type="dxa" w:w="3456"/>
            <w:vAlign w:val="center"/>
            <w:tcMar>
              <w:top w:w="60" w:type="dxa"/>
              <w:start w:w="70" w:type="dxa"/>
              <w:bottom w:w="60" w:type="dxa"/>
              <w:end w:w="70" w:type="dxa"/>
            </w:tcMar>
          </w:tcPr>
          <w:p>
            <w:pPr>
              <w:spacing w:after="0"/>
            </w:pPr>
            <w:r>
              <w:rPr>
                <w:sz w:val="16"/>
              </w:rPr>
              <w:t>Workbook 9 - Documentation and Records</w:t>
            </w:r>
          </w:p>
        </w:tc>
        <w:tc>
          <w:tcPr>
            <w:tcW w:type="dxa" w:w="3456"/>
            <w:vAlign w:val="center"/>
            <w:tcMar>
              <w:top w:w="60" w:type="dxa"/>
              <w:start w:w="70" w:type="dxa"/>
              <w:bottom w:w="60" w:type="dxa"/>
              <w:end w:w="70" w:type="dxa"/>
            </w:tcMar>
          </w:tcPr>
          <w:p>
            <w:pPr>
              <w:spacing w:after="0"/>
            </w:pPr>
            <w:r>
              <w:rPr>
                <w:sz w:val="16"/>
              </w:rPr>
              <w:t>Record creation, access, amendment, retention, security, technology, and continuity.</w:t>
            </w:r>
          </w:p>
        </w:tc>
      </w:tr>
      <w:tr>
        <w:trPr>
          <w:cantSplit/>
        </w:trPr>
        <w:tc>
          <w:tcPr>
            <w:tcW w:type="dxa" w:w="3456"/>
            <w:vAlign w:val="center"/>
            <w:tcMar>
              <w:top w:w="60" w:type="dxa"/>
              <w:start w:w="70" w:type="dxa"/>
              <w:bottom w:w="60" w:type="dxa"/>
              <w:end w:w="70" w:type="dxa"/>
            </w:tcMar>
            <w:shd w:fill="F2F4F7"/>
          </w:tcPr>
          <w:p>
            <w:pPr>
              <w:spacing w:after="0"/>
            </w:pPr>
            <w:r>
              <w:rPr>
                <w:sz w:val="16"/>
              </w:rPr>
              <w:t>11</w:t>
            </w:r>
          </w:p>
        </w:tc>
        <w:tc>
          <w:tcPr>
            <w:tcW w:type="dxa" w:w="3456"/>
            <w:vAlign w:val="center"/>
            <w:tcMar>
              <w:top w:w="60" w:type="dxa"/>
              <w:start w:w="70" w:type="dxa"/>
              <w:bottom w:w="60" w:type="dxa"/>
              <w:end w:w="70" w:type="dxa"/>
            </w:tcMar>
            <w:shd w:fill="F2F4F7"/>
          </w:tcPr>
          <w:p>
            <w:pPr>
              <w:spacing w:after="0"/>
            </w:pPr>
            <w:r>
              <w:rPr>
                <w:sz w:val="16"/>
              </w:rPr>
              <w:t>Practice Examination A</w:t>
            </w:r>
          </w:p>
        </w:tc>
        <w:tc>
          <w:tcPr>
            <w:tcW w:type="dxa" w:w="3456"/>
            <w:vAlign w:val="center"/>
            <w:tcMar>
              <w:top w:w="60" w:type="dxa"/>
              <w:start w:w="70" w:type="dxa"/>
              <w:bottom w:w="60" w:type="dxa"/>
              <w:end w:w="70" w:type="dxa"/>
            </w:tcMar>
            <w:shd w:fill="F2F4F7"/>
          </w:tcPr>
          <w:p>
            <w:pPr>
              <w:spacing w:after="0"/>
            </w:pPr>
            <w:r>
              <w:rPr>
                <w:sz w:val="16"/>
              </w:rPr>
              <w:t>Complete the 50-question diagnostic form, then use detailed rationales and the performance workbook.</w:t>
            </w:r>
          </w:p>
        </w:tc>
      </w:tr>
      <w:tr>
        <w:trPr>
          <w:cantSplit/>
        </w:trPr>
        <w:tc>
          <w:tcPr>
            <w:tcW w:type="dxa" w:w="3456"/>
            <w:vAlign w:val="center"/>
            <w:tcMar>
              <w:top w:w="60" w:type="dxa"/>
              <w:start w:w="70" w:type="dxa"/>
              <w:bottom w:w="60" w:type="dxa"/>
              <w:end w:w="70" w:type="dxa"/>
            </w:tcMar>
          </w:tcPr>
          <w:p>
            <w:pPr>
              <w:spacing w:after="0"/>
            </w:pPr>
            <w:r>
              <w:rPr>
                <w:sz w:val="16"/>
              </w:rPr>
              <w:t>12</w:t>
            </w:r>
          </w:p>
        </w:tc>
        <w:tc>
          <w:tcPr>
            <w:tcW w:type="dxa" w:w="3456"/>
            <w:vAlign w:val="center"/>
            <w:tcMar>
              <w:top w:w="60" w:type="dxa"/>
              <w:start w:w="70" w:type="dxa"/>
              <w:bottom w:w="60" w:type="dxa"/>
              <w:end w:w="70" w:type="dxa"/>
            </w:tcMar>
          </w:tcPr>
          <w:p>
            <w:pPr>
              <w:spacing w:after="0"/>
            </w:pPr>
            <w:r>
              <w:rPr>
                <w:sz w:val="16"/>
              </w:rPr>
              <w:t>Practice Examination B</w:t>
            </w:r>
          </w:p>
        </w:tc>
        <w:tc>
          <w:tcPr>
            <w:tcW w:type="dxa" w:w="3456"/>
            <w:vAlign w:val="center"/>
            <w:tcMar>
              <w:top w:w="60" w:type="dxa"/>
              <w:start w:w="70" w:type="dxa"/>
              <w:bottom w:w="60" w:type="dxa"/>
              <w:end w:w="70" w:type="dxa"/>
            </w:tcMar>
          </w:tcPr>
          <w:p>
            <w:pPr>
              <w:spacing w:after="0"/>
            </w:pPr>
            <w:r>
              <w:rPr>
                <w:sz w:val="16"/>
              </w:rPr>
              <w:t>Use the distinct transfer form after reviewing Practice A reasoning errors.</w:t>
            </w:r>
          </w:p>
        </w:tc>
      </w:tr>
      <w:tr>
        <w:trPr>
          <w:cantSplit/>
        </w:trPr>
        <w:tc>
          <w:tcPr>
            <w:tcW w:type="dxa" w:w="3456"/>
            <w:vAlign w:val="center"/>
            <w:tcMar>
              <w:top w:w="60" w:type="dxa"/>
              <w:start w:w="70" w:type="dxa"/>
              <w:bottom w:w="60" w:type="dxa"/>
              <w:end w:w="70" w:type="dxa"/>
            </w:tcMar>
            <w:shd w:fill="F2F4F7"/>
          </w:tcPr>
          <w:p>
            <w:pPr>
              <w:spacing w:after="0"/>
            </w:pPr>
            <w:r>
              <w:rPr>
                <w:sz w:val="16"/>
              </w:rPr>
              <w:t>13</w:t>
            </w:r>
          </w:p>
        </w:tc>
        <w:tc>
          <w:tcPr>
            <w:tcW w:type="dxa" w:w="3456"/>
            <w:vAlign w:val="center"/>
            <w:tcMar>
              <w:top w:w="60" w:type="dxa"/>
              <w:start w:w="70" w:type="dxa"/>
              <w:bottom w:w="60" w:type="dxa"/>
              <w:end w:w="70" w:type="dxa"/>
            </w:tcMar>
            <w:shd w:fill="F2F4F7"/>
          </w:tcPr>
          <w:p>
            <w:pPr>
              <w:spacing w:after="0"/>
            </w:pPr>
            <w:r>
              <w:rPr>
                <w:sz w:val="16"/>
              </w:rPr>
              <w:t>Comprehensive Final Examination</w:t>
            </w:r>
          </w:p>
        </w:tc>
        <w:tc>
          <w:tcPr>
            <w:tcW w:type="dxa" w:w="3456"/>
            <w:vAlign w:val="center"/>
            <w:tcMar>
              <w:top w:w="60" w:type="dxa"/>
              <w:start w:w="70" w:type="dxa"/>
              <w:bottom w:w="60" w:type="dxa"/>
              <w:end w:w="70" w:type="dxa"/>
            </w:tcMar>
            <w:shd w:fill="F2F4F7"/>
          </w:tcPr>
          <w:p>
            <w:pPr>
              <w:spacing w:after="0"/>
            </w:pPr>
            <w:r>
              <w:rPr>
                <w:sz w:val="16"/>
              </w:rPr>
              <w:t>Complete the 100-question cumulative readiness exercise and final remediation plan.</w:t>
            </w:r>
          </w:p>
        </w:tc>
      </w:tr>
      <w:tr>
        <w:trPr>
          <w:cantSplit/>
        </w:trPr>
        <w:tc>
          <w:tcPr>
            <w:tcW w:type="dxa" w:w="3456"/>
            <w:vAlign w:val="center"/>
            <w:tcMar>
              <w:top w:w="60" w:type="dxa"/>
              <w:start w:w="70" w:type="dxa"/>
              <w:bottom w:w="60" w:type="dxa"/>
              <w:end w:w="70" w:type="dxa"/>
            </w:tcMar>
          </w:tcPr>
          <w:p>
            <w:pPr>
              <w:spacing w:after="0"/>
            </w:pPr>
            <w:r>
              <w:rPr>
                <w:sz w:val="16"/>
              </w:rPr>
              <w:t>14</w:t>
            </w:r>
          </w:p>
        </w:tc>
        <w:tc>
          <w:tcPr>
            <w:tcW w:type="dxa" w:w="3456"/>
            <w:vAlign w:val="center"/>
            <w:tcMar>
              <w:top w:w="60" w:type="dxa"/>
              <w:start w:w="70" w:type="dxa"/>
              <w:bottom w:w="60" w:type="dxa"/>
              <w:end w:w="70" w:type="dxa"/>
            </w:tcMar>
          </w:tcPr>
          <w:p>
            <w:pPr>
              <w:spacing w:after="0"/>
            </w:pPr>
            <w:r>
              <w:rPr>
                <w:sz w:val="16"/>
              </w:rPr>
              <w:t>Study Center</w:t>
            </w:r>
          </w:p>
        </w:tc>
        <w:tc>
          <w:tcPr>
            <w:tcW w:type="dxa" w:w="3456"/>
            <w:vAlign w:val="center"/>
            <w:tcMar>
              <w:top w:w="60" w:type="dxa"/>
              <w:start w:w="70" w:type="dxa"/>
              <w:bottom w:w="60" w:type="dxa"/>
              <w:end w:w="70" w:type="dxa"/>
            </w:tcMar>
          </w:tcPr>
          <w:p>
            <w:pPr>
              <w:spacing w:after="0"/>
            </w:pPr>
            <w:r>
              <w:rPr>
                <w:sz w:val="16"/>
              </w:rPr>
              <w:t>Use flashcards, decision guides, numbers/timelines, exam traps, readiness checklists, and study-planning tools.</w:t>
            </w:r>
          </w:p>
        </w:tc>
      </w:tr>
      <w:tr>
        <w:trPr>
          <w:cantSplit/>
        </w:trPr>
        <w:tc>
          <w:tcPr>
            <w:tcW w:type="dxa" w:w="3456"/>
            <w:vAlign w:val="center"/>
            <w:tcMar>
              <w:top w:w="60" w:type="dxa"/>
              <w:start w:w="70" w:type="dxa"/>
              <w:bottom w:w="60" w:type="dxa"/>
              <w:end w:w="70" w:type="dxa"/>
            </w:tcMar>
            <w:shd w:fill="F2F4F7"/>
          </w:tcPr>
          <w:p>
            <w:pPr>
              <w:spacing w:after="0"/>
            </w:pPr>
            <w:r>
              <w:rPr>
                <w:sz w:val="16"/>
              </w:rPr>
              <w:t>15</w:t>
            </w:r>
          </w:p>
        </w:tc>
        <w:tc>
          <w:tcPr>
            <w:tcW w:type="dxa" w:w="3456"/>
            <w:vAlign w:val="center"/>
            <w:tcMar>
              <w:top w:w="60" w:type="dxa"/>
              <w:start w:w="70" w:type="dxa"/>
              <w:bottom w:w="60" w:type="dxa"/>
              <w:end w:w="70" w:type="dxa"/>
            </w:tcMar>
            <w:shd w:fill="F2F4F7"/>
          </w:tcPr>
          <w:p>
            <w:pPr>
              <w:spacing w:after="0"/>
            </w:pPr>
            <w:r>
              <w:rPr>
                <w:sz w:val="16"/>
              </w:rPr>
              <w:t>Program Close</w:t>
            </w:r>
          </w:p>
        </w:tc>
        <w:tc>
          <w:tcPr>
            <w:tcW w:type="dxa" w:w="3456"/>
            <w:vAlign w:val="center"/>
            <w:tcMar>
              <w:top w:w="60" w:type="dxa"/>
              <w:start w:w="70" w:type="dxa"/>
              <w:bottom w:w="60" w:type="dxa"/>
              <w:end w:w="70" w:type="dxa"/>
            </w:tcMar>
            <w:shd w:fill="F2F4F7"/>
          </w:tcPr>
          <w:p>
            <w:pPr>
              <w:spacing w:after="0"/>
            </w:pPr>
            <w:r>
              <w:rPr>
                <w:sz w:val="16"/>
              </w:rPr>
              <w:t>Create the final test-day plan, review current official candidate materials, and distinguish the later ASWB Clinical pathway.</w:t>
            </w:r>
          </w:p>
        </w:tc>
      </w:tr>
    </w:tbl>
    <w:p>
      <w:pPr>
        <w:pStyle w:val="Heading1"/>
      </w:pPr>
      <w:r>
        <w:t>3. Assessments and Scores</w:t>
      </w:r>
    </w:p>
    <w:p>
      <w:pPr>
        <w:pStyle w:val="ListBullet"/>
      </w:pPr>
      <w:r>
        <w:t>CTA assessments use original one-best-answer educational questions. They are not copied or recalled live examination questions.</w:t>
      </w:r>
    </w:p>
    <w:p>
      <w:pPr>
        <w:pStyle w:val="ListBullet"/>
      </w:pPr>
      <w:r>
        <w:t>Attempts are unlimited. You may repeat an assessment after remediation.</w:t>
      </w:r>
    </w:p>
    <w:p>
      <w:pPr>
        <w:pStyle w:val="ListBullet"/>
      </w:pPr>
      <w:r>
        <w:t>An 80% score may be used as a CTA study benchmark. It is not the official passing score and does not predict passage.</w:t>
      </w:r>
    </w:p>
    <w:p>
      <w:pPr>
        <w:pStyle w:val="ListBullet"/>
      </w:pPr>
      <w:r>
        <w:t>The official examination includes scored and unscored items and is administered under current BBS/Pearson rules. Use current official materials for scheduling, security, accommodations, and test-day procedures.</w:t>
      </w:r>
    </w:p>
    <w:p>
      <w:pPr>
        <w:pStyle w:val="ListBullet"/>
      </w:pPr>
      <w:r>
        <w:t>A score does not determine licensure or examination eligibility. Eligibility questions must be resolved with the BBS.</w:t>
      </w:r>
    </w:p>
    <w:p>
      <w:pPr>
        <w:pStyle w:val="Heading1"/>
      </w:pPr>
      <w:r>
        <w:t>4. Source and Update Notice</w:t>
      </w:r>
    </w:p>
    <w:p>
      <w:r>
        <w:t>CTA reviewed current California Board of Behavioral Sciences laws, regulations, applicant and examination guidance, 2026 advertising requirements, law-change materials, and current NASW ethical standards during the August 2026 build. High-change topics—including telehealth, advertising, supervision, records, privacy, examination administration, and federal nondiscrimination/access overlays—must be checked again close to your examination date.</w:t>
      </w:r>
    </w:p>
    <w:p>
      <w:pPr>
        <w:pStyle w:val="Heading1"/>
      </w:pPr>
      <w:r>
        <w:t>5. Personal Use and Academic Integrity</w:t>
      </w:r>
    </w:p>
    <w:p>
      <w:pPr>
        <w:pStyle w:val="ListBullet"/>
      </w:pPr>
      <w:r>
        <w:t>Downloads are for the enrolled learner’s personal study use during the access term.</w:t>
      </w:r>
    </w:p>
    <w:p>
      <w:pPr>
        <w:pStyle w:val="ListBullet"/>
      </w:pPr>
      <w:r>
        <w:t>Do not post, sell, share, upload, or distribute candidate questions, answer keys, rationales, flashcards, toolkits, or course files.</w:t>
      </w:r>
    </w:p>
    <w:p>
      <w:pPr>
        <w:pStyle w:val="ListBullet"/>
      </w:pPr>
      <w:r>
        <w:t>Do not reproduce live, recalled, or third-party proprietary examination questions inside CTA materials or learner discussions.</w:t>
      </w:r>
    </w:p>
    <w:p>
      <w:pPr>
        <w:pStyle w:val="ListBullet"/>
      </w:pPr>
      <w:r>
        <w:t>Report suspected errors or outdated information to CTA so the controlling source and all dependent files can be reviewed together.</w:t>
      </w:r>
    </w:p>
    <w:p>
      <w:pPr>
        <w:pStyle w:val="Heading1"/>
      </w:pPr>
      <w:r>
        <w:t>6. Independence and Examination Distinction</w:t>
      </w:r>
    </w:p>
    <w:tbl>
      <w:tblPr>
        <w:tblStyle w:val="TableGrid"/>
        <w:tblW w:type="auto" w:w="0"/>
        <w:jc w:val="center"/>
        <w:tblLayout w:type="fixed"/>
        <w:tblLook w:firstColumn="1" w:firstRow="1" w:lastColumn="0" w:lastRow="0" w:noHBand="0" w:noVBand="1" w:val="04A0"/>
      </w:tblPr>
      <w:tblGrid>
        <w:gridCol w:w="10368"/>
      </w:tblGrid>
      <w:tr>
        <w:trPr>
          <w:tblHeader w:val="true"/>
          <w:cantSplit/>
        </w:trPr>
        <w:tc>
          <w:tcPr>
            <w:tcW w:type="dxa" w:w="9504"/>
            <w:shd w:fill="EAF1F8"/>
            <w:tcMar>
              <w:top w:w="60" w:type="dxa"/>
              <w:start w:w="70" w:type="dxa"/>
              <w:bottom w:w="60" w:type="dxa"/>
              <w:end w:w="70" w:type="dxa"/>
            </w:tcMar>
            <w:vAlign w:val="center"/>
          </w:tcPr>
          <w:p>
            <w:pPr>
              <w:spacing w:after="0"/>
            </w:pPr>
            <w:r>
              <w:rPr>
                <w:b/>
                <w:color w:val="17365D"/>
                <w:sz w:val="18"/>
              </w:rPr>
              <w:t>IMPORTANT</w:t>
            </w:r>
            <w:r>
              <w:rPr>
                <w:sz w:val="18"/>
              </w:rPr>
              <w:br/>
              <w:t>CTA is an independent educational provider and is not affiliated with or endorsed by the California Board of Behavioral Sciences, Pearson VUE, NASW, ASWB, or another licensing or examination organization. The California LCSW Law and Ethics Examination and the later ASWB Clinical Examination are separate examinations. This program prepares only for the California LCSW Law and Ethics Examination.</w:t>
            </w:r>
          </w:p>
        </w:tc>
      </w:tr>
    </w:tbl>
    <w:p>
      <w:pPr>
        <w:pStyle w:val="Heading1"/>
      </w:pPr>
      <w:r>
        <w:t>7. Support and Access</w:t>
      </w:r>
    </w:p>
    <w:p>
      <w:pPr>
        <w:pStyle w:val="ListBullet"/>
      </w:pPr>
      <w:r>
        <w:t>Keep a local personal-study copy of downloaded materials within the permitted use rules.</w:t>
      </w:r>
    </w:p>
    <w:p>
      <w:pPr>
        <w:pStyle w:val="ListBullet"/>
      </w:pPr>
      <w:r>
        <w:t>For login, download, display, or quiz issues, contact CTA support and include the course title, device/browser, lesson, and a screenshot when available.</w:t>
      </w:r>
    </w:p>
    <w:p>
      <w:pPr>
        <w:pStyle w:val="ListBullet"/>
      </w:pPr>
      <w:r>
        <w:t>Six-month access begins at enrollment. Any refund, extension, or account exception is governed by the current checkout terms and CTA policy—not by this orientation document.</w:t>
      </w:r>
    </w:p>
    <w:p>
      <w:pPr>
        <w:pStyle w:val="ListBullet"/>
      </w:pPr>
      <w:r>
        <w:t>Before your examination, review the current BBS examination page, current candidate handbook, identification rules, scheduling instructions, and accommodation procedures.</w:t>
      </w:r>
    </w:p>
    <w:p>
      <w:pPr>
        <w:jc w:val="center"/>
      </w:pPr>
      <w:r>
        <w:rPr>
          <w:b/>
          <w:color w:val="1AA6A6"/>
          <w:sz w:val="26"/>
        </w:rPr>
        <w:t>You are ready to begin with the LCSW/ASW License-Specific Module.</w:t>
      </w:r>
    </w:p>
    <w:sectPr w:rsidR="00FC693F" w:rsidRPr="0006063C" w:rsidSect="00034616">
      <w:headerReference w:type="default" r:id="rId9"/>
      <w:footerReference w:type="default" r:id="rId10"/>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CTA-EP-002 | Start Here | Learner Orientation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AA6A6"/>
      </w:pBdr>
    </w:pPr>
    <w:r>
      <w:drawing>
        <wp:inline xmlns:a="http://schemas.openxmlformats.org/drawingml/2006/main" xmlns:pic="http://schemas.openxmlformats.org/drawingml/2006/picture">
          <wp:extent cx="1828800" cy="125790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1828800" cy="1257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A6A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and Ethics Exam Preparation - Start Here and Program Orientation</dc:title>
  <dc:subject>Learner orientation for CTA-EP-002</dc:subject>
  <dc:creator>Clinical Training and Supervision Academy</dc:creator>
  <cp:keywords>CTA-EP-002, LCSW, ASW, Start Here, orientation, exam preparation</cp:keywords>
  <dc:description>generated by python-docx</dc:description>
  <cp:lastModifiedBy/>
  <cp:revision>1</cp:revision>
  <dcterms:created xsi:type="dcterms:W3CDTF">2013-12-23T23:15:00Z</dcterms:created>
  <dcterms:modified xsi:type="dcterms:W3CDTF">2013-12-23T23:15:00Z</dcterms:modified>
  <cp:category/>
</cp:coreProperties>
</file>