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200" w:line="240" w:lineRule="auto"/>
        <w:jc w:val="center"/>
      </w:pPr>
      <w:r>
        <w:drawing>
          <wp:inline xmlns:a="http://schemas.openxmlformats.org/drawingml/2006/main" xmlns:pic="http://schemas.openxmlformats.org/drawingml/2006/picture">
            <wp:extent cx="4434840" cy="3050419"/>
            <wp:docPr id="1" name="Picture 1" descr="Image: image1.png"/>
            <wp:cNvGraphicFramePr>
              <a:graphicFrameLocks noChangeAspect="1"/>
            </wp:cNvGraphicFramePr>
            <a:graphic>
              <a:graphicData uri="http://schemas.openxmlformats.org/drawingml/2006/picture">
                <pic:pic>
                  <pic:nvPicPr>
                    <pic:cNvPr id="0" name="Primary Horizontal Logo.png"/>
                    <pic:cNvPicPr/>
                  </pic:nvPicPr>
                  <pic:blipFill>
                    <a:blip r:embed="rId11"/>
                    <a:stretch>
                      <a:fillRect/>
                    </a:stretch>
                  </pic:blipFill>
                  <pic:spPr>
                    <a:xfrm>
                      <a:off x="0" y="0"/>
                      <a:ext cx="4434840" cy="3050419"/>
                    </a:xfrm>
                    <a:prstGeom prst="rect"/>
                  </pic:spPr>
                </pic:pic>
              </a:graphicData>
            </a:graphic>
          </wp:inline>
        </w:drawing>
      </w:r>
    </w:p>
    <w:p>
      <w:pPr>
        <w:spacing w:before="0" w:after="160" w:line="240" w:lineRule="auto"/>
        <w:jc w:val="center"/>
      </w:pPr>
      <w:r>
        <w:rPr>
          <w:rFonts w:ascii="Arial" w:hAnsi="Arial" w:eastAsia="Arial"/>
          <w:b/>
          <w:i w:val="0"/>
          <w:color w:val="159A9C"/>
          <w:sz w:val="32"/>
        </w:rPr>
        <w:t>LCSW CALIFORNIA LAW &amp; ETHICS EXAM</w:t>
      </w:r>
    </w:p>
    <w:p>
      <w:pPr>
        <w:spacing w:before="0" w:after="200" w:line="240" w:lineRule="auto"/>
        <w:jc w:val="center"/>
      </w:pPr>
      <w:r>
        <w:rPr>
          <w:rFonts w:ascii="Arial" w:hAnsi="Arial" w:eastAsia="Arial"/>
          <w:b/>
          <w:i w:val="0"/>
          <w:color w:val="17325C"/>
          <w:sz w:val="50"/>
        </w:rPr>
        <w:t>45-CHAPTER EXAM TRAPS</w:t>
        <w:br/>
        <w:t>&amp; CORRECTION RULES TOOLKIT</w:t>
      </w:r>
    </w:p>
    <w:p>
      <w:pPr>
        <w:spacing w:before="0" w:after="360" w:line="240" w:lineRule="auto"/>
        <w:jc w:val="center"/>
      </w:pPr>
      <w:r>
        <w:rPr>
          <w:rFonts w:ascii="Arial" w:hAnsi="Arial" w:eastAsia="Arial"/>
          <w:b w:val="0"/>
          <w:i w:val="0"/>
          <w:color w:val="657487"/>
          <w:sz w:val="24"/>
        </w:rPr>
        <w:t>One high-yield trap, distinction, or first-step rule from every core chapter</w:t>
      </w:r>
    </w:p>
    <w:p>
      <w:pPr>
        <w:spacing w:before="0" w:after="120" w:line="240" w:lineRule="auto"/>
        <w:jc w:val="center"/>
      </w:pPr>
      <w:r>
        <w:rPr>
          <w:rFonts w:ascii="Arial" w:hAnsi="Arial" w:eastAsia="Arial"/>
          <w:b/>
          <w:i w:val="0"/>
          <w:color w:val="17325C"/>
          <w:sz w:val="20"/>
        </w:rPr>
        <w:t>Printable Learner Resource  |  Version 1.0  |  August 2026</w:t>
      </w:r>
    </w:p>
    <w:p>
      <w:pPr>
        <w:spacing w:before="0" w:after="440" w:line="240" w:lineRule="auto"/>
        <w:jc w:val="center"/>
      </w:pPr>
      <w:r>
        <w:rPr>
          <w:rFonts w:ascii="Arial" w:hAnsi="Arial" w:eastAsia="Arial"/>
          <w:b w:val="0"/>
          <w:i w:val="0"/>
          <w:color w:val="657487"/>
          <w:sz w:val="19"/>
        </w:rPr>
        <w:t>CTA California Law &amp; Ethics Exam Preparation Program  |  CTA-EP-002</w:t>
      </w:r>
    </w:p>
    <w:p>
      <w:pPr>
        <w:spacing w:before="0" w:after="280" w:line="240" w:lineRule="auto"/>
        <w:jc w:val="center"/>
      </w:pPr>
      <w:r>
        <w:rPr>
          <w:rFonts w:ascii="Arial" w:hAnsi="Arial" w:eastAsia="Arial"/>
          <w:b/>
          <w:i w:val="0"/>
          <w:color w:val="A23B3B"/>
          <w:sz w:val="20"/>
        </w:rPr>
        <w:t>EXAM PREPARATION ONLY — NO CE CREDIT OR CE CERTIFICATE</w:t>
      </w:r>
    </w:p>
    <w:p>
      <w:pPr>
        <w:spacing w:before="0" w:after="80" w:line="240" w:lineRule="auto"/>
        <w:jc w:val="center"/>
      </w:pPr>
      <w:r>
        <w:rPr>
          <w:rFonts w:ascii="Arial" w:hAnsi="Arial" w:eastAsia="Arial"/>
          <w:b/>
          <w:i w:val="0"/>
          <w:color w:val="159A9C"/>
          <w:sz w:val="24"/>
        </w:rPr>
        <w:t>Teaching Clinicians How to Think.</w:t>
      </w:r>
    </w:p>
    <w:p>
      <w:pPr>
        <w:spacing w:before="0" w:after="0" w:line="240" w:lineRule="auto"/>
        <w:jc w:val="center"/>
      </w:pPr>
      <w:r>
        <w:rPr>
          <w:rFonts w:ascii="Arial" w:hAnsi="Arial" w:eastAsia="Arial"/>
          <w:b w:val="0"/>
          <w:i w:val="0"/>
          <w:color w:val="657487"/>
          <w:sz w:val="20"/>
        </w:rPr>
        <w:t>Educating Clinicians. Strengthening Practice.</w:t>
      </w:r>
    </w:p>
    <w:p>
      <w:r>
        <w:br/>
      </w:r>
    </w:p>
    <w:p>
      <w:r>
        <w:br w:type="page"/>
      </w:r>
    </w:p>
    <w:p>
      <w:pPr>
        <w:spacing w:before="0" w:after="60" w:line="240" w:lineRule="auto"/>
        <w:pBdr>
          <w:bottom w:val="single" w:sz="12" w:space="3" w:color="159A9C"/>
        </w:pBdr>
      </w:pPr>
      <w:r>
        <w:rPr>
          <w:rFonts w:ascii="Arial" w:hAnsi="Arial" w:eastAsia="Arial"/>
          <w:b/>
          <w:i w:val="0"/>
          <w:color w:val="17325C"/>
          <w:sz w:val="36"/>
        </w:rPr>
        <w:t>How to Use This Toolkit</w:t>
      </w:r>
    </w:p>
    <w:p>
      <w:pPr>
        <w:spacing w:before="0" w:after="140" w:line="240" w:lineRule="auto"/>
      </w:pPr>
      <w:r>
        <w:rPr>
          <w:rFonts w:ascii="Arial" w:hAnsi="Arial" w:eastAsia="Arial"/>
          <w:b w:val="0"/>
          <w:i/>
          <w:color w:val="657487"/>
          <w:sz w:val="20"/>
        </w:rPr>
        <w:t>A rapid-review companion to the nine workbooks, flashcard library, and practice examinations</w:t>
      </w:r>
    </w:p>
    <w:tbl>
      <w:tblPr>
        <w:tblW w:type="dxa" w:w="10080"/>
        <w:jc w:val="center"/>
        <w:tblLayout w:type="fixed"/>
        <w:tblLook w:firstColumn="1" w:firstRow="1" w:lastColumn="0" w:lastRow="0" w:noHBand="0" w:noVBand="1" w:val="04A0"/>
        <w:tblInd w:type="dxa" w:w="0"/>
      </w:tblPr>
      <w:tblGrid>
        <w:gridCol w:w="10080"/>
      </w:tblGrid>
      <w:tr>
        <w:tc>
          <w:tcPr>
            <w:tcW w:type="dxa" w:w="10080"/>
            <w:shd w:fill="E8F6F6"/>
            <w:tcBorders>
              <w:top w:val="single" w:sz="10" w:color="159A9C"/>
              <w:left w:val="single" w:sz="10" w:color="159A9C"/>
              <w:bottom w:val="single" w:sz="10" w:color="159A9C"/>
              <w:right w:val="single" w:sz="10" w:color="159A9C"/>
            </w:tcBorders>
            <w:tcMar>
              <w:top w:w="100" w:type="dxa"/>
              <w:start w:w="130" w:type="dxa"/>
              <w:bottom w:w="100" w:type="dxa"/>
              <w:end w:w="130" w:type="dxa"/>
            </w:tcMar>
          </w:tcPr>
          <w:p>
            <w:pPr>
              <w:spacing w:before="0" w:after="40" w:line="240" w:lineRule="auto"/>
            </w:pPr>
            <w:r>
              <w:rPr>
                <w:rFonts w:ascii="Arial" w:hAnsi="Arial" w:eastAsia="Arial"/>
                <w:b/>
                <w:i w:val="0"/>
                <w:color w:val="17325C"/>
                <w:sz w:val="20"/>
              </w:rPr>
              <w:t>CORE METHOD</w:t>
            </w:r>
          </w:p>
          <w:p>
            <w:pPr>
              <w:spacing w:before="0" w:after="0" w:line="254" w:lineRule="auto"/>
            </w:pPr>
            <w:r>
              <w:rPr>
                <w:rFonts w:ascii="Arial" w:hAnsi="Arial" w:eastAsia="Arial"/>
                <w:b w:val="0"/>
                <w:i w:val="0"/>
                <w:color w:val="243447"/>
                <w:sz w:val="20"/>
              </w:rPr>
              <w:t>For each chapter, read the trap or distinction first. Cover the Correction Rule column and retrieve the answer aloud. Then compare your reasoning with the Why It Matters column and mark the item Green, Yellow, or Red.</w:t>
            </w:r>
          </w:p>
        </w:tc>
        <w:trPr>
          <w:tblHeader/>
        </w:trPr>
      </w:tr>
    </w:tbl>
    <w:p>
      <w:pPr>
        <w:spacing w:after="20"/>
      </w:pPr>
    </w:p>
    <w:p>
      <w:pPr>
        <w:pStyle w:val="ListBullet"/>
        <w:spacing w:before="0" w:after="40" w:line="250" w:lineRule="auto"/>
      </w:pPr>
      <w:r>
        <w:rPr>
          <w:rFonts w:ascii="Arial" w:hAnsi="Arial" w:eastAsia="Arial"/>
          <w:b w:val="0"/>
          <w:i w:val="0"/>
          <w:color w:val="243447"/>
          <w:sz w:val="20"/>
        </w:rPr>
        <w:t>Green: I can explain the rule and apply it to a new scenario without looking.</w:t>
      </w:r>
    </w:p>
    <w:p>
      <w:pPr>
        <w:pStyle w:val="ListBullet"/>
        <w:spacing w:before="0" w:after="40" w:line="250" w:lineRule="auto"/>
      </w:pPr>
      <w:r>
        <w:rPr>
          <w:rFonts w:ascii="Arial" w:hAnsi="Arial" w:eastAsia="Arial"/>
          <w:b w:val="0"/>
          <w:i w:val="0"/>
          <w:color w:val="243447"/>
          <w:sz w:val="20"/>
        </w:rPr>
        <w:t>Yellow: I recognize the rule but still confuse timing, authority, role, or exceptions.</w:t>
      </w:r>
    </w:p>
    <w:p>
      <w:pPr>
        <w:pStyle w:val="ListBullet"/>
        <w:spacing w:before="0" w:after="40" w:line="250" w:lineRule="auto"/>
      </w:pPr>
      <w:r>
        <w:rPr>
          <w:rFonts w:ascii="Arial" w:hAnsi="Arial" w:eastAsia="Arial"/>
          <w:b w:val="0"/>
          <w:i w:val="0"/>
          <w:color w:val="243447"/>
          <w:sz w:val="20"/>
        </w:rPr>
        <w:t>Red: I guessed, relied on an absolute rule, or cannot explain why the weaker response is weaker.</w:t>
      </w:r>
    </w:p>
    <w:p>
      <w:pPr>
        <w:pStyle w:val="ListBullet"/>
        <w:spacing w:before="0" w:after="40" w:line="250" w:lineRule="auto"/>
      </w:pPr>
      <w:r>
        <w:rPr>
          <w:rFonts w:ascii="Arial" w:hAnsi="Arial" w:eastAsia="Arial"/>
          <w:b w:val="0"/>
          <w:i w:val="0"/>
          <w:color w:val="243447"/>
          <w:sz w:val="20"/>
        </w:rPr>
        <w:t>Return to the listed workbook and chapter for any Yellow or Red item; do not memorize the wording of the card.</w:t>
      </w:r>
    </w:p>
    <w:p>
      <w:pPr>
        <w:pStyle w:val="ListBullet"/>
        <w:spacing w:before="0" w:after="40" w:line="250" w:lineRule="auto"/>
      </w:pPr>
      <w:r>
        <w:rPr>
          <w:rFonts w:ascii="Arial" w:hAnsi="Arial" w:eastAsia="Arial"/>
          <w:b w:val="0"/>
          <w:i w:val="0"/>
          <w:color w:val="243447"/>
          <w:sz w:val="20"/>
        </w:rPr>
        <w:t>Use the final pages to track recurring distractor patterns and build a targeted last-week review list.</w:t>
      </w:r>
    </w:p>
    <w:p>
      <w:pPr>
        <w:spacing w:before="120" w:after="60" w:line="240" w:lineRule="auto"/>
      </w:pPr>
      <w:r>
        <w:rPr>
          <w:rFonts w:ascii="Arial" w:hAnsi="Arial" w:eastAsia="Arial"/>
          <w:b/>
          <w:i w:val="0"/>
          <w:color w:val="159A9C"/>
          <w:sz w:val="26"/>
        </w:rPr>
        <w:t>Source and Security Basis</w:t>
      </w:r>
    </w:p>
    <w:tbl>
      <w:tblPr>
        <w:tblW w:type="dxa" w:w="10080"/>
        <w:jc w:val="center"/>
        <w:tblLayout w:type="fixed"/>
        <w:tblLook w:firstColumn="1" w:firstRow="1" w:lastColumn="0" w:lastRow="0" w:noHBand="0" w:noVBand="1" w:val="04A0"/>
        <w:tblInd w:type="dxa" w:w="0"/>
      </w:tblPr>
      <w:tblGrid>
        <w:gridCol w:w="3287"/>
        <w:gridCol w:w="6793"/>
      </w:tblGrid>
      <w:tr>
        <w:tc>
          <w:tcPr>
            <w:tcW w:type="dxa" w:w="3287"/>
            <w:shd w:fill="17325C"/>
            <w:tcBorders>
              <w:top w:val="single" w:sz="6" w:color="17325C"/>
              <w:left w:val="single" w:sz="6" w:color="17325C"/>
              <w:bottom w:val="single" w:sz="6" w:color="17325C"/>
              <w:right w:val="single" w:sz="6" w:color="17325C"/>
            </w:tcBorders>
            <w:tcMar>
              <w:top w:w="75" w:type="dxa"/>
              <w:start w:w="85" w:type="dxa"/>
              <w:bottom w:w="75" w:type="dxa"/>
              <w:end w:w="85" w:type="dxa"/>
            </w:tcMar>
            <w:vAlign w:val="center"/>
          </w:tcPr>
          <w:p>
            <w:pPr>
              <w:spacing w:before="0" w:after="0" w:line="240" w:lineRule="auto"/>
              <w:jc w:val="center"/>
            </w:pPr>
            <w:r>
              <w:rPr>
                <w:rFonts w:ascii="Arial" w:hAnsi="Arial" w:eastAsia="Arial"/>
                <w:b/>
                <w:i w:val="0"/>
                <w:color w:val="FFFFFF"/>
                <w:sz w:val="18"/>
              </w:rPr>
              <w:t>Resource</w:t>
            </w:r>
          </w:p>
        </w:tc>
        <w:tc>
          <w:tcPr>
            <w:tcW w:type="dxa" w:w="6793"/>
            <w:shd w:fill="17325C"/>
            <w:tcBorders>
              <w:top w:val="single" w:sz="6" w:color="17325C"/>
              <w:left w:val="single" w:sz="6" w:color="17325C"/>
              <w:bottom w:val="single" w:sz="6" w:color="17325C"/>
              <w:right w:val="single" w:sz="6" w:color="17325C"/>
            </w:tcBorders>
            <w:tcMar>
              <w:top w:w="75" w:type="dxa"/>
              <w:start w:w="85" w:type="dxa"/>
              <w:bottom w:w="75" w:type="dxa"/>
              <w:end w:w="85" w:type="dxa"/>
            </w:tcMar>
            <w:vAlign w:val="center"/>
          </w:tcPr>
          <w:p>
            <w:pPr>
              <w:spacing w:before="0" w:after="0" w:line="240" w:lineRule="auto"/>
              <w:jc w:val="center"/>
            </w:pPr>
            <w:r>
              <w:rPr>
                <w:rFonts w:ascii="Arial" w:hAnsi="Arial" w:eastAsia="Arial"/>
                <w:b/>
                <w:i w:val="0"/>
                <w:color w:val="FFFFFF"/>
                <w:sz w:val="18"/>
              </w:rPr>
              <w:t>How It Is Used</w:t>
            </w:r>
          </w:p>
        </w:tc>
        <w:trPr>
          <w:tblHeader/>
        </w:trPr>
      </w:tr>
      <w:tr>
        <w:tc>
          <w:tcPr>
            <w:tcW w:type="dxa" w:w="3287"/>
            <w:shd w:fill="FFFFFF"/>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8"/>
              </w:rPr>
              <w:t>CTA Master Flashcard Library v1.0</w:t>
            </w:r>
          </w:p>
        </w:tc>
        <w:tc>
          <w:tcPr>
            <w:tcW w:type="dxa" w:w="6793"/>
            <w:shd w:fill="FFFFFF"/>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8"/>
              </w:rPr>
              <w:t>Provides the 45 chapter-level concepts, correction rules, memory cues, and source metadata.</w:t>
            </w:r>
          </w:p>
        </w:tc>
      </w:tr>
      <w:tr>
        <w:tc>
          <w:tcPr>
            <w:tcW w:type="dxa" w:w="3287"/>
            <w:shd w:fill="F3F5F7"/>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8"/>
              </w:rPr>
              <w:t>CTA Law &amp; Ethics Curriculum Standards v3.1</w:t>
            </w:r>
          </w:p>
        </w:tc>
        <w:tc>
          <w:tcPr>
            <w:tcW w:type="dxa" w:w="6793"/>
            <w:shd w:fill="F3F5F7"/>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8"/>
              </w:rPr>
              <w:t>Requires rapid-review resources focused on common exam traps, high-yield distinctions, trigger phrases, first-step reasoning, and memory aids.</w:t>
            </w:r>
          </w:p>
        </w:tc>
      </w:tr>
      <w:tr>
        <w:tc>
          <w:tcPr>
            <w:tcW w:type="dxa" w:w="3287"/>
            <w:shd w:fill="FFFFFF"/>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8"/>
              </w:rPr>
              <w:t>Official LCSW Law &amp; Ethics Examination Outline</w:t>
            </w:r>
          </w:p>
        </w:tc>
        <w:tc>
          <w:tcPr>
            <w:tcW w:type="dxa" w:w="6793"/>
            <w:shd w:fill="FFFFFF"/>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8"/>
              </w:rPr>
              <w:t>Provides the profession-specific Law (44%) and Ethics (56%) framework used to organize the learner’s review.</w:t>
            </w:r>
          </w:p>
        </w:tc>
      </w:tr>
      <w:tr>
        <w:tc>
          <w:tcPr>
            <w:tcW w:type="dxa" w:w="3287"/>
            <w:shd w:fill="F3F5F7"/>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8"/>
              </w:rPr>
              <w:t>Protected assessments</w:t>
            </w:r>
          </w:p>
        </w:tc>
        <w:tc>
          <w:tcPr>
            <w:tcW w:type="dxa" w:w="6793"/>
            <w:shd w:fill="F3F5F7"/>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8"/>
              </w:rPr>
              <w:t>Not reproduced. This toolkit contains no learner examination answers, item IDs, distractors, or controlled form content.</w:t>
            </w:r>
          </w:p>
        </w:tc>
      </w:tr>
    </w:tbl>
    <w:tbl>
      <w:tblPr>
        <w:tblW w:type="dxa" w:w="10080"/>
        <w:jc w:val="center"/>
        <w:tblLayout w:type="fixed"/>
        <w:tblLook w:firstColumn="1" w:firstRow="1" w:lastColumn="0" w:lastRow="0" w:noHBand="0" w:noVBand="1" w:val="04A0"/>
        <w:tblInd w:type="dxa" w:w="0"/>
      </w:tblPr>
      <w:tblGrid>
        <w:gridCol w:w="10080"/>
      </w:tblGrid>
      <w:tr>
        <w:tc>
          <w:tcPr>
            <w:tcW w:type="dxa" w:w="10080"/>
            <w:shd w:fill="EAF0F6"/>
            <w:tcBorders>
              <w:top w:val="single" w:sz="10" w:color="17325C"/>
              <w:left w:val="single" w:sz="10" w:color="17325C"/>
              <w:bottom w:val="single" w:sz="10" w:color="17325C"/>
              <w:right w:val="single" w:sz="10" w:color="17325C"/>
            </w:tcBorders>
            <w:tcMar>
              <w:top w:w="100" w:type="dxa"/>
              <w:start w:w="130" w:type="dxa"/>
              <w:bottom w:w="100" w:type="dxa"/>
              <w:end w:w="130" w:type="dxa"/>
            </w:tcMar>
          </w:tcPr>
          <w:p>
            <w:pPr>
              <w:spacing w:before="0" w:after="40" w:line="240" w:lineRule="auto"/>
            </w:pPr>
            <w:r>
              <w:rPr>
                <w:rFonts w:ascii="Arial" w:hAnsi="Arial" w:eastAsia="Arial"/>
                <w:b/>
                <w:i w:val="0"/>
                <w:color w:val="17325C"/>
                <w:sz w:val="20"/>
              </w:rPr>
              <w:t>PERSONAL USE NOTICE</w:t>
            </w:r>
          </w:p>
          <w:p>
            <w:pPr>
              <w:spacing w:before="0" w:after="0" w:line="254" w:lineRule="auto"/>
            </w:pPr>
            <w:r>
              <w:rPr>
                <w:rFonts w:ascii="Arial" w:hAnsi="Arial" w:eastAsia="Arial"/>
                <w:b w:val="0"/>
                <w:i w:val="0"/>
                <w:color w:val="243447"/>
                <w:sz w:val="20"/>
              </w:rPr>
              <w:t>Printing and personal study are permitted for the enrolled purchaser. Redistribution, resale, public posting, or commercial reproduction is prohibited.</w:t>
            </w:r>
          </w:p>
        </w:tc>
        <w:trPr>
          <w:tblHeader/>
        </w:trPr>
      </w:tr>
    </w:tbl>
    <w:p>
      <w:pPr>
        <w:spacing w:after="20"/>
      </w:pPr>
    </w:p>
    <w:p>
      <w:r>
        <w:br w:type="page"/>
      </w:r>
    </w:p>
    <w:p>
      <w:pPr>
        <w:spacing w:before="0" w:after="60" w:line="240" w:lineRule="auto"/>
        <w:pBdr>
          <w:bottom w:val="single" w:sz="12" w:space="3" w:color="159A9C"/>
        </w:pBdr>
      </w:pPr>
      <w:r>
        <w:rPr>
          <w:rFonts w:ascii="Arial" w:hAnsi="Arial" w:eastAsia="Arial"/>
          <w:b/>
          <w:i w:val="0"/>
          <w:color w:val="17325C"/>
          <w:sz w:val="36"/>
        </w:rPr>
        <w:t>Universal Distractor Patterns</w:t>
      </w:r>
    </w:p>
    <w:p>
      <w:pPr>
        <w:spacing w:before="0" w:after="140" w:line="240" w:lineRule="auto"/>
      </w:pPr>
      <w:r>
        <w:rPr>
          <w:rFonts w:ascii="Arial" w:hAnsi="Arial" w:eastAsia="Arial"/>
          <w:b w:val="0"/>
          <w:i/>
          <w:color w:val="657487"/>
          <w:sz w:val="20"/>
        </w:rPr>
        <w:t>Recognize the reasoning error before the answer choice persuades you</w:t>
      </w:r>
    </w:p>
    <w:tbl>
      <w:tblPr>
        <w:tblW w:type="dxa" w:w="10080"/>
        <w:jc w:val="center"/>
        <w:tblLayout w:type="fixed"/>
        <w:tblLook w:firstColumn="1" w:firstRow="1" w:lastColumn="0" w:lastRow="0" w:noHBand="0" w:noVBand="1" w:val="04A0"/>
        <w:tblInd w:type="dxa" w:w="0"/>
      </w:tblPr>
      <w:tblGrid>
        <w:gridCol w:w="2118"/>
        <w:gridCol w:w="3871"/>
        <w:gridCol w:w="4091"/>
      </w:tblGrid>
      <w:tr>
        <w:tc>
          <w:tcPr>
            <w:tcW w:type="dxa" w:w="2118"/>
            <w:shd w:fill="17325C"/>
            <w:tcBorders>
              <w:top w:val="single" w:sz="6" w:color="17325C"/>
              <w:left w:val="single" w:sz="6" w:color="17325C"/>
              <w:bottom w:val="single" w:sz="6" w:color="17325C"/>
              <w:right w:val="single" w:sz="6" w:color="17325C"/>
            </w:tcBorders>
            <w:tcMar>
              <w:top w:w="75" w:type="dxa"/>
              <w:start w:w="85" w:type="dxa"/>
              <w:bottom w:w="75" w:type="dxa"/>
              <w:end w:w="85" w:type="dxa"/>
            </w:tcMar>
            <w:vAlign w:val="center"/>
          </w:tcPr>
          <w:p>
            <w:pPr>
              <w:spacing w:before="0" w:after="0" w:line="240" w:lineRule="auto"/>
              <w:jc w:val="center"/>
            </w:pPr>
            <w:r>
              <w:rPr>
                <w:rFonts w:ascii="Arial" w:hAnsi="Arial" w:eastAsia="Arial"/>
                <w:b/>
                <w:i w:val="0"/>
                <w:color w:val="FFFFFF"/>
                <w:sz w:val="18"/>
              </w:rPr>
              <w:t>Pattern</w:t>
            </w:r>
          </w:p>
        </w:tc>
        <w:tc>
          <w:tcPr>
            <w:tcW w:type="dxa" w:w="3871"/>
            <w:shd w:fill="17325C"/>
            <w:tcBorders>
              <w:top w:val="single" w:sz="6" w:color="17325C"/>
              <w:left w:val="single" w:sz="6" w:color="17325C"/>
              <w:bottom w:val="single" w:sz="6" w:color="17325C"/>
              <w:right w:val="single" w:sz="6" w:color="17325C"/>
            </w:tcBorders>
            <w:tcMar>
              <w:top w:w="75" w:type="dxa"/>
              <w:start w:w="85" w:type="dxa"/>
              <w:bottom w:w="75" w:type="dxa"/>
              <w:end w:w="85" w:type="dxa"/>
            </w:tcMar>
            <w:vAlign w:val="center"/>
          </w:tcPr>
          <w:p>
            <w:pPr>
              <w:spacing w:before="0" w:after="0" w:line="240" w:lineRule="auto"/>
              <w:jc w:val="center"/>
            </w:pPr>
            <w:r>
              <w:rPr>
                <w:rFonts w:ascii="Arial" w:hAnsi="Arial" w:eastAsia="Arial"/>
                <w:b/>
                <w:i w:val="0"/>
                <w:color w:val="FFFFFF"/>
                <w:sz w:val="18"/>
              </w:rPr>
              <w:t>What the Distractor Does</w:t>
            </w:r>
          </w:p>
        </w:tc>
        <w:tc>
          <w:tcPr>
            <w:tcW w:type="dxa" w:w="4091"/>
            <w:shd w:fill="17325C"/>
            <w:tcBorders>
              <w:top w:val="single" w:sz="6" w:color="17325C"/>
              <w:left w:val="single" w:sz="6" w:color="17325C"/>
              <w:bottom w:val="single" w:sz="6" w:color="17325C"/>
              <w:right w:val="single" w:sz="6" w:color="17325C"/>
            </w:tcBorders>
            <w:tcMar>
              <w:top w:w="75" w:type="dxa"/>
              <w:start w:w="85" w:type="dxa"/>
              <w:bottom w:w="75" w:type="dxa"/>
              <w:end w:w="85" w:type="dxa"/>
            </w:tcMar>
            <w:vAlign w:val="center"/>
          </w:tcPr>
          <w:p>
            <w:pPr>
              <w:spacing w:before="0" w:after="0" w:line="240" w:lineRule="auto"/>
              <w:jc w:val="center"/>
            </w:pPr>
            <w:r>
              <w:rPr>
                <w:rFonts w:ascii="Arial" w:hAnsi="Arial" w:eastAsia="Arial"/>
                <w:b/>
                <w:i w:val="0"/>
                <w:color w:val="FFFFFF"/>
                <w:sz w:val="18"/>
              </w:rPr>
              <w:t>Correction Rule</w:t>
            </w:r>
          </w:p>
        </w:tc>
        <w:trPr>
          <w:tblHeader/>
        </w:trPr>
      </w:tr>
      <w:tr>
        <w:tc>
          <w:tcPr>
            <w:tcW w:type="dxa" w:w="2118"/>
            <w:shd w:fill="FFFFFF"/>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7"/>
              </w:rPr>
              <w:t>Automatic-action trap</w:t>
            </w:r>
          </w:p>
        </w:tc>
        <w:tc>
          <w:tcPr>
            <w:tcW w:type="dxa" w:w="3871"/>
            <w:shd w:fill="FFFFFF"/>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7"/>
              </w:rPr>
              <w:t>The option acts before clarifying authority, role, consent, privilege, urgency, jurisdiction, or the treatment unit.</w:t>
            </w:r>
          </w:p>
        </w:tc>
        <w:tc>
          <w:tcPr>
            <w:tcW w:type="dxa" w:w="4091"/>
            <w:shd w:fill="FFFFFF"/>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7"/>
              </w:rPr>
              <w:t>Pause and identify the controlling authority and missing fact unless delay would create immediate danger.</w:t>
            </w:r>
          </w:p>
        </w:tc>
      </w:tr>
      <w:tr>
        <w:tc>
          <w:tcPr>
            <w:tcW w:type="dxa" w:w="2118"/>
            <w:shd w:fill="F3F5F7"/>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7"/>
              </w:rPr>
              <w:t>Paperwork-equals-process trap</w:t>
            </w:r>
          </w:p>
        </w:tc>
        <w:tc>
          <w:tcPr>
            <w:tcW w:type="dxa" w:w="3871"/>
            <w:shd w:fill="F3F5F7"/>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7"/>
              </w:rPr>
              <w:t>A signature, release, policy, or checklist is treated as proof that understanding, competence, or ethical judgment occurred.</w:t>
            </w:r>
          </w:p>
        </w:tc>
        <w:tc>
          <w:tcPr>
            <w:tcW w:type="dxa" w:w="4091"/>
            <w:shd w:fill="F3F5F7"/>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7"/>
              </w:rPr>
              <w:t>Separate documentation of a process from the process itself.</w:t>
            </w:r>
          </w:p>
        </w:tc>
      </w:tr>
      <w:tr>
        <w:tc>
          <w:tcPr>
            <w:tcW w:type="dxa" w:w="2118"/>
            <w:shd w:fill="FFFFFF"/>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7"/>
              </w:rPr>
              <w:t>All-or-nothing trap</w:t>
            </w:r>
          </w:p>
        </w:tc>
        <w:tc>
          <w:tcPr>
            <w:tcW w:type="dxa" w:w="3871"/>
            <w:shd w:fill="FFFFFF"/>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7"/>
              </w:rPr>
              <w:t>The choice assumes every overlap, mistake, breach concern, cultural error, or impairment sign requires the most extreme response.</w:t>
            </w:r>
          </w:p>
        </w:tc>
        <w:tc>
          <w:tcPr>
            <w:tcW w:type="dxa" w:w="4091"/>
            <w:shd w:fill="FFFFFF"/>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7"/>
              </w:rPr>
              <w:t>Classify severity, pattern, immediacy, and manageability before escalating.</w:t>
            </w:r>
          </w:p>
        </w:tc>
      </w:tr>
      <w:tr>
        <w:tc>
          <w:tcPr>
            <w:tcW w:type="dxa" w:w="2118"/>
            <w:shd w:fill="F3F5F7"/>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7"/>
              </w:rPr>
              <w:t>Consultation-transfers-responsibility trap</w:t>
            </w:r>
          </w:p>
        </w:tc>
        <w:tc>
          <w:tcPr>
            <w:tcW w:type="dxa" w:w="3871"/>
            <w:shd w:fill="F3F5F7"/>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7"/>
              </w:rPr>
              <w:t>The option treats a supervisor, colleague, attorney, or consultant as the final decision-maker.</w:t>
            </w:r>
          </w:p>
        </w:tc>
        <w:tc>
          <w:tcPr>
            <w:tcW w:type="dxa" w:w="4091"/>
            <w:shd w:fill="F3F5F7"/>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7"/>
              </w:rPr>
              <w:t>Consultation informs judgment; the clinician still applies the rule and documents the decision.</w:t>
            </w:r>
          </w:p>
        </w:tc>
      </w:tr>
      <w:tr>
        <w:tc>
          <w:tcPr>
            <w:tcW w:type="dxa" w:w="2118"/>
            <w:shd w:fill="FFFFFF"/>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7"/>
              </w:rPr>
              <w:t>Payer-equals-client trap</w:t>
            </w:r>
          </w:p>
        </w:tc>
        <w:tc>
          <w:tcPr>
            <w:tcW w:type="dxa" w:w="3871"/>
            <w:shd w:fill="FFFFFF"/>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7"/>
              </w:rPr>
              <w:t>The person who pays, requests, refers, or receives a report is assumed to be the client or privilege holder.</w:t>
            </w:r>
          </w:p>
        </w:tc>
        <w:tc>
          <w:tcPr>
            <w:tcW w:type="dxa" w:w="4091"/>
            <w:shd w:fill="FFFFFF"/>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7"/>
              </w:rPr>
              <w:t>Clarify client, evaluee, payer, authorization source, privilege holder, and report recipient separately.</w:t>
            </w:r>
          </w:p>
        </w:tc>
      </w:tr>
      <w:tr>
        <w:tc>
          <w:tcPr>
            <w:tcW w:type="dxa" w:w="2118"/>
            <w:shd w:fill="F3F5F7"/>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7"/>
              </w:rPr>
              <w:t>Safety-delay trap</w:t>
            </w:r>
          </w:p>
        </w:tc>
        <w:tc>
          <w:tcPr>
            <w:tcW w:type="dxa" w:w="3871"/>
            <w:shd w:fill="F3F5F7"/>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7"/>
              </w:rPr>
              <w:t>The option continues gathering routine information despite a credible immediate danger.</w:t>
            </w:r>
          </w:p>
        </w:tc>
        <w:tc>
          <w:tcPr>
            <w:tcW w:type="dxa" w:w="4091"/>
            <w:shd w:fill="F3F5F7"/>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7"/>
              </w:rPr>
              <w:t>Protect first when danger is immediate; gather additional information when urgency permits.</w:t>
            </w:r>
          </w:p>
        </w:tc>
      </w:tr>
      <w:tr>
        <w:tc>
          <w:tcPr>
            <w:tcW w:type="dxa" w:w="2118"/>
            <w:shd w:fill="FFFFFF"/>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7"/>
              </w:rPr>
              <w:t>Outcome-equals-wrongdoing trap</w:t>
            </w:r>
          </w:p>
        </w:tc>
        <w:tc>
          <w:tcPr>
            <w:tcW w:type="dxa" w:w="3871"/>
            <w:shd w:fill="FFFFFF"/>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7"/>
              </w:rPr>
              <w:t>A bad result is treated as automatic proof of negligence, misconduct, or unethical care.</w:t>
            </w:r>
          </w:p>
        </w:tc>
        <w:tc>
          <w:tcPr>
            <w:tcW w:type="dxa" w:w="4091"/>
            <w:shd w:fill="FFFFFF"/>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7"/>
              </w:rPr>
              <w:t>Evaluate the governing rule, assessment, process, monitoring, and response to new information.</w:t>
            </w:r>
          </w:p>
        </w:tc>
      </w:tr>
      <w:tr>
        <w:tc>
          <w:tcPr>
            <w:tcW w:type="dxa" w:w="2118"/>
            <w:shd w:fill="F3F5F7"/>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7"/>
              </w:rPr>
              <w:t>Exhaustive-documentation trap</w:t>
            </w:r>
          </w:p>
        </w:tc>
        <w:tc>
          <w:tcPr>
            <w:tcW w:type="dxa" w:w="3871"/>
            <w:shd w:fill="F3F5F7"/>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7"/>
              </w:rPr>
              <w:t>The longest or most detailed note is assumed to be the best note.</w:t>
            </w:r>
          </w:p>
        </w:tc>
        <w:tc>
          <w:tcPr>
            <w:tcW w:type="dxa" w:w="4091"/>
            <w:shd w:fill="F3F5F7"/>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7"/>
              </w:rPr>
              <w:t>Document sufficiently, accurately, and usefully; complete does not mean exhaustive.</w:t>
            </w:r>
          </w:p>
        </w:tc>
      </w:tr>
      <w:tr>
        <w:tc>
          <w:tcPr>
            <w:tcW w:type="dxa" w:w="2118"/>
            <w:shd w:fill="FFFFFF"/>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7"/>
              </w:rPr>
              <w:t>HIPAA-is-everything trap</w:t>
            </w:r>
          </w:p>
        </w:tc>
        <w:tc>
          <w:tcPr>
            <w:tcW w:type="dxa" w:w="3871"/>
            <w:shd w:fill="FFFFFF"/>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7"/>
              </w:rPr>
              <w:t>The option treats HIPAA as the only source of confidentiality or assumes no HIPAA means no privacy duty.</w:t>
            </w:r>
          </w:p>
        </w:tc>
        <w:tc>
          <w:tcPr>
            <w:tcW w:type="dxa" w:w="4091"/>
            <w:shd w:fill="FFFFFF"/>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7"/>
              </w:rPr>
              <w:t>Identify applicable federal law, California law, ethics, contracts, and the most protective controlling rule.</w:t>
            </w:r>
          </w:p>
        </w:tc>
      </w:tr>
      <w:tr>
        <w:tc>
          <w:tcPr>
            <w:tcW w:type="dxa" w:w="2118"/>
            <w:shd w:fill="F3F5F7"/>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7"/>
              </w:rPr>
              <w:t>Termination-resets-boundaries trap</w:t>
            </w:r>
          </w:p>
        </w:tc>
        <w:tc>
          <w:tcPr>
            <w:tcW w:type="dxa" w:w="3871"/>
            <w:shd w:fill="F3F5F7"/>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7"/>
              </w:rPr>
              <w:t>The option assumes ending treatment immediately removes the power imbalance or former-client restrictions.</w:t>
            </w:r>
          </w:p>
        </w:tc>
        <w:tc>
          <w:tcPr>
            <w:tcW w:type="dxa" w:w="4091"/>
            <w:shd w:fill="F3F5F7"/>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7"/>
              </w:rPr>
              <w:t>Termination does not erase confidential knowledge, influence, vulnerability, or applicable former-client rules.</w:t>
            </w:r>
          </w:p>
        </w:tc>
      </w:tr>
    </w:tbl>
    <w:p>
      <w:r>
        <w:br w:type="page"/>
      </w:r>
    </w:p>
    <w:p>
      <w:pPr>
        <w:spacing w:before="0" w:after="60" w:line="240" w:lineRule="auto"/>
        <w:pBdr>
          <w:bottom w:val="single" w:sz="12" w:space="3" w:color="159A9C"/>
        </w:pBdr>
      </w:pPr>
      <w:r>
        <w:rPr>
          <w:rFonts w:ascii="Arial" w:hAnsi="Arial" w:eastAsia="Arial"/>
          <w:b/>
          <w:i w:val="0"/>
          <w:color w:val="17325C"/>
          <w:sz w:val="36"/>
        </w:rPr>
        <w:t>Workbook 1: Informed Consent, Minors &amp; Family Involvement</w:t>
      </w:r>
    </w:p>
    <w:p>
      <w:pPr>
        <w:spacing w:before="0" w:after="140" w:line="240" w:lineRule="auto"/>
      </w:pPr>
      <w:r>
        <w:rPr>
          <w:rFonts w:ascii="Arial" w:hAnsi="Arial" w:eastAsia="Arial"/>
          <w:b w:val="0"/>
          <w:i/>
          <w:color w:val="657487"/>
          <w:sz w:val="20"/>
        </w:rPr>
        <w:t>Core chapter traps and correction rules — Part 1</w:t>
      </w:r>
    </w:p>
    <w:tbl>
      <w:tblPr>
        <w:tblW w:type="dxa" w:w="10080"/>
        <w:jc w:val="center"/>
        <w:tblLayout w:type="fixed"/>
        <w:tblLook w:firstColumn="1" w:firstRow="1" w:lastColumn="0" w:lastRow="0" w:noHBand="0" w:noVBand="1" w:val="04A0"/>
        <w:tblInd w:type="dxa" w:w="0"/>
      </w:tblPr>
      <w:tblGrid>
        <w:gridCol w:w="2922"/>
        <w:gridCol w:w="3287"/>
        <w:gridCol w:w="3871"/>
      </w:tblGrid>
      <w:tr>
        <w:tc>
          <w:tcPr>
            <w:tcW w:type="dxa" w:w="2922"/>
            <w:shd w:fill="17325C"/>
            <w:tcBorders>
              <w:top w:val="single" w:sz="6" w:color="17325C"/>
              <w:left w:val="single" w:sz="6" w:color="17325C"/>
              <w:bottom w:val="single" w:sz="6" w:color="17325C"/>
              <w:right w:val="single" w:sz="6" w:color="17325C"/>
            </w:tcBorders>
            <w:tcMar>
              <w:top w:w="75" w:type="dxa"/>
              <w:start w:w="85" w:type="dxa"/>
              <w:bottom w:w="75" w:type="dxa"/>
              <w:end w:w="85" w:type="dxa"/>
            </w:tcMar>
            <w:vAlign w:val="center"/>
          </w:tcPr>
          <w:p>
            <w:pPr>
              <w:spacing w:before="0" w:after="0" w:line="240" w:lineRule="auto"/>
              <w:jc w:val="center"/>
            </w:pPr>
            <w:r>
              <w:rPr>
                <w:rFonts w:ascii="Arial" w:hAnsi="Arial" w:eastAsia="Arial"/>
                <w:b/>
                <w:i w:val="0"/>
                <w:color w:val="FFFFFF"/>
                <w:sz w:val="18"/>
              </w:rPr>
              <w:t>Chapter / Trap or Distinction</w:t>
            </w:r>
          </w:p>
        </w:tc>
        <w:tc>
          <w:tcPr>
            <w:tcW w:type="dxa" w:w="3287"/>
            <w:shd w:fill="17325C"/>
            <w:tcBorders>
              <w:top w:val="single" w:sz="6" w:color="17325C"/>
              <w:left w:val="single" w:sz="6" w:color="17325C"/>
              <w:bottom w:val="single" w:sz="6" w:color="17325C"/>
              <w:right w:val="single" w:sz="6" w:color="17325C"/>
            </w:tcBorders>
            <w:tcMar>
              <w:top w:w="75" w:type="dxa"/>
              <w:start w:w="85" w:type="dxa"/>
              <w:bottom w:w="75" w:type="dxa"/>
              <w:end w:w="85" w:type="dxa"/>
            </w:tcMar>
            <w:vAlign w:val="center"/>
          </w:tcPr>
          <w:p>
            <w:pPr>
              <w:spacing w:before="0" w:after="0" w:line="240" w:lineRule="auto"/>
              <w:jc w:val="center"/>
            </w:pPr>
            <w:r>
              <w:rPr>
                <w:rFonts w:ascii="Arial" w:hAnsi="Arial" w:eastAsia="Arial"/>
                <w:b/>
                <w:i w:val="0"/>
                <w:color w:val="FFFFFF"/>
                <w:sz w:val="18"/>
              </w:rPr>
              <w:t>Correction Rule</w:t>
            </w:r>
          </w:p>
        </w:tc>
        <w:tc>
          <w:tcPr>
            <w:tcW w:type="dxa" w:w="3871"/>
            <w:shd w:fill="17325C"/>
            <w:tcBorders>
              <w:top w:val="single" w:sz="6" w:color="17325C"/>
              <w:left w:val="single" w:sz="6" w:color="17325C"/>
              <w:bottom w:val="single" w:sz="6" w:color="17325C"/>
              <w:right w:val="single" w:sz="6" w:color="17325C"/>
            </w:tcBorders>
            <w:tcMar>
              <w:top w:w="75" w:type="dxa"/>
              <w:start w:w="85" w:type="dxa"/>
              <w:bottom w:w="75" w:type="dxa"/>
              <w:end w:w="85" w:type="dxa"/>
            </w:tcMar>
            <w:vAlign w:val="center"/>
          </w:tcPr>
          <w:p>
            <w:pPr>
              <w:spacing w:before="0" w:after="0" w:line="240" w:lineRule="auto"/>
              <w:jc w:val="center"/>
            </w:pPr>
            <w:r>
              <w:rPr>
                <w:rFonts w:ascii="Arial" w:hAnsi="Arial" w:eastAsia="Arial"/>
                <w:b/>
                <w:i w:val="0"/>
                <w:color w:val="FFFFFF"/>
                <w:sz w:val="18"/>
              </w:rPr>
              <w:t>Why It Matters</w:t>
            </w:r>
          </w:p>
        </w:tc>
        <w:trPr>
          <w:tblHeader/>
        </w:trPr>
      </w:tr>
      <w:tr>
        <w:tc>
          <w:tcPr>
            <w:tcW w:type="dxa" w:w="2922"/>
            <w:shd w:fill="FFFFFF"/>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8"/>
              </w:rPr>
              <w:t>Ch. 1 — Foundations of Informed Consent</w:t>
              <w:br/>
              <w:t>External Pressure and Voluntariness</w:t>
            </w:r>
          </w:p>
        </w:tc>
        <w:tc>
          <w:tcPr>
            <w:tcW w:type="dxa" w:w="3287"/>
            <w:shd w:fill="FFFFFF"/>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8"/>
              </w:rPr>
              <w:t>The first response to external pressure is usually explore—not automatically validate or invalidate consent.</w:t>
            </w:r>
          </w:p>
        </w:tc>
        <w:tc>
          <w:tcPr>
            <w:tcW w:type="dxa" w:w="3871"/>
            <w:shd w:fill="FFFFFF"/>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8"/>
              </w:rPr>
              <w:t>External pressure is relevant, but the social worker should assess the client’s own goals and choice before deciding whether participation is voluntary.</w:t>
            </w:r>
          </w:p>
        </w:tc>
      </w:tr>
      <w:tr>
        <w:tc>
          <w:tcPr>
            <w:tcW w:type="dxa" w:w="2922"/>
            <w:shd w:fill="F3F5F7"/>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8"/>
              </w:rPr>
              <w:t>Ch. 2 — Information Required for Informed Decision-Making</w:t>
              <w:br/>
              <w:t>Material Risks vs. Every Conceivable Risk</w:t>
            </w:r>
          </w:p>
        </w:tc>
        <w:tc>
          <w:tcPr>
            <w:tcW w:type="dxa" w:w="3287"/>
            <w:shd w:fill="F3F5F7"/>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8"/>
              </w:rPr>
              <w:t>Avoid both extremes: no meaningful risk information and every imaginable remote risk.</w:t>
            </w:r>
          </w:p>
        </w:tc>
        <w:tc>
          <w:tcPr>
            <w:tcW w:type="dxa" w:w="3871"/>
            <w:shd w:fill="F3F5F7"/>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8"/>
              </w:rPr>
              <w:t>The goal is accurate, proportionate, decision-relevant information.</w:t>
            </w:r>
          </w:p>
        </w:tc>
      </w:tr>
      <w:tr>
        <w:tc>
          <w:tcPr>
            <w:tcW w:type="dxa" w:w="2922"/>
            <w:shd w:fill="FFFFFF"/>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8"/>
              </w:rPr>
              <w:t>Ch. 3 — Ongoing Informed Consent</w:t>
              <w:br/>
              <w:t>Routine Adjustment vs. Material Change</w:t>
            </w:r>
          </w:p>
        </w:tc>
        <w:tc>
          <w:tcPr>
            <w:tcW w:type="dxa" w:w="3287"/>
            <w:shd w:fill="FFFFFF"/>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8"/>
              </w:rPr>
              <w:t>Ask whether the change meaningfully alters what the client agreed to—not whether anything changed at all.</w:t>
            </w:r>
          </w:p>
        </w:tc>
        <w:tc>
          <w:tcPr>
            <w:tcW w:type="dxa" w:w="3871"/>
            <w:shd w:fill="FFFFFF"/>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8"/>
              </w:rPr>
              <w:t>Ongoing consent is responsive to material changes, not every small clinical judgment.</w:t>
            </w:r>
          </w:p>
        </w:tc>
      </w:tr>
      <w:tr>
        <w:tc>
          <w:tcPr>
            <w:tcW w:type="dxa" w:w="2922"/>
            <w:shd w:fill="F3F5F7"/>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8"/>
              </w:rPr>
              <w:t>Ch. 4 — Required Disclosures</w:t>
              <w:br/>
              <w:t>ASW/LCSW Advertising and Status Disclosures</w:t>
            </w:r>
          </w:p>
        </w:tc>
        <w:tc>
          <w:tcPr>
            <w:tcW w:type="dxa" w:w="3287"/>
            <w:shd w:fill="F3F5F7"/>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8"/>
              </w:rPr>
              <w:t>Inventory the required identity/status elements before selecting an answer. For ASWs, do not treat “ASW” alone as a complete title or merge employer identity with licensed-supervision disclosure.</w:t>
            </w:r>
          </w:p>
        </w:tc>
        <w:tc>
          <w:tcPr>
            <w:tcW w:type="dxa" w:w="3871"/>
            <w:shd w:fill="F3F5F7"/>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8"/>
              </w:rPr>
              <w:t>Current BBS advertising rules require accurate, reasonably visible professional identity and status information. Active false or incomplete licensure/status claims should be corrected promptly and documented.</w:t>
            </w:r>
          </w:p>
        </w:tc>
      </w:tr>
    </w:tbl>
    <w:tbl>
      <w:tblPr>
        <w:tblW w:type="dxa" w:w="10080"/>
        <w:jc w:val="center"/>
        <w:tblLayout w:type="fixed"/>
        <w:tblLook w:firstColumn="1" w:firstRow="1" w:lastColumn="0" w:lastRow="0" w:noHBand="0" w:noVBand="1" w:val="04A0"/>
        <w:tblInd w:type="dxa" w:w="0"/>
      </w:tblPr>
      <w:tblGrid>
        <w:gridCol w:w="10080"/>
      </w:tblGrid>
      <w:tr>
        <w:tc>
          <w:tcPr>
            <w:tcW w:type="dxa" w:w="10080"/>
            <w:shd w:fill="EAF0F6"/>
            <w:tcBorders>
              <w:top w:val="single" w:sz="10" w:color="17325C"/>
              <w:left w:val="single" w:sz="10" w:color="17325C"/>
              <w:bottom w:val="single" w:sz="10" w:color="17325C"/>
              <w:right w:val="single" w:sz="10" w:color="17325C"/>
            </w:tcBorders>
            <w:tcMar>
              <w:top w:w="100" w:type="dxa"/>
              <w:start w:w="130" w:type="dxa"/>
              <w:bottom w:w="100" w:type="dxa"/>
              <w:end w:w="130" w:type="dxa"/>
            </w:tcMar>
          </w:tcPr>
          <w:p>
            <w:pPr>
              <w:spacing w:before="0" w:after="40" w:line="240" w:lineRule="auto"/>
            </w:pPr>
            <w:r>
              <w:rPr>
                <w:rFonts w:ascii="Arial" w:hAnsi="Arial" w:eastAsia="Arial"/>
                <w:b/>
                <w:i w:val="0"/>
                <w:color w:val="17325C"/>
                <w:sz w:val="20"/>
              </w:rPr>
              <w:t>RETRIEVAL PROMPT</w:t>
            </w:r>
          </w:p>
          <w:p>
            <w:pPr>
              <w:spacing w:before="0" w:after="0" w:line="254" w:lineRule="auto"/>
            </w:pPr>
            <w:r>
              <w:rPr>
                <w:rFonts w:ascii="Arial" w:hAnsi="Arial" w:eastAsia="Arial"/>
                <w:b w:val="0"/>
                <w:i w:val="0"/>
                <w:color w:val="243447"/>
                <w:sz w:val="20"/>
              </w:rPr>
              <w:t>Before turning the page, choose one row and explain how the same trap could appear in a different vignette. Name the fact that would change your answer.</w:t>
            </w:r>
          </w:p>
        </w:tc>
        <w:trPr>
          <w:tblHeader/>
        </w:trPr>
      </w:tr>
    </w:tbl>
    <w:p>
      <w:pPr>
        <w:spacing w:after="20"/>
      </w:pPr>
    </w:p>
    <w:p>
      <w:r>
        <w:br w:type="page"/>
      </w:r>
    </w:p>
    <w:p>
      <w:pPr>
        <w:spacing w:before="0" w:after="60" w:line="240" w:lineRule="auto"/>
        <w:pBdr>
          <w:bottom w:val="single" w:sz="12" w:space="3" w:color="159A9C"/>
        </w:pBdr>
      </w:pPr>
      <w:r>
        <w:rPr>
          <w:rFonts w:ascii="Arial" w:hAnsi="Arial" w:eastAsia="Arial"/>
          <w:b/>
          <w:i w:val="0"/>
          <w:color w:val="17325C"/>
          <w:sz w:val="36"/>
        </w:rPr>
        <w:t>Workbook 1: Informed Consent, Minors &amp; Family Involvement</w:t>
      </w:r>
    </w:p>
    <w:p>
      <w:pPr>
        <w:spacing w:before="0" w:after="140" w:line="240" w:lineRule="auto"/>
      </w:pPr>
      <w:r>
        <w:rPr>
          <w:rFonts w:ascii="Arial" w:hAnsi="Arial" w:eastAsia="Arial"/>
          <w:b w:val="0"/>
          <w:i/>
          <w:color w:val="657487"/>
          <w:sz w:val="20"/>
        </w:rPr>
        <w:t>Core chapter traps and correction rules — Part 2</w:t>
      </w:r>
    </w:p>
    <w:tbl>
      <w:tblPr>
        <w:tblW w:type="dxa" w:w="10080"/>
        <w:jc w:val="center"/>
        <w:tblLayout w:type="fixed"/>
        <w:tblLook w:firstColumn="1" w:firstRow="1" w:lastColumn="0" w:lastRow="0" w:noHBand="0" w:noVBand="1" w:val="04A0"/>
        <w:tblInd w:type="dxa" w:w="0"/>
      </w:tblPr>
      <w:tblGrid>
        <w:gridCol w:w="2922"/>
        <w:gridCol w:w="3287"/>
        <w:gridCol w:w="3871"/>
      </w:tblGrid>
      <w:tr>
        <w:tc>
          <w:tcPr>
            <w:tcW w:type="dxa" w:w="2922"/>
            <w:shd w:fill="17325C"/>
            <w:tcBorders>
              <w:top w:val="single" w:sz="6" w:color="17325C"/>
              <w:left w:val="single" w:sz="6" w:color="17325C"/>
              <w:bottom w:val="single" w:sz="6" w:color="17325C"/>
              <w:right w:val="single" w:sz="6" w:color="17325C"/>
            </w:tcBorders>
            <w:tcMar>
              <w:top w:w="75" w:type="dxa"/>
              <w:start w:w="85" w:type="dxa"/>
              <w:bottom w:w="75" w:type="dxa"/>
              <w:end w:w="85" w:type="dxa"/>
            </w:tcMar>
            <w:vAlign w:val="center"/>
          </w:tcPr>
          <w:p>
            <w:pPr>
              <w:spacing w:before="0" w:after="0" w:line="240" w:lineRule="auto"/>
              <w:jc w:val="center"/>
            </w:pPr>
            <w:r>
              <w:rPr>
                <w:rFonts w:ascii="Arial" w:hAnsi="Arial" w:eastAsia="Arial"/>
                <w:b/>
                <w:i w:val="0"/>
                <w:color w:val="FFFFFF"/>
                <w:sz w:val="18"/>
              </w:rPr>
              <w:t>Chapter / Trap or Distinction</w:t>
            </w:r>
          </w:p>
        </w:tc>
        <w:tc>
          <w:tcPr>
            <w:tcW w:type="dxa" w:w="3287"/>
            <w:shd w:fill="17325C"/>
            <w:tcBorders>
              <w:top w:val="single" w:sz="6" w:color="17325C"/>
              <w:left w:val="single" w:sz="6" w:color="17325C"/>
              <w:bottom w:val="single" w:sz="6" w:color="17325C"/>
              <w:right w:val="single" w:sz="6" w:color="17325C"/>
            </w:tcBorders>
            <w:tcMar>
              <w:top w:w="75" w:type="dxa"/>
              <w:start w:w="85" w:type="dxa"/>
              <w:bottom w:w="75" w:type="dxa"/>
              <w:end w:w="85" w:type="dxa"/>
            </w:tcMar>
            <w:vAlign w:val="center"/>
          </w:tcPr>
          <w:p>
            <w:pPr>
              <w:spacing w:before="0" w:after="0" w:line="240" w:lineRule="auto"/>
              <w:jc w:val="center"/>
            </w:pPr>
            <w:r>
              <w:rPr>
                <w:rFonts w:ascii="Arial" w:hAnsi="Arial" w:eastAsia="Arial"/>
                <w:b/>
                <w:i w:val="0"/>
                <w:color w:val="FFFFFF"/>
                <w:sz w:val="18"/>
              </w:rPr>
              <w:t>Correction Rule</w:t>
            </w:r>
          </w:p>
        </w:tc>
        <w:tc>
          <w:tcPr>
            <w:tcW w:type="dxa" w:w="3871"/>
            <w:shd w:fill="17325C"/>
            <w:tcBorders>
              <w:top w:val="single" w:sz="6" w:color="17325C"/>
              <w:left w:val="single" w:sz="6" w:color="17325C"/>
              <w:bottom w:val="single" w:sz="6" w:color="17325C"/>
              <w:right w:val="single" w:sz="6" w:color="17325C"/>
            </w:tcBorders>
            <w:tcMar>
              <w:top w:w="75" w:type="dxa"/>
              <w:start w:w="85" w:type="dxa"/>
              <w:bottom w:w="75" w:type="dxa"/>
              <w:end w:w="85" w:type="dxa"/>
            </w:tcMar>
            <w:vAlign w:val="center"/>
          </w:tcPr>
          <w:p>
            <w:pPr>
              <w:spacing w:before="0" w:after="0" w:line="240" w:lineRule="auto"/>
              <w:jc w:val="center"/>
            </w:pPr>
            <w:r>
              <w:rPr>
                <w:rFonts w:ascii="Arial" w:hAnsi="Arial" w:eastAsia="Arial"/>
                <w:b/>
                <w:i w:val="0"/>
                <w:color w:val="FFFFFF"/>
                <w:sz w:val="18"/>
              </w:rPr>
              <w:t>Why It Matters</w:t>
            </w:r>
          </w:p>
        </w:tc>
        <w:trPr>
          <w:tblHeader/>
        </w:trPr>
      </w:tr>
      <w:tr>
        <w:tc>
          <w:tcPr>
            <w:tcW w:type="dxa" w:w="2922"/>
            <w:shd w:fill="FFFFFF"/>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8"/>
              </w:rPr>
              <w:t>Ch. 5 — General Consent Requirements for Minors</w:t>
              <w:br/>
              <w:t>Emergency Safety Action vs. Routine Consent</w:t>
            </w:r>
          </w:p>
        </w:tc>
        <w:tc>
          <w:tcPr>
            <w:tcW w:type="dxa" w:w="3287"/>
            <w:shd w:fill="FFFFFF"/>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8"/>
              </w:rPr>
              <w:t>Separate: Immediate crisis protectionfromauthorization for ongoing nonemergency treatment Emergency action does not erase future consent responsibilities.</w:t>
            </w:r>
          </w:p>
        </w:tc>
        <w:tc>
          <w:tcPr>
            <w:tcW w:type="dxa" w:w="3871"/>
            <w:shd w:fill="FFFFFF"/>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8"/>
              </w:rPr>
              <w:t>The social worker should act within the social worker’s professional role and local authorization, arrange the appropriate emergency response, and document the risk assessment, consultation, actions, notifications, and disposition.</w:t>
            </w:r>
          </w:p>
        </w:tc>
      </w:tr>
      <w:tr>
        <w:tc>
          <w:tcPr>
            <w:tcW w:type="dxa" w:w="2922"/>
            <w:shd w:fill="F3F5F7"/>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8"/>
              </w:rPr>
              <w:t>Ch. 6 — Minor Consent Exceptions</w:t>
              <w:br/>
              <w:t>Determining That Involvement Is Inappropriate</w:t>
            </w:r>
          </w:p>
        </w:tc>
        <w:tc>
          <w:tcPr>
            <w:tcW w:type="dxa" w:w="3287"/>
            <w:shd w:fill="F3F5F7"/>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8"/>
              </w:rPr>
              <w:t>When the minor raises a safety or treatment-access concern, choose: Consult → assess → determine → document Do not contact the parent automatically before completing the required analysis.</w:t>
            </w:r>
          </w:p>
        </w:tc>
        <w:tc>
          <w:tcPr>
            <w:tcW w:type="dxa" w:w="3871"/>
            <w:shd w:fill="F3F5F7"/>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8"/>
              </w:rPr>
              <w:t>The social worker should not make an unlimited promise before assessing the circumstances, applicable confidentiality limits, and future developments. C. The statute calls for a professional determination. It does not require the minor to prove future harm beyond all doubt.</w:t>
            </w:r>
          </w:p>
        </w:tc>
      </w:tr>
      <w:tr>
        <w:tc>
          <w:tcPr>
            <w:tcW w:type="dxa" w:w="2922"/>
            <w:shd w:fill="FFFFFF"/>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8"/>
              </w:rPr>
              <w:t>Ch. 7 — Working with Parents and Families</w:t>
              <w:br/>
              <w:t>Noncustodial Parent Access to Records</w:t>
            </w:r>
          </w:p>
        </w:tc>
        <w:tc>
          <w:tcPr>
            <w:tcW w:type="dxa" w:w="3287"/>
            <w:shd w:fill="FFFFFF"/>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8"/>
              </w:rPr>
              <w:t>Do not assume: Noncustodial parent = no access Also do not assume: Parent = automatic access to everything Verify authority and then apply the record-specific exceptions.</w:t>
            </w:r>
          </w:p>
        </w:tc>
        <w:tc>
          <w:tcPr>
            <w:tcW w:type="dxa" w:w="3871"/>
            <w:shd w:fill="FFFFFF"/>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8"/>
              </w:rPr>
              <w:t>Parental status does not create an unconditional right to every clinical note or record. Statutory exceptions must still be evaluated. D. The child may express concerns, but the child does not determine the father’s legal parental status.</w:t>
            </w:r>
          </w:p>
        </w:tc>
      </w:tr>
    </w:tbl>
    <w:tbl>
      <w:tblPr>
        <w:tblW w:type="dxa" w:w="10080"/>
        <w:jc w:val="center"/>
        <w:tblLayout w:type="fixed"/>
        <w:tblLook w:firstColumn="1" w:firstRow="1" w:lastColumn="0" w:lastRow="0" w:noHBand="0" w:noVBand="1" w:val="04A0"/>
        <w:tblInd w:type="dxa" w:w="0"/>
      </w:tblPr>
      <w:tblGrid>
        <w:gridCol w:w="10080"/>
      </w:tblGrid>
      <w:tr>
        <w:tc>
          <w:tcPr>
            <w:tcW w:type="dxa" w:w="10080"/>
            <w:shd w:fill="EAF0F6"/>
            <w:tcBorders>
              <w:top w:val="single" w:sz="10" w:color="17325C"/>
              <w:left w:val="single" w:sz="10" w:color="17325C"/>
              <w:bottom w:val="single" w:sz="10" w:color="17325C"/>
              <w:right w:val="single" w:sz="10" w:color="17325C"/>
            </w:tcBorders>
            <w:tcMar>
              <w:top w:w="100" w:type="dxa"/>
              <w:start w:w="130" w:type="dxa"/>
              <w:bottom w:w="100" w:type="dxa"/>
              <w:end w:w="130" w:type="dxa"/>
            </w:tcMar>
          </w:tcPr>
          <w:p>
            <w:pPr>
              <w:spacing w:before="0" w:after="40" w:line="240" w:lineRule="auto"/>
            </w:pPr>
            <w:r>
              <w:rPr>
                <w:rFonts w:ascii="Arial" w:hAnsi="Arial" w:eastAsia="Arial"/>
                <w:b/>
                <w:i w:val="0"/>
                <w:color w:val="17325C"/>
                <w:sz w:val="20"/>
              </w:rPr>
              <w:t>RETRIEVAL PROMPT</w:t>
            </w:r>
          </w:p>
          <w:p>
            <w:pPr>
              <w:spacing w:before="0" w:after="0" w:line="254" w:lineRule="auto"/>
            </w:pPr>
            <w:r>
              <w:rPr>
                <w:rFonts w:ascii="Arial" w:hAnsi="Arial" w:eastAsia="Arial"/>
                <w:b w:val="0"/>
                <w:i w:val="0"/>
                <w:color w:val="243447"/>
                <w:sz w:val="20"/>
              </w:rPr>
              <w:t>Before turning the page, choose one row and explain how the same trap could appear in a different vignette. Name the fact that would change your answer.</w:t>
            </w:r>
          </w:p>
        </w:tc>
        <w:trPr>
          <w:tblHeader/>
        </w:trPr>
      </w:tr>
    </w:tbl>
    <w:p>
      <w:pPr>
        <w:spacing w:after="20"/>
      </w:pPr>
    </w:p>
    <w:p>
      <w:r>
        <w:br w:type="page"/>
      </w:r>
    </w:p>
    <w:p>
      <w:pPr>
        <w:spacing w:before="0" w:after="60" w:line="240" w:lineRule="auto"/>
        <w:pBdr>
          <w:bottom w:val="single" w:sz="12" w:space="3" w:color="159A9C"/>
        </w:pBdr>
      </w:pPr>
      <w:r>
        <w:rPr>
          <w:rFonts w:ascii="Arial" w:hAnsi="Arial" w:eastAsia="Arial"/>
          <w:b/>
          <w:i w:val="0"/>
          <w:color w:val="17325C"/>
          <w:sz w:val="36"/>
        </w:rPr>
        <w:t>Workbook 2: Telehealth Law &amp; Ethics</w:t>
      </w:r>
    </w:p>
    <w:p>
      <w:pPr>
        <w:spacing w:before="0" w:after="140" w:line="240" w:lineRule="auto"/>
      </w:pPr>
      <w:r>
        <w:rPr>
          <w:rFonts w:ascii="Arial" w:hAnsi="Arial" w:eastAsia="Arial"/>
          <w:b w:val="0"/>
          <w:i/>
          <w:color w:val="657487"/>
          <w:sz w:val="20"/>
        </w:rPr>
        <w:t>Core chapter traps and correction rules — Part 1</w:t>
      </w:r>
    </w:p>
    <w:tbl>
      <w:tblPr>
        <w:tblW w:type="dxa" w:w="10080"/>
        <w:jc w:val="center"/>
        <w:tblLayout w:type="fixed"/>
        <w:tblLook w:firstColumn="1" w:firstRow="1" w:lastColumn="0" w:lastRow="0" w:noHBand="0" w:noVBand="1" w:val="04A0"/>
        <w:tblInd w:type="dxa" w:w="0"/>
      </w:tblPr>
      <w:tblGrid>
        <w:gridCol w:w="2922"/>
        <w:gridCol w:w="3287"/>
        <w:gridCol w:w="3871"/>
      </w:tblGrid>
      <w:tr>
        <w:tc>
          <w:tcPr>
            <w:tcW w:type="dxa" w:w="2922"/>
            <w:shd w:fill="17325C"/>
            <w:tcBorders>
              <w:top w:val="single" w:sz="6" w:color="17325C"/>
              <w:left w:val="single" w:sz="6" w:color="17325C"/>
              <w:bottom w:val="single" w:sz="6" w:color="17325C"/>
              <w:right w:val="single" w:sz="6" w:color="17325C"/>
            </w:tcBorders>
            <w:tcMar>
              <w:top w:w="75" w:type="dxa"/>
              <w:start w:w="85" w:type="dxa"/>
              <w:bottom w:w="75" w:type="dxa"/>
              <w:end w:w="85" w:type="dxa"/>
            </w:tcMar>
            <w:vAlign w:val="center"/>
          </w:tcPr>
          <w:p>
            <w:pPr>
              <w:spacing w:before="0" w:after="0" w:line="240" w:lineRule="auto"/>
              <w:jc w:val="center"/>
            </w:pPr>
            <w:r>
              <w:rPr>
                <w:rFonts w:ascii="Arial" w:hAnsi="Arial" w:eastAsia="Arial"/>
                <w:b/>
                <w:i w:val="0"/>
                <w:color w:val="FFFFFF"/>
                <w:sz w:val="18"/>
              </w:rPr>
              <w:t>Chapter / Trap or Distinction</w:t>
            </w:r>
          </w:p>
        </w:tc>
        <w:tc>
          <w:tcPr>
            <w:tcW w:type="dxa" w:w="3287"/>
            <w:shd w:fill="17325C"/>
            <w:tcBorders>
              <w:top w:val="single" w:sz="6" w:color="17325C"/>
              <w:left w:val="single" w:sz="6" w:color="17325C"/>
              <w:bottom w:val="single" w:sz="6" w:color="17325C"/>
              <w:right w:val="single" w:sz="6" w:color="17325C"/>
            </w:tcBorders>
            <w:tcMar>
              <w:top w:w="75" w:type="dxa"/>
              <w:start w:w="85" w:type="dxa"/>
              <w:bottom w:w="75" w:type="dxa"/>
              <w:end w:w="85" w:type="dxa"/>
            </w:tcMar>
            <w:vAlign w:val="center"/>
          </w:tcPr>
          <w:p>
            <w:pPr>
              <w:spacing w:before="0" w:after="0" w:line="240" w:lineRule="auto"/>
              <w:jc w:val="center"/>
            </w:pPr>
            <w:r>
              <w:rPr>
                <w:rFonts w:ascii="Arial" w:hAnsi="Arial" w:eastAsia="Arial"/>
                <w:b/>
                <w:i w:val="0"/>
                <w:color w:val="FFFFFF"/>
                <w:sz w:val="18"/>
              </w:rPr>
              <w:t>Correction Rule</w:t>
            </w:r>
          </w:p>
        </w:tc>
        <w:tc>
          <w:tcPr>
            <w:tcW w:type="dxa" w:w="3871"/>
            <w:shd w:fill="17325C"/>
            <w:tcBorders>
              <w:top w:val="single" w:sz="6" w:color="17325C"/>
              <w:left w:val="single" w:sz="6" w:color="17325C"/>
              <w:bottom w:val="single" w:sz="6" w:color="17325C"/>
              <w:right w:val="single" w:sz="6" w:color="17325C"/>
            </w:tcBorders>
            <w:tcMar>
              <w:top w:w="75" w:type="dxa"/>
              <w:start w:w="85" w:type="dxa"/>
              <w:bottom w:w="75" w:type="dxa"/>
              <w:end w:w="85" w:type="dxa"/>
            </w:tcMar>
            <w:vAlign w:val="center"/>
          </w:tcPr>
          <w:p>
            <w:pPr>
              <w:spacing w:before="0" w:after="0" w:line="240" w:lineRule="auto"/>
              <w:jc w:val="center"/>
            </w:pPr>
            <w:r>
              <w:rPr>
                <w:rFonts w:ascii="Arial" w:hAnsi="Arial" w:eastAsia="Arial"/>
                <w:b/>
                <w:i w:val="0"/>
                <w:color w:val="FFFFFF"/>
                <w:sz w:val="18"/>
              </w:rPr>
              <w:t>Why It Matters</w:t>
            </w:r>
          </w:p>
        </w:tc>
        <w:trPr>
          <w:tblHeader/>
        </w:trPr>
      </w:tr>
      <w:tr>
        <w:tc>
          <w:tcPr>
            <w:tcW w:type="dxa" w:w="2922"/>
            <w:shd w:fill="FFFFFF"/>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8"/>
              </w:rPr>
              <w:t>Ch. 1 — Telehealth Foundations</w:t>
              <w:br/>
              <w:t>Technology Failure and Continued Appropriateness</w:t>
            </w:r>
          </w:p>
        </w:tc>
        <w:tc>
          <w:tcPr>
            <w:tcW w:type="dxa" w:w="3287"/>
            <w:shd w:fill="FFFFFF"/>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8"/>
              </w:rPr>
              <w:t>The best answer is usually assessment plus a reasonable backup response, not automatic continuation or automatic termination.</w:t>
            </w:r>
          </w:p>
        </w:tc>
        <w:tc>
          <w:tcPr>
            <w:tcW w:type="dxa" w:w="3871"/>
            <w:shd w:fill="FFFFFF"/>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8"/>
              </w:rPr>
              <w:t>The social worker should use clinical judgment, consider privacy and effectiveness, and implement the planned alternative when appropriate.</w:t>
            </w:r>
          </w:p>
        </w:tc>
      </w:tr>
      <w:tr>
        <w:tc>
          <w:tcPr>
            <w:tcW w:type="dxa" w:w="2922"/>
            <w:shd w:fill="F3F5F7"/>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8"/>
              </w:rPr>
              <w:t>Ch. 2 — Telehealth Informed Consent</w:t>
              <w:br/>
              <w:t>Consent vs. Each-Session Duties</w:t>
            </w:r>
          </w:p>
        </w:tc>
        <w:tc>
          <w:tcPr>
            <w:tcW w:type="dxa" w:w="3287"/>
            <w:shd w:fill="F3F5F7"/>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8"/>
              </w:rPr>
              <w:t>Identify whether the question tests initiation duties or each-session duties; they are related but not interchangeable.</w:t>
            </w:r>
          </w:p>
        </w:tc>
        <w:tc>
          <w:tcPr>
            <w:tcW w:type="dxa" w:w="3871"/>
            <w:shd w:fill="F3F5F7"/>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8"/>
              </w:rPr>
              <w:t>California separates initiation consent from the recurring full-name and present-address requirement.</w:t>
            </w:r>
          </w:p>
        </w:tc>
      </w:tr>
      <w:tr>
        <w:tc>
          <w:tcPr>
            <w:tcW w:type="dxa" w:w="2922"/>
            <w:shd w:fill="FFFFFF"/>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8"/>
              </w:rPr>
              <w:t>Ch. 3 — Telehealth Privacy and Security</w:t>
              <w:br/>
              <w:t>Business Associate Agreement</w:t>
            </w:r>
          </w:p>
        </w:tc>
        <w:tc>
          <w:tcPr>
            <w:tcW w:type="dxa" w:w="3287"/>
            <w:shd w:fill="FFFFFF"/>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8"/>
              </w:rPr>
              <w:t>Do not choose an absolute. Analyze covered-entity status, vendor function, contract, and safeguards.</w:t>
            </w:r>
          </w:p>
        </w:tc>
        <w:tc>
          <w:tcPr>
            <w:tcW w:type="dxa" w:w="3871"/>
            <w:shd w:fill="FFFFFF"/>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8"/>
              </w:rPr>
              <w:t>A BAA is generally required for a covered entity’s business associate, but it is only one part of compliance.</w:t>
            </w:r>
          </w:p>
        </w:tc>
      </w:tr>
    </w:tbl>
    <w:tbl>
      <w:tblPr>
        <w:tblW w:type="dxa" w:w="10080"/>
        <w:jc w:val="center"/>
        <w:tblLayout w:type="fixed"/>
        <w:tblLook w:firstColumn="1" w:firstRow="1" w:lastColumn="0" w:lastRow="0" w:noHBand="0" w:noVBand="1" w:val="04A0"/>
        <w:tblInd w:type="dxa" w:w="0"/>
      </w:tblPr>
      <w:tblGrid>
        <w:gridCol w:w="10080"/>
      </w:tblGrid>
      <w:tr>
        <w:tc>
          <w:tcPr>
            <w:tcW w:type="dxa" w:w="10080"/>
            <w:shd w:fill="EAF0F6"/>
            <w:tcBorders>
              <w:top w:val="single" w:sz="10" w:color="17325C"/>
              <w:left w:val="single" w:sz="10" w:color="17325C"/>
              <w:bottom w:val="single" w:sz="10" w:color="17325C"/>
              <w:right w:val="single" w:sz="10" w:color="17325C"/>
            </w:tcBorders>
            <w:tcMar>
              <w:top w:w="100" w:type="dxa"/>
              <w:start w:w="130" w:type="dxa"/>
              <w:bottom w:w="100" w:type="dxa"/>
              <w:end w:w="130" w:type="dxa"/>
            </w:tcMar>
          </w:tcPr>
          <w:p>
            <w:pPr>
              <w:spacing w:before="0" w:after="40" w:line="240" w:lineRule="auto"/>
            </w:pPr>
            <w:r>
              <w:rPr>
                <w:rFonts w:ascii="Arial" w:hAnsi="Arial" w:eastAsia="Arial"/>
                <w:b/>
                <w:i w:val="0"/>
                <w:color w:val="17325C"/>
                <w:sz w:val="20"/>
              </w:rPr>
              <w:t>RETRIEVAL PROMPT</w:t>
            </w:r>
          </w:p>
          <w:p>
            <w:pPr>
              <w:spacing w:before="0" w:after="0" w:line="254" w:lineRule="auto"/>
            </w:pPr>
            <w:r>
              <w:rPr>
                <w:rFonts w:ascii="Arial" w:hAnsi="Arial" w:eastAsia="Arial"/>
                <w:b w:val="0"/>
                <w:i w:val="0"/>
                <w:color w:val="243447"/>
                <w:sz w:val="20"/>
              </w:rPr>
              <w:t>Before turning the page, choose one row and explain how the same trap could appear in a different vignette. Name the fact that would change your answer.</w:t>
            </w:r>
          </w:p>
        </w:tc>
        <w:trPr>
          <w:tblHeader/>
        </w:trPr>
      </w:tr>
    </w:tbl>
    <w:p>
      <w:pPr>
        <w:spacing w:after="20"/>
      </w:pPr>
    </w:p>
    <w:p>
      <w:r>
        <w:br w:type="page"/>
      </w:r>
    </w:p>
    <w:p>
      <w:pPr>
        <w:spacing w:before="0" w:after="60" w:line="240" w:lineRule="auto"/>
        <w:pBdr>
          <w:bottom w:val="single" w:sz="12" w:space="3" w:color="159A9C"/>
        </w:pBdr>
      </w:pPr>
      <w:r>
        <w:rPr>
          <w:rFonts w:ascii="Arial" w:hAnsi="Arial" w:eastAsia="Arial"/>
          <w:b/>
          <w:i w:val="0"/>
          <w:color w:val="17325C"/>
          <w:sz w:val="36"/>
        </w:rPr>
        <w:t>Workbook 2: Telehealth Law &amp; Ethics</w:t>
      </w:r>
    </w:p>
    <w:p>
      <w:pPr>
        <w:spacing w:before="0" w:after="140" w:line="240" w:lineRule="auto"/>
      </w:pPr>
      <w:r>
        <w:rPr>
          <w:rFonts w:ascii="Arial" w:hAnsi="Arial" w:eastAsia="Arial"/>
          <w:b w:val="0"/>
          <w:i/>
          <w:color w:val="657487"/>
          <w:sz w:val="20"/>
        </w:rPr>
        <w:t>Core chapter traps and correction rules — Part 2</w:t>
      </w:r>
    </w:p>
    <w:tbl>
      <w:tblPr>
        <w:tblW w:type="dxa" w:w="10080"/>
        <w:jc w:val="center"/>
        <w:tblLayout w:type="fixed"/>
        <w:tblLook w:firstColumn="1" w:firstRow="1" w:lastColumn="0" w:lastRow="0" w:noHBand="0" w:noVBand="1" w:val="04A0"/>
        <w:tblInd w:type="dxa" w:w="0"/>
      </w:tblPr>
      <w:tblGrid>
        <w:gridCol w:w="2922"/>
        <w:gridCol w:w="3287"/>
        <w:gridCol w:w="3871"/>
      </w:tblGrid>
      <w:tr>
        <w:tc>
          <w:tcPr>
            <w:tcW w:type="dxa" w:w="2922"/>
            <w:shd w:fill="17325C"/>
            <w:tcBorders>
              <w:top w:val="single" w:sz="6" w:color="17325C"/>
              <w:left w:val="single" w:sz="6" w:color="17325C"/>
              <w:bottom w:val="single" w:sz="6" w:color="17325C"/>
              <w:right w:val="single" w:sz="6" w:color="17325C"/>
            </w:tcBorders>
            <w:tcMar>
              <w:top w:w="75" w:type="dxa"/>
              <w:start w:w="85" w:type="dxa"/>
              <w:bottom w:w="75" w:type="dxa"/>
              <w:end w:w="85" w:type="dxa"/>
            </w:tcMar>
            <w:vAlign w:val="center"/>
          </w:tcPr>
          <w:p>
            <w:pPr>
              <w:spacing w:before="0" w:after="0" w:line="240" w:lineRule="auto"/>
              <w:jc w:val="center"/>
            </w:pPr>
            <w:r>
              <w:rPr>
                <w:rFonts w:ascii="Arial" w:hAnsi="Arial" w:eastAsia="Arial"/>
                <w:b/>
                <w:i w:val="0"/>
                <w:color w:val="FFFFFF"/>
                <w:sz w:val="18"/>
              </w:rPr>
              <w:t>Chapter / Trap or Distinction</w:t>
            </w:r>
          </w:p>
        </w:tc>
        <w:tc>
          <w:tcPr>
            <w:tcW w:type="dxa" w:w="3287"/>
            <w:shd w:fill="17325C"/>
            <w:tcBorders>
              <w:top w:val="single" w:sz="6" w:color="17325C"/>
              <w:left w:val="single" w:sz="6" w:color="17325C"/>
              <w:bottom w:val="single" w:sz="6" w:color="17325C"/>
              <w:right w:val="single" w:sz="6" w:color="17325C"/>
            </w:tcBorders>
            <w:tcMar>
              <w:top w:w="75" w:type="dxa"/>
              <w:start w:w="85" w:type="dxa"/>
              <w:bottom w:w="75" w:type="dxa"/>
              <w:end w:w="85" w:type="dxa"/>
            </w:tcMar>
            <w:vAlign w:val="center"/>
          </w:tcPr>
          <w:p>
            <w:pPr>
              <w:spacing w:before="0" w:after="0" w:line="240" w:lineRule="auto"/>
              <w:jc w:val="center"/>
            </w:pPr>
            <w:r>
              <w:rPr>
                <w:rFonts w:ascii="Arial" w:hAnsi="Arial" w:eastAsia="Arial"/>
                <w:b/>
                <w:i w:val="0"/>
                <w:color w:val="FFFFFF"/>
                <w:sz w:val="18"/>
              </w:rPr>
              <w:t>Correction Rule</w:t>
            </w:r>
          </w:p>
        </w:tc>
        <w:tc>
          <w:tcPr>
            <w:tcW w:type="dxa" w:w="3871"/>
            <w:shd w:fill="17325C"/>
            <w:tcBorders>
              <w:top w:val="single" w:sz="6" w:color="17325C"/>
              <w:left w:val="single" w:sz="6" w:color="17325C"/>
              <w:bottom w:val="single" w:sz="6" w:color="17325C"/>
              <w:right w:val="single" w:sz="6" w:color="17325C"/>
            </w:tcBorders>
            <w:tcMar>
              <w:top w:w="75" w:type="dxa"/>
              <w:start w:w="85" w:type="dxa"/>
              <w:bottom w:w="75" w:type="dxa"/>
              <w:end w:w="85" w:type="dxa"/>
            </w:tcMar>
            <w:vAlign w:val="center"/>
          </w:tcPr>
          <w:p>
            <w:pPr>
              <w:spacing w:before="0" w:after="0" w:line="240" w:lineRule="auto"/>
              <w:jc w:val="center"/>
            </w:pPr>
            <w:r>
              <w:rPr>
                <w:rFonts w:ascii="Arial" w:hAnsi="Arial" w:eastAsia="Arial"/>
                <w:b/>
                <w:i w:val="0"/>
                <w:color w:val="FFFFFF"/>
                <w:sz w:val="18"/>
              </w:rPr>
              <w:t>Why It Matters</w:t>
            </w:r>
          </w:p>
        </w:tc>
        <w:trPr>
          <w:tblHeader/>
        </w:trPr>
      </w:tr>
      <w:tr>
        <w:tc>
          <w:tcPr>
            <w:tcW w:type="dxa" w:w="2922"/>
            <w:shd w:fill="FFFFFF"/>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8"/>
              </w:rPr>
              <w:t>Ch. 4 — Technology, Electronic Communication, and Professional Responsibilities</w:t>
              <w:br/>
              <w:t>Unread Crisis Message</w:t>
            </w:r>
          </w:p>
        </w:tc>
        <w:tc>
          <w:tcPr>
            <w:tcW w:type="dxa" w:w="3287"/>
            <w:shd w:fill="FFFFFF"/>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8"/>
              </w:rPr>
              <w:t>Distinguish not seeing a message from seeing it and choosing not to act.</w:t>
            </w:r>
          </w:p>
        </w:tc>
        <w:tc>
          <w:tcPr>
            <w:tcW w:type="dxa" w:w="3871"/>
            <w:shd w:fill="FFFFFF"/>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8"/>
              </w:rPr>
              <w:t>The policy helps define monitoring expectations, but once the social worker becomes aware of a suicidal communication, the social worker should assess and respond appropriately.</w:t>
            </w:r>
          </w:p>
        </w:tc>
      </w:tr>
      <w:tr>
        <w:tc>
          <w:tcPr>
            <w:tcW w:type="dxa" w:w="2922"/>
            <w:shd w:fill="F3F5F7"/>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8"/>
              </w:rPr>
              <w:t>Ch. 5 — Social Media, Boundaries, and Digital Ethics</w:t>
              <w:br/>
              <w:t>Former Client Boundary</w:t>
            </w:r>
          </w:p>
        </w:tc>
        <w:tc>
          <w:tcPr>
            <w:tcW w:type="dxa" w:w="3287"/>
            <w:shd w:fill="F3F5F7"/>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8"/>
              </w:rPr>
              <w:t>Former does not mean ordinary. Confidentiality survives termination.</w:t>
            </w:r>
          </w:p>
        </w:tc>
        <w:tc>
          <w:tcPr>
            <w:tcW w:type="dxa" w:w="3871"/>
            <w:shd w:fill="F3F5F7"/>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8"/>
              </w:rPr>
              <w:t>The timing, former treatment, client vulnerability, potential future care, and public association may remain relevant.</w:t>
            </w:r>
          </w:p>
        </w:tc>
      </w:tr>
      <w:tr>
        <w:tc>
          <w:tcPr>
            <w:tcW w:type="dxa" w:w="2922"/>
            <w:shd w:fill="FFFFFF"/>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8"/>
              </w:rPr>
              <w:t>Ch. 6 — Technology Risk Management and Compliance</w:t>
              <w:br/>
              <w:t>Incident vs. Breach</w:t>
            </w:r>
          </w:p>
        </w:tc>
        <w:tc>
          <w:tcPr>
            <w:tcW w:type="dxa" w:w="3287"/>
            <w:shd w:fill="FFFFFF"/>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8"/>
              </w:rPr>
              <w:t>Do not confuse “respond immediately” with “automatically report to every authority.”</w:t>
            </w:r>
          </w:p>
        </w:tc>
        <w:tc>
          <w:tcPr>
            <w:tcW w:type="dxa" w:w="3871"/>
            <w:shd w:fill="FFFFFF"/>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8"/>
              </w:rPr>
              <w:t>An incident triggers prompt containment and investigation; notification depends on the applicable legal definition and the facts.</w:t>
            </w:r>
          </w:p>
        </w:tc>
      </w:tr>
    </w:tbl>
    <w:tbl>
      <w:tblPr>
        <w:tblW w:type="dxa" w:w="10080"/>
        <w:jc w:val="center"/>
        <w:tblLayout w:type="fixed"/>
        <w:tblLook w:firstColumn="1" w:firstRow="1" w:lastColumn="0" w:lastRow="0" w:noHBand="0" w:noVBand="1" w:val="04A0"/>
        <w:tblInd w:type="dxa" w:w="0"/>
      </w:tblPr>
      <w:tblGrid>
        <w:gridCol w:w="10080"/>
      </w:tblGrid>
      <w:tr>
        <w:tc>
          <w:tcPr>
            <w:tcW w:type="dxa" w:w="10080"/>
            <w:shd w:fill="EAF0F6"/>
            <w:tcBorders>
              <w:top w:val="single" w:sz="10" w:color="17325C"/>
              <w:left w:val="single" w:sz="10" w:color="17325C"/>
              <w:bottom w:val="single" w:sz="10" w:color="17325C"/>
              <w:right w:val="single" w:sz="10" w:color="17325C"/>
            </w:tcBorders>
            <w:tcMar>
              <w:top w:w="100" w:type="dxa"/>
              <w:start w:w="130" w:type="dxa"/>
              <w:bottom w:w="100" w:type="dxa"/>
              <w:end w:w="130" w:type="dxa"/>
            </w:tcMar>
          </w:tcPr>
          <w:p>
            <w:pPr>
              <w:spacing w:before="0" w:after="40" w:line="240" w:lineRule="auto"/>
            </w:pPr>
            <w:r>
              <w:rPr>
                <w:rFonts w:ascii="Arial" w:hAnsi="Arial" w:eastAsia="Arial"/>
                <w:b/>
                <w:i w:val="0"/>
                <w:color w:val="17325C"/>
                <w:sz w:val="20"/>
              </w:rPr>
              <w:t>RETRIEVAL PROMPT</w:t>
            </w:r>
          </w:p>
          <w:p>
            <w:pPr>
              <w:spacing w:before="0" w:after="0" w:line="254" w:lineRule="auto"/>
            </w:pPr>
            <w:r>
              <w:rPr>
                <w:rFonts w:ascii="Arial" w:hAnsi="Arial" w:eastAsia="Arial"/>
                <w:b w:val="0"/>
                <w:i w:val="0"/>
                <w:color w:val="243447"/>
                <w:sz w:val="20"/>
              </w:rPr>
              <w:t>Before turning the page, choose one row and explain how the same trap could appear in a different vignette. Name the fact that would change your answer.</w:t>
            </w:r>
          </w:p>
        </w:tc>
        <w:trPr>
          <w:tblHeader/>
        </w:trPr>
      </w:tr>
    </w:tbl>
    <w:p>
      <w:pPr>
        <w:spacing w:after="20"/>
      </w:pPr>
    </w:p>
    <w:p>
      <w:r>
        <w:br w:type="page"/>
      </w:r>
    </w:p>
    <w:p>
      <w:pPr>
        <w:spacing w:before="0" w:after="60" w:line="240" w:lineRule="auto"/>
        <w:pBdr>
          <w:bottom w:val="single" w:sz="12" w:space="3" w:color="159A9C"/>
        </w:pBdr>
      </w:pPr>
      <w:r>
        <w:rPr>
          <w:rFonts w:ascii="Arial" w:hAnsi="Arial" w:eastAsia="Arial"/>
          <w:b/>
          <w:i w:val="0"/>
          <w:color w:val="17325C"/>
          <w:sz w:val="36"/>
        </w:rPr>
        <w:t>Workbook 3: Professional Competence</w:t>
      </w:r>
    </w:p>
    <w:p>
      <w:pPr>
        <w:spacing w:before="0" w:after="140" w:line="240" w:lineRule="auto"/>
      </w:pPr>
      <w:r>
        <w:rPr>
          <w:rFonts w:ascii="Arial" w:hAnsi="Arial" w:eastAsia="Arial"/>
          <w:b w:val="0"/>
          <w:i/>
          <w:color w:val="657487"/>
          <w:sz w:val="20"/>
        </w:rPr>
        <w:t>Core chapter traps and correction rules — Part 1</w:t>
      </w:r>
    </w:p>
    <w:tbl>
      <w:tblPr>
        <w:tblW w:type="dxa" w:w="10080"/>
        <w:jc w:val="center"/>
        <w:tblLayout w:type="fixed"/>
        <w:tblLook w:firstColumn="1" w:firstRow="1" w:lastColumn="0" w:lastRow="0" w:noHBand="0" w:noVBand="1" w:val="04A0"/>
        <w:tblInd w:type="dxa" w:w="0"/>
      </w:tblPr>
      <w:tblGrid>
        <w:gridCol w:w="2922"/>
        <w:gridCol w:w="3287"/>
        <w:gridCol w:w="3871"/>
      </w:tblGrid>
      <w:tr>
        <w:tc>
          <w:tcPr>
            <w:tcW w:type="dxa" w:w="2922"/>
            <w:shd w:fill="17325C"/>
            <w:tcBorders>
              <w:top w:val="single" w:sz="6" w:color="17325C"/>
              <w:left w:val="single" w:sz="6" w:color="17325C"/>
              <w:bottom w:val="single" w:sz="6" w:color="17325C"/>
              <w:right w:val="single" w:sz="6" w:color="17325C"/>
            </w:tcBorders>
            <w:tcMar>
              <w:top w:w="75" w:type="dxa"/>
              <w:start w:w="85" w:type="dxa"/>
              <w:bottom w:w="75" w:type="dxa"/>
              <w:end w:w="85" w:type="dxa"/>
            </w:tcMar>
            <w:vAlign w:val="center"/>
          </w:tcPr>
          <w:p>
            <w:pPr>
              <w:spacing w:before="0" w:after="0" w:line="240" w:lineRule="auto"/>
              <w:jc w:val="center"/>
            </w:pPr>
            <w:r>
              <w:rPr>
                <w:rFonts w:ascii="Arial" w:hAnsi="Arial" w:eastAsia="Arial"/>
                <w:b/>
                <w:i w:val="0"/>
                <w:color w:val="FFFFFF"/>
                <w:sz w:val="18"/>
              </w:rPr>
              <w:t>Chapter / Trap or Distinction</w:t>
            </w:r>
          </w:p>
        </w:tc>
        <w:tc>
          <w:tcPr>
            <w:tcW w:type="dxa" w:w="3287"/>
            <w:shd w:fill="17325C"/>
            <w:tcBorders>
              <w:top w:val="single" w:sz="6" w:color="17325C"/>
              <w:left w:val="single" w:sz="6" w:color="17325C"/>
              <w:bottom w:val="single" w:sz="6" w:color="17325C"/>
              <w:right w:val="single" w:sz="6" w:color="17325C"/>
            </w:tcBorders>
            <w:tcMar>
              <w:top w:w="75" w:type="dxa"/>
              <w:start w:w="85" w:type="dxa"/>
              <w:bottom w:w="75" w:type="dxa"/>
              <w:end w:w="85" w:type="dxa"/>
            </w:tcMar>
            <w:vAlign w:val="center"/>
          </w:tcPr>
          <w:p>
            <w:pPr>
              <w:spacing w:before="0" w:after="0" w:line="240" w:lineRule="auto"/>
              <w:jc w:val="center"/>
            </w:pPr>
            <w:r>
              <w:rPr>
                <w:rFonts w:ascii="Arial" w:hAnsi="Arial" w:eastAsia="Arial"/>
                <w:b/>
                <w:i w:val="0"/>
                <w:color w:val="FFFFFF"/>
                <w:sz w:val="18"/>
              </w:rPr>
              <w:t>Correction Rule</w:t>
            </w:r>
          </w:p>
        </w:tc>
        <w:tc>
          <w:tcPr>
            <w:tcW w:type="dxa" w:w="3871"/>
            <w:shd w:fill="17325C"/>
            <w:tcBorders>
              <w:top w:val="single" w:sz="6" w:color="17325C"/>
              <w:left w:val="single" w:sz="6" w:color="17325C"/>
              <w:bottom w:val="single" w:sz="6" w:color="17325C"/>
              <w:right w:val="single" w:sz="6" w:color="17325C"/>
            </w:tcBorders>
            <w:tcMar>
              <w:top w:w="75" w:type="dxa"/>
              <w:start w:w="85" w:type="dxa"/>
              <w:bottom w:w="75" w:type="dxa"/>
              <w:end w:w="85" w:type="dxa"/>
            </w:tcMar>
            <w:vAlign w:val="center"/>
          </w:tcPr>
          <w:p>
            <w:pPr>
              <w:spacing w:before="0" w:after="0" w:line="240" w:lineRule="auto"/>
              <w:jc w:val="center"/>
            </w:pPr>
            <w:r>
              <w:rPr>
                <w:rFonts w:ascii="Arial" w:hAnsi="Arial" w:eastAsia="Arial"/>
                <w:b/>
                <w:i w:val="0"/>
                <w:color w:val="FFFFFF"/>
                <w:sz w:val="18"/>
              </w:rPr>
              <w:t>Why It Matters</w:t>
            </w:r>
          </w:p>
        </w:tc>
        <w:trPr>
          <w:tblHeader/>
        </w:trPr>
      </w:tr>
      <w:tr>
        <w:tc>
          <w:tcPr>
            <w:tcW w:type="dxa" w:w="2922"/>
            <w:shd w:fill="FFFFFF"/>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8"/>
              </w:rPr>
              <w:t>Ch. 1 — Professional Competence Foundations</w:t>
              <w:br/>
              <w:t>Knowledge Exposure vs. Practical Skill</w:t>
            </w:r>
          </w:p>
        </w:tc>
        <w:tc>
          <w:tcPr>
            <w:tcW w:type="dxa" w:w="3287"/>
            <w:shd w:fill="FFFFFF"/>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8"/>
              </w:rPr>
              <w:t>Distinguish learning about a treatment from being prepared to deliver it competently.</w:t>
            </w:r>
          </w:p>
        </w:tc>
        <w:tc>
          <w:tcPr>
            <w:tcW w:type="dxa" w:w="3871"/>
            <w:shd w:fill="FFFFFF"/>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8"/>
              </w:rPr>
              <w:t>Evaluate whether the intervention requires additional knowledge, practical training, supervised experience, or other preparation before use</w:t>
            </w:r>
          </w:p>
        </w:tc>
      </w:tr>
      <w:tr>
        <w:tc>
          <w:tcPr>
            <w:tcW w:type="dxa" w:w="2922"/>
            <w:shd w:fill="F3F5F7"/>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8"/>
              </w:rPr>
              <w:t>Ch. 2 — Scope of Practice vs. Scope of Competence</w:t>
              <w:br/>
              <w:t>S-C-A Gate Sequence</w:t>
            </w:r>
          </w:p>
        </w:tc>
        <w:tc>
          <w:tcPr>
            <w:tcW w:type="dxa" w:w="3287"/>
            <w:shd w:fill="F3F5F7"/>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8"/>
              </w:rPr>
              <w:t>Use S-C-A in order: profession Scope → individual Competence → present Authority. A service being within clinical-social-work scope does not prove the individual is competent or presently authorized to provide it.</w:t>
            </w:r>
          </w:p>
        </w:tc>
        <w:tc>
          <w:tcPr>
            <w:tcW w:type="dxa" w:w="3871"/>
            <w:shd w:fill="F3F5F7"/>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8"/>
              </w:rPr>
              <w:t>This prevents the common trap of treating licensure, employer approval, consultation, or supervision as a substitute for competence and lawful present authority.</w:t>
            </w:r>
          </w:p>
        </w:tc>
      </w:tr>
      <w:tr>
        <w:tc>
          <w:tcPr>
            <w:tcW w:type="dxa" w:w="2922"/>
            <w:shd w:fill="FFFFFF"/>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8"/>
              </w:rPr>
              <w:t>Ch. 3 — Maintaining Professional Competence</w:t>
              <w:br/>
              <w:t>CE Compliance vs. Competence</w:t>
            </w:r>
          </w:p>
        </w:tc>
        <w:tc>
          <w:tcPr>
            <w:tcW w:type="dxa" w:w="3287"/>
            <w:shd w:fill="FFFFFF"/>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8"/>
              </w:rPr>
              <w:t>Separate CE compliance from whether the education actually addresses current practice.</w:t>
            </w:r>
          </w:p>
        </w:tc>
        <w:tc>
          <w:tcPr>
            <w:tcW w:type="dxa" w:w="3871"/>
            <w:shd w:fill="FFFFFF"/>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8"/>
              </w:rPr>
              <w:t>The social worker may be meeting a renewal requirement without addressing actual competence needs.</w:t>
            </w:r>
          </w:p>
        </w:tc>
      </w:tr>
    </w:tbl>
    <w:tbl>
      <w:tblPr>
        <w:tblW w:type="dxa" w:w="10080"/>
        <w:jc w:val="center"/>
        <w:tblLayout w:type="fixed"/>
        <w:tblLook w:firstColumn="1" w:firstRow="1" w:lastColumn="0" w:lastRow="0" w:noHBand="0" w:noVBand="1" w:val="04A0"/>
        <w:tblInd w:type="dxa" w:w="0"/>
      </w:tblPr>
      <w:tblGrid>
        <w:gridCol w:w="10080"/>
      </w:tblGrid>
      <w:tr>
        <w:tc>
          <w:tcPr>
            <w:tcW w:type="dxa" w:w="10080"/>
            <w:shd w:fill="EAF0F6"/>
            <w:tcBorders>
              <w:top w:val="single" w:sz="10" w:color="17325C"/>
              <w:left w:val="single" w:sz="10" w:color="17325C"/>
              <w:bottom w:val="single" w:sz="10" w:color="17325C"/>
              <w:right w:val="single" w:sz="10" w:color="17325C"/>
            </w:tcBorders>
            <w:tcMar>
              <w:top w:w="100" w:type="dxa"/>
              <w:start w:w="130" w:type="dxa"/>
              <w:bottom w:w="100" w:type="dxa"/>
              <w:end w:w="130" w:type="dxa"/>
            </w:tcMar>
          </w:tcPr>
          <w:p>
            <w:pPr>
              <w:spacing w:before="0" w:after="40" w:line="240" w:lineRule="auto"/>
            </w:pPr>
            <w:r>
              <w:rPr>
                <w:rFonts w:ascii="Arial" w:hAnsi="Arial" w:eastAsia="Arial"/>
                <w:b/>
                <w:i w:val="0"/>
                <w:color w:val="17325C"/>
                <w:sz w:val="20"/>
              </w:rPr>
              <w:t>RETRIEVAL PROMPT</w:t>
            </w:r>
          </w:p>
          <w:p>
            <w:pPr>
              <w:spacing w:before="0" w:after="0" w:line="254" w:lineRule="auto"/>
            </w:pPr>
            <w:r>
              <w:rPr>
                <w:rFonts w:ascii="Arial" w:hAnsi="Arial" w:eastAsia="Arial"/>
                <w:b w:val="0"/>
                <w:i w:val="0"/>
                <w:color w:val="243447"/>
                <w:sz w:val="20"/>
              </w:rPr>
              <w:t>Before turning the page, choose one row and explain how the same trap could appear in a different vignette. Name the fact that would change your answer.</w:t>
            </w:r>
          </w:p>
        </w:tc>
        <w:trPr>
          <w:tblHeader/>
        </w:trPr>
      </w:tr>
    </w:tbl>
    <w:p>
      <w:pPr>
        <w:spacing w:after="20"/>
      </w:pPr>
    </w:p>
    <w:p>
      <w:r>
        <w:br w:type="page"/>
      </w:r>
    </w:p>
    <w:p>
      <w:pPr>
        <w:spacing w:before="0" w:after="60" w:line="240" w:lineRule="auto"/>
        <w:pBdr>
          <w:bottom w:val="single" w:sz="12" w:space="3" w:color="159A9C"/>
        </w:pBdr>
      </w:pPr>
      <w:r>
        <w:rPr>
          <w:rFonts w:ascii="Arial" w:hAnsi="Arial" w:eastAsia="Arial"/>
          <w:b/>
          <w:i w:val="0"/>
          <w:color w:val="17325C"/>
          <w:sz w:val="36"/>
        </w:rPr>
        <w:t>Workbook 3: Professional Competence</w:t>
      </w:r>
    </w:p>
    <w:p>
      <w:pPr>
        <w:spacing w:before="0" w:after="140" w:line="240" w:lineRule="auto"/>
      </w:pPr>
      <w:r>
        <w:rPr>
          <w:rFonts w:ascii="Arial" w:hAnsi="Arial" w:eastAsia="Arial"/>
          <w:b w:val="0"/>
          <w:i/>
          <w:color w:val="657487"/>
          <w:sz w:val="20"/>
        </w:rPr>
        <w:t>Core chapter traps and correction rules — Part 2</w:t>
      </w:r>
    </w:p>
    <w:tbl>
      <w:tblPr>
        <w:tblW w:type="dxa" w:w="10080"/>
        <w:jc w:val="center"/>
        <w:tblLayout w:type="fixed"/>
        <w:tblLook w:firstColumn="1" w:firstRow="1" w:lastColumn="0" w:lastRow="0" w:noHBand="0" w:noVBand="1" w:val="04A0"/>
        <w:tblInd w:type="dxa" w:w="0"/>
      </w:tblPr>
      <w:tblGrid>
        <w:gridCol w:w="2922"/>
        <w:gridCol w:w="3287"/>
        <w:gridCol w:w="3871"/>
      </w:tblGrid>
      <w:tr>
        <w:tc>
          <w:tcPr>
            <w:tcW w:type="dxa" w:w="2922"/>
            <w:shd w:fill="17325C"/>
            <w:tcBorders>
              <w:top w:val="single" w:sz="6" w:color="17325C"/>
              <w:left w:val="single" w:sz="6" w:color="17325C"/>
              <w:bottom w:val="single" w:sz="6" w:color="17325C"/>
              <w:right w:val="single" w:sz="6" w:color="17325C"/>
            </w:tcBorders>
            <w:tcMar>
              <w:top w:w="75" w:type="dxa"/>
              <w:start w:w="85" w:type="dxa"/>
              <w:bottom w:w="75" w:type="dxa"/>
              <w:end w:w="85" w:type="dxa"/>
            </w:tcMar>
            <w:vAlign w:val="center"/>
          </w:tcPr>
          <w:p>
            <w:pPr>
              <w:spacing w:before="0" w:after="0" w:line="240" w:lineRule="auto"/>
              <w:jc w:val="center"/>
            </w:pPr>
            <w:r>
              <w:rPr>
                <w:rFonts w:ascii="Arial" w:hAnsi="Arial" w:eastAsia="Arial"/>
                <w:b/>
                <w:i w:val="0"/>
                <w:color w:val="FFFFFF"/>
                <w:sz w:val="18"/>
              </w:rPr>
              <w:t>Chapter / Trap or Distinction</w:t>
            </w:r>
          </w:p>
        </w:tc>
        <w:tc>
          <w:tcPr>
            <w:tcW w:type="dxa" w:w="3287"/>
            <w:shd w:fill="17325C"/>
            <w:tcBorders>
              <w:top w:val="single" w:sz="6" w:color="17325C"/>
              <w:left w:val="single" w:sz="6" w:color="17325C"/>
              <w:bottom w:val="single" w:sz="6" w:color="17325C"/>
              <w:right w:val="single" w:sz="6" w:color="17325C"/>
            </w:tcBorders>
            <w:tcMar>
              <w:top w:w="75" w:type="dxa"/>
              <w:start w:w="85" w:type="dxa"/>
              <w:bottom w:w="75" w:type="dxa"/>
              <w:end w:w="85" w:type="dxa"/>
            </w:tcMar>
            <w:vAlign w:val="center"/>
          </w:tcPr>
          <w:p>
            <w:pPr>
              <w:spacing w:before="0" w:after="0" w:line="240" w:lineRule="auto"/>
              <w:jc w:val="center"/>
            </w:pPr>
            <w:r>
              <w:rPr>
                <w:rFonts w:ascii="Arial" w:hAnsi="Arial" w:eastAsia="Arial"/>
                <w:b/>
                <w:i w:val="0"/>
                <w:color w:val="FFFFFF"/>
                <w:sz w:val="18"/>
              </w:rPr>
              <w:t>Correction Rule</w:t>
            </w:r>
          </w:p>
        </w:tc>
        <w:tc>
          <w:tcPr>
            <w:tcW w:type="dxa" w:w="3871"/>
            <w:shd w:fill="17325C"/>
            <w:tcBorders>
              <w:top w:val="single" w:sz="6" w:color="17325C"/>
              <w:left w:val="single" w:sz="6" w:color="17325C"/>
              <w:bottom w:val="single" w:sz="6" w:color="17325C"/>
              <w:right w:val="single" w:sz="6" w:color="17325C"/>
            </w:tcBorders>
            <w:tcMar>
              <w:top w:w="75" w:type="dxa"/>
              <w:start w:w="85" w:type="dxa"/>
              <w:bottom w:w="75" w:type="dxa"/>
              <w:end w:w="85" w:type="dxa"/>
            </w:tcMar>
            <w:vAlign w:val="center"/>
          </w:tcPr>
          <w:p>
            <w:pPr>
              <w:spacing w:before="0" w:after="0" w:line="240" w:lineRule="auto"/>
              <w:jc w:val="center"/>
            </w:pPr>
            <w:r>
              <w:rPr>
                <w:rFonts w:ascii="Arial" w:hAnsi="Arial" w:eastAsia="Arial"/>
                <w:b/>
                <w:i w:val="0"/>
                <w:color w:val="FFFFFF"/>
                <w:sz w:val="18"/>
              </w:rPr>
              <w:t>Why It Matters</w:t>
            </w:r>
          </w:p>
        </w:tc>
        <w:trPr>
          <w:tblHeader/>
        </w:trPr>
      </w:tr>
      <w:tr>
        <w:tc>
          <w:tcPr>
            <w:tcW w:type="dxa" w:w="2922"/>
            <w:shd w:fill="FFFFFF"/>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8"/>
              </w:rPr>
              <w:t>Ch. 4 — Consultation and Seeking Professional Assistance</w:t>
              <w:br/>
              <w:t>Legal Consultation and Records Request</w:t>
            </w:r>
          </w:p>
        </w:tc>
        <w:tc>
          <w:tcPr>
            <w:tcW w:type="dxa" w:w="3287"/>
            <w:shd w:fill="FFFFFF"/>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8"/>
              </w:rPr>
              <w:t>When a legal document is ambiguous, do not choose automatic disclosure or automatic refusal; preserve and verify.</w:t>
            </w:r>
          </w:p>
        </w:tc>
        <w:tc>
          <w:tcPr>
            <w:tcW w:type="dxa" w:w="3871"/>
            <w:shd w:fill="FFFFFF"/>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8"/>
              </w:rPr>
              <w:t>The social worker should protect the information, assess validity and jurisdiction, and obtain issue-specific legal guidance. A friend’s clinical license does not make the friend legal counsel.</w:t>
            </w:r>
          </w:p>
        </w:tc>
      </w:tr>
      <w:tr>
        <w:tc>
          <w:tcPr>
            <w:tcW w:type="dxa" w:w="2922"/>
            <w:shd w:fill="F3F5F7"/>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8"/>
              </w:rPr>
              <w:t>Ch. 5 — Clinical Supervision, Feedback, and Accountability</w:t>
              <w:br/>
              <w:t>Refusal to Sign Future Hours</w:t>
            </w:r>
          </w:p>
        </w:tc>
        <w:tc>
          <w:tcPr>
            <w:tcW w:type="dxa" w:w="3287"/>
            <w:shd w:fill="F3F5F7"/>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8"/>
              </w:rPr>
              <w:t>This is a precise notice rule. Do not replace it with broad assumptions about supervisor discretion or automatic loss of hours.</w:t>
            </w:r>
          </w:p>
        </w:tc>
        <w:tc>
          <w:tcPr>
            <w:tcW w:type="dxa" w:w="3871"/>
            <w:shd w:fill="F3F5F7"/>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8"/>
              </w:rPr>
              <w:t>The current BBS Supervision Agreement requires at least one week of prior written notice before the supervisor refuses further hours and protects good-faith hours when notice was not given.</w:t>
            </w:r>
          </w:p>
        </w:tc>
      </w:tr>
      <w:tr>
        <w:tc>
          <w:tcPr>
            <w:tcW w:type="dxa" w:w="2922"/>
            <w:shd w:fill="FFFFFF"/>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8"/>
              </w:rPr>
              <w:t>Ch. 6 — Professional Roles and Role Clarification</w:t>
              <w:br/>
              <w:t>Retaining Party vs. Client</w:t>
            </w:r>
          </w:p>
        </w:tc>
        <w:tc>
          <w:tcPr>
            <w:tcW w:type="dxa" w:w="3287"/>
            <w:shd w:fill="FFFFFF"/>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8"/>
              </w:rPr>
              <w:t>Do not equate payer, requester, client, evaluee, privilege holder, and report recipient. Clarify each role.</w:t>
            </w:r>
          </w:p>
        </w:tc>
        <w:tc>
          <w:tcPr>
            <w:tcW w:type="dxa" w:w="3871"/>
            <w:shd w:fill="FFFFFF"/>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8"/>
              </w:rPr>
              <w:t>Payment alone does not answer client status, confidentiality, authorization, report scope, or legal rights.</w:t>
            </w:r>
          </w:p>
        </w:tc>
      </w:tr>
    </w:tbl>
    <w:tbl>
      <w:tblPr>
        <w:tblW w:type="dxa" w:w="10080"/>
        <w:jc w:val="center"/>
        <w:tblLayout w:type="fixed"/>
        <w:tblLook w:firstColumn="1" w:firstRow="1" w:lastColumn="0" w:lastRow="0" w:noHBand="0" w:noVBand="1" w:val="04A0"/>
        <w:tblInd w:type="dxa" w:w="0"/>
      </w:tblPr>
      <w:tblGrid>
        <w:gridCol w:w="10080"/>
      </w:tblGrid>
      <w:tr>
        <w:tc>
          <w:tcPr>
            <w:tcW w:type="dxa" w:w="10080"/>
            <w:shd w:fill="EAF0F6"/>
            <w:tcBorders>
              <w:top w:val="single" w:sz="10" w:color="17325C"/>
              <w:left w:val="single" w:sz="10" w:color="17325C"/>
              <w:bottom w:val="single" w:sz="10" w:color="17325C"/>
              <w:right w:val="single" w:sz="10" w:color="17325C"/>
            </w:tcBorders>
            <w:tcMar>
              <w:top w:w="100" w:type="dxa"/>
              <w:start w:w="130" w:type="dxa"/>
              <w:bottom w:w="100" w:type="dxa"/>
              <w:end w:w="130" w:type="dxa"/>
            </w:tcMar>
          </w:tcPr>
          <w:p>
            <w:pPr>
              <w:spacing w:before="0" w:after="40" w:line="240" w:lineRule="auto"/>
            </w:pPr>
            <w:r>
              <w:rPr>
                <w:rFonts w:ascii="Arial" w:hAnsi="Arial" w:eastAsia="Arial"/>
                <w:b/>
                <w:i w:val="0"/>
                <w:color w:val="17325C"/>
                <w:sz w:val="20"/>
              </w:rPr>
              <w:t>RETRIEVAL PROMPT</w:t>
            </w:r>
          </w:p>
          <w:p>
            <w:pPr>
              <w:spacing w:before="0" w:after="0" w:line="254" w:lineRule="auto"/>
            </w:pPr>
            <w:r>
              <w:rPr>
                <w:rFonts w:ascii="Arial" w:hAnsi="Arial" w:eastAsia="Arial"/>
                <w:b w:val="0"/>
                <w:i w:val="0"/>
                <w:color w:val="243447"/>
                <w:sz w:val="20"/>
              </w:rPr>
              <w:t>Before turning the page, choose one row and explain how the same trap could appear in a different vignette. Name the fact that would change your answer.</w:t>
            </w:r>
          </w:p>
        </w:tc>
        <w:trPr>
          <w:tblHeader/>
        </w:trPr>
      </w:tr>
    </w:tbl>
    <w:p>
      <w:pPr>
        <w:spacing w:after="20"/>
      </w:pPr>
    </w:p>
    <w:p>
      <w:r>
        <w:br w:type="page"/>
      </w:r>
    </w:p>
    <w:p>
      <w:pPr>
        <w:spacing w:before="0" w:after="60" w:line="240" w:lineRule="auto"/>
        <w:pBdr>
          <w:bottom w:val="single" w:sz="12" w:space="3" w:color="159A9C"/>
        </w:pBdr>
      </w:pPr>
      <w:r>
        <w:rPr>
          <w:rFonts w:ascii="Arial" w:hAnsi="Arial" w:eastAsia="Arial"/>
          <w:b/>
          <w:i w:val="0"/>
          <w:color w:val="17325C"/>
          <w:sz w:val="36"/>
        </w:rPr>
        <w:t>Workbook 4: Professional Impairment</w:t>
      </w:r>
    </w:p>
    <w:p>
      <w:pPr>
        <w:spacing w:before="0" w:after="140" w:line="240" w:lineRule="auto"/>
      </w:pPr>
      <w:r>
        <w:rPr>
          <w:rFonts w:ascii="Arial" w:hAnsi="Arial" w:eastAsia="Arial"/>
          <w:b w:val="0"/>
          <w:i/>
          <w:color w:val="657487"/>
          <w:sz w:val="20"/>
        </w:rPr>
        <w:t>Core chapter traps and correction rules</w:t>
      </w:r>
    </w:p>
    <w:tbl>
      <w:tblPr>
        <w:tblW w:type="dxa" w:w="10080"/>
        <w:jc w:val="center"/>
        <w:tblLayout w:type="fixed"/>
        <w:tblLook w:firstColumn="1" w:firstRow="1" w:lastColumn="0" w:lastRow="0" w:noHBand="0" w:noVBand="1" w:val="04A0"/>
        <w:tblInd w:type="dxa" w:w="0"/>
      </w:tblPr>
      <w:tblGrid>
        <w:gridCol w:w="2922"/>
        <w:gridCol w:w="3287"/>
        <w:gridCol w:w="3871"/>
      </w:tblGrid>
      <w:tr>
        <w:tc>
          <w:tcPr>
            <w:tcW w:type="dxa" w:w="2922"/>
            <w:shd w:fill="17325C"/>
            <w:tcBorders>
              <w:top w:val="single" w:sz="6" w:color="17325C"/>
              <w:left w:val="single" w:sz="6" w:color="17325C"/>
              <w:bottom w:val="single" w:sz="6" w:color="17325C"/>
              <w:right w:val="single" w:sz="6" w:color="17325C"/>
            </w:tcBorders>
            <w:tcMar>
              <w:top w:w="75" w:type="dxa"/>
              <w:start w:w="85" w:type="dxa"/>
              <w:bottom w:w="75" w:type="dxa"/>
              <w:end w:w="85" w:type="dxa"/>
            </w:tcMar>
            <w:vAlign w:val="center"/>
          </w:tcPr>
          <w:p>
            <w:pPr>
              <w:spacing w:before="0" w:after="0" w:line="240" w:lineRule="auto"/>
              <w:jc w:val="center"/>
            </w:pPr>
            <w:r>
              <w:rPr>
                <w:rFonts w:ascii="Arial" w:hAnsi="Arial" w:eastAsia="Arial"/>
                <w:b/>
                <w:i w:val="0"/>
                <w:color w:val="FFFFFF"/>
                <w:sz w:val="18"/>
              </w:rPr>
              <w:t>Chapter / Trap or Distinction</w:t>
            </w:r>
          </w:p>
        </w:tc>
        <w:tc>
          <w:tcPr>
            <w:tcW w:type="dxa" w:w="3287"/>
            <w:shd w:fill="17325C"/>
            <w:tcBorders>
              <w:top w:val="single" w:sz="6" w:color="17325C"/>
              <w:left w:val="single" w:sz="6" w:color="17325C"/>
              <w:bottom w:val="single" w:sz="6" w:color="17325C"/>
              <w:right w:val="single" w:sz="6" w:color="17325C"/>
            </w:tcBorders>
            <w:tcMar>
              <w:top w:w="75" w:type="dxa"/>
              <w:start w:w="85" w:type="dxa"/>
              <w:bottom w:w="75" w:type="dxa"/>
              <w:end w:w="85" w:type="dxa"/>
            </w:tcMar>
            <w:vAlign w:val="center"/>
          </w:tcPr>
          <w:p>
            <w:pPr>
              <w:spacing w:before="0" w:after="0" w:line="240" w:lineRule="auto"/>
              <w:jc w:val="center"/>
            </w:pPr>
            <w:r>
              <w:rPr>
                <w:rFonts w:ascii="Arial" w:hAnsi="Arial" w:eastAsia="Arial"/>
                <w:b/>
                <w:i w:val="0"/>
                <w:color w:val="FFFFFF"/>
                <w:sz w:val="18"/>
              </w:rPr>
              <w:t>Correction Rule</w:t>
            </w:r>
          </w:p>
        </w:tc>
        <w:tc>
          <w:tcPr>
            <w:tcW w:type="dxa" w:w="3871"/>
            <w:shd w:fill="17325C"/>
            <w:tcBorders>
              <w:top w:val="single" w:sz="6" w:color="17325C"/>
              <w:left w:val="single" w:sz="6" w:color="17325C"/>
              <w:bottom w:val="single" w:sz="6" w:color="17325C"/>
              <w:right w:val="single" w:sz="6" w:color="17325C"/>
            </w:tcBorders>
            <w:tcMar>
              <w:top w:w="75" w:type="dxa"/>
              <w:start w:w="85" w:type="dxa"/>
              <w:bottom w:w="75" w:type="dxa"/>
              <w:end w:w="85" w:type="dxa"/>
            </w:tcMar>
            <w:vAlign w:val="center"/>
          </w:tcPr>
          <w:p>
            <w:pPr>
              <w:spacing w:before="0" w:after="0" w:line="240" w:lineRule="auto"/>
              <w:jc w:val="center"/>
            </w:pPr>
            <w:r>
              <w:rPr>
                <w:rFonts w:ascii="Arial" w:hAnsi="Arial" w:eastAsia="Arial"/>
                <w:b/>
                <w:i w:val="0"/>
                <w:color w:val="FFFFFF"/>
                <w:sz w:val="18"/>
              </w:rPr>
              <w:t>Why It Matters</w:t>
            </w:r>
          </w:p>
        </w:tc>
        <w:trPr>
          <w:tblHeader/>
        </w:trPr>
      </w:tr>
      <w:tr>
        <w:tc>
          <w:tcPr>
            <w:tcW w:type="dxa" w:w="2922"/>
            <w:shd w:fill="FFFFFF"/>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7"/>
              </w:rPr>
              <w:t>Ch. 1 — Recognizing Professional Impairment</w:t>
              <w:br/>
              <w:t>Impairment vs. Incompetence</w:t>
            </w:r>
          </w:p>
        </w:tc>
        <w:tc>
          <w:tcPr>
            <w:tcW w:type="dxa" w:w="3287"/>
            <w:shd w:fill="FFFFFF"/>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7"/>
              </w:rPr>
              <w:t>Identify whether the question is asking about the cause of decline or the clinician’s actual ability to perform.</w:t>
            </w:r>
          </w:p>
        </w:tc>
        <w:tc>
          <w:tcPr>
            <w:tcW w:type="dxa" w:w="3871"/>
            <w:shd w:fill="FFFFFF"/>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7"/>
              </w:rPr>
              <w:t>Impairment is one possible source of reduced ability, not the only source.</w:t>
            </w:r>
          </w:p>
        </w:tc>
      </w:tr>
      <w:tr>
        <w:tc>
          <w:tcPr>
            <w:tcW w:type="dxa" w:w="2922"/>
            <w:shd w:fill="F3F5F7"/>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7"/>
              </w:rPr>
              <w:t>Ch. 2 — Substance Use and Professional Impairment</w:t>
              <w:br/>
              <w:t>Legal Status vs. Safe Practice</w:t>
            </w:r>
          </w:p>
        </w:tc>
        <w:tc>
          <w:tcPr>
            <w:tcW w:type="dxa" w:w="3287"/>
            <w:shd w:fill="F3F5F7"/>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7"/>
              </w:rPr>
              <w:t>Do not confuse lawful possession or use with professional fitness for a specific duty.</w:t>
            </w:r>
          </w:p>
        </w:tc>
        <w:tc>
          <w:tcPr>
            <w:tcW w:type="dxa" w:w="3871"/>
            <w:shd w:fill="F3F5F7"/>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7"/>
              </w:rPr>
              <w:t>Safe professional functioning remains the controlling issue.</w:t>
            </w:r>
          </w:p>
        </w:tc>
      </w:tr>
      <w:tr>
        <w:tc>
          <w:tcPr>
            <w:tcW w:type="dxa" w:w="2922"/>
            <w:shd w:fill="FFFFFF"/>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7"/>
              </w:rPr>
              <w:t>Ch. 3 — Mental Health, Burnout, and Compassion Fatigue</w:t>
              <w:br/>
              <w:t>Single Sign vs. Pattern</w:t>
            </w:r>
          </w:p>
        </w:tc>
        <w:tc>
          <w:tcPr>
            <w:tcW w:type="dxa" w:w="3287"/>
            <w:shd w:fill="FFFFFF"/>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7"/>
              </w:rPr>
              <w:t>Avoid converting one difficult moment into an impairment finding.</w:t>
            </w:r>
          </w:p>
        </w:tc>
        <w:tc>
          <w:tcPr>
            <w:tcW w:type="dxa" w:w="3871"/>
            <w:shd w:fill="FFFFFF"/>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7"/>
              </w:rPr>
              <w:t>Pattern, persistence, severity, and professional effect matter more than one isolated nonspecific observation.</w:t>
            </w:r>
          </w:p>
        </w:tc>
      </w:tr>
      <w:tr>
        <w:tc>
          <w:tcPr>
            <w:tcW w:type="dxa" w:w="2922"/>
            <w:shd w:fill="F3F5F7"/>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7"/>
              </w:rPr>
              <w:t>Ch. 4 — Physical Conditions, Fatigue, and Professional Functioning</w:t>
              <w:br/>
              <w:t>Driving, Fatigue, and Client Safety</w:t>
            </w:r>
          </w:p>
        </w:tc>
        <w:tc>
          <w:tcPr>
            <w:tcW w:type="dxa" w:w="3287"/>
            <w:shd w:fill="F3F5F7"/>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7"/>
              </w:rPr>
              <w:t>High-risk transportation and crisis duties require present fitness, not merely availability.</w:t>
            </w:r>
          </w:p>
        </w:tc>
        <w:tc>
          <w:tcPr>
            <w:tcW w:type="dxa" w:w="3871"/>
            <w:shd w:fill="F3F5F7"/>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7"/>
              </w:rPr>
              <w:t>Immediate operational safety and continuity require another qualified response.</w:t>
            </w:r>
          </w:p>
        </w:tc>
      </w:tr>
      <w:tr>
        <w:tc>
          <w:tcPr>
            <w:tcW w:type="dxa" w:w="2922"/>
            <w:shd w:fill="FFFFFF"/>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7"/>
              </w:rPr>
              <w:t>Ch. 5 — Responding Ethically to Professional Impairment</w:t>
              <w:br/>
              <w:t>Reporting Precision</w:t>
            </w:r>
          </w:p>
        </w:tc>
        <w:tc>
          <w:tcPr>
            <w:tcW w:type="dxa" w:w="3287"/>
            <w:shd w:fill="FFFFFF"/>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7"/>
              </w:rPr>
              <w:t>Never invent a reporting duty. Identify the exact law, role, and facts before choosing a regulatory report.</w:t>
            </w:r>
          </w:p>
        </w:tc>
        <w:tc>
          <w:tcPr>
            <w:tcW w:type="dxa" w:w="3871"/>
            <w:shd w:fill="FFFFFF"/>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7"/>
              </w:rPr>
              <w:t>The analysis must be based on functioning, risk, role, and a specific reporting authority.</w:t>
            </w:r>
          </w:p>
        </w:tc>
      </w:tr>
    </w:tbl>
    <w:tbl>
      <w:tblPr>
        <w:tblW w:type="dxa" w:w="10080"/>
        <w:jc w:val="center"/>
        <w:tblLayout w:type="fixed"/>
        <w:tblLook w:firstColumn="1" w:firstRow="1" w:lastColumn="0" w:lastRow="0" w:noHBand="0" w:noVBand="1" w:val="04A0"/>
        <w:tblInd w:type="dxa" w:w="0"/>
      </w:tblPr>
      <w:tblGrid>
        <w:gridCol w:w="10080"/>
      </w:tblGrid>
      <w:tr>
        <w:tc>
          <w:tcPr>
            <w:tcW w:type="dxa" w:w="10080"/>
            <w:shd w:fill="EAF0F6"/>
            <w:tcBorders>
              <w:top w:val="single" w:sz="10" w:color="17325C"/>
              <w:left w:val="single" w:sz="10" w:color="17325C"/>
              <w:bottom w:val="single" w:sz="10" w:color="17325C"/>
              <w:right w:val="single" w:sz="10" w:color="17325C"/>
            </w:tcBorders>
            <w:tcMar>
              <w:top w:w="100" w:type="dxa"/>
              <w:start w:w="130" w:type="dxa"/>
              <w:bottom w:w="100" w:type="dxa"/>
              <w:end w:w="130" w:type="dxa"/>
            </w:tcMar>
          </w:tcPr>
          <w:p>
            <w:pPr>
              <w:spacing w:before="0" w:after="40" w:line="240" w:lineRule="auto"/>
            </w:pPr>
            <w:r>
              <w:rPr>
                <w:rFonts w:ascii="Arial" w:hAnsi="Arial" w:eastAsia="Arial"/>
                <w:b/>
                <w:i w:val="0"/>
                <w:color w:val="17325C"/>
                <w:sz w:val="20"/>
              </w:rPr>
              <w:t>RETRIEVAL PROMPT</w:t>
            </w:r>
          </w:p>
          <w:p>
            <w:pPr>
              <w:spacing w:before="0" w:after="0" w:line="254" w:lineRule="auto"/>
            </w:pPr>
            <w:r>
              <w:rPr>
                <w:rFonts w:ascii="Arial" w:hAnsi="Arial" w:eastAsia="Arial"/>
                <w:b w:val="0"/>
                <w:i w:val="0"/>
                <w:color w:val="243447"/>
                <w:sz w:val="20"/>
              </w:rPr>
              <w:t>Before turning the page, choose one row and explain how the same trap could appear in a different vignette. Name the fact that would change your answer.</w:t>
            </w:r>
          </w:p>
        </w:tc>
        <w:trPr>
          <w:tblHeader/>
        </w:trPr>
      </w:tr>
    </w:tbl>
    <w:p>
      <w:pPr>
        <w:spacing w:after="20"/>
      </w:pPr>
    </w:p>
    <w:p>
      <w:r>
        <w:br w:type="page"/>
      </w:r>
    </w:p>
    <w:p>
      <w:pPr>
        <w:spacing w:before="0" w:after="60" w:line="240" w:lineRule="auto"/>
        <w:pBdr>
          <w:bottom w:val="single" w:sz="12" w:space="3" w:color="159A9C"/>
        </w:pBdr>
      </w:pPr>
      <w:r>
        <w:rPr>
          <w:rFonts w:ascii="Arial" w:hAnsi="Arial" w:eastAsia="Arial"/>
          <w:b/>
          <w:i w:val="0"/>
          <w:color w:val="17325C"/>
          <w:sz w:val="36"/>
        </w:rPr>
        <w:t>Workbook 5: Client Welfare &amp; Harm Prevention</w:t>
      </w:r>
    </w:p>
    <w:p>
      <w:pPr>
        <w:spacing w:before="0" w:after="140" w:line="240" w:lineRule="auto"/>
      </w:pPr>
      <w:r>
        <w:rPr>
          <w:rFonts w:ascii="Arial" w:hAnsi="Arial" w:eastAsia="Arial"/>
          <w:b w:val="0"/>
          <w:i/>
          <w:color w:val="657487"/>
          <w:sz w:val="20"/>
        </w:rPr>
        <w:t>Core chapter traps and correction rules</w:t>
      </w:r>
    </w:p>
    <w:tbl>
      <w:tblPr>
        <w:tblW w:type="dxa" w:w="10080"/>
        <w:jc w:val="center"/>
        <w:tblLayout w:type="fixed"/>
        <w:tblLook w:firstColumn="1" w:firstRow="1" w:lastColumn="0" w:lastRow="0" w:noHBand="0" w:noVBand="1" w:val="04A0"/>
        <w:tblInd w:type="dxa" w:w="0"/>
      </w:tblPr>
      <w:tblGrid>
        <w:gridCol w:w="2922"/>
        <w:gridCol w:w="3287"/>
        <w:gridCol w:w="3871"/>
      </w:tblGrid>
      <w:tr>
        <w:tc>
          <w:tcPr>
            <w:tcW w:type="dxa" w:w="2922"/>
            <w:shd w:fill="17325C"/>
            <w:tcBorders>
              <w:top w:val="single" w:sz="6" w:color="17325C"/>
              <w:left w:val="single" w:sz="6" w:color="17325C"/>
              <w:bottom w:val="single" w:sz="6" w:color="17325C"/>
              <w:right w:val="single" w:sz="6" w:color="17325C"/>
            </w:tcBorders>
            <w:tcMar>
              <w:top w:w="75" w:type="dxa"/>
              <w:start w:w="85" w:type="dxa"/>
              <w:bottom w:w="75" w:type="dxa"/>
              <w:end w:w="85" w:type="dxa"/>
            </w:tcMar>
            <w:vAlign w:val="center"/>
          </w:tcPr>
          <w:p>
            <w:pPr>
              <w:spacing w:before="0" w:after="0" w:line="240" w:lineRule="auto"/>
              <w:jc w:val="center"/>
            </w:pPr>
            <w:r>
              <w:rPr>
                <w:rFonts w:ascii="Arial" w:hAnsi="Arial" w:eastAsia="Arial"/>
                <w:b/>
                <w:i w:val="0"/>
                <w:color w:val="FFFFFF"/>
                <w:sz w:val="18"/>
              </w:rPr>
              <w:t>Chapter / Trap or Distinction</w:t>
            </w:r>
          </w:p>
        </w:tc>
        <w:tc>
          <w:tcPr>
            <w:tcW w:type="dxa" w:w="3287"/>
            <w:shd w:fill="17325C"/>
            <w:tcBorders>
              <w:top w:val="single" w:sz="6" w:color="17325C"/>
              <w:left w:val="single" w:sz="6" w:color="17325C"/>
              <w:bottom w:val="single" w:sz="6" w:color="17325C"/>
              <w:right w:val="single" w:sz="6" w:color="17325C"/>
            </w:tcBorders>
            <w:tcMar>
              <w:top w:w="75" w:type="dxa"/>
              <w:start w:w="85" w:type="dxa"/>
              <w:bottom w:w="75" w:type="dxa"/>
              <w:end w:w="85" w:type="dxa"/>
            </w:tcMar>
            <w:vAlign w:val="center"/>
          </w:tcPr>
          <w:p>
            <w:pPr>
              <w:spacing w:before="0" w:after="0" w:line="240" w:lineRule="auto"/>
              <w:jc w:val="center"/>
            </w:pPr>
            <w:r>
              <w:rPr>
                <w:rFonts w:ascii="Arial" w:hAnsi="Arial" w:eastAsia="Arial"/>
                <w:b/>
                <w:i w:val="0"/>
                <w:color w:val="FFFFFF"/>
                <w:sz w:val="18"/>
              </w:rPr>
              <w:t>Correction Rule</w:t>
            </w:r>
          </w:p>
        </w:tc>
        <w:tc>
          <w:tcPr>
            <w:tcW w:type="dxa" w:w="3871"/>
            <w:shd w:fill="17325C"/>
            <w:tcBorders>
              <w:top w:val="single" w:sz="6" w:color="17325C"/>
              <w:left w:val="single" w:sz="6" w:color="17325C"/>
              <w:bottom w:val="single" w:sz="6" w:color="17325C"/>
              <w:right w:val="single" w:sz="6" w:color="17325C"/>
            </w:tcBorders>
            <w:tcMar>
              <w:top w:w="75" w:type="dxa"/>
              <w:start w:w="85" w:type="dxa"/>
              <w:bottom w:w="75" w:type="dxa"/>
              <w:end w:w="85" w:type="dxa"/>
            </w:tcMar>
            <w:vAlign w:val="center"/>
          </w:tcPr>
          <w:p>
            <w:pPr>
              <w:spacing w:before="0" w:after="0" w:line="240" w:lineRule="auto"/>
              <w:jc w:val="center"/>
            </w:pPr>
            <w:r>
              <w:rPr>
                <w:rFonts w:ascii="Arial" w:hAnsi="Arial" w:eastAsia="Arial"/>
                <w:b/>
                <w:i w:val="0"/>
                <w:color w:val="FFFFFF"/>
                <w:sz w:val="18"/>
              </w:rPr>
              <w:t>Why It Matters</w:t>
            </w:r>
          </w:p>
        </w:tc>
        <w:trPr>
          <w:tblHeader/>
        </w:trPr>
      </w:tr>
      <w:tr>
        <w:tc>
          <w:tcPr>
            <w:tcW w:type="dxa" w:w="2922"/>
            <w:shd w:fill="FFFFFF"/>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7"/>
              </w:rPr>
              <w:t>Ch. 1 — The Principle of Nonmaleficence</w:t>
              <w:br/>
              <w:t>Adverse Outcome vs. Wrongdoing</w:t>
            </w:r>
          </w:p>
        </w:tc>
        <w:tc>
          <w:tcPr>
            <w:tcW w:type="dxa" w:w="3287"/>
            <w:shd w:fill="FFFFFF"/>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7"/>
              </w:rPr>
              <w:t>Separate outcome from process: review care and response without assuming either fault or immunity.</w:t>
            </w:r>
          </w:p>
        </w:tc>
        <w:tc>
          <w:tcPr>
            <w:tcW w:type="dxa" w:w="3871"/>
            <w:shd w:fill="FFFFFF"/>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7"/>
              </w:rPr>
              <w:t>Outcomes matter, but wrongdoing depends on the governing rule and the reasonableness of care, monitoring, and response to new information.</w:t>
            </w:r>
          </w:p>
        </w:tc>
      </w:tr>
      <w:tr>
        <w:tc>
          <w:tcPr>
            <w:tcW w:type="dxa" w:w="2922"/>
            <w:shd w:fill="F3F5F7"/>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7"/>
              </w:rPr>
              <w:t>Ch. 2 — Avoiding and Preventing Client Harm</w:t>
              <w:br/>
              <w:t>Pattern of Warning Signs</w:t>
            </w:r>
          </w:p>
        </w:tc>
        <w:tc>
          <w:tcPr>
            <w:tcW w:type="dxa" w:w="3287"/>
            <w:shd w:fill="F3F5F7"/>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7"/>
              </w:rPr>
              <w:t>For a recurring pattern, address current client impact while investigating context and cause.</w:t>
            </w:r>
          </w:p>
        </w:tc>
        <w:tc>
          <w:tcPr>
            <w:tcW w:type="dxa" w:w="3871"/>
            <w:shd w:fill="F3F5F7"/>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7"/>
              </w:rPr>
              <w:t>Clarify the facts, assess affected clients and urgency, address immediate gaps, and evaluate the pattern and contributing conditions This protects clients, evaluates context and pattern, and supports proportionate supervisory and system correction.</w:t>
            </w:r>
          </w:p>
        </w:tc>
      </w:tr>
      <w:tr>
        <w:tc>
          <w:tcPr>
            <w:tcW w:type="dxa" w:w="2922"/>
            <w:shd w:fill="FFFFFF"/>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7"/>
              </w:rPr>
              <w:t>Ch. 3 — Beneficence and Promoting Client Welfare</w:t>
              <w:br/>
              <w:t>Vulnerability Without Paternalism</w:t>
            </w:r>
          </w:p>
        </w:tc>
        <w:tc>
          <w:tcPr>
            <w:tcW w:type="dxa" w:w="3287"/>
            <w:shd w:fill="FFFFFF"/>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7"/>
              </w:rPr>
              <w:t>Vulnerability calls for tailored support and safeguards, not automatic loss of rights.</w:t>
            </w:r>
          </w:p>
        </w:tc>
        <w:tc>
          <w:tcPr>
            <w:tcW w:type="dxa" w:w="3871"/>
            <w:shd w:fill="FFFFFF"/>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7"/>
              </w:rPr>
              <w:t>Use accessible communication and supported decision-making, then respect the client’s informed choice This adds the support needed for meaningful participation without unnecessarily removing autonomy.</w:t>
            </w:r>
          </w:p>
        </w:tc>
      </w:tr>
      <w:tr>
        <w:tc>
          <w:tcPr>
            <w:tcW w:type="dxa" w:w="2922"/>
            <w:shd w:fill="F3F5F7"/>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7"/>
              </w:rPr>
              <w:t>Ch. 4 — Professional Responsibility and Accountability</w:t>
              <w:br/>
              <w:t>First Priority After Error</w:t>
            </w:r>
          </w:p>
        </w:tc>
        <w:tc>
          <w:tcPr>
            <w:tcW w:type="dxa" w:w="3287"/>
            <w:shd w:fill="F3F5F7"/>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7"/>
              </w:rPr>
              <w:t>When harm may be continuing, protect first; analyze blame and prevention afterward.</w:t>
            </w:r>
          </w:p>
        </w:tc>
        <w:tc>
          <w:tcPr>
            <w:tcW w:type="dxa" w:w="3871"/>
            <w:shd w:fill="F3F5F7"/>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7"/>
              </w:rPr>
              <w:t>The first task is to determine and reduce any continuing client impact.</w:t>
            </w:r>
          </w:p>
        </w:tc>
      </w:tr>
      <w:tr>
        <w:tc>
          <w:tcPr>
            <w:tcW w:type="dxa" w:w="2922"/>
            <w:shd w:fill="FFFFFF"/>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7"/>
              </w:rPr>
              <w:t>Ch. 5 — Professional Judgment and Ethical Decision-Making</w:t>
              <w:br/>
              <w:t>Legal Priority</w:t>
            </w:r>
          </w:p>
        </w:tc>
        <w:tc>
          <w:tcPr>
            <w:tcW w:type="dxa" w:w="3287"/>
            <w:shd w:fill="FFFFFF"/>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7"/>
              </w:rPr>
              <w:t>Apply the legal rule first; exercise discretion only where the rule permits it.</w:t>
            </w:r>
          </w:p>
        </w:tc>
        <w:tc>
          <w:tcPr>
            <w:tcW w:type="dxa" w:w="3871"/>
            <w:shd w:fill="FFFFFF"/>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7"/>
              </w:rPr>
              <w:t>Professional judgment begins with the controlling authority and then addresses implementation.</w:t>
            </w:r>
          </w:p>
        </w:tc>
      </w:tr>
    </w:tbl>
    <w:tbl>
      <w:tblPr>
        <w:tblW w:type="dxa" w:w="10080"/>
        <w:jc w:val="center"/>
        <w:tblLayout w:type="fixed"/>
        <w:tblLook w:firstColumn="1" w:firstRow="1" w:lastColumn="0" w:lastRow="0" w:noHBand="0" w:noVBand="1" w:val="04A0"/>
        <w:tblInd w:type="dxa" w:w="0"/>
      </w:tblPr>
      <w:tblGrid>
        <w:gridCol w:w="10080"/>
      </w:tblGrid>
      <w:tr>
        <w:tc>
          <w:tcPr>
            <w:tcW w:type="dxa" w:w="10080"/>
            <w:shd w:fill="EAF0F6"/>
            <w:tcBorders>
              <w:top w:val="single" w:sz="10" w:color="17325C"/>
              <w:left w:val="single" w:sz="10" w:color="17325C"/>
              <w:bottom w:val="single" w:sz="10" w:color="17325C"/>
              <w:right w:val="single" w:sz="10" w:color="17325C"/>
            </w:tcBorders>
            <w:tcMar>
              <w:top w:w="100" w:type="dxa"/>
              <w:start w:w="130" w:type="dxa"/>
              <w:bottom w:w="100" w:type="dxa"/>
              <w:end w:w="130" w:type="dxa"/>
            </w:tcMar>
          </w:tcPr>
          <w:p>
            <w:pPr>
              <w:spacing w:before="0" w:after="40" w:line="240" w:lineRule="auto"/>
            </w:pPr>
            <w:r>
              <w:rPr>
                <w:rFonts w:ascii="Arial" w:hAnsi="Arial" w:eastAsia="Arial"/>
                <w:b/>
                <w:i w:val="0"/>
                <w:color w:val="17325C"/>
                <w:sz w:val="20"/>
              </w:rPr>
              <w:t>RETRIEVAL PROMPT</w:t>
            </w:r>
          </w:p>
          <w:p>
            <w:pPr>
              <w:spacing w:before="0" w:after="0" w:line="254" w:lineRule="auto"/>
            </w:pPr>
            <w:r>
              <w:rPr>
                <w:rFonts w:ascii="Arial" w:hAnsi="Arial" w:eastAsia="Arial"/>
                <w:b w:val="0"/>
                <w:i w:val="0"/>
                <w:color w:val="243447"/>
                <w:sz w:val="20"/>
              </w:rPr>
              <w:t>Before turning the page, choose one row and explain how the same trap could appear in a different vignette. Name the fact that would change your answer.</w:t>
            </w:r>
          </w:p>
        </w:tc>
        <w:trPr>
          <w:tblHeader/>
        </w:trPr>
      </w:tr>
    </w:tbl>
    <w:p>
      <w:pPr>
        <w:spacing w:after="20"/>
      </w:pPr>
    </w:p>
    <w:p>
      <w:r>
        <w:br w:type="page"/>
      </w:r>
    </w:p>
    <w:p>
      <w:pPr>
        <w:spacing w:before="0" w:after="60" w:line="240" w:lineRule="auto"/>
        <w:pBdr>
          <w:bottom w:val="single" w:sz="12" w:space="3" w:color="159A9C"/>
        </w:pBdr>
      </w:pPr>
      <w:r>
        <w:rPr>
          <w:rFonts w:ascii="Arial" w:hAnsi="Arial" w:eastAsia="Arial"/>
          <w:b/>
          <w:i w:val="0"/>
          <w:color w:val="17325C"/>
          <w:sz w:val="36"/>
        </w:rPr>
        <w:t>Workbook 6: Professional Boundaries</w:t>
      </w:r>
    </w:p>
    <w:p>
      <w:pPr>
        <w:spacing w:before="0" w:after="140" w:line="240" w:lineRule="auto"/>
      </w:pPr>
      <w:r>
        <w:rPr>
          <w:rFonts w:ascii="Arial" w:hAnsi="Arial" w:eastAsia="Arial"/>
          <w:b w:val="0"/>
          <w:i/>
          <w:color w:val="657487"/>
          <w:sz w:val="20"/>
        </w:rPr>
        <w:t>Core chapter traps and correction rules</w:t>
      </w:r>
    </w:p>
    <w:tbl>
      <w:tblPr>
        <w:tblW w:type="dxa" w:w="10080"/>
        <w:jc w:val="center"/>
        <w:tblLayout w:type="fixed"/>
        <w:tblLook w:firstColumn="1" w:firstRow="1" w:lastColumn="0" w:lastRow="0" w:noHBand="0" w:noVBand="1" w:val="04A0"/>
        <w:tblInd w:type="dxa" w:w="0"/>
      </w:tblPr>
      <w:tblGrid>
        <w:gridCol w:w="2922"/>
        <w:gridCol w:w="3287"/>
        <w:gridCol w:w="3871"/>
      </w:tblGrid>
      <w:tr>
        <w:tc>
          <w:tcPr>
            <w:tcW w:type="dxa" w:w="2922"/>
            <w:shd w:fill="17325C"/>
            <w:tcBorders>
              <w:top w:val="single" w:sz="6" w:color="17325C"/>
              <w:left w:val="single" w:sz="6" w:color="17325C"/>
              <w:bottom w:val="single" w:sz="6" w:color="17325C"/>
              <w:right w:val="single" w:sz="6" w:color="17325C"/>
            </w:tcBorders>
            <w:tcMar>
              <w:top w:w="75" w:type="dxa"/>
              <w:start w:w="85" w:type="dxa"/>
              <w:bottom w:w="75" w:type="dxa"/>
              <w:end w:w="85" w:type="dxa"/>
            </w:tcMar>
            <w:vAlign w:val="center"/>
          </w:tcPr>
          <w:p>
            <w:pPr>
              <w:spacing w:before="0" w:after="0" w:line="240" w:lineRule="auto"/>
              <w:jc w:val="center"/>
            </w:pPr>
            <w:r>
              <w:rPr>
                <w:rFonts w:ascii="Arial" w:hAnsi="Arial" w:eastAsia="Arial"/>
                <w:b/>
                <w:i w:val="0"/>
                <w:color w:val="FFFFFF"/>
                <w:sz w:val="18"/>
              </w:rPr>
              <w:t>Chapter / Trap or Distinction</w:t>
            </w:r>
          </w:p>
        </w:tc>
        <w:tc>
          <w:tcPr>
            <w:tcW w:type="dxa" w:w="3287"/>
            <w:shd w:fill="17325C"/>
            <w:tcBorders>
              <w:top w:val="single" w:sz="6" w:color="17325C"/>
              <w:left w:val="single" w:sz="6" w:color="17325C"/>
              <w:bottom w:val="single" w:sz="6" w:color="17325C"/>
              <w:right w:val="single" w:sz="6" w:color="17325C"/>
            </w:tcBorders>
            <w:tcMar>
              <w:top w:w="75" w:type="dxa"/>
              <w:start w:w="85" w:type="dxa"/>
              <w:bottom w:w="75" w:type="dxa"/>
              <w:end w:w="85" w:type="dxa"/>
            </w:tcMar>
            <w:vAlign w:val="center"/>
          </w:tcPr>
          <w:p>
            <w:pPr>
              <w:spacing w:before="0" w:after="0" w:line="240" w:lineRule="auto"/>
              <w:jc w:val="center"/>
            </w:pPr>
            <w:r>
              <w:rPr>
                <w:rFonts w:ascii="Arial" w:hAnsi="Arial" w:eastAsia="Arial"/>
                <w:b/>
                <w:i w:val="0"/>
                <w:color w:val="FFFFFF"/>
                <w:sz w:val="18"/>
              </w:rPr>
              <w:t>Correction Rule</w:t>
            </w:r>
          </w:p>
        </w:tc>
        <w:tc>
          <w:tcPr>
            <w:tcW w:type="dxa" w:w="3871"/>
            <w:shd w:fill="17325C"/>
            <w:tcBorders>
              <w:top w:val="single" w:sz="6" w:color="17325C"/>
              <w:left w:val="single" w:sz="6" w:color="17325C"/>
              <w:bottom w:val="single" w:sz="6" w:color="17325C"/>
              <w:right w:val="single" w:sz="6" w:color="17325C"/>
            </w:tcBorders>
            <w:tcMar>
              <w:top w:w="75" w:type="dxa"/>
              <w:start w:w="85" w:type="dxa"/>
              <w:bottom w:w="75" w:type="dxa"/>
              <w:end w:w="85" w:type="dxa"/>
            </w:tcMar>
            <w:vAlign w:val="center"/>
          </w:tcPr>
          <w:p>
            <w:pPr>
              <w:spacing w:before="0" w:after="0" w:line="240" w:lineRule="auto"/>
              <w:jc w:val="center"/>
            </w:pPr>
            <w:r>
              <w:rPr>
                <w:rFonts w:ascii="Arial" w:hAnsi="Arial" w:eastAsia="Arial"/>
                <w:b/>
                <w:i w:val="0"/>
                <w:color w:val="FFFFFF"/>
                <w:sz w:val="18"/>
              </w:rPr>
              <w:t>Why It Matters</w:t>
            </w:r>
          </w:p>
        </w:tc>
        <w:trPr>
          <w:tblHeader/>
        </w:trPr>
      </w:tr>
      <w:tr>
        <w:tc>
          <w:tcPr>
            <w:tcW w:type="dxa" w:w="2922"/>
            <w:shd w:fill="FFFFFF"/>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7"/>
              </w:rPr>
              <w:t>Ch. 1 — Professional Boundaries</w:t>
              <w:br/>
              <w:t>Ethical Boundary Concern vs. Prohibited Conduct</w:t>
            </w:r>
          </w:p>
        </w:tc>
        <w:tc>
          <w:tcPr>
            <w:tcW w:type="dxa" w:w="3287"/>
            <w:shd w:fill="FFFFFF"/>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7"/>
              </w:rPr>
              <w:t>First determine what kind of question you are answering: Contextual concern: Analyze purpose, benefit, risk, power, and safeguards. Emerging boundary erosion: Clarify, correct, consult, and monitor.</w:t>
            </w:r>
          </w:p>
        </w:tc>
        <w:tc>
          <w:tcPr>
            <w:tcW w:type="dxa" w:w="3871"/>
            <w:shd w:fill="FFFFFF"/>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7"/>
              </w:rPr>
              <w:t>Not every departure from ordinary practice is automatically illegal, unethical, or disciplinary.</w:t>
            </w:r>
          </w:p>
        </w:tc>
      </w:tr>
      <w:tr>
        <w:tc>
          <w:tcPr>
            <w:tcW w:type="dxa" w:w="2922"/>
            <w:shd w:fill="F3F5F7"/>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7"/>
              </w:rPr>
              <w:t>Ch. 2 — Boundary Crossings and Boundary Violations</w:t>
              <w:br/>
              <w:t>Crossing, Erosion, and Violation Analysis</w:t>
            </w:r>
          </w:p>
        </w:tc>
        <w:tc>
          <w:tcPr>
            <w:tcW w:type="dxa" w:w="3287"/>
            <w:shd w:fill="F3F5F7"/>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7"/>
              </w:rPr>
              <w:t>Do not evaluate only the first action or the social worker’s original intention.</w:t>
            </w:r>
          </w:p>
        </w:tc>
        <w:tc>
          <w:tcPr>
            <w:tcW w:type="dxa" w:w="3871"/>
            <w:shd w:fill="F3F5F7"/>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7"/>
              </w:rPr>
              <w:t>The social worker should stop the inappropriate personal conduct, assess client harm, restore professional roles, seek consultation or supervision, document accurately, protect continuity of care, and consider referral if objectivity cannot be restored.</w:t>
            </w:r>
          </w:p>
        </w:tc>
      </w:tr>
      <w:tr>
        <w:tc>
          <w:tcPr>
            <w:tcW w:type="dxa" w:w="2922"/>
            <w:shd w:fill="FFFFFF"/>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7"/>
              </w:rPr>
              <w:t>Ch. 3 — Multiple and Dual Relationships</w:t>
              <w:br/>
              <w:t>Multiple-Relationship Decision-Making</w:t>
            </w:r>
          </w:p>
        </w:tc>
        <w:tc>
          <w:tcPr>
            <w:tcW w:type="dxa" w:w="3287"/>
            <w:shd w:fill="FFFFFF"/>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7"/>
              </w:rPr>
              <w:t>For unavoidable multiple relationships, remember: Unavoidable does not mean harmless—but it also does not automatically require referral. Use: Assess → Discuss → Safeguard → Document → Monitor → Refer if unmanageable</w:t>
            </w:r>
          </w:p>
        </w:tc>
        <w:tc>
          <w:tcPr>
            <w:tcW w:type="dxa" w:w="3871"/>
            <w:shd w:fill="FFFFFF"/>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7"/>
              </w:rPr>
              <w:t>The overlap is difficult to avoid and declining treatment could significantly limit the client’s access to care. The social worker should therefore determine whether the risks can be responsibly managed.</w:t>
            </w:r>
          </w:p>
        </w:tc>
      </w:tr>
      <w:tr>
        <w:tc>
          <w:tcPr>
            <w:tcW w:type="dxa" w:w="2922"/>
            <w:shd w:fill="F3F5F7"/>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7"/>
              </w:rPr>
              <w:t>Ch. 4 — Gifts, Bartering, and Financial Relationships</w:t>
              <w:br/>
              <w:t>Legitimate Services vs. Referral Compensation</w:t>
            </w:r>
          </w:p>
        </w:tc>
        <w:tc>
          <w:tcPr>
            <w:tcW w:type="dxa" w:w="3287"/>
            <w:shd w:fill="F3F5F7"/>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7"/>
              </w:rPr>
              <w:t>Ask: What service was actually provided in exchange for the payment? No legitimate service + payment tied to a client referral = direct concern.</w:t>
            </w:r>
          </w:p>
        </w:tc>
        <w:tc>
          <w:tcPr>
            <w:tcW w:type="dxa" w:w="3871"/>
            <w:shd w:fill="F3F5F7"/>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7"/>
              </w:rPr>
              <w:t>Payment for legitimate professional services actually provided—such as documented consultation—is analytically different from compensation tied solely to referring a client. The substance of the arrangement controls.</w:t>
            </w:r>
          </w:p>
        </w:tc>
      </w:tr>
      <w:tr>
        <w:tc>
          <w:tcPr>
            <w:tcW w:type="dxa" w:w="2922"/>
            <w:shd w:fill="FFFFFF"/>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7"/>
              </w:rPr>
              <w:t>Ch. 5 — Sexual Misconduct and Client Exploitation</w:t>
              <w:br/>
              <w:t>California Legal Floor vs. NASW Former-Client Ethics</w:t>
            </w:r>
          </w:p>
        </w:tc>
        <w:tc>
          <w:tcPr>
            <w:tcW w:type="dxa" w:w="3287"/>
            <w:shd w:fill="FFFFFF"/>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7"/>
              </w:rPr>
              <w:t>Separate the California legal floor from the stricter ethical analysis. California treats sexual relations with a former client within two years after termination as unprofessional conduct; NASW ethics does not make the end of that period an ethical permission slip.</w:t>
            </w:r>
          </w:p>
        </w:tc>
        <w:tc>
          <w:tcPr>
            <w:tcW w:type="dxa" w:w="3871"/>
            <w:shd w:fill="FFFFFF"/>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7"/>
              </w:rPr>
              <w:t>Ending treatment does not erase power, confidential knowledge, vulnerability, exploitation risk, or the social worker’s ethical responsibilities. Current-client sexual conduct remains an absolute professional red line.</w:t>
            </w:r>
          </w:p>
        </w:tc>
      </w:tr>
    </w:tbl>
    <w:tbl>
      <w:tblPr>
        <w:tblW w:type="dxa" w:w="10080"/>
        <w:jc w:val="center"/>
        <w:tblLayout w:type="fixed"/>
        <w:tblLook w:firstColumn="1" w:firstRow="1" w:lastColumn="0" w:lastRow="0" w:noHBand="0" w:noVBand="1" w:val="04A0"/>
        <w:tblInd w:type="dxa" w:w="0"/>
      </w:tblPr>
      <w:tblGrid>
        <w:gridCol w:w="10080"/>
      </w:tblGrid>
      <w:tr>
        <w:tc>
          <w:tcPr>
            <w:tcW w:type="dxa" w:w="10080"/>
            <w:shd w:fill="EAF0F6"/>
            <w:tcBorders>
              <w:top w:val="single" w:sz="10" w:color="17325C"/>
              <w:left w:val="single" w:sz="10" w:color="17325C"/>
              <w:bottom w:val="single" w:sz="10" w:color="17325C"/>
              <w:right w:val="single" w:sz="10" w:color="17325C"/>
            </w:tcBorders>
            <w:tcMar>
              <w:top w:w="100" w:type="dxa"/>
              <w:start w:w="130" w:type="dxa"/>
              <w:bottom w:w="100" w:type="dxa"/>
              <w:end w:w="130" w:type="dxa"/>
            </w:tcMar>
          </w:tcPr>
          <w:p>
            <w:pPr>
              <w:spacing w:before="0" w:after="40" w:line="240" w:lineRule="auto"/>
            </w:pPr>
            <w:r>
              <w:rPr>
                <w:rFonts w:ascii="Arial" w:hAnsi="Arial" w:eastAsia="Arial"/>
                <w:b/>
                <w:i w:val="0"/>
                <w:color w:val="17325C"/>
                <w:sz w:val="20"/>
              </w:rPr>
              <w:t>RETRIEVAL PROMPT</w:t>
            </w:r>
          </w:p>
          <w:p>
            <w:pPr>
              <w:spacing w:before="0" w:after="0" w:line="254" w:lineRule="auto"/>
            </w:pPr>
            <w:r>
              <w:rPr>
                <w:rFonts w:ascii="Arial" w:hAnsi="Arial" w:eastAsia="Arial"/>
                <w:b w:val="0"/>
                <w:i w:val="0"/>
                <w:color w:val="243447"/>
                <w:sz w:val="20"/>
              </w:rPr>
              <w:t>Before turning the page, choose one row and explain how the same trap could appear in a different vignette. Name the fact that would change your answer.</w:t>
            </w:r>
          </w:p>
        </w:tc>
        <w:trPr>
          <w:tblHeader/>
        </w:trPr>
      </w:tr>
    </w:tbl>
    <w:p>
      <w:pPr>
        <w:spacing w:after="20"/>
      </w:pPr>
    </w:p>
    <w:p>
      <w:r>
        <w:br w:type="page"/>
      </w:r>
    </w:p>
    <w:p>
      <w:pPr>
        <w:spacing w:before="0" w:after="60" w:line="240" w:lineRule="auto"/>
        <w:pBdr>
          <w:bottom w:val="single" w:sz="12" w:space="3" w:color="159A9C"/>
        </w:pBdr>
      </w:pPr>
      <w:r>
        <w:rPr>
          <w:rFonts w:ascii="Arial" w:hAnsi="Arial" w:eastAsia="Arial"/>
          <w:b/>
          <w:i w:val="0"/>
          <w:color w:val="17325C"/>
          <w:sz w:val="36"/>
        </w:rPr>
        <w:t>Workbook 7: Cultural Humility</w:t>
      </w:r>
    </w:p>
    <w:p>
      <w:pPr>
        <w:spacing w:before="0" w:after="140" w:line="240" w:lineRule="auto"/>
      </w:pPr>
      <w:r>
        <w:rPr>
          <w:rFonts w:ascii="Arial" w:hAnsi="Arial" w:eastAsia="Arial"/>
          <w:b w:val="0"/>
          <w:i/>
          <w:color w:val="657487"/>
          <w:sz w:val="20"/>
        </w:rPr>
        <w:t>Core chapter traps and correction rules</w:t>
      </w:r>
    </w:p>
    <w:tbl>
      <w:tblPr>
        <w:tblW w:type="dxa" w:w="10080"/>
        <w:jc w:val="center"/>
        <w:tblLayout w:type="fixed"/>
        <w:tblLook w:firstColumn="1" w:firstRow="1" w:lastColumn="0" w:lastRow="0" w:noHBand="0" w:noVBand="1" w:val="04A0"/>
        <w:tblInd w:type="dxa" w:w="0"/>
      </w:tblPr>
      <w:tblGrid>
        <w:gridCol w:w="2922"/>
        <w:gridCol w:w="3287"/>
        <w:gridCol w:w="3871"/>
      </w:tblGrid>
      <w:tr>
        <w:tc>
          <w:tcPr>
            <w:tcW w:type="dxa" w:w="2922"/>
            <w:shd w:fill="17325C"/>
            <w:tcBorders>
              <w:top w:val="single" w:sz="6" w:color="17325C"/>
              <w:left w:val="single" w:sz="6" w:color="17325C"/>
              <w:bottom w:val="single" w:sz="6" w:color="17325C"/>
              <w:right w:val="single" w:sz="6" w:color="17325C"/>
            </w:tcBorders>
            <w:tcMar>
              <w:top w:w="75" w:type="dxa"/>
              <w:start w:w="85" w:type="dxa"/>
              <w:bottom w:w="75" w:type="dxa"/>
              <w:end w:w="85" w:type="dxa"/>
            </w:tcMar>
            <w:vAlign w:val="center"/>
          </w:tcPr>
          <w:p>
            <w:pPr>
              <w:spacing w:before="0" w:after="0" w:line="240" w:lineRule="auto"/>
              <w:jc w:val="center"/>
            </w:pPr>
            <w:r>
              <w:rPr>
                <w:rFonts w:ascii="Arial" w:hAnsi="Arial" w:eastAsia="Arial"/>
                <w:b/>
                <w:i w:val="0"/>
                <w:color w:val="FFFFFF"/>
                <w:sz w:val="18"/>
              </w:rPr>
              <w:t>Chapter / Trap or Distinction</w:t>
            </w:r>
          </w:p>
        </w:tc>
        <w:tc>
          <w:tcPr>
            <w:tcW w:type="dxa" w:w="3287"/>
            <w:shd w:fill="17325C"/>
            <w:tcBorders>
              <w:top w:val="single" w:sz="6" w:color="17325C"/>
              <w:left w:val="single" w:sz="6" w:color="17325C"/>
              <w:bottom w:val="single" w:sz="6" w:color="17325C"/>
              <w:right w:val="single" w:sz="6" w:color="17325C"/>
            </w:tcBorders>
            <w:tcMar>
              <w:top w:w="75" w:type="dxa"/>
              <w:start w:w="85" w:type="dxa"/>
              <w:bottom w:w="75" w:type="dxa"/>
              <w:end w:w="85" w:type="dxa"/>
            </w:tcMar>
            <w:vAlign w:val="center"/>
          </w:tcPr>
          <w:p>
            <w:pPr>
              <w:spacing w:before="0" w:after="0" w:line="240" w:lineRule="auto"/>
              <w:jc w:val="center"/>
            </w:pPr>
            <w:r>
              <w:rPr>
                <w:rFonts w:ascii="Arial" w:hAnsi="Arial" w:eastAsia="Arial"/>
                <w:b/>
                <w:i w:val="0"/>
                <w:color w:val="FFFFFF"/>
                <w:sz w:val="18"/>
              </w:rPr>
              <w:t>Correction Rule</w:t>
            </w:r>
          </w:p>
        </w:tc>
        <w:tc>
          <w:tcPr>
            <w:tcW w:type="dxa" w:w="3871"/>
            <w:shd w:fill="17325C"/>
            <w:tcBorders>
              <w:top w:val="single" w:sz="6" w:color="17325C"/>
              <w:left w:val="single" w:sz="6" w:color="17325C"/>
              <w:bottom w:val="single" w:sz="6" w:color="17325C"/>
              <w:right w:val="single" w:sz="6" w:color="17325C"/>
            </w:tcBorders>
            <w:tcMar>
              <w:top w:w="75" w:type="dxa"/>
              <w:start w:w="85" w:type="dxa"/>
              <w:bottom w:w="75" w:type="dxa"/>
              <w:end w:w="85" w:type="dxa"/>
            </w:tcMar>
            <w:vAlign w:val="center"/>
          </w:tcPr>
          <w:p>
            <w:pPr>
              <w:spacing w:before="0" w:after="0" w:line="240" w:lineRule="auto"/>
              <w:jc w:val="center"/>
            </w:pPr>
            <w:r>
              <w:rPr>
                <w:rFonts w:ascii="Arial" w:hAnsi="Arial" w:eastAsia="Arial"/>
                <w:b/>
                <w:i w:val="0"/>
                <w:color w:val="FFFFFF"/>
                <w:sz w:val="18"/>
              </w:rPr>
              <w:t>Why It Matters</w:t>
            </w:r>
          </w:p>
        </w:tc>
        <w:trPr>
          <w:tblHeader/>
        </w:trPr>
      </w:tr>
      <w:tr>
        <w:tc>
          <w:tcPr>
            <w:tcW w:type="dxa" w:w="2922"/>
            <w:shd w:fill="FFFFFF"/>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8"/>
              </w:rPr>
              <w:t>Ch. 1 — Cultural Humility and Culturally Responsive Practice</w:t>
              <w:br/>
              <w:t>Cultural Mistake vs. Statutory Misconduct</w:t>
            </w:r>
          </w:p>
        </w:tc>
        <w:tc>
          <w:tcPr>
            <w:tcW w:type="dxa" w:w="3287"/>
            <w:shd w:fill="FFFFFF"/>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8"/>
              </w:rPr>
              <w:t>Distinguish between: Mistake recognized and repaired Repeated disregard or harmful incompetence Do not automatically classify every cultural error as illegal—but do not minimize conduct that causes serious harm.</w:t>
            </w:r>
          </w:p>
        </w:tc>
        <w:tc>
          <w:tcPr>
            <w:tcW w:type="dxa" w:w="3871"/>
            <w:shd w:fill="FFFFFF"/>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8"/>
              </w:rPr>
              <w:t>California does not classify every cultural misunderstanding or incorrect assumption as a separate statutory violation. Many mistakes can be addressed through acknowledgment, correction, education, consultation, and repair.</w:t>
            </w:r>
          </w:p>
        </w:tc>
      </w:tr>
      <w:tr>
        <w:tc>
          <w:tcPr>
            <w:tcW w:type="dxa" w:w="2922"/>
            <w:shd w:fill="F3F5F7"/>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8"/>
              </w:rPr>
              <w:t>Ch. 2 — Bias, Assumptions, and Ethical Decision-Making</w:t>
              <w:br/>
              <w:t>Information Gathering vs. Immediate Safety</w:t>
            </w:r>
          </w:p>
        </w:tc>
        <w:tc>
          <w:tcPr>
            <w:tcW w:type="dxa" w:w="3287"/>
            <w:shd w:fill="F3F5F7"/>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8"/>
              </w:rPr>
              <w:t>Use this priority rule: Immediate danger → Protect firstNo immediate danger → Gather information before concluding</w:t>
            </w:r>
          </w:p>
        </w:tc>
        <w:tc>
          <w:tcPr>
            <w:tcW w:type="dxa" w:w="3871"/>
            <w:shd w:fill="F3F5F7"/>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8"/>
              </w:rPr>
              <w:t>Clinicians should ordinarily gather information and avoid unsupported conclusions. However, the workbook emphasizes that more information is not always required before acting when an immediate safety concern is present.</w:t>
            </w:r>
          </w:p>
        </w:tc>
      </w:tr>
      <w:tr>
        <w:tc>
          <w:tcPr>
            <w:tcW w:type="dxa" w:w="2922"/>
            <w:shd w:fill="FFFFFF"/>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8"/>
              </w:rPr>
              <w:t>Ch. 3 — Working With Diverse Populations</w:t>
              <w:br/>
              <w:t>A-C-C-E-S-S and Barrier-Level Matching</w:t>
            </w:r>
          </w:p>
        </w:tc>
        <w:tc>
          <w:tcPr>
            <w:tcW w:type="dxa" w:w="3287"/>
            <w:shd w:fill="FFFFFF"/>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8"/>
              </w:rPr>
              <w:t>Use A-C-C-E-S-S: Ask/assess; Check context and power; Consider competence/consultation; Ensure effective access; Select the level-matched response; Safeguard and study the outcome.</w:t>
            </w:r>
          </w:p>
        </w:tc>
        <w:tc>
          <w:tcPr>
            <w:tcW w:type="dxa" w:w="3871"/>
            <w:shd w:fill="FFFFFF"/>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8"/>
              </w:rPr>
              <w:t>Do not reduce structural or access barriers to client “noncompliance,” and do not jump to automatic referral when consultation, accommodation, advocacy, or system repair can protect access and client choice.</w:t>
            </w:r>
          </w:p>
        </w:tc>
      </w:tr>
    </w:tbl>
    <w:tbl>
      <w:tblPr>
        <w:tblW w:type="dxa" w:w="10080"/>
        <w:jc w:val="center"/>
        <w:tblLayout w:type="fixed"/>
        <w:tblLook w:firstColumn="1" w:firstRow="1" w:lastColumn="0" w:lastRow="0" w:noHBand="0" w:noVBand="1" w:val="04A0"/>
        <w:tblInd w:type="dxa" w:w="0"/>
      </w:tblPr>
      <w:tblGrid>
        <w:gridCol w:w="10080"/>
      </w:tblGrid>
      <w:tr>
        <w:tc>
          <w:tcPr>
            <w:tcW w:type="dxa" w:w="10080"/>
            <w:shd w:fill="EAF0F6"/>
            <w:tcBorders>
              <w:top w:val="single" w:sz="10" w:color="17325C"/>
              <w:left w:val="single" w:sz="10" w:color="17325C"/>
              <w:bottom w:val="single" w:sz="10" w:color="17325C"/>
              <w:right w:val="single" w:sz="10" w:color="17325C"/>
            </w:tcBorders>
            <w:tcMar>
              <w:top w:w="100" w:type="dxa"/>
              <w:start w:w="130" w:type="dxa"/>
              <w:bottom w:w="100" w:type="dxa"/>
              <w:end w:w="130" w:type="dxa"/>
            </w:tcMar>
          </w:tcPr>
          <w:p>
            <w:pPr>
              <w:spacing w:before="0" w:after="40" w:line="240" w:lineRule="auto"/>
            </w:pPr>
            <w:r>
              <w:rPr>
                <w:rFonts w:ascii="Arial" w:hAnsi="Arial" w:eastAsia="Arial"/>
                <w:b/>
                <w:i w:val="0"/>
                <w:color w:val="17325C"/>
                <w:sz w:val="20"/>
              </w:rPr>
              <w:t>RETRIEVAL PROMPT</w:t>
            </w:r>
          </w:p>
          <w:p>
            <w:pPr>
              <w:spacing w:before="0" w:after="0" w:line="254" w:lineRule="auto"/>
            </w:pPr>
            <w:r>
              <w:rPr>
                <w:rFonts w:ascii="Arial" w:hAnsi="Arial" w:eastAsia="Arial"/>
                <w:b w:val="0"/>
                <w:i w:val="0"/>
                <w:color w:val="243447"/>
                <w:sz w:val="20"/>
              </w:rPr>
              <w:t>Before turning the page, choose one row and explain how the same trap could appear in a different vignette. Name the fact that would change your answer.</w:t>
            </w:r>
          </w:p>
        </w:tc>
        <w:trPr>
          <w:tblHeader/>
        </w:trPr>
      </w:tr>
    </w:tbl>
    <w:p>
      <w:pPr>
        <w:spacing w:after="20"/>
      </w:pPr>
    </w:p>
    <w:p>
      <w:r>
        <w:br w:type="page"/>
      </w:r>
    </w:p>
    <w:p>
      <w:pPr>
        <w:spacing w:before="0" w:after="60" w:line="240" w:lineRule="auto"/>
        <w:pBdr>
          <w:bottom w:val="single" w:sz="12" w:space="3" w:color="159A9C"/>
        </w:pBdr>
      </w:pPr>
      <w:r>
        <w:rPr>
          <w:rFonts w:ascii="Arial" w:hAnsi="Arial" w:eastAsia="Arial"/>
          <w:b/>
          <w:i w:val="0"/>
          <w:color w:val="17325C"/>
          <w:sz w:val="36"/>
        </w:rPr>
        <w:t>Workbook 8: Confidentiality, Privacy &amp; Information Sharing</w:t>
      </w:r>
    </w:p>
    <w:p>
      <w:pPr>
        <w:spacing w:before="0" w:after="140" w:line="240" w:lineRule="auto"/>
      </w:pPr>
      <w:r>
        <w:rPr>
          <w:rFonts w:ascii="Arial" w:hAnsi="Arial" w:eastAsia="Arial"/>
          <w:b w:val="0"/>
          <w:i/>
          <w:color w:val="657487"/>
          <w:sz w:val="20"/>
        </w:rPr>
        <w:t>Core chapter traps and correction rules</w:t>
      </w:r>
    </w:p>
    <w:tbl>
      <w:tblPr>
        <w:tblW w:type="dxa" w:w="10080"/>
        <w:jc w:val="center"/>
        <w:tblLayout w:type="fixed"/>
        <w:tblLook w:firstColumn="1" w:firstRow="1" w:lastColumn="0" w:lastRow="0" w:noHBand="0" w:noVBand="1" w:val="04A0"/>
        <w:tblInd w:type="dxa" w:w="0"/>
      </w:tblPr>
      <w:tblGrid>
        <w:gridCol w:w="2922"/>
        <w:gridCol w:w="3287"/>
        <w:gridCol w:w="3871"/>
      </w:tblGrid>
      <w:tr>
        <w:tc>
          <w:tcPr>
            <w:tcW w:type="dxa" w:w="2922"/>
            <w:shd w:fill="17325C"/>
            <w:tcBorders>
              <w:top w:val="single" w:sz="6" w:color="17325C"/>
              <w:left w:val="single" w:sz="6" w:color="17325C"/>
              <w:bottom w:val="single" w:sz="6" w:color="17325C"/>
              <w:right w:val="single" w:sz="6" w:color="17325C"/>
            </w:tcBorders>
            <w:tcMar>
              <w:top w:w="75" w:type="dxa"/>
              <w:start w:w="85" w:type="dxa"/>
              <w:bottom w:w="75" w:type="dxa"/>
              <w:end w:w="85" w:type="dxa"/>
            </w:tcMar>
            <w:vAlign w:val="center"/>
          </w:tcPr>
          <w:p>
            <w:pPr>
              <w:spacing w:before="0" w:after="0" w:line="240" w:lineRule="auto"/>
              <w:jc w:val="center"/>
            </w:pPr>
            <w:r>
              <w:rPr>
                <w:rFonts w:ascii="Arial" w:hAnsi="Arial" w:eastAsia="Arial"/>
                <w:b/>
                <w:i w:val="0"/>
                <w:color w:val="FFFFFF"/>
                <w:sz w:val="18"/>
              </w:rPr>
              <w:t>Chapter / Trap or Distinction</w:t>
            </w:r>
          </w:p>
        </w:tc>
        <w:tc>
          <w:tcPr>
            <w:tcW w:type="dxa" w:w="3287"/>
            <w:shd w:fill="17325C"/>
            <w:tcBorders>
              <w:top w:val="single" w:sz="6" w:color="17325C"/>
              <w:left w:val="single" w:sz="6" w:color="17325C"/>
              <w:bottom w:val="single" w:sz="6" w:color="17325C"/>
              <w:right w:val="single" w:sz="6" w:color="17325C"/>
            </w:tcBorders>
            <w:tcMar>
              <w:top w:w="75" w:type="dxa"/>
              <w:start w:w="85" w:type="dxa"/>
              <w:bottom w:w="75" w:type="dxa"/>
              <w:end w:w="85" w:type="dxa"/>
            </w:tcMar>
            <w:vAlign w:val="center"/>
          </w:tcPr>
          <w:p>
            <w:pPr>
              <w:spacing w:before="0" w:after="0" w:line="240" w:lineRule="auto"/>
              <w:jc w:val="center"/>
            </w:pPr>
            <w:r>
              <w:rPr>
                <w:rFonts w:ascii="Arial" w:hAnsi="Arial" w:eastAsia="Arial"/>
                <w:b/>
                <w:i w:val="0"/>
                <w:color w:val="FFFFFF"/>
                <w:sz w:val="18"/>
              </w:rPr>
              <w:t>Correction Rule</w:t>
            </w:r>
          </w:p>
        </w:tc>
        <w:tc>
          <w:tcPr>
            <w:tcW w:type="dxa" w:w="3871"/>
            <w:shd w:fill="17325C"/>
            <w:tcBorders>
              <w:top w:val="single" w:sz="6" w:color="17325C"/>
              <w:left w:val="single" w:sz="6" w:color="17325C"/>
              <w:bottom w:val="single" w:sz="6" w:color="17325C"/>
              <w:right w:val="single" w:sz="6" w:color="17325C"/>
            </w:tcBorders>
            <w:tcMar>
              <w:top w:w="75" w:type="dxa"/>
              <w:start w:w="85" w:type="dxa"/>
              <w:bottom w:w="75" w:type="dxa"/>
              <w:end w:w="85" w:type="dxa"/>
            </w:tcMar>
            <w:vAlign w:val="center"/>
          </w:tcPr>
          <w:p>
            <w:pPr>
              <w:spacing w:before="0" w:after="0" w:line="240" w:lineRule="auto"/>
              <w:jc w:val="center"/>
            </w:pPr>
            <w:r>
              <w:rPr>
                <w:rFonts w:ascii="Arial" w:hAnsi="Arial" w:eastAsia="Arial"/>
                <w:b/>
                <w:i w:val="0"/>
                <w:color w:val="FFFFFF"/>
                <w:sz w:val="18"/>
              </w:rPr>
              <w:t>Why It Matters</w:t>
            </w:r>
          </w:p>
        </w:tc>
        <w:trPr>
          <w:tblHeader/>
        </w:trPr>
      </w:tr>
      <w:tr>
        <w:tc>
          <w:tcPr>
            <w:tcW w:type="dxa" w:w="2922"/>
            <w:shd w:fill="FFFFFF"/>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8"/>
              </w:rPr>
              <w:t>Ch. 1 — Confidentiality in Individual, Couple, Family, and Group Treatment</w:t>
              <w:br/>
              <w:t>Client Status vs. Participation</w:t>
            </w:r>
          </w:p>
        </w:tc>
        <w:tc>
          <w:tcPr>
            <w:tcW w:type="dxa" w:w="3287"/>
            <w:shd w:fill="FFFFFF"/>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8"/>
              </w:rPr>
              <w:t>Do not assume: Present in the room = client First identify whether the person is a: Client Joint client Participant Collateral contact Personal representative Third party</w:t>
            </w:r>
          </w:p>
        </w:tc>
        <w:tc>
          <w:tcPr>
            <w:tcW w:type="dxa" w:w="3871"/>
            <w:shd w:fill="FFFFFF"/>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8"/>
              </w:rPr>
              <w:t>A person may attend a session, provide information, or support treatment without becoming a client. The social worker must determine what role was established and explained during informed consent.</w:t>
            </w:r>
          </w:p>
        </w:tc>
      </w:tr>
      <w:tr>
        <w:tc>
          <w:tcPr>
            <w:tcW w:type="dxa" w:w="2922"/>
            <w:shd w:fill="F3F5F7"/>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8"/>
              </w:rPr>
              <w:t>Ch. 2 — Authorizations, Releases of Information, and Limits on Disclosure</w:t>
              <w:br/>
              <w:t>Authorization vs. Informed Consent</w:t>
            </w:r>
          </w:p>
        </w:tc>
        <w:tc>
          <w:tcPr>
            <w:tcW w:type="dxa" w:w="3287"/>
            <w:shd w:fill="F3F5F7"/>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8"/>
              </w:rPr>
              <w:t>Do not confuse: Consent to treatmentwithPermission to disclose information</w:t>
            </w:r>
          </w:p>
        </w:tc>
        <w:tc>
          <w:tcPr>
            <w:tcW w:type="dxa" w:w="3871"/>
            <w:shd w:fill="F3F5F7"/>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8"/>
              </w:rPr>
              <w:t>Informed consent explains the nature of treatment, relevant risks and benefits, policies, fees, confidentiality limits, and client choices. It supports the client’s decision to participate in services. An authorization serves a different purpose.</w:t>
            </w:r>
          </w:p>
        </w:tc>
      </w:tr>
      <w:tr>
        <w:tc>
          <w:tcPr>
            <w:tcW w:type="dxa" w:w="2922"/>
            <w:shd w:fill="FFFFFF"/>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8"/>
              </w:rPr>
              <w:t>Ch. 3 — Privacy, Protected Health Information, and HIPAA</w:t>
              <w:br/>
              <w:t>Privacy vs. Confidentiality vs. Security</w:t>
            </w:r>
          </w:p>
        </w:tc>
        <w:tc>
          <w:tcPr>
            <w:tcW w:type="dxa" w:w="3287"/>
            <w:shd w:fill="FFFFFF"/>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8"/>
              </w:rPr>
              <w:t>Use the three-question formula: Privacy: Who should have access? Confidentiality: What may the social worker reveal? Security: How is the information protected?</w:t>
            </w:r>
          </w:p>
        </w:tc>
        <w:tc>
          <w:tcPr>
            <w:tcW w:type="dxa" w:w="3871"/>
            <w:shd w:fill="FFFFFF"/>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8"/>
              </w:rPr>
              <w:t>Privacy concerns the client’s interest in controlling access to personal information. Confidentiality concerns the social worker’s duty to protect information learned through the professional relationship.</w:t>
            </w:r>
          </w:p>
        </w:tc>
      </w:tr>
      <w:tr>
        <w:tc>
          <w:tcPr>
            <w:tcW w:type="dxa" w:w="2922"/>
            <w:shd w:fill="F3F5F7"/>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8"/>
              </w:rPr>
              <w:t>Ch. 4 — Client Access to Records and Responding to Record Requests</w:t>
              <w:br/>
              <w:t>Client Access vs. Third-Party Disclosure</w:t>
            </w:r>
          </w:p>
        </w:tc>
        <w:tc>
          <w:tcPr>
            <w:tcW w:type="dxa" w:w="3287"/>
            <w:shd w:fill="F3F5F7"/>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8"/>
              </w:rPr>
              <w:t>First sort the request: Client asks for own information = AccessSomeone else asks for client information = Disclosure Do not apply ordinary release-of-information reasoning automatically to a client’s own access request.</w:t>
            </w:r>
          </w:p>
        </w:tc>
        <w:tc>
          <w:tcPr>
            <w:tcW w:type="dxa" w:w="3871"/>
            <w:shd w:fill="F3F5F7"/>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8"/>
              </w:rPr>
              <w:t>An adult client requesting their own treatment record is exercising a potential right of access.</w:t>
            </w:r>
          </w:p>
        </w:tc>
      </w:tr>
    </w:tbl>
    <w:tbl>
      <w:tblPr>
        <w:tblW w:type="dxa" w:w="10080"/>
        <w:jc w:val="center"/>
        <w:tblLayout w:type="fixed"/>
        <w:tblLook w:firstColumn="1" w:firstRow="1" w:lastColumn="0" w:lastRow="0" w:noHBand="0" w:noVBand="1" w:val="04A0"/>
        <w:tblInd w:type="dxa" w:w="0"/>
      </w:tblPr>
      <w:tblGrid>
        <w:gridCol w:w="10080"/>
      </w:tblGrid>
      <w:tr>
        <w:tc>
          <w:tcPr>
            <w:tcW w:type="dxa" w:w="10080"/>
            <w:shd w:fill="EAF0F6"/>
            <w:tcBorders>
              <w:top w:val="single" w:sz="10" w:color="17325C"/>
              <w:left w:val="single" w:sz="10" w:color="17325C"/>
              <w:bottom w:val="single" w:sz="10" w:color="17325C"/>
              <w:right w:val="single" w:sz="10" w:color="17325C"/>
            </w:tcBorders>
            <w:tcMar>
              <w:top w:w="100" w:type="dxa"/>
              <w:start w:w="130" w:type="dxa"/>
              <w:bottom w:w="100" w:type="dxa"/>
              <w:end w:w="130" w:type="dxa"/>
            </w:tcMar>
          </w:tcPr>
          <w:p>
            <w:pPr>
              <w:spacing w:before="0" w:after="40" w:line="240" w:lineRule="auto"/>
            </w:pPr>
            <w:r>
              <w:rPr>
                <w:rFonts w:ascii="Arial" w:hAnsi="Arial" w:eastAsia="Arial"/>
                <w:b/>
                <w:i w:val="0"/>
                <w:color w:val="17325C"/>
                <w:sz w:val="20"/>
              </w:rPr>
              <w:t>RETRIEVAL PROMPT</w:t>
            </w:r>
          </w:p>
          <w:p>
            <w:pPr>
              <w:spacing w:before="0" w:after="0" w:line="254" w:lineRule="auto"/>
            </w:pPr>
            <w:r>
              <w:rPr>
                <w:rFonts w:ascii="Arial" w:hAnsi="Arial" w:eastAsia="Arial"/>
                <w:b w:val="0"/>
                <w:i w:val="0"/>
                <w:color w:val="243447"/>
                <w:sz w:val="20"/>
              </w:rPr>
              <w:t>Before turning the page, choose one row and explain how the same trap could appear in a different vignette. Name the fact that would change your answer.</w:t>
            </w:r>
          </w:p>
        </w:tc>
        <w:trPr>
          <w:tblHeader/>
        </w:trPr>
      </w:tr>
    </w:tbl>
    <w:p>
      <w:pPr>
        <w:spacing w:after="20"/>
      </w:pPr>
    </w:p>
    <w:p>
      <w:r>
        <w:br w:type="page"/>
      </w:r>
    </w:p>
    <w:p>
      <w:pPr>
        <w:spacing w:before="0" w:after="60" w:line="240" w:lineRule="auto"/>
        <w:pBdr>
          <w:bottom w:val="single" w:sz="12" w:space="3" w:color="159A9C"/>
        </w:pBdr>
      </w:pPr>
      <w:r>
        <w:rPr>
          <w:rFonts w:ascii="Arial" w:hAnsi="Arial" w:eastAsia="Arial"/>
          <w:b/>
          <w:i w:val="0"/>
          <w:color w:val="17325C"/>
          <w:sz w:val="36"/>
        </w:rPr>
        <w:t>Workbook 9: Clinical Documentation &amp; Record Management</w:t>
      </w:r>
    </w:p>
    <w:p>
      <w:pPr>
        <w:spacing w:before="0" w:after="140" w:line="240" w:lineRule="auto"/>
      </w:pPr>
      <w:r>
        <w:rPr>
          <w:rFonts w:ascii="Arial" w:hAnsi="Arial" w:eastAsia="Arial"/>
          <w:b w:val="0"/>
          <w:i/>
          <w:color w:val="657487"/>
          <w:sz w:val="20"/>
        </w:rPr>
        <w:t>Core chapter traps and correction rules</w:t>
      </w:r>
    </w:p>
    <w:tbl>
      <w:tblPr>
        <w:tblW w:type="dxa" w:w="10080"/>
        <w:jc w:val="center"/>
        <w:tblLayout w:type="fixed"/>
        <w:tblLook w:firstColumn="1" w:firstRow="1" w:lastColumn="0" w:lastRow="0" w:noHBand="0" w:noVBand="1" w:val="04A0"/>
        <w:tblInd w:type="dxa" w:w="0"/>
      </w:tblPr>
      <w:tblGrid>
        <w:gridCol w:w="2922"/>
        <w:gridCol w:w="3287"/>
        <w:gridCol w:w="3871"/>
      </w:tblGrid>
      <w:tr>
        <w:tc>
          <w:tcPr>
            <w:tcW w:type="dxa" w:w="2922"/>
            <w:shd w:fill="17325C"/>
            <w:tcBorders>
              <w:top w:val="single" w:sz="6" w:color="17325C"/>
              <w:left w:val="single" w:sz="6" w:color="17325C"/>
              <w:bottom w:val="single" w:sz="6" w:color="17325C"/>
              <w:right w:val="single" w:sz="6" w:color="17325C"/>
            </w:tcBorders>
            <w:tcMar>
              <w:top w:w="75" w:type="dxa"/>
              <w:start w:w="85" w:type="dxa"/>
              <w:bottom w:w="75" w:type="dxa"/>
              <w:end w:w="85" w:type="dxa"/>
            </w:tcMar>
            <w:vAlign w:val="center"/>
          </w:tcPr>
          <w:p>
            <w:pPr>
              <w:spacing w:before="0" w:after="0" w:line="240" w:lineRule="auto"/>
              <w:jc w:val="center"/>
            </w:pPr>
            <w:r>
              <w:rPr>
                <w:rFonts w:ascii="Arial" w:hAnsi="Arial" w:eastAsia="Arial"/>
                <w:b/>
                <w:i w:val="0"/>
                <w:color w:val="FFFFFF"/>
                <w:sz w:val="18"/>
              </w:rPr>
              <w:t>Chapter / Trap or Distinction</w:t>
            </w:r>
          </w:p>
        </w:tc>
        <w:tc>
          <w:tcPr>
            <w:tcW w:type="dxa" w:w="3287"/>
            <w:shd w:fill="17325C"/>
            <w:tcBorders>
              <w:top w:val="single" w:sz="6" w:color="17325C"/>
              <w:left w:val="single" w:sz="6" w:color="17325C"/>
              <w:bottom w:val="single" w:sz="6" w:color="17325C"/>
              <w:right w:val="single" w:sz="6" w:color="17325C"/>
            </w:tcBorders>
            <w:tcMar>
              <w:top w:w="75" w:type="dxa"/>
              <w:start w:w="85" w:type="dxa"/>
              <w:bottom w:w="75" w:type="dxa"/>
              <w:end w:w="85" w:type="dxa"/>
            </w:tcMar>
            <w:vAlign w:val="center"/>
          </w:tcPr>
          <w:p>
            <w:pPr>
              <w:spacing w:before="0" w:after="0" w:line="240" w:lineRule="auto"/>
              <w:jc w:val="center"/>
            </w:pPr>
            <w:r>
              <w:rPr>
                <w:rFonts w:ascii="Arial" w:hAnsi="Arial" w:eastAsia="Arial"/>
                <w:b/>
                <w:i w:val="0"/>
                <w:color w:val="FFFFFF"/>
                <w:sz w:val="18"/>
              </w:rPr>
              <w:t>Correction Rule</w:t>
            </w:r>
          </w:p>
        </w:tc>
        <w:tc>
          <w:tcPr>
            <w:tcW w:type="dxa" w:w="3871"/>
            <w:shd w:fill="17325C"/>
            <w:tcBorders>
              <w:top w:val="single" w:sz="6" w:color="17325C"/>
              <w:left w:val="single" w:sz="6" w:color="17325C"/>
              <w:bottom w:val="single" w:sz="6" w:color="17325C"/>
              <w:right w:val="single" w:sz="6" w:color="17325C"/>
            </w:tcBorders>
            <w:tcMar>
              <w:top w:w="75" w:type="dxa"/>
              <w:start w:w="85" w:type="dxa"/>
              <w:bottom w:w="75" w:type="dxa"/>
              <w:end w:w="85" w:type="dxa"/>
            </w:tcMar>
            <w:vAlign w:val="center"/>
          </w:tcPr>
          <w:p>
            <w:pPr>
              <w:spacing w:before="0" w:after="0" w:line="240" w:lineRule="auto"/>
              <w:jc w:val="center"/>
            </w:pPr>
            <w:r>
              <w:rPr>
                <w:rFonts w:ascii="Arial" w:hAnsi="Arial" w:eastAsia="Arial"/>
                <w:b/>
                <w:i w:val="0"/>
                <w:color w:val="FFFFFF"/>
                <w:sz w:val="18"/>
              </w:rPr>
              <w:t>Why It Matters</w:t>
            </w:r>
          </w:p>
        </w:tc>
        <w:trPr>
          <w:tblHeader/>
        </w:trPr>
      </w:tr>
      <w:tr>
        <w:tc>
          <w:tcPr>
            <w:tcW w:type="dxa" w:w="2922"/>
            <w:shd w:fill="FFFFFF"/>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8"/>
              </w:rPr>
              <w:t>Ch. 1 — Clinical Documentation Standards</w:t>
              <w:br/>
              <w:t>Complete vs. Excessive Documentation</w:t>
            </w:r>
          </w:p>
        </w:tc>
        <w:tc>
          <w:tcPr>
            <w:tcW w:type="dxa" w:w="3287"/>
            <w:shd w:fill="FFFFFF"/>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8"/>
              </w:rPr>
              <w:t>Remember: Complete does not mean exhaustive. The strongest note makes important information easy to find.</w:t>
            </w:r>
          </w:p>
        </w:tc>
        <w:tc>
          <w:tcPr>
            <w:tcW w:type="dxa" w:w="3871"/>
            <w:shd w:fill="FFFFFF"/>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8"/>
              </w:rPr>
              <w:t>Good documentation should be sufficiently complete to explain treatment without becoming excessive. Large amounts of irrelevant material can make it difficult for another professional to identify the clinical concern, intervention, response, and treatment plan.</w:t>
            </w:r>
          </w:p>
        </w:tc>
      </w:tr>
      <w:tr>
        <w:tc>
          <w:tcPr>
            <w:tcW w:type="dxa" w:w="2922"/>
            <w:shd w:fill="F3F5F7"/>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8"/>
              </w:rPr>
              <w:t>Ch. 2 — Documentation Errors, Risk Management, and High-Risk Situations</w:t>
              <w:br/>
              <w:t>Outdated Template Information</w:t>
            </w:r>
          </w:p>
        </w:tc>
        <w:tc>
          <w:tcPr>
            <w:tcW w:type="dxa" w:w="3287"/>
            <w:shd w:fill="F3F5F7"/>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8"/>
              </w:rPr>
              <w:t>With templates and copied text: Review every field before signing. Automatic does not mean accurate.</w:t>
            </w:r>
          </w:p>
        </w:tc>
        <w:tc>
          <w:tcPr>
            <w:tcW w:type="dxa" w:w="3871"/>
            <w:shd w:fill="F3F5F7"/>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8"/>
              </w:rPr>
              <w:t>The current record must accurately reflect the client’s current circumstances. The social worker should review all copied or automatically populated text, correct outdated information, and document clinically relevant changes.</w:t>
            </w:r>
          </w:p>
        </w:tc>
      </w:tr>
      <w:tr>
        <w:tc>
          <w:tcPr>
            <w:tcW w:type="dxa" w:w="2922"/>
            <w:shd w:fill="FFFFFF"/>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8"/>
              </w:rPr>
              <w:t>Ch. 3 — Record Retention Requirements</w:t>
              <w:br/>
              <w:t>Retention vs. Destruction</w:t>
            </w:r>
          </w:p>
        </w:tc>
        <w:tc>
          <w:tcPr>
            <w:tcW w:type="dxa" w:w="3287"/>
            <w:shd w:fill="FFFFFF"/>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8"/>
              </w:rPr>
              <w:t>Remember: Retain first. Destroy securely later. Treatment termination does not automatically trigger destruction.</w:t>
            </w:r>
          </w:p>
        </w:tc>
        <w:tc>
          <w:tcPr>
            <w:tcW w:type="dxa" w:w="3871"/>
            <w:shd w:fill="FFFFFF"/>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8"/>
              </w:rPr>
              <w:t>Record retention means preserving clinical records throughout the applicable retention period. Once those responsibilities have been satisfied—and no investigation, legal hold, or other reason requires continued preservation—the record may become eligible for secure destruction.</w:t>
            </w:r>
          </w:p>
        </w:tc>
      </w:tr>
      <w:tr>
        <w:tc>
          <w:tcPr>
            <w:tcW w:type="dxa" w:w="2922"/>
            <w:shd w:fill="F3F5F7"/>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8"/>
              </w:rPr>
              <w:t>Ch. 4 — Record Security, Storage, and Record Destruction</w:t>
              <w:br/>
              <w:t>Destruction During an Investigation or Legal Hold</w:t>
            </w:r>
          </w:p>
        </w:tc>
        <w:tc>
          <w:tcPr>
            <w:tcW w:type="dxa" w:w="3287"/>
            <w:shd w:fill="F3F5F7"/>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8"/>
              </w:rPr>
              <w:t>Before destroying records, always ask: Is any complaint, investigation, audit, litigation, or legal hold pending?</w:t>
            </w:r>
          </w:p>
        </w:tc>
        <w:tc>
          <w:tcPr>
            <w:tcW w:type="dxa" w:w="3871"/>
            <w:shd w:fill="F3F5F7"/>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8"/>
              </w:rPr>
              <w:t>A routine destruction schedule does not override a pending investigation, legal hold, complaint, audit, or other preservation obligation.</w:t>
            </w:r>
          </w:p>
        </w:tc>
      </w:tr>
    </w:tbl>
    <w:tbl>
      <w:tblPr>
        <w:tblW w:type="dxa" w:w="10080"/>
        <w:jc w:val="center"/>
        <w:tblLayout w:type="fixed"/>
        <w:tblLook w:firstColumn="1" w:firstRow="1" w:lastColumn="0" w:lastRow="0" w:noHBand="0" w:noVBand="1" w:val="04A0"/>
        <w:tblInd w:type="dxa" w:w="0"/>
      </w:tblPr>
      <w:tblGrid>
        <w:gridCol w:w="10080"/>
      </w:tblGrid>
      <w:tr>
        <w:tc>
          <w:tcPr>
            <w:tcW w:type="dxa" w:w="10080"/>
            <w:shd w:fill="EAF0F6"/>
            <w:tcBorders>
              <w:top w:val="single" w:sz="10" w:color="17325C"/>
              <w:left w:val="single" w:sz="10" w:color="17325C"/>
              <w:bottom w:val="single" w:sz="10" w:color="17325C"/>
              <w:right w:val="single" w:sz="10" w:color="17325C"/>
            </w:tcBorders>
            <w:tcMar>
              <w:top w:w="100" w:type="dxa"/>
              <w:start w:w="130" w:type="dxa"/>
              <w:bottom w:w="100" w:type="dxa"/>
              <w:end w:w="130" w:type="dxa"/>
            </w:tcMar>
          </w:tcPr>
          <w:p>
            <w:pPr>
              <w:spacing w:before="0" w:after="40" w:line="240" w:lineRule="auto"/>
            </w:pPr>
            <w:r>
              <w:rPr>
                <w:rFonts w:ascii="Arial" w:hAnsi="Arial" w:eastAsia="Arial"/>
                <w:b/>
                <w:i w:val="0"/>
                <w:color w:val="17325C"/>
                <w:sz w:val="20"/>
              </w:rPr>
              <w:t>RETRIEVAL PROMPT</w:t>
            </w:r>
          </w:p>
          <w:p>
            <w:pPr>
              <w:spacing w:before="0" w:after="0" w:line="254" w:lineRule="auto"/>
            </w:pPr>
            <w:r>
              <w:rPr>
                <w:rFonts w:ascii="Arial" w:hAnsi="Arial" w:eastAsia="Arial"/>
                <w:b w:val="0"/>
                <w:i w:val="0"/>
                <w:color w:val="243447"/>
                <w:sz w:val="20"/>
              </w:rPr>
              <w:t>Before turning the page, choose one row and explain how the same trap could appear in a different vignette. Name the fact that would change your answer.</w:t>
            </w:r>
          </w:p>
        </w:tc>
        <w:trPr>
          <w:tblHeader/>
        </w:trPr>
      </w:tr>
    </w:tbl>
    <w:p>
      <w:pPr>
        <w:spacing w:after="20"/>
      </w:pPr>
    </w:p>
    <w:p>
      <w:r>
        <w:br w:type="page"/>
      </w:r>
    </w:p>
    <w:p>
      <w:pPr>
        <w:spacing w:before="0" w:after="60" w:line="240" w:lineRule="auto"/>
        <w:pBdr>
          <w:bottom w:val="single" w:sz="12" w:space="3" w:color="159A9C"/>
        </w:pBdr>
      </w:pPr>
      <w:r>
        <w:rPr>
          <w:rFonts w:ascii="Arial" w:hAnsi="Arial" w:eastAsia="Arial"/>
          <w:b/>
          <w:i w:val="0"/>
          <w:color w:val="17325C"/>
          <w:sz w:val="36"/>
        </w:rPr>
        <w:t>Trigger Words and the Question They Should Activate</w:t>
      </w:r>
    </w:p>
    <w:p>
      <w:pPr>
        <w:spacing w:before="0" w:after="140" w:line="240" w:lineRule="auto"/>
      </w:pPr>
      <w:r>
        <w:rPr>
          <w:rFonts w:ascii="Arial" w:hAnsi="Arial" w:eastAsia="Arial"/>
          <w:b w:val="0"/>
          <w:i/>
          <w:color w:val="657487"/>
          <w:sz w:val="20"/>
        </w:rPr>
        <w:t>A trigger word is not the answer; it tells you what to analyze</w:t>
      </w:r>
    </w:p>
    <w:tbl>
      <w:tblPr>
        <w:tblW w:type="dxa" w:w="10080"/>
        <w:jc w:val="center"/>
        <w:tblLayout w:type="fixed"/>
        <w:tblLook w:firstColumn="1" w:firstRow="1" w:lastColumn="0" w:lastRow="0" w:noHBand="0" w:noVBand="1" w:val="04A0"/>
        <w:tblInd w:type="dxa" w:w="0"/>
      </w:tblPr>
      <w:tblGrid>
        <w:gridCol w:w="2995"/>
        <w:gridCol w:w="7085"/>
      </w:tblGrid>
      <w:tr>
        <w:tc>
          <w:tcPr>
            <w:tcW w:type="dxa" w:w="2995"/>
            <w:shd w:fill="17325C"/>
            <w:tcBorders>
              <w:top w:val="single" w:sz="6" w:color="17325C"/>
              <w:left w:val="single" w:sz="6" w:color="17325C"/>
              <w:bottom w:val="single" w:sz="6" w:color="17325C"/>
              <w:right w:val="single" w:sz="6" w:color="17325C"/>
            </w:tcBorders>
            <w:tcMar>
              <w:top w:w="75" w:type="dxa"/>
              <w:start w:w="85" w:type="dxa"/>
              <w:bottom w:w="75" w:type="dxa"/>
              <w:end w:w="85" w:type="dxa"/>
            </w:tcMar>
            <w:vAlign w:val="center"/>
          </w:tcPr>
          <w:p>
            <w:pPr>
              <w:spacing w:before="0" w:after="0" w:line="240" w:lineRule="auto"/>
              <w:jc w:val="center"/>
            </w:pPr>
            <w:r>
              <w:rPr>
                <w:rFonts w:ascii="Arial" w:hAnsi="Arial" w:eastAsia="Arial"/>
                <w:b/>
                <w:i w:val="0"/>
                <w:color w:val="FFFFFF"/>
                <w:sz w:val="18"/>
              </w:rPr>
              <w:t>Trigger</w:t>
            </w:r>
          </w:p>
        </w:tc>
        <w:tc>
          <w:tcPr>
            <w:tcW w:type="dxa" w:w="7085"/>
            <w:shd w:fill="17325C"/>
            <w:tcBorders>
              <w:top w:val="single" w:sz="6" w:color="17325C"/>
              <w:left w:val="single" w:sz="6" w:color="17325C"/>
              <w:bottom w:val="single" w:sz="6" w:color="17325C"/>
              <w:right w:val="single" w:sz="6" w:color="17325C"/>
            </w:tcBorders>
            <w:tcMar>
              <w:top w:w="75" w:type="dxa"/>
              <w:start w:w="85" w:type="dxa"/>
              <w:bottom w:w="75" w:type="dxa"/>
              <w:end w:w="85" w:type="dxa"/>
            </w:tcMar>
            <w:vAlign w:val="center"/>
          </w:tcPr>
          <w:p>
            <w:pPr>
              <w:spacing w:before="0" w:after="0" w:line="240" w:lineRule="auto"/>
              <w:jc w:val="center"/>
            </w:pPr>
            <w:r>
              <w:rPr>
                <w:rFonts w:ascii="Arial" w:hAnsi="Arial" w:eastAsia="Arial"/>
                <w:b/>
                <w:i w:val="0"/>
                <w:color w:val="FFFFFF"/>
                <w:sz w:val="18"/>
              </w:rPr>
              <w:t>Question to Activate</w:t>
            </w:r>
          </w:p>
        </w:tc>
        <w:trPr>
          <w:tblHeader/>
        </w:trPr>
      </w:tr>
      <w:tr>
        <w:tc>
          <w:tcPr>
            <w:tcW w:type="dxa" w:w="2995"/>
            <w:shd w:fill="FFFFFF"/>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8"/>
              </w:rPr>
              <w:t>Signed form / release</w:t>
            </w:r>
          </w:p>
        </w:tc>
        <w:tc>
          <w:tcPr>
            <w:tcW w:type="dxa" w:w="7085"/>
            <w:shd w:fill="FFFFFF"/>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8"/>
              </w:rPr>
              <w:t>Was there meaningful understanding, voluntariness, scope, and valid authority?</w:t>
            </w:r>
          </w:p>
        </w:tc>
      </w:tr>
      <w:tr>
        <w:tc>
          <w:tcPr>
            <w:tcW w:type="dxa" w:w="2995"/>
            <w:shd w:fill="F3F5F7"/>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8"/>
              </w:rPr>
              <w:t>Minor / parent / guardian</w:t>
            </w:r>
          </w:p>
        </w:tc>
        <w:tc>
          <w:tcPr>
            <w:tcW w:type="dxa" w:w="7085"/>
            <w:shd w:fill="F3F5F7"/>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8"/>
              </w:rPr>
              <w:t>Who may consent, who should be involved, who may access information, and who holds privilege?</w:t>
            </w:r>
          </w:p>
        </w:tc>
      </w:tr>
      <w:tr>
        <w:tc>
          <w:tcPr>
            <w:tcW w:type="dxa" w:w="2995"/>
            <w:shd w:fill="FFFFFF"/>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8"/>
              </w:rPr>
              <w:t>Couple / family / group</w:t>
            </w:r>
          </w:p>
        </w:tc>
        <w:tc>
          <w:tcPr>
            <w:tcW w:type="dxa" w:w="7085"/>
            <w:shd w:fill="FFFFFF"/>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8"/>
              </w:rPr>
              <w:t>Who is the client or treatment unit, and what confidentiality expectations were established?</w:t>
            </w:r>
          </w:p>
        </w:tc>
      </w:tr>
      <w:tr>
        <w:tc>
          <w:tcPr>
            <w:tcW w:type="dxa" w:w="2995"/>
            <w:shd w:fill="F3F5F7"/>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8"/>
              </w:rPr>
              <w:t>Subpoena / attorney request</w:t>
            </w:r>
          </w:p>
        </w:tc>
        <w:tc>
          <w:tcPr>
            <w:tcW w:type="dxa" w:w="7085"/>
            <w:shd w:fill="F3F5F7"/>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8"/>
              </w:rPr>
              <w:t>Who holds privilege, what authority supports disclosure, and what response is required without automatic release?</w:t>
            </w:r>
          </w:p>
        </w:tc>
      </w:tr>
      <w:tr>
        <w:tc>
          <w:tcPr>
            <w:tcW w:type="dxa" w:w="2995"/>
            <w:shd w:fill="FFFFFF"/>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8"/>
              </w:rPr>
              <w:t>Court order</w:t>
            </w:r>
          </w:p>
        </w:tc>
        <w:tc>
          <w:tcPr>
            <w:tcW w:type="dxa" w:w="7085"/>
            <w:shd w:fill="FFFFFF"/>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8"/>
              </w:rPr>
              <w:t>What does the order require, what is its scope, and how can unnecessary disclosure be minimized?</w:t>
            </w:r>
          </w:p>
        </w:tc>
      </w:tr>
      <w:tr>
        <w:tc>
          <w:tcPr>
            <w:tcW w:type="dxa" w:w="2995"/>
            <w:shd w:fill="F3F5F7"/>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8"/>
              </w:rPr>
              <w:t>Across state lines / traveling client</w:t>
            </w:r>
          </w:p>
        </w:tc>
        <w:tc>
          <w:tcPr>
            <w:tcW w:type="dxa" w:w="7085"/>
            <w:shd w:fill="F3F5F7"/>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8"/>
              </w:rPr>
              <w:t>Where is the client, may the clinician practice there, and can safe care continue?</w:t>
            </w:r>
          </w:p>
        </w:tc>
      </w:tr>
      <w:tr>
        <w:tc>
          <w:tcPr>
            <w:tcW w:type="dxa" w:w="2995"/>
            <w:shd w:fill="FFFFFF"/>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8"/>
              </w:rPr>
              <w:t>Text / portal / crisis message</w:t>
            </w:r>
          </w:p>
        </w:tc>
        <w:tc>
          <w:tcPr>
            <w:tcW w:type="dxa" w:w="7085"/>
            <w:shd w:fill="FFFFFF"/>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8"/>
              </w:rPr>
              <w:t>Was the channel monitored, what emergency instructions existed, and what immediate safety follow-up is needed?</w:t>
            </w:r>
          </w:p>
        </w:tc>
      </w:tr>
      <w:tr>
        <w:tc>
          <w:tcPr>
            <w:tcW w:type="dxa" w:w="2995"/>
            <w:shd w:fill="F3F5F7"/>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8"/>
              </w:rPr>
              <w:t>Gift / barter / referral payment</w:t>
            </w:r>
          </w:p>
        </w:tc>
        <w:tc>
          <w:tcPr>
            <w:tcW w:type="dxa" w:w="7085"/>
            <w:shd w:fill="F3F5F7"/>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8"/>
              </w:rPr>
              <w:t>Is there exploitation, impaired judgment, financial conflict, or payment without a legitimate service?</w:t>
            </w:r>
          </w:p>
        </w:tc>
      </w:tr>
      <w:tr>
        <w:tc>
          <w:tcPr>
            <w:tcW w:type="dxa" w:w="2995"/>
            <w:shd w:fill="FFFFFF"/>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8"/>
              </w:rPr>
              <w:t>Current or former client</w:t>
            </w:r>
          </w:p>
        </w:tc>
        <w:tc>
          <w:tcPr>
            <w:tcW w:type="dxa" w:w="7085"/>
            <w:shd w:fill="FFFFFF"/>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8"/>
              </w:rPr>
              <w:t>What boundary rules, power imbalance, vulnerability, and former-client restrictions remain?</w:t>
            </w:r>
          </w:p>
        </w:tc>
      </w:tr>
      <w:tr>
        <w:tc>
          <w:tcPr>
            <w:tcW w:type="dxa" w:w="2995"/>
            <w:shd w:fill="F3F5F7"/>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8"/>
              </w:rPr>
              <w:t>One mistake / one symptom</w:t>
            </w:r>
          </w:p>
        </w:tc>
        <w:tc>
          <w:tcPr>
            <w:tcW w:type="dxa" w:w="7085"/>
            <w:shd w:fill="F3F5F7"/>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8"/>
              </w:rPr>
              <w:t>Is this an isolated correctable error or a persistent pattern affecting competence or safety?</w:t>
            </w:r>
          </w:p>
        </w:tc>
      </w:tr>
      <w:tr>
        <w:tc>
          <w:tcPr>
            <w:tcW w:type="dxa" w:w="2995"/>
            <w:shd w:fill="FFFFFF"/>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8"/>
              </w:rPr>
              <w:t>Impaired / fatigued / under the influence</w:t>
            </w:r>
          </w:p>
        </w:tc>
        <w:tc>
          <w:tcPr>
            <w:tcW w:type="dxa" w:w="7085"/>
            <w:shd w:fill="FFFFFF"/>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8"/>
              </w:rPr>
              <w:t>Is the clinician presently fit for the specific duty, and what protects clients now?</w:t>
            </w:r>
          </w:p>
        </w:tc>
      </w:tr>
      <w:tr>
        <w:tc>
          <w:tcPr>
            <w:tcW w:type="dxa" w:w="2995"/>
            <w:shd w:fill="F3F5F7"/>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8"/>
              </w:rPr>
              <w:t>Immediate / credible / imminent danger</w:t>
            </w:r>
          </w:p>
        </w:tc>
        <w:tc>
          <w:tcPr>
            <w:tcW w:type="dxa" w:w="7085"/>
            <w:shd w:fill="F3F5F7"/>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8"/>
              </w:rPr>
              <w:t>What protective action cannot safely wait?</w:t>
            </w:r>
          </w:p>
        </w:tc>
      </w:tr>
      <w:tr>
        <w:tc>
          <w:tcPr>
            <w:tcW w:type="dxa" w:w="2995"/>
            <w:shd w:fill="FFFFFF"/>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8"/>
              </w:rPr>
              <w:t>Authorization</w:t>
            </w:r>
          </w:p>
        </w:tc>
        <w:tc>
          <w:tcPr>
            <w:tcW w:type="dxa" w:w="7085"/>
            <w:shd w:fill="FFFFFF"/>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8"/>
              </w:rPr>
              <w:t>What disclosure is permitted—and is the clinician qualified and ethically positioned to provide what was requested?</w:t>
            </w:r>
          </w:p>
        </w:tc>
      </w:tr>
      <w:tr>
        <w:tc>
          <w:tcPr>
            <w:tcW w:type="dxa" w:w="2995"/>
            <w:shd w:fill="F3F5F7"/>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8"/>
              </w:rPr>
              <w:t>Record request</w:t>
            </w:r>
          </w:p>
        </w:tc>
        <w:tc>
          <w:tcPr>
            <w:tcW w:type="dxa" w:w="7085"/>
            <w:shd w:fill="F3F5F7"/>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8"/>
              </w:rPr>
              <w:t>Who is requesting, what material is involved, what access or disclosure rule applies, and what may be limited?</w:t>
            </w:r>
          </w:p>
        </w:tc>
      </w:tr>
      <w:tr>
        <w:tc>
          <w:tcPr>
            <w:tcW w:type="dxa" w:w="2995"/>
            <w:shd w:fill="FFFFFF"/>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8"/>
              </w:rPr>
              <w:t>Template / copied-forward text</w:t>
            </w:r>
          </w:p>
        </w:tc>
        <w:tc>
          <w:tcPr>
            <w:tcW w:type="dxa" w:w="7085"/>
            <w:shd w:fill="FFFFFF"/>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8"/>
              </w:rPr>
              <w:t>Is every field current and accurate before the note is signed?</w:t>
            </w:r>
          </w:p>
        </w:tc>
      </w:tr>
      <w:tr>
        <w:tc>
          <w:tcPr>
            <w:tcW w:type="dxa" w:w="2995"/>
            <w:shd w:fill="F3F5F7"/>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8"/>
              </w:rPr>
              <w:t>Retention / destruction / legal hold</w:t>
            </w:r>
          </w:p>
        </w:tc>
        <w:tc>
          <w:tcPr>
            <w:tcW w:type="dxa" w:w="7085"/>
            <w:shd w:fill="F3F5F7"/>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8"/>
              </w:rPr>
              <w:t>Must the record be preserved, and if destruction is allowed, is the process secure and verifiable?</w:t>
            </w:r>
          </w:p>
        </w:tc>
      </w:tr>
    </w:tbl>
    <w:p>
      <w:r>
        <w:br w:type="page"/>
      </w:r>
    </w:p>
    <w:p>
      <w:pPr>
        <w:spacing w:before="0" w:after="60" w:line="240" w:lineRule="auto"/>
        <w:pBdr>
          <w:bottom w:val="single" w:sz="12" w:space="3" w:color="159A9C"/>
        </w:pBdr>
      </w:pPr>
      <w:r>
        <w:rPr>
          <w:rFonts w:ascii="Arial" w:hAnsi="Arial" w:eastAsia="Arial"/>
          <w:b/>
          <w:i w:val="0"/>
          <w:color w:val="17325C"/>
          <w:sz w:val="36"/>
        </w:rPr>
        <w:t>Qualifier and Sequence Repair Sheet</w:t>
      </w:r>
    </w:p>
    <w:p>
      <w:pPr>
        <w:spacing w:before="0" w:after="140" w:line="240" w:lineRule="auto"/>
      </w:pPr>
      <w:r>
        <w:rPr>
          <w:rFonts w:ascii="Arial" w:hAnsi="Arial" w:eastAsia="Arial"/>
          <w:b w:val="0"/>
          <w:i/>
          <w:color w:val="657487"/>
          <w:sz w:val="20"/>
        </w:rPr>
        <w:t>FIRST, NEXT, BEST, MOST, INITIAL, and PRIMARY change the task</w:t>
      </w:r>
    </w:p>
    <w:tbl>
      <w:tblPr>
        <w:tblW w:type="dxa" w:w="10080"/>
        <w:jc w:val="center"/>
        <w:tblLayout w:type="fixed"/>
        <w:tblLook w:firstColumn="1" w:firstRow="1" w:lastColumn="0" w:lastRow="0" w:noHBand="0" w:noVBand="1" w:val="04A0"/>
        <w:tblInd w:type="dxa" w:w="0"/>
      </w:tblPr>
      <w:tblGrid>
        <w:gridCol w:w="2483"/>
        <w:gridCol w:w="7597"/>
      </w:tblGrid>
      <w:tr>
        <w:tc>
          <w:tcPr>
            <w:tcW w:type="dxa" w:w="2483"/>
            <w:shd w:fill="17325C"/>
            <w:tcBorders>
              <w:top w:val="single" w:sz="6" w:color="17325C"/>
              <w:left w:val="single" w:sz="6" w:color="17325C"/>
              <w:bottom w:val="single" w:sz="6" w:color="17325C"/>
              <w:right w:val="single" w:sz="6" w:color="17325C"/>
            </w:tcBorders>
            <w:tcMar>
              <w:top w:w="75" w:type="dxa"/>
              <w:start w:w="85" w:type="dxa"/>
              <w:bottom w:w="75" w:type="dxa"/>
              <w:end w:w="85" w:type="dxa"/>
            </w:tcMar>
            <w:vAlign w:val="center"/>
          </w:tcPr>
          <w:p>
            <w:pPr>
              <w:spacing w:before="0" w:after="0" w:line="240" w:lineRule="auto"/>
              <w:jc w:val="center"/>
            </w:pPr>
            <w:r>
              <w:rPr>
                <w:rFonts w:ascii="Arial" w:hAnsi="Arial" w:eastAsia="Arial"/>
                <w:b/>
                <w:i w:val="0"/>
                <w:color w:val="FFFFFF"/>
                <w:sz w:val="18"/>
              </w:rPr>
              <w:t>Qualifier</w:t>
            </w:r>
          </w:p>
        </w:tc>
        <w:tc>
          <w:tcPr>
            <w:tcW w:type="dxa" w:w="7597"/>
            <w:shd w:fill="17325C"/>
            <w:tcBorders>
              <w:top w:val="single" w:sz="6" w:color="17325C"/>
              <w:left w:val="single" w:sz="6" w:color="17325C"/>
              <w:bottom w:val="single" w:sz="6" w:color="17325C"/>
              <w:right w:val="single" w:sz="6" w:color="17325C"/>
            </w:tcBorders>
            <w:tcMar>
              <w:top w:w="75" w:type="dxa"/>
              <w:start w:w="85" w:type="dxa"/>
              <w:bottom w:w="75" w:type="dxa"/>
              <w:end w:w="85" w:type="dxa"/>
            </w:tcMar>
            <w:vAlign w:val="center"/>
          </w:tcPr>
          <w:p>
            <w:pPr>
              <w:spacing w:before="0" w:after="0" w:line="240" w:lineRule="auto"/>
              <w:jc w:val="center"/>
            </w:pPr>
            <w:r>
              <w:rPr>
                <w:rFonts w:ascii="Arial" w:hAnsi="Arial" w:eastAsia="Arial"/>
                <w:b/>
                <w:i w:val="0"/>
                <w:color w:val="FFFFFF"/>
                <w:sz w:val="18"/>
              </w:rPr>
              <w:t>What It Usually Asks</w:t>
            </w:r>
          </w:p>
        </w:tc>
        <w:trPr>
          <w:tblHeader/>
        </w:trPr>
      </w:tr>
      <w:tr>
        <w:tc>
          <w:tcPr>
            <w:tcW w:type="dxa" w:w="2483"/>
            <w:shd w:fill="FFFFFF"/>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8"/>
              </w:rPr>
              <w:t>FIRST / INITIAL</w:t>
            </w:r>
          </w:p>
        </w:tc>
        <w:tc>
          <w:tcPr>
            <w:tcW w:type="dxa" w:w="7597"/>
            <w:shd w:fill="FFFFFF"/>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8"/>
              </w:rPr>
              <w:t>The earliest necessary action: immediate safety, mandatory duty, role clarification, or focused fact gathering.</w:t>
            </w:r>
          </w:p>
        </w:tc>
      </w:tr>
      <w:tr>
        <w:tc>
          <w:tcPr>
            <w:tcW w:type="dxa" w:w="2483"/>
            <w:shd w:fill="F3F5F7"/>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8"/>
              </w:rPr>
              <w:t>NEXT</w:t>
            </w:r>
          </w:p>
        </w:tc>
        <w:tc>
          <w:tcPr>
            <w:tcW w:type="dxa" w:w="7597"/>
            <w:shd w:fill="F3F5F7"/>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8"/>
              </w:rPr>
              <w:t>The step that follows what has already occurred; do not repeat the completed step or jump to closure.</w:t>
            </w:r>
          </w:p>
        </w:tc>
      </w:tr>
      <w:tr>
        <w:tc>
          <w:tcPr>
            <w:tcW w:type="dxa" w:w="2483"/>
            <w:shd w:fill="FFFFFF"/>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8"/>
              </w:rPr>
              <w:t>BEST / MOST APPROPRIATE</w:t>
            </w:r>
          </w:p>
        </w:tc>
        <w:tc>
          <w:tcPr>
            <w:tcW w:type="dxa" w:w="7597"/>
            <w:shd w:fill="FFFFFF"/>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8"/>
              </w:rPr>
              <w:t>The response that integrates law, ethics, client welfare, timing, role, and proportionality.</w:t>
            </w:r>
          </w:p>
        </w:tc>
      </w:tr>
      <w:tr>
        <w:tc>
          <w:tcPr>
            <w:tcW w:type="dxa" w:w="2483"/>
            <w:shd w:fill="F3F5F7"/>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8"/>
              </w:rPr>
              <w:t>PRIMARY</w:t>
            </w:r>
          </w:p>
        </w:tc>
        <w:tc>
          <w:tcPr>
            <w:tcW w:type="dxa" w:w="7597"/>
            <w:shd w:fill="F3F5F7"/>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8"/>
              </w:rPr>
              <w:t>The controlling issue or highest-priority concern—not every issue present in the vignette.</w:t>
            </w:r>
          </w:p>
        </w:tc>
      </w:tr>
      <w:tr>
        <w:tc>
          <w:tcPr>
            <w:tcW w:type="dxa" w:w="2483"/>
            <w:shd w:fill="FFFFFF"/>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8"/>
              </w:rPr>
              <w:t>MOST ETHICAL</w:t>
            </w:r>
          </w:p>
        </w:tc>
        <w:tc>
          <w:tcPr>
            <w:tcW w:type="dxa" w:w="7597"/>
            <w:shd w:fill="FFFFFF"/>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8"/>
              </w:rPr>
              <w:t>The professionally preferable action, which may exceed the legal minimum while remaining lawful.</w:t>
            </w:r>
          </w:p>
        </w:tc>
      </w:tr>
      <w:tr>
        <w:tc>
          <w:tcPr>
            <w:tcW w:type="dxa" w:w="2483"/>
            <w:shd w:fill="F3F5F7"/>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8"/>
              </w:rPr>
              <w:t>LEGAL REQUIREMENT</w:t>
            </w:r>
          </w:p>
        </w:tc>
        <w:tc>
          <w:tcPr>
            <w:tcW w:type="dxa" w:w="7597"/>
            <w:shd w:fill="F3F5F7"/>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8"/>
              </w:rPr>
              <w:t>What the governing authority requires; do not substitute a risk-management preference for a mandate.</w:t>
            </w:r>
          </w:p>
        </w:tc>
      </w:tr>
    </w:tbl>
    <w:tbl>
      <w:tblPr>
        <w:tblW w:type="dxa" w:w="10080"/>
        <w:jc w:val="center"/>
        <w:tblLayout w:type="fixed"/>
        <w:tblLook w:firstColumn="1" w:firstRow="1" w:lastColumn="0" w:lastRow="0" w:noHBand="0" w:noVBand="1" w:val="04A0"/>
        <w:tblInd w:type="dxa" w:w="0"/>
      </w:tblPr>
      <w:tblGrid>
        <w:gridCol w:w="10080"/>
      </w:tblGrid>
      <w:tr>
        <w:tc>
          <w:tcPr>
            <w:tcW w:type="dxa" w:w="10080"/>
            <w:shd w:fill="E8F6F6"/>
            <w:tcBorders>
              <w:top w:val="single" w:sz="10" w:color="159A9C"/>
              <w:left w:val="single" w:sz="10" w:color="159A9C"/>
              <w:bottom w:val="single" w:sz="10" w:color="159A9C"/>
              <w:right w:val="single" w:sz="10" w:color="159A9C"/>
            </w:tcBorders>
            <w:tcMar>
              <w:top w:w="100" w:type="dxa"/>
              <w:start w:w="130" w:type="dxa"/>
              <w:bottom w:w="100" w:type="dxa"/>
              <w:end w:w="130" w:type="dxa"/>
            </w:tcMar>
          </w:tcPr>
          <w:p>
            <w:pPr>
              <w:spacing w:before="0" w:after="40" w:line="240" w:lineRule="auto"/>
            </w:pPr>
            <w:r>
              <w:rPr>
                <w:rFonts w:ascii="Arial" w:hAnsi="Arial" w:eastAsia="Arial"/>
                <w:b/>
                <w:i w:val="0"/>
                <w:color w:val="17325C"/>
                <w:sz w:val="20"/>
              </w:rPr>
              <w:t>SIX-STEP SEQUENCE</w:t>
            </w:r>
          </w:p>
          <w:p>
            <w:pPr>
              <w:spacing w:before="0" w:after="0" w:line="254" w:lineRule="auto"/>
            </w:pPr>
            <w:r>
              <w:rPr>
                <w:rFonts w:ascii="Arial" w:hAnsi="Arial" w:eastAsia="Arial"/>
                <w:b w:val="0"/>
                <w:i w:val="0"/>
                <w:color w:val="243447"/>
                <w:sz w:val="20"/>
              </w:rPr>
              <w:t>1. Protect against immediate danger or complete a nondeferrable duty.  2. Clarify authority, role, consent, privilege, location, or treatment-unit expectations.  3. Gather the missing facts that can safely be gathered.  4. Consult when useful without transferring responsibility.  5. Take the least intrusive effective action.  6. Communicate, document, and follow up.</w:t>
            </w:r>
          </w:p>
        </w:tc>
        <w:trPr>
          <w:tblHeader/>
        </w:trPr>
      </w:tr>
    </w:tbl>
    <w:p>
      <w:pPr>
        <w:spacing w:after="20"/>
      </w:pPr>
    </w:p>
    <w:p>
      <w:pPr>
        <w:spacing w:before="120" w:after="60" w:line="240" w:lineRule="auto"/>
      </w:pPr>
      <w:r>
        <w:rPr>
          <w:rFonts w:ascii="Arial" w:hAnsi="Arial" w:eastAsia="Arial"/>
          <w:b/>
          <w:i w:val="0"/>
          <w:color w:val="159A9C"/>
          <w:sz w:val="26"/>
        </w:rPr>
        <w:t>My Three Most Common Sequence Errors</w:t>
      </w:r>
    </w:p>
    <w:p>
      <w:pPr>
        <w:spacing w:before="40" w:after="120" w:line="240" w:lineRule="auto"/>
      </w:pPr>
      <w:r>
        <w:rPr>
          <w:rFonts w:ascii="Arial" w:hAnsi="Arial" w:eastAsia="Arial"/>
          <w:b w:val="0"/>
          <w:i w:val="0"/>
          <w:color w:val="243447"/>
          <w:sz w:val="20"/>
        </w:rPr>
        <w:t>1. ____________________________________________________________________________________</w:t>
      </w:r>
    </w:p>
    <w:p>
      <w:pPr>
        <w:spacing w:before="0" w:after="100" w:line="240" w:lineRule="auto"/>
      </w:pPr>
      <w:r>
        <w:rPr>
          <w:rFonts w:ascii="Arial" w:hAnsi="Arial" w:eastAsia="Arial"/>
          <w:b w:val="0"/>
          <w:i w:val="0"/>
          <w:color w:val="657487"/>
          <w:sz w:val="19"/>
        </w:rPr>
        <w:t>Correction rule: ______________________________________________________________________</w:t>
      </w:r>
    </w:p>
    <w:p>
      <w:pPr>
        <w:spacing w:before="40" w:after="120" w:line="240" w:lineRule="auto"/>
      </w:pPr>
      <w:r>
        <w:rPr>
          <w:rFonts w:ascii="Arial" w:hAnsi="Arial" w:eastAsia="Arial"/>
          <w:b w:val="0"/>
          <w:i w:val="0"/>
          <w:color w:val="243447"/>
          <w:sz w:val="20"/>
        </w:rPr>
        <w:t>2. ____________________________________________________________________________________</w:t>
      </w:r>
    </w:p>
    <w:p>
      <w:pPr>
        <w:spacing w:before="0" w:after="100" w:line="240" w:lineRule="auto"/>
      </w:pPr>
      <w:r>
        <w:rPr>
          <w:rFonts w:ascii="Arial" w:hAnsi="Arial" w:eastAsia="Arial"/>
          <w:b w:val="0"/>
          <w:i w:val="0"/>
          <w:color w:val="657487"/>
          <w:sz w:val="19"/>
        </w:rPr>
        <w:t>Correction rule: ______________________________________________________________________</w:t>
      </w:r>
    </w:p>
    <w:p>
      <w:pPr>
        <w:spacing w:before="40" w:after="120" w:line="240" w:lineRule="auto"/>
      </w:pPr>
      <w:r>
        <w:rPr>
          <w:rFonts w:ascii="Arial" w:hAnsi="Arial" w:eastAsia="Arial"/>
          <w:b w:val="0"/>
          <w:i w:val="0"/>
          <w:color w:val="243447"/>
          <w:sz w:val="20"/>
        </w:rPr>
        <w:t>3. ____________________________________________________________________________________</w:t>
      </w:r>
    </w:p>
    <w:p>
      <w:pPr>
        <w:spacing w:before="0" w:after="100" w:line="240" w:lineRule="auto"/>
      </w:pPr>
      <w:r>
        <w:rPr>
          <w:rFonts w:ascii="Arial" w:hAnsi="Arial" w:eastAsia="Arial"/>
          <w:b w:val="0"/>
          <w:i w:val="0"/>
          <w:color w:val="657487"/>
          <w:sz w:val="19"/>
        </w:rPr>
        <w:t>Correction rule: ______________________________________________________________________</w:t>
      </w:r>
    </w:p>
    <w:p>
      <w:r>
        <w:br w:type="page"/>
      </w:r>
    </w:p>
    <w:p>
      <w:pPr>
        <w:spacing w:before="0" w:after="60" w:line="240" w:lineRule="auto"/>
        <w:pBdr>
          <w:bottom w:val="single" w:sz="12" w:space="3" w:color="159A9C"/>
        </w:pBdr>
      </w:pPr>
      <w:r>
        <w:rPr>
          <w:rFonts w:ascii="Arial" w:hAnsi="Arial" w:eastAsia="Arial"/>
          <w:b/>
          <w:i w:val="0"/>
          <w:color w:val="17325C"/>
          <w:sz w:val="36"/>
        </w:rPr>
        <w:t>Personal Trap Tracker</w:t>
      </w:r>
    </w:p>
    <w:p>
      <w:pPr>
        <w:spacing w:before="0" w:after="140" w:line="240" w:lineRule="auto"/>
      </w:pPr>
      <w:r>
        <w:rPr>
          <w:rFonts w:ascii="Arial" w:hAnsi="Arial" w:eastAsia="Arial"/>
          <w:b w:val="0"/>
          <w:i/>
          <w:color w:val="657487"/>
          <w:sz w:val="20"/>
        </w:rPr>
        <w:t>Use evidence from practice—not confidence alone</w:t>
      </w:r>
    </w:p>
    <w:tbl>
      <w:tblPr>
        <w:tblW w:type="dxa" w:w="10080"/>
        <w:jc w:val="center"/>
        <w:tblLayout w:type="fixed"/>
        <w:tblLook w:firstColumn="1" w:firstRow="1" w:lastColumn="0" w:lastRow="0" w:noHBand="0" w:noVBand="1" w:val="04A0"/>
        <w:tblInd w:type="dxa" w:w="0"/>
      </w:tblPr>
      <w:tblGrid>
        <w:gridCol w:w="511"/>
        <w:gridCol w:w="1972"/>
        <w:gridCol w:w="1972"/>
        <w:gridCol w:w="1826"/>
        <w:gridCol w:w="3799"/>
      </w:tblGrid>
      <w:tr>
        <w:tc>
          <w:tcPr>
            <w:tcW w:type="dxa" w:w="511"/>
            <w:shd w:fill="17325C"/>
            <w:tcBorders>
              <w:top w:val="single" w:sz="6" w:color="17325C"/>
              <w:left w:val="single" w:sz="6" w:color="17325C"/>
              <w:bottom w:val="single" w:sz="6" w:color="17325C"/>
              <w:right w:val="single" w:sz="6" w:color="17325C"/>
            </w:tcBorders>
            <w:tcMar>
              <w:top w:w="75" w:type="dxa"/>
              <w:start w:w="85" w:type="dxa"/>
              <w:bottom w:w="75" w:type="dxa"/>
              <w:end w:w="85" w:type="dxa"/>
            </w:tcMar>
            <w:vAlign w:val="center"/>
          </w:tcPr>
          <w:p>
            <w:pPr>
              <w:spacing w:before="0" w:after="0" w:line="240" w:lineRule="auto"/>
              <w:jc w:val="center"/>
            </w:pPr>
            <w:r>
              <w:rPr>
                <w:rFonts w:ascii="Arial" w:hAnsi="Arial" w:eastAsia="Arial"/>
                <w:b/>
                <w:i w:val="0"/>
                <w:color w:val="FFFFFF"/>
                <w:sz w:val="18"/>
              </w:rPr>
              <w:t>#</w:t>
            </w:r>
          </w:p>
        </w:tc>
        <w:tc>
          <w:tcPr>
            <w:tcW w:type="dxa" w:w="1972"/>
            <w:shd w:fill="17325C"/>
            <w:tcBorders>
              <w:top w:val="single" w:sz="6" w:color="17325C"/>
              <w:left w:val="single" w:sz="6" w:color="17325C"/>
              <w:bottom w:val="single" w:sz="6" w:color="17325C"/>
              <w:right w:val="single" w:sz="6" w:color="17325C"/>
            </w:tcBorders>
            <w:tcMar>
              <w:top w:w="75" w:type="dxa"/>
              <w:start w:w="85" w:type="dxa"/>
              <w:bottom w:w="75" w:type="dxa"/>
              <w:end w:w="85" w:type="dxa"/>
            </w:tcMar>
            <w:vAlign w:val="center"/>
          </w:tcPr>
          <w:p>
            <w:pPr>
              <w:spacing w:before="0" w:after="0" w:line="240" w:lineRule="auto"/>
              <w:jc w:val="center"/>
            </w:pPr>
            <w:r>
              <w:rPr>
                <w:rFonts w:ascii="Arial" w:hAnsi="Arial" w:eastAsia="Arial"/>
                <w:b/>
                <w:i w:val="0"/>
                <w:color w:val="FFFFFF"/>
                <w:sz w:val="18"/>
              </w:rPr>
              <w:t>Trap / Concept</w:t>
            </w:r>
          </w:p>
        </w:tc>
        <w:tc>
          <w:tcPr>
            <w:tcW w:type="dxa" w:w="1972"/>
            <w:shd w:fill="17325C"/>
            <w:tcBorders>
              <w:top w:val="single" w:sz="6" w:color="17325C"/>
              <w:left w:val="single" w:sz="6" w:color="17325C"/>
              <w:bottom w:val="single" w:sz="6" w:color="17325C"/>
              <w:right w:val="single" w:sz="6" w:color="17325C"/>
            </w:tcBorders>
            <w:tcMar>
              <w:top w:w="75" w:type="dxa"/>
              <w:start w:w="85" w:type="dxa"/>
              <w:bottom w:w="75" w:type="dxa"/>
              <w:end w:w="85" w:type="dxa"/>
            </w:tcMar>
            <w:vAlign w:val="center"/>
          </w:tcPr>
          <w:p>
            <w:pPr>
              <w:spacing w:before="0" w:after="0" w:line="240" w:lineRule="auto"/>
              <w:jc w:val="center"/>
            </w:pPr>
            <w:r>
              <w:rPr>
                <w:rFonts w:ascii="Arial" w:hAnsi="Arial" w:eastAsia="Arial"/>
                <w:b/>
                <w:i w:val="0"/>
                <w:color w:val="FFFFFF"/>
                <w:sz w:val="18"/>
              </w:rPr>
              <w:t>Workbook &amp; Chapter</w:t>
            </w:r>
          </w:p>
        </w:tc>
        <w:tc>
          <w:tcPr>
            <w:tcW w:type="dxa" w:w="1826"/>
            <w:shd w:fill="17325C"/>
            <w:tcBorders>
              <w:top w:val="single" w:sz="6" w:color="17325C"/>
              <w:left w:val="single" w:sz="6" w:color="17325C"/>
              <w:bottom w:val="single" w:sz="6" w:color="17325C"/>
              <w:right w:val="single" w:sz="6" w:color="17325C"/>
            </w:tcBorders>
            <w:tcMar>
              <w:top w:w="75" w:type="dxa"/>
              <w:start w:w="85" w:type="dxa"/>
              <w:bottom w:w="75" w:type="dxa"/>
              <w:end w:w="85" w:type="dxa"/>
            </w:tcMar>
            <w:vAlign w:val="center"/>
          </w:tcPr>
          <w:p>
            <w:pPr>
              <w:spacing w:before="0" w:after="0" w:line="240" w:lineRule="auto"/>
              <w:jc w:val="center"/>
            </w:pPr>
            <w:r>
              <w:rPr>
                <w:rFonts w:ascii="Arial" w:hAnsi="Arial" w:eastAsia="Arial"/>
                <w:b/>
                <w:i w:val="0"/>
                <w:color w:val="FFFFFF"/>
                <w:sz w:val="18"/>
              </w:rPr>
              <w:t>Status</w:t>
            </w:r>
          </w:p>
        </w:tc>
        <w:tc>
          <w:tcPr>
            <w:tcW w:type="dxa" w:w="3799"/>
            <w:shd w:fill="17325C"/>
            <w:tcBorders>
              <w:top w:val="single" w:sz="6" w:color="17325C"/>
              <w:left w:val="single" w:sz="6" w:color="17325C"/>
              <w:bottom w:val="single" w:sz="6" w:color="17325C"/>
              <w:right w:val="single" w:sz="6" w:color="17325C"/>
            </w:tcBorders>
            <w:tcMar>
              <w:top w:w="75" w:type="dxa"/>
              <w:start w:w="85" w:type="dxa"/>
              <w:bottom w:w="75" w:type="dxa"/>
              <w:end w:w="85" w:type="dxa"/>
            </w:tcMar>
            <w:vAlign w:val="center"/>
          </w:tcPr>
          <w:p>
            <w:pPr>
              <w:spacing w:before="0" w:after="0" w:line="240" w:lineRule="auto"/>
              <w:jc w:val="center"/>
            </w:pPr>
            <w:r>
              <w:rPr>
                <w:rFonts w:ascii="Arial" w:hAnsi="Arial" w:eastAsia="Arial"/>
                <w:b/>
                <w:i w:val="0"/>
                <w:color w:val="FFFFFF"/>
                <w:sz w:val="18"/>
              </w:rPr>
              <w:t>Correction in My Own Words</w:t>
            </w:r>
          </w:p>
        </w:tc>
        <w:trPr>
          <w:tblHeader/>
        </w:trPr>
      </w:tr>
      <w:tr>
        <w:tc>
          <w:tcPr>
            <w:tcW w:type="dxa" w:w="511"/>
            <w:shd w:fill="FFFFFF"/>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7"/>
              </w:rPr>
              <w:t>1</w:t>
            </w:r>
          </w:p>
        </w:tc>
        <w:tc>
          <w:tcPr>
            <w:tcW w:type="dxa" w:w="1972"/>
            <w:shd w:fill="FFFFFF"/>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7"/>
              </w:rPr>
            </w:r>
          </w:p>
        </w:tc>
        <w:tc>
          <w:tcPr>
            <w:tcW w:type="dxa" w:w="1972"/>
            <w:shd w:fill="FFFFFF"/>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7"/>
              </w:rPr>
            </w:r>
          </w:p>
        </w:tc>
        <w:tc>
          <w:tcPr>
            <w:tcW w:type="dxa" w:w="1826"/>
            <w:shd w:fill="FFFFFF"/>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7"/>
              </w:rPr>
              <w:t>☐ Green  ☐ Yellow  ☐ Red</w:t>
            </w:r>
          </w:p>
        </w:tc>
        <w:tc>
          <w:tcPr>
            <w:tcW w:type="dxa" w:w="3799"/>
            <w:shd w:fill="FFFFFF"/>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7"/>
              </w:rPr>
            </w:r>
          </w:p>
        </w:tc>
      </w:tr>
      <w:tr>
        <w:tc>
          <w:tcPr>
            <w:tcW w:type="dxa" w:w="511"/>
            <w:shd w:fill="F3F5F7"/>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7"/>
              </w:rPr>
              <w:t>2</w:t>
            </w:r>
          </w:p>
        </w:tc>
        <w:tc>
          <w:tcPr>
            <w:tcW w:type="dxa" w:w="1972"/>
            <w:shd w:fill="F3F5F7"/>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7"/>
              </w:rPr>
            </w:r>
          </w:p>
        </w:tc>
        <w:tc>
          <w:tcPr>
            <w:tcW w:type="dxa" w:w="1972"/>
            <w:shd w:fill="F3F5F7"/>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7"/>
              </w:rPr>
            </w:r>
          </w:p>
        </w:tc>
        <w:tc>
          <w:tcPr>
            <w:tcW w:type="dxa" w:w="1826"/>
            <w:shd w:fill="F3F5F7"/>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7"/>
              </w:rPr>
              <w:t>☐ Green  ☐ Yellow  ☐ Red</w:t>
            </w:r>
          </w:p>
        </w:tc>
        <w:tc>
          <w:tcPr>
            <w:tcW w:type="dxa" w:w="3799"/>
            <w:shd w:fill="F3F5F7"/>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7"/>
              </w:rPr>
            </w:r>
          </w:p>
        </w:tc>
      </w:tr>
      <w:tr>
        <w:tc>
          <w:tcPr>
            <w:tcW w:type="dxa" w:w="511"/>
            <w:shd w:fill="FFFFFF"/>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7"/>
              </w:rPr>
              <w:t>3</w:t>
            </w:r>
          </w:p>
        </w:tc>
        <w:tc>
          <w:tcPr>
            <w:tcW w:type="dxa" w:w="1972"/>
            <w:shd w:fill="FFFFFF"/>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7"/>
              </w:rPr>
            </w:r>
          </w:p>
        </w:tc>
        <w:tc>
          <w:tcPr>
            <w:tcW w:type="dxa" w:w="1972"/>
            <w:shd w:fill="FFFFFF"/>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7"/>
              </w:rPr>
            </w:r>
          </w:p>
        </w:tc>
        <w:tc>
          <w:tcPr>
            <w:tcW w:type="dxa" w:w="1826"/>
            <w:shd w:fill="FFFFFF"/>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7"/>
              </w:rPr>
              <w:t>☐ Green  ☐ Yellow  ☐ Red</w:t>
            </w:r>
          </w:p>
        </w:tc>
        <w:tc>
          <w:tcPr>
            <w:tcW w:type="dxa" w:w="3799"/>
            <w:shd w:fill="FFFFFF"/>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7"/>
              </w:rPr>
            </w:r>
          </w:p>
        </w:tc>
      </w:tr>
      <w:tr>
        <w:tc>
          <w:tcPr>
            <w:tcW w:type="dxa" w:w="511"/>
            <w:shd w:fill="F3F5F7"/>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7"/>
              </w:rPr>
              <w:t>4</w:t>
            </w:r>
          </w:p>
        </w:tc>
        <w:tc>
          <w:tcPr>
            <w:tcW w:type="dxa" w:w="1972"/>
            <w:shd w:fill="F3F5F7"/>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7"/>
              </w:rPr>
            </w:r>
          </w:p>
        </w:tc>
        <w:tc>
          <w:tcPr>
            <w:tcW w:type="dxa" w:w="1972"/>
            <w:shd w:fill="F3F5F7"/>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7"/>
              </w:rPr>
            </w:r>
          </w:p>
        </w:tc>
        <w:tc>
          <w:tcPr>
            <w:tcW w:type="dxa" w:w="1826"/>
            <w:shd w:fill="F3F5F7"/>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7"/>
              </w:rPr>
              <w:t>☐ Green  ☐ Yellow  ☐ Red</w:t>
            </w:r>
          </w:p>
        </w:tc>
        <w:tc>
          <w:tcPr>
            <w:tcW w:type="dxa" w:w="3799"/>
            <w:shd w:fill="F3F5F7"/>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7"/>
              </w:rPr>
            </w:r>
          </w:p>
        </w:tc>
      </w:tr>
      <w:tr>
        <w:tc>
          <w:tcPr>
            <w:tcW w:type="dxa" w:w="511"/>
            <w:shd w:fill="FFFFFF"/>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7"/>
              </w:rPr>
              <w:t>5</w:t>
            </w:r>
          </w:p>
        </w:tc>
        <w:tc>
          <w:tcPr>
            <w:tcW w:type="dxa" w:w="1972"/>
            <w:shd w:fill="FFFFFF"/>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7"/>
              </w:rPr>
            </w:r>
          </w:p>
        </w:tc>
        <w:tc>
          <w:tcPr>
            <w:tcW w:type="dxa" w:w="1972"/>
            <w:shd w:fill="FFFFFF"/>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7"/>
              </w:rPr>
            </w:r>
          </w:p>
        </w:tc>
        <w:tc>
          <w:tcPr>
            <w:tcW w:type="dxa" w:w="1826"/>
            <w:shd w:fill="FFFFFF"/>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7"/>
              </w:rPr>
              <w:t>☐ Green  ☐ Yellow  ☐ Red</w:t>
            </w:r>
          </w:p>
        </w:tc>
        <w:tc>
          <w:tcPr>
            <w:tcW w:type="dxa" w:w="3799"/>
            <w:shd w:fill="FFFFFF"/>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7"/>
              </w:rPr>
            </w:r>
          </w:p>
        </w:tc>
      </w:tr>
      <w:tr>
        <w:tc>
          <w:tcPr>
            <w:tcW w:type="dxa" w:w="511"/>
            <w:shd w:fill="F3F5F7"/>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7"/>
              </w:rPr>
              <w:t>6</w:t>
            </w:r>
          </w:p>
        </w:tc>
        <w:tc>
          <w:tcPr>
            <w:tcW w:type="dxa" w:w="1972"/>
            <w:shd w:fill="F3F5F7"/>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7"/>
              </w:rPr>
            </w:r>
          </w:p>
        </w:tc>
        <w:tc>
          <w:tcPr>
            <w:tcW w:type="dxa" w:w="1972"/>
            <w:shd w:fill="F3F5F7"/>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7"/>
              </w:rPr>
            </w:r>
          </w:p>
        </w:tc>
        <w:tc>
          <w:tcPr>
            <w:tcW w:type="dxa" w:w="1826"/>
            <w:shd w:fill="F3F5F7"/>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7"/>
              </w:rPr>
              <w:t>☐ Green  ☐ Yellow  ☐ Red</w:t>
            </w:r>
          </w:p>
        </w:tc>
        <w:tc>
          <w:tcPr>
            <w:tcW w:type="dxa" w:w="3799"/>
            <w:shd w:fill="F3F5F7"/>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7"/>
              </w:rPr>
            </w:r>
          </w:p>
        </w:tc>
      </w:tr>
      <w:tr>
        <w:tc>
          <w:tcPr>
            <w:tcW w:type="dxa" w:w="511"/>
            <w:shd w:fill="FFFFFF"/>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7"/>
              </w:rPr>
              <w:t>7</w:t>
            </w:r>
          </w:p>
        </w:tc>
        <w:tc>
          <w:tcPr>
            <w:tcW w:type="dxa" w:w="1972"/>
            <w:shd w:fill="FFFFFF"/>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7"/>
              </w:rPr>
            </w:r>
          </w:p>
        </w:tc>
        <w:tc>
          <w:tcPr>
            <w:tcW w:type="dxa" w:w="1972"/>
            <w:shd w:fill="FFFFFF"/>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7"/>
              </w:rPr>
            </w:r>
          </w:p>
        </w:tc>
        <w:tc>
          <w:tcPr>
            <w:tcW w:type="dxa" w:w="1826"/>
            <w:shd w:fill="FFFFFF"/>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7"/>
              </w:rPr>
              <w:t>☐ Green  ☐ Yellow  ☐ Red</w:t>
            </w:r>
          </w:p>
        </w:tc>
        <w:tc>
          <w:tcPr>
            <w:tcW w:type="dxa" w:w="3799"/>
            <w:shd w:fill="FFFFFF"/>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7"/>
              </w:rPr>
            </w:r>
          </w:p>
        </w:tc>
      </w:tr>
      <w:tr>
        <w:tc>
          <w:tcPr>
            <w:tcW w:type="dxa" w:w="511"/>
            <w:shd w:fill="F3F5F7"/>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7"/>
              </w:rPr>
              <w:t>8</w:t>
            </w:r>
          </w:p>
        </w:tc>
        <w:tc>
          <w:tcPr>
            <w:tcW w:type="dxa" w:w="1972"/>
            <w:shd w:fill="F3F5F7"/>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7"/>
              </w:rPr>
            </w:r>
          </w:p>
        </w:tc>
        <w:tc>
          <w:tcPr>
            <w:tcW w:type="dxa" w:w="1972"/>
            <w:shd w:fill="F3F5F7"/>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7"/>
              </w:rPr>
            </w:r>
          </w:p>
        </w:tc>
        <w:tc>
          <w:tcPr>
            <w:tcW w:type="dxa" w:w="1826"/>
            <w:shd w:fill="F3F5F7"/>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7"/>
              </w:rPr>
              <w:t>☐ Green  ☐ Yellow  ☐ Red</w:t>
            </w:r>
          </w:p>
        </w:tc>
        <w:tc>
          <w:tcPr>
            <w:tcW w:type="dxa" w:w="3799"/>
            <w:shd w:fill="F3F5F7"/>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7"/>
              </w:rPr>
            </w:r>
          </w:p>
        </w:tc>
      </w:tr>
      <w:tr>
        <w:tc>
          <w:tcPr>
            <w:tcW w:type="dxa" w:w="511"/>
            <w:shd w:fill="FFFFFF"/>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7"/>
              </w:rPr>
              <w:t>9</w:t>
            </w:r>
          </w:p>
        </w:tc>
        <w:tc>
          <w:tcPr>
            <w:tcW w:type="dxa" w:w="1972"/>
            <w:shd w:fill="FFFFFF"/>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7"/>
              </w:rPr>
            </w:r>
          </w:p>
        </w:tc>
        <w:tc>
          <w:tcPr>
            <w:tcW w:type="dxa" w:w="1972"/>
            <w:shd w:fill="FFFFFF"/>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7"/>
              </w:rPr>
            </w:r>
          </w:p>
        </w:tc>
        <w:tc>
          <w:tcPr>
            <w:tcW w:type="dxa" w:w="1826"/>
            <w:shd w:fill="FFFFFF"/>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7"/>
              </w:rPr>
              <w:t>☐ Green  ☐ Yellow  ☐ Red</w:t>
            </w:r>
          </w:p>
        </w:tc>
        <w:tc>
          <w:tcPr>
            <w:tcW w:type="dxa" w:w="3799"/>
            <w:shd w:fill="FFFFFF"/>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7"/>
              </w:rPr>
            </w:r>
          </w:p>
        </w:tc>
      </w:tr>
      <w:tr>
        <w:tc>
          <w:tcPr>
            <w:tcW w:type="dxa" w:w="511"/>
            <w:shd w:fill="F3F5F7"/>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7"/>
              </w:rPr>
              <w:t>10</w:t>
            </w:r>
          </w:p>
        </w:tc>
        <w:tc>
          <w:tcPr>
            <w:tcW w:type="dxa" w:w="1972"/>
            <w:shd w:fill="F3F5F7"/>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7"/>
              </w:rPr>
            </w:r>
          </w:p>
        </w:tc>
        <w:tc>
          <w:tcPr>
            <w:tcW w:type="dxa" w:w="1972"/>
            <w:shd w:fill="F3F5F7"/>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7"/>
              </w:rPr>
            </w:r>
          </w:p>
        </w:tc>
        <w:tc>
          <w:tcPr>
            <w:tcW w:type="dxa" w:w="1826"/>
            <w:shd w:fill="F3F5F7"/>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7"/>
              </w:rPr>
              <w:t>☐ Green  ☐ Yellow  ☐ Red</w:t>
            </w:r>
          </w:p>
        </w:tc>
        <w:tc>
          <w:tcPr>
            <w:tcW w:type="dxa" w:w="3799"/>
            <w:shd w:fill="F3F5F7"/>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7"/>
              </w:rPr>
            </w:r>
          </w:p>
        </w:tc>
      </w:tr>
      <w:tr>
        <w:tc>
          <w:tcPr>
            <w:tcW w:type="dxa" w:w="511"/>
            <w:shd w:fill="FFFFFF"/>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7"/>
              </w:rPr>
              <w:t>11</w:t>
            </w:r>
          </w:p>
        </w:tc>
        <w:tc>
          <w:tcPr>
            <w:tcW w:type="dxa" w:w="1972"/>
            <w:shd w:fill="FFFFFF"/>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7"/>
              </w:rPr>
            </w:r>
          </w:p>
        </w:tc>
        <w:tc>
          <w:tcPr>
            <w:tcW w:type="dxa" w:w="1972"/>
            <w:shd w:fill="FFFFFF"/>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7"/>
              </w:rPr>
            </w:r>
          </w:p>
        </w:tc>
        <w:tc>
          <w:tcPr>
            <w:tcW w:type="dxa" w:w="1826"/>
            <w:shd w:fill="FFFFFF"/>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7"/>
              </w:rPr>
              <w:t>☐ Green  ☐ Yellow  ☐ Red</w:t>
            </w:r>
          </w:p>
        </w:tc>
        <w:tc>
          <w:tcPr>
            <w:tcW w:type="dxa" w:w="3799"/>
            <w:shd w:fill="FFFFFF"/>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7"/>
              </w:rPr>
            </w:r>
          </w:p>
        </w:tc>
      </w:tr>
      <w:tr>
        <w:tc>
          <w:tcPr>
            <w:tcW w:type="dxa" w:w="511"/>
            <w:shd w:fill="F3F5F7"/>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7"/>
              </w:rPr>
              <w:t>12</w:t>
            </w:r>
          </w:p>
        </w:tc>
        <w:tc>
          <w:tcPr>
            <w:tcW w:type="dxa" w:w="1972"/>
            <w:shd w:fill="F3F5F7"/>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7"/>
              </w:rPr>
            </w:r>
          </w:p>
        </w:tc>
        <w:tc>
          <w:tcPr>
            <w:tcW w:type="dxa" w:w="1972"/>
            <w:shd w:fill="F3F5F7"/>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7"/>
              </w:rPr>
            </w:r>
          </w:p>
        </w:tc>
        <w:tc>
          <w:tcPr>
            <w:tcW w:type="dxa" w:w="1826"/>
            <w:shd w:fill="F3F5F7"/>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7"/>
              </w:rPr>
              <w:t>☐ Green  ☐ Yellow  ☐ Red</w:t>
            </w:r>
          </w:p>
        </w:tc>
        <w:tc>
          <w:tcPr>
            <w:tcW w:type="dxa" w:w="3799"/>
            <w:shd w:fill="F3F5F7"/>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7"/>
              </w:rPr>
            </w:r>
          </w:p>
        </w:tc>
      </w:tr>
    </w:tbl>
    <w:tbl>
      <w:tblPr>
        <w:tblW w:type="dxa" w:w="10080"/>
        <w:jc w:val="center"/>
        <w:tblLayout w:type="fixed"/>
        <w:tblLook w:firstColumn="1" w:firstRow="1" w:lastColumn="0" w:lastRow="0" w:noHBand="0" w:noVBand="1" w:val="04A0"/>
        <w:tblInd w:type="dxa" w:w="0"/>
      </w:tblPr>
      <w:tblGrid>
        <w:gridCol w:w="10080"/>
      </w:tblGrid>
      <w:tr>
        <w:tc>
          <w:tcPr>
            <w:tcW w:type="dxa" w:w="10080"/>
            <w:shd w:fill="EAF0F6"/>
            <w:tcBorders>
              <w:top w:val="single" w:sz="10" w:color="17325C"/>
              <w:left w:val="single" w:sz="10" w:color="17325C"/>
              <w:bottom w:val="single" w:sz="10" w:color="17325C"/>
              <w:right w:val="single" w:sz="10" w:color="17325C"/>
            </w:tcBorders>
            <w:tcMar>
              <w:top w:w="100" w:type="dxa"/>
              <w:start w:w="130" w:type="dxa"/>
              <w:bottom w:w="100" w:type="dxa"/>
              <w:end w:w="130" w:type="dxa"/>
            </w:tcMar>
          </w:tcPr>
          <w:p>
            <w:pPr>
              <w:spacing w:before="0" w:after="40" w:line="240" w:lineRule="auto"/>
            </w:pPr>
            <w:r>
              <w:rPr>
                <w:rFonts w:ascii="Arial" w:hAnsi="Arial" w:eastAsia="Arial"/>
                <w:b/>
                <w:i w:val="0"/>
                <w:color w:val="17325C"/>
                <w:sz w:val="20"/>
              </w:rPr>
              <w:t>REVIEW RULE</w:t>
            </w:r>
          </w:p>
          <w:p>
            <w:pPr>
              <w:spacing w:before="0" w:after="0" w:line="254" w:lineRule="auto"/>
            </w:pPr>
            <w:r>
              <w:rPr>
                <w:rFonts w:ascii="Arial" w:hAnsi="Arial" w:eastAsia="Arial"/>
                <w:b w:val="0"/>
                <w:i w:val="0"/>
                <w:color w:val="243447"/>
                <w:sz w:val="20"/>
              </w:rPr>
              <w:t>A Red item should be reviewed in the workbook and then tested in a new scenario. A Yellow item should be retrieved again after a delay. A Green item should still be sampled during final review.</w:t>
            </w:r>
          </w:p>
        </w:tc>
        <w:trPr>
          <w:tblHeader/>
        </w:trPr>
      </w:tr>
    </w:tbl>
    <w:p>
      <w:pPr>
        <w:spacing w:after="20"/>
      </w:pPr>
    </w:p>
    <w:p>
      <w:r>
        <w:br w:type="page"/>
      </w:r>
    </w:p>
    <w:p>
      <w:pPr>
        <w:spacing w:before="0" w:after="60" w:line="240" w:lineRule="auto"/>
        <w:pBdr>
          <w:bottom w:val="single" w:sz="12" w:space="3" w:color="159A9C"/>
        </w:pBdr>
      </w:pPr>
      <w:r>
        <w:rPr>
          <w:rFonts w:ascii="Arial" w:hAnsi="Arial" w:eastAsia="Arial"/>
          <w:b/>
          <w:i w:val="0"/>
          <w:color w:val="17325C"/>
          <w:sz w:val="36"/>
        </w:rPr>
        <w:t>Final Review Checklist and Document Control</w:t>
      </w:r>
    </w:p>
    <w:p>
      <w:pPr>
        <w:spacing w:before="0" w:after="140" w:line="240" w:lineRule="auto"/>
      </w:pPr>
      <w:r>
        <w:rPr>
          <w:rFonts w:ascii="Arial" w:hAnsi="Arial" w:eastAsia="Arial"/>
          <w:b w:val="0"/>
          <w:i/>
          <w:color w:val="657487"/>
          <w:sz w:val="20"/>
        </w:rPr>
        <w:t>A last look before Practice A, Practice B, or the Comprehensive Final Examination</w:t>
      </w:r>
    </w:p>
    <w:p>
      <w:pPr>
        <w:spacing w:before="0" w:after="60" w:line="247" w:lineRule="auto"/>
      </w:pPr>
      <w:r>
        <w:rPr>
          <w:rFonts w:ascii="Arial" w:hAnsi="Arial" w:eastAsia="Arial"/>
          <w:b/>
          <w:i w:val="0"/>
          <w:color w:val="159A9C"/>
          <w:sz w:val="22"/>
        </w:rPr>
        <w:t xml:space="preserve">☐ </w:t>
      </w:r>
      <w:r>
        <w:rPr>
          <w:rFonts w:ascii="Arial" w:hAnsi="Arial" w:eastAsia="Arial"/>
          <w:b w:val="0"/>
          <w:i w:val="0"/>
          <w:color w:val="243447"/>
          <w:sz w:val="19"/>
        </w:rPr>
        <w:t>I can identify whether a question is primarily legal, ethical, clinical, or mixed.</w:t>
      </w:r>
    </w:p>
    <w:p>
      <w:pPr>
        <w:spacing w:before="0" w:after="60" w:line="247" w:lineRule="auto"/>
      </w:pPr>
      <w:r>
        <w:rPr>
          <w:rFonts w:ascii="Arial" w:hAnsi="Arial" w:eastAsia="Arial"/>
          <w:b/>
          <w:i w:val="0"/>
          <w:color w:val="159A9C"/>
          <w:sz w:val="22"/>
        </w:rPr>
        <w:t xml:space="preserve">☐ </w:t>
      </w:r>
      <w:r>
        <w:rPr>
          <w:rFonts w:ascii="Arial" w:hAnsi="Arial" w:eastAsia="Arial"/>
          <w:b w:val="0"/>
          <w:i w:val="0"/>
          <w:color w:val="243447"/>
          <w:sz w:val="19"/>
        </w:rPr>
        <w:t>I underline the qualifier before evaluating answer choices.</w:t>
      </w:r>
    </w:p>
    <w:p>
      <w:pPr>
        <w:spacing w:before="0" w:after="60" w:line="247" w:lineRule="auto"/>
      </w:pPr>
      <w:r>
        <w:rPr>
          <w:rFonts w:ascii="Arial" w:hAnsi="Arial" w:eastAsia="Arial"/>
          <w:b/>
          <w:i w:val="0"/>
          <w:color w:val="159A9C"/>
          <w:sz w:val="22"/>
        </w:rPr>
        <w:t xml:space="preserve">☐ </w:t>
      </w:r>
      <w:r>
        <w:rPr>
          <w:rFonts w:ascii="Arial" w:hAnsi="Arial" w:eastAsia="Arial"/>
          <w:b w:val="0"/>
          <w:i w:val="0"/>
          <w:color w:val="243447"/>
          <w:sz w:val="19"/>
        </w:rPr>
        <w:t>I do not treat signatures, releases, or policies as substitutes for professional judgment.</w:t>
      </w:r>
    </w:p>
    <w:p>
      <w:pPr>
        <w:spacing w:before="0" w:after="60" w:line="247" w:lineRule="auto"/>
      </w:pPr>
      <w:r>
        <w:rPr>
          <w:rFonts w:ascii="Arial" w:hAnsi="Arial" w:eastAsia="Arial"/>
          <w:b/>
          <w:i w:val="0"/>
          <w:color w:val="159A9C"/>
          <w:sz w:val="22"/>
        </w:rPr>
        <w:t xml:space="preserve">☐ </w:t>
      </w:r>
      <w:r>
        <w:rPr>
          <w:rFonts w:ascii="Arial" w:hAnsi="Arial" w:eastAsia="Arial"/>
          <w:b w:val="0"/>
          <w:i w:val="0"/>
          <w:color w:val="243447"/>
          <w:sz w:val="19"/>
        </w:rPr>
        <w:t>I clarify client, payer, requester, privilege holder, and report recipient rather than assuming they are the same person.</w:t>
      </w:r>
    </w:p>
    <w:p>
      <w:pPr>
        <w:spacing w:before="0" w:after="60" w:line="247" w:lineRule="auto"/>
      </w:pPr>
      <w:r>
        <w:rPr>
          <w:rFonts w:ascii="Arial" w:hAnsi="Arial" w:eastAsia="Arial"/>
          <w:b/>
          <w:i w:val="0"/>
          <w:color w:val="159A9C"/>
          <w:sz w:val="22"/>
        </w:rPr>
        <w:t xml:space="preserve">☐ </w:t>
      </w:r>
      <w:r>
        <w:rPr>
          <w:rFonts w:ascii="Arial" w:hAnsi="Arial" w:eastAsia="Arial"/>
          <w:b w:val="0"/>
          <w:i w:val="0"/>
          <w:color w:val="243447"/>
          <w:sz w:val="19"/>
        </w:rPr>
        <w:t>I protect immediate safety without using urgency to justify unnecessary disclosure or punitive action.</w:t>
      </w:r>
    </w:p>
    <w:p>
      <w:pPr>
        <w:spacing w:before="0" w:after="60" w:line="247" w:lineRule="auto"/>
      </w:pPr>
      <w:r>
        <w:rPr>
          <w:rFonts w:ascii="Arial" w:hAnsi="Arial" w:eastAsia="Arial"/>
          <w:b/>
          <w:i w:val="0"/>
          <w:color w:val="159A9C"/>
          <w:sz w:val="22"/>
        </w:rPr>
        <w:t xml:space="preserve">☐ </w:t>
      </w:r>
      <w:r>
        <w:rPr>
          <w:rFonts w:ascii="Arial" w:hAnsi="Arial" w:eastAsia="Arial"/>
          <w:b w:val="0"/>
          <w:i w:val="0"/>
          <w:color w:val="243447"/>
          <w:sz w:val="19"/>
        </w:rPr>
        <w:t>I distinguish an isolated mistake from a pattern, impairment, violation, or prohibited act.</w:t>
      </w:r>
    </w:p>
    <w:p>
      <w:pPr>
        <w:spacing w:before="0" w:after="60" w:line="247" w:lineRule="auto"/>
      </w:pPr>
      <w:r>
        <w:rPr>
          <w:rFonts w:ascii="Arial" w:hAnsi="Arial" w:eastAsia="Arial"/>
          <w:b/>
          <w:i w:val="0"/>
          <w:color w:val="159A9C"/>
          <w:sz w:val="22"/>
        </w:rPr>
        <w:t xml:space="preserve">☐ </w:t>
      </w:r>
      <w:r>
        <w:rPr>
          <w:rFonts w:ascii="Arial" w:hAnsi="Arial" w:eastAsia="Arial"/>
          <w:b w:val="0"/>
          <w:i w:val="0"/>
          <w:color w:val="243447"/>
          <w:sz w:val="19"/>
        </w:rPr>
        <w:t>I use consultation to inform—not replace—my judgment.</w:t>
      </w:r>
    </w:p>
    <w:p>
      <w:pPr>
        <w:spacing w:before="0" w:after="60" w:line="247" w:lineRule="auto"/>
      </w:pPr>
      <w:r>
        <w:rPr>
          <w:rFonts w:ascii="Arial" w:hAnsi="Arial" w:eastAsia="Arial"/>
          <w:b/>
          <w:i w:val="0"/>
          <w:color w:val="159A9C"/>
          <w:sz w:val="22"/>
        </w:rPr>
        <w:t xml:space="preserve">☐ </w:t>
      </w:r>
      <w:r>
        <w:rPr>
          <w:rFonts w:ascii="Arial" w:hAnsi="Arial" w:eastAsia="Arial"/>
          <w:b w:val="0"/>
          <w:i w:val="0"/>
          <w:color w:val="243447"/>
          <w:sz w:val="19"/>
        </w:rPr>
        <w:t>I choose the least intrusive effective action consistent with law, ethics, and client welfare.</w:t>
      </w:r>
    </w:p>
    <w:p>
      <w:pPr>
        <w:spacing w:before="0" w:after="60" w:line="247" w:lineRule="auto"/>
      </w:pPr>
      <w:r>
        <w:rPr>
          <w:rFonts w:ascii="Arial" w:hAnsi="Arial" w:eastAsia="Arial"/>
          <w:b/>
          <w:i w:val="0"/>
          <w:color w:val="159A9C"/>
          <w:sz w:val="22"/>
        </w:rPr>
        <w:t xml:space="preserve">☐ </w:t>
      </w:r>
      <w:r>
        <w:rPr>
          <w:rFonts w:ascii="Arial" w:hAnsi="Arial" w:eastAsia="Arial"/>
          <w:b w:val="0"/>
          <w:i w:val="0"/>
          <w:color w:val="243447"/>
          <w:sz w:val="19"/>
        </w:rPr>
        <w:t>I separate a poor outcome from proof of wrongdoing.</w:t>
      </w:r>
    </w:p>
    <w:p>
      <w:pPr>
        <w:spacing w:before="0" w:after="60" w:line="247" w:lineRule="auto"/>
      </w:pPr>
      <w:r>
        <w:rPr>
          <w:rFonts w:ascii="Arial" w:hAnsi="Arial" w:eastAsia="Arial"/>
          <w:b/>
          <w:i w:val="0"/>
          <w:color w:val="159A9C"/>
          <w:sz w:val="22"/>
        </w:rPr>
        <w:t xml:space="preserve">☐ </w:t>
      </w:r>
      <w:r>
        <w:rPr>
          <w:rFonts w:ascii="Arial" w:hAnsi="Arial" w:eastAsia="Arial"/>
          <w:b w:val="0"/>
          <w:i w:val="0"/>
          <w:color w:val="243447"/>
          <w:sz w:val="19"/>
        </w:rPr>
        <w:t>I know that termination does not automatically erase former-client boundaries.</w:t>
      </w:r>
    </w:p>
    <w:p>
      <w:pPr>
        <w:spacing w:before="0" w:after="60" w:line="247" w:lineRule="auto"/>
      </w:pPr>
      <w:r>
        <w:rPr>
          <w:rFonts w:ascii="Arial" w:hAnsi="Arial" w:eastAsia="Arial"/>
          <w:b/>
          <w:i w:val="0"/>
          <w:color w:val="159A9C"/>
          <w:sz w:val="22"/>
        </w:rPr>
        <w:t xml:space="preserve">☐ </w:t>
      </w:r>
      <w:r>
        <w:rPr>
          <w:rFonts w:ascii="Arial" w:hAnsi="Arial" w:eastAsia="Arial"/>
          <w:b w:val="0"/>
          <w:i w:val="0"/>
          <w:color w:val="243447"/>
          <w:sz w:val="19"/>
        </w:rPr>
        <w:t>I document accurately and sufficiently without creating an exhaustive or copied-forward record.</w:t>
      </w:r>
    </w:p>
    <w:p>
      <w:pPr>
        <w:spacing w:before="0" w:after="60" w:line="247" w:lineRule="auto"/>
      </w:pPr>
      <w:r>
        <w:rPr>
          <w:rFonts w:ascii="Arial" w:hAnsi="Arial" w:eastAsia="Arial"/>
          <w:b/>
          <w:i w:val="0"/>
          <w:color w:val="159A9C"/>
          <w:sz w:val="22"/>
        </w:rPr>
        <w:t xml:space="preserve">☐ </w:t>
      </w:r>
      <w:r>
        <w:rPr>
          <w:rFonts w:ascii="Arial" w:hAnsi="Arial" w:eastAsia="Arial"/>
          <w:b w:val="0"/>
          <w:i w:val="0"/>
          <w:color w:val="243447"/>
          <w:sz w:val="19"/>
        </w:rPr>
        <w:t>I can explain why the best answer is stronger and why each distractor is weaker.</w:t>
      </w:r>
    </w:p>
    <w:p>
      <w:pPr>
        <w:spacing w:before="140" w:after="60" w:line="240" w:lineRule="auto"/>
      </w:pPr>
      <w:r>
        <w:rPr>
          <w:rFonts w:ascii="Arial" w:hAnsi="Arial" w:eastAsia="Arial"/>
          <w:b/>
          <w:i w:val="0"/>
          <w:color w:val="159A9C"/>
          <w:sz w:val="26"/>
        </w:rPr>
        <w:t>Source Basis</w:t>
      </w:r>
    </w:p>
    <w:p>
      <w:pPr>
        <w:pStyle w:val="ListBullet"/>
        <w:spacing w:before="0" w:after="40" w:line="250" w:lineRule="auto"/>
      </w:pPr>
      <w:r>
        <w:rPr>
          <w:rFonts w:ascii="Arial" w:hAnsi="Arial" w:eastAsia="Arial"/>
          <w:b w:val="0"/>
          <w:i w:val="0"/>
          <w:color w:val="243447"/>
          <w:sz w:val="18"/>
        </w:rPr>
        <w:t>CTA LCSW Law &amp; Ethics Flashcard Study Center Master v1.0 — 833 active cards across the 45 shared-core chapters and LCSW/ASW license-specific module; source review August 7, 2026.</w:t>
      </w:r>
    </w:p>
    <w:p>
      <w:pPr>
        <w:pStyle w:val="ListBullet"/>
        <w:spacing w:before="0" w:after="40" w:line="250" w:lineRule="auto"/>
      </w:pPr>
      <w:r>
        <w:rPr>
          <w:rFonts w:ascii="Arial" w:hAnsi="Arial" w:eastAsia="Arial"/>
          <w:b w:val="0"/>
          <w:i w:val="0"/>
          <w:color w:val="243447"/>
          <w:sz w:val="18"/>
        </w:rPr>
        <w:t>CTA Master Flashcard Library Development Standard v1.1 — unified, concept-focused, legally careful, and independent from scored examinations.</w:t>
      </w:r>
    </w:p>
    <w:p>
      <w:pPr>
        <w:pStyle w:val="ListBullet"/>
        <w:spacing w:before="0" w:after="40" w:line="250" w:lineRule="auto"/>
      </w:pPr>
      <w:r>
        <w:rPr>
          <w:rFonts w:ascii="Arial" w:hAnsi="Arial" w:eastAsia="Arial"/>
          <w:b w:val="0"/>
          <w:i w:val="0"/>
          <w:color w:val="243447"/>
          <w:sz w:val="18"/>
        </w:rPr>
        <w:t>CTA Law &amp; Ethics Curriculum Standards v3.1 — rapid review, common exam traps, top concepts, memory aids, and quick-review charts.</w:t>
      </w:r>
    </w:p>
    <w:p>
      <w:pPr>
        <w:pStyle w:val="ListBullet"/>
        <w:spacing w:before="0" w:after="40" w:line="250" w:lineRule="auto"/>
      </w:pPr>
      <w:r>
        <w:rPr>
          <w:rFonts w:ascii="Arial" w:hAnsi="Arial" w:eastAsia="Arial"/>
          <w:b w:val="0"/>
          <w:i w:val="0"/>
          <w:color w:val="243447"/>
          <w:sz w:val="18"/>
        </w:rPr>
        <w:t>Licensed Clinical Social Worker Law and Ethics Examination Outline, effective January 2024 — Law 44% and Ethics 56%.</w:t>
      </w:r>
    </w:p>
    <w:p>
      <w:pPr>
        <w:pStyle w:val="ListBullet"/>
        <w:spacing w:before="0" w:after="40" w:line="250" w:lineRule="auto"/>
      </w:pPr>
      <w:r>
        <w:rPr>
          <w:rFonts w:ascii="Arial" w:hAnsi="Arial" w:eastAsia="Arial"/>
          <w:b w:val="0"/>
          <w:i w:val="0"/>
          <w:color w:val="243447"/>
          <w:sz w:val="18"/>
        </w:rPr>
        <w:t>CTA California Law &amp; Ethics Exam Preparation Program workbooks and approved review architecture.</w:t>
      </w:r>
    </w:p>
    <w:tbl>
      <w:tblPr>
        <w:tblW w:type="dxa" w:w="10080"/>
        <w:jc w:val="center"/>
        <w:tblLayout w:type="fixed"/>
        <w:tblLook w:firstColumn="1" w:firstRow="1" w:lastColumn="0" w:lastRow="0" w:noHBand="0" w:noVBand="1" w:val="04A0"/>
        <w:tblInd w:type="dxa" w:w="0"/>
      </w:tblPr>
      <w:tblGrid>
        <w:gridCol w:w="3068"/>
        <w:gridCol w:w="7012"/>
      </w:tblGrid>
      <w:tr>
        <w:tc>
          <w:tcPr>
            <w:tcW w:type="dxa" w:w="3068"/>
            <w:shd w:fill="17325C"/>
            <w:tcBorders>
              <w:top w:val="single" w:sz="6" w:color="17325C"/>
              <w:left w:val="single" w:sz="6" w:color="17325C"/>
              <w:bottom w:val="single" w:sz="6" w:color="17325C"/>
              <w:right w:val="single" w:sz="6" w:color="17325C"/>
            </w:tcBorders>
            <w:tcMar>
              <w:top w:w="75" w:type="dxa"/>
              <w:start w:w="85" w:type="dxa"/>
              <w:bottom w:w="75" w:type="dxa"/>
              <w:end w:w="85" w:type="dxa"/>
            </w:tcMar>
            <w:vAlign w:val="center"/>
          </w:tcPr>
          <w:p>
            <w:pPr>
              <w:spacing w:before="0" w:after="0" w:line="240" w:lineRule="auto"/>
              <w:jc w:val="center"/>
            </w:pPr>
            <w:r>
              <w:rPr>
                <w:rFonts w:ascii="Arial" w:hAnsi="Arial" w:eastAsia="Arial"/>
                <w:b/>
                <w:i w:val="0"/>
                <w:color w:val="FFFFFF"/>
                <w:sz w:val="18"/>
              </w:rPr>
              <w:t>Field</w:t>
            </w:r>
          </w:p>
        </w:tc>
        <w:tc>
          <w:tcPr>
            <w:tcW w:type="dxa" w:w="7012"/>
            <w:shd w:fill="17325C"/>
            <w:tcBorders>
              <w:top w:val="single" w:sz="6" w:color="17325C"/>
              <w:left w:val="single" w:sz="6" w:color="17325C"/>
              <w:bottom w:val="single" w:sz="6" w:color="17325C"/>
              <w:right w:val="single" w:sz="6" w:color="17325C"/>
            </w:tcBorders>
            <w:tcMar>
              <w:top w:w="75" w:type="dxa"/>
              <w:start w:w="85" w:type="dxa"/>
              <w:bottom w:w="75" w:type="dxa"/>
              <w:end w:w="85" w:type="dxa"/>
            </w:tcMar>
            <w:vAlign w:val="center"/>
          </w:tcPr>
          <w:p>
            <w:pPr>
              <w:spacing w:before="0" w:after="0" w:line="240" w:lineRule="auto"/>
              <w:jc w:val="center"/>
            </w:pPr>
            <w:r>
              <w:rPr>
                <w:rFonts w:ascii="Arial" w:hAnsi="Arial" w:eastAsia="Arial"/>
                <w:b/>
                <w:i w:val="0"/>
                <w:color w:val="FFFFFF"/>
                <w:sz w:val="18"/>
              </w:rPr>
              <w:t>Entry</w:t>
            </w:r>
          </w:p>
        </w:tc>
        <w:trPr>
          <w:tblHeader/>
        </w:trPr>
      </w:tr>
      <w:tr>
        <w:tc>
          <w:tcPr>
            <w:tcW w:type="dxa" w:w="3068"/>
            <w:shd w:fill="FFFFFF"/>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8"/>
              </w:rPr>
              <w:t>Document title</w:t>
            </w:r>
          </w:p>
        </w:tc>
        <w:tc>
          <w:tcPr>
            <w:tcW w:type="dxa" w:w="7012"/>
            <w:shd w:fill="FFFFFF"/>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8"/>
              </w:rPr>
              <w:t>CTA LCSW 45-Chapter Exam Traps and Correction Rules Toolkit</w:t>
            </w:r>
          </w:p>
        </w:tc>
      </w:tr>
      <w:tr>
        <w:tc>
          <w:tcPr>
            <w:tcW w:type="dxa" w:w="3068"/>
            <w:shd w:fill="F3F5F7"/>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8"/>
              </w:rPr>
              <w:t>Program code</w:t>
            </w:r>
          </w:p>
        </w:tc>
        <w:tc>
          <w:tcPr>
            <w:tcW w:type="dxa" w:w="7012"/>
            <w:shd w:fill="F3F5F7"/>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8"/>
              </w:rPr>
              <w:t>CTA-EP-002</w:t>
            </w:r>
          </w:p>
        </w:tc>
      </w:tr>
      <w:tr>
        <w:tc>
          <w:tcPr>
            <w:tcW w:type="dxa" w:w="3068"/>
            <w:shd w:fill="FFFFFF"/>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8"/>
              </w:rPr>
              <w:t>Version</w:t>
            </w:r>
          </w:p>
        </w:tc>
        <w:tc>
          <w:tcPr>
            <w:tcW w:type="dxa" w:w="7012"/>
            <w:shd w:fill="FFFFFF"/>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8"/>
              </w:rPr>
              <w:t>1.0</w:t>
            </w:r>
          </w:p>
        </w:tc>
      </w:tr>
      <w:tr>
        <w:tc>
          <w:tcPr>
            <w:tcW w:type="dxa" w:w="3068"/>
            <w:shd w:fill="F3F5F7"/>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8"/>
              </w:rPr>
              <w:t>Release month</w:t>
            </w:r>
          </w:p>
        </w:tc>
        <w:tc>
          <w:tcPr>
            <w:tcW w:type="dxa" w:w="7012"/>
            <w:shd w:fill="F3F5F7"/>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8"/>
              </w:rPr>
              <w:t>August 2026</w:t>
            </w:r>
          </w:p>
        </w:tc>
      </w:tr>
      <w:tr>
        <w:tc>
          <w:tcPr>
            <w:tcW w:type="dxa" w:w="3068"/>
            <w:shd w:fill="FFFFFF"/>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8"/>
              </w:rPr>
              <w:t>Source accuracy</w:t>
            </w:r>
          </w:p>
        </w:tc>
        <w:tc>
          <w:tcPr>
            <w:tcW w:type="dxa" w:w="7012"/>
            <w:shd w:fill="FFFFFF"/>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8"/>
              </w:rPr>
              <w:t>LCSW Study Center and official source review August 7, 2026; official LCSW outline effective January 2024</w:t>
            </w:r>
          </w:p>
        </w:tc>
      </w:tr>
      <w:tr>
        <w:tc>
          <w:tcPr>
            <w:tcW w:type="dxa" w:w="3068"/>
            <w:shd w:fill="F3F5F7"/>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8"/>
              </w:rPr>
              <w:t>Classification</w:t>
            </w:r>
          </w:p>
        </w:tc>
        <w:tc>
          <w:tcPr>
            <w:tcW w:type="dxa" w:w="7012"/>
            <w:shd w:fill="F3F5F7"/>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8"/>
              </w:rPr>
              <w:t>Learner-facing printable bonus resource; exam preparation only; no CE credit</w:t>
            </w:r>
          </w:p>
        </w:tc>
      </w:tr>
      <w:tr>
        <w:tc>
          <w:tcPr>
            <w:tcW w:type="dxa" w:w="3068"/>
            <w:shd w:fill="FFFFFF"/>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8"/>
              </w:rPr>
              <w:t>Next review</w:t>
            </w:r>
          </w:p>
        </w:tc>
        <w:tc>
          <w:tcPr>
            <w:tcW w:type="dxa" w:w="7012"/>
            <w:shd w:fill="FFFFFF"/>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8"/>
              </w:rPr>
              <w:t>At program legal/regulatory update, flashcard revision, blueprint change, or annual review</w:t>
            </w:r>
          </w:p>
        </w:tc>
      </w:tr>
    </w:tbl>
    <w:sectPr w:rsidR="00FC693F" w:rsidRPr="0006063C" w:rsidSect="00034616">
      <w:headerReference w:type="default" r:id="rId9"/>
      <w:footerReference w:type="default" r:id="rId10"/>
      <w:headerReference w:type="first" r:id="rId12"/>
      <w:footerReference w:type="first" r:id="rId13"/>
      <w:pgSz w:w="12240" w:h="15840"/>
      <w:pgMar w:top="936"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b w:val="0"/>
        <w:i w:val="0"/>
        <w:color w:val="657487"/>
        <w:sz w:val="16"/>
      </w:rPr>
      <w:t xml:space="preserve">CTA California Law &amp; Ethics Exam Preparation Program  |  Exam Traps &amp; Correction Rules  |  Version 1.0  |  </w:t>
    </w: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12" w:space="2" w:color="159A9C"/>
      </w:pBdr>
    </w:pPr>
    <w:r>
      <w:drawing>
        <wp:inline xmlns:a="http://schemas.openxmlformats.org/drawingml/2006/main" xmlns:pic="http://schemas.openxmlformats.org/drawingml/2006/picture">
          <wp:extent cx="1965960" cy="1352248"/>
          <wp:docPr id="1" name="Picture 1" descr="Image: item1.xml"/>
          <wp:cNvGraphicFramePr>
            <a:graphicFrameLocks noChangeAspect="1"/>
          </wp:cNvGraphicFramePr>
          <a:graphic>
            <a:graphicData uri="http://schemas.openxmlformats.org/drawingml/2006/picture">
              <pic:pic>
                <pic:nvPicPr>
                  <pic:cNvPr id="0" name="Primary Horizontal Logo.png"/>
                  <pic:cNvPicPr/>
                </pic:nvPicPr>
                <pic:blipFill>
                  <a:blip r:embed="rId1"/>
                  <a:stretch>
                    <a:fillRect/>
                  </a:stretch>
                </pic:blipFill>
                <pic:spPr>
                  <a:xfrm>
                    <a:off x="0" y="0"/>
                    <a:ext cx="1965960" cy="1352248"/>
                  </a:xfrm>
                  <a:prstGeom prst="rect"/>
                </pic:spPr>
              </pic:pic>
            </a:graphicData>
          </a:graphic>
        </wp:inline>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color w:val="24344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7325C"/>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59A9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7325C"/>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7325C"/>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eader" Target="header2.xml"/><Relationship Id="rId13"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CTA LCSW 45-Chapter Exam Traps &amp; Correction Rules Toolkit v1.0</dc:title>
  <dc:subject>LCSW/ASW California Law &amp; Ethics Exam Preparation</dc:subject>
  <dc:creator>Clinical Training and Supervision Academy</dc:creator>
  <cp:keywords>LCSW, ASW, California Law and Ethics, exam preparation, CTA-EP-002</cp:keywords>
  <dc:description>Stage 5C2 LCSW/ASW learner toolkit regeneration; exam preparation only; no CE credit.</dc:description>
  <cp:lastModifiedBy/>
  <cp:revision>1</cp:revision>
  <dcterms:created xsi:type="dcterms:W3CDTF">2013-12-23T23:15:00Z</dcterms:created>
  <dcterms:modified xsi:type="dcterms:W3CDTF">2013-12-23T23:15:00Z</dcterms:modified>
  <cp:category/>
</cp:coreProperties>
</file>