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line="240" w:lineRule="auto"/>
        <w:jc w:val="center"/>
      </w:pPr>
      <w:r>
        <w:rPr>
          <w:rFonts w:ascii="Arial" w:hAnsi="Arial" w:eastAsia="Arial"/>
          <w:b/>
          <w:i w:val="0"/>
          <w:color w:val="159A9C"/>
          <w:sz w:val="24"/>
        </w:rPr>
        <w:t>LCSW LAW &amp; ETHICS</w:t>
      </w:r>
    </w:p>
    <w:p>
      <w:pPr>
        <w:spacing w:before="80" w:after="160" w:line="240" w:lineRule="auto"/>
        <w:jc w:val="center"/>
      </w:pPr>
      <w:r>
        <w:rPr>
          <w:rFonts w:ascii="Arial" w:hAnsi="Arial" w:eastAsia="Arial"/>
          <w:b/>
          <w:i w:val="0"/>
          <w:color w:val="17325C"/>
          <w:sz w:val="48"/>
        </w:rPr>
        <w:t>HIGH-YIELD CALIFORNIA ETHICS</w:t>
        <w:br/>
        <w:t>DECISION GUIDES TOOLKIT</w:t>
      </w:r>
    </w:p>
    <w:p>
      <w:pPr>
        <w:spacing w:before="80" w:after="320" w:line="240" w:lineRule="auto"/>
        <w:jc w:val="center"/>
      </w:pPr>
      <w:r>
        <w:rPr>
          <w:rFonts w:ascii="Arial" w:hAnsi="Arial" w:eastAsia="Arial"/>
          <w:b w:val="0"/>
          <w:i/>
          <w:color w:val="657487"/>
          <w:sz w:val="24"/>
        </w:rPr>
        <w:t>Printable decision maps, exam traps, and applied ethical-reasoning tools</w:t>
      </w:r>
    </w:p>
    <w:tbl>
      <w:tblPr>
        <w:tblW w:type="dxa" w:w="10080"/>
        <w:jc w:val="center"/>
        <w:tblLayout w:type="fixed"/>
        <w:tblLook w:firstColumn="1" w:firstRow="1" w:lastColumn="0" w:lastRow="0" w:noHBand="0" w:noVBand="1" w:val="04A0"/>
        <w:tblInd w:type="dxa" w:w="0"/>
      </w:tblPr>
      <w:tblGrid>
        <w:gridCol w:w="10080"/>
      </w:tblGrid>
      <w:tr>
        <w:tc>
          <w:tcPr>
            <w:tcW w:type="dxa" w:w="10080"/>
            <w:shd w:fill="159A9C"/>
          </w:tcPr>
          <w:p>
            <w:r/>
          </w:p>
        </w:tc>
        <w:trPr>
          <w:tblHeader/>
        </w:trPr>
      </w:tr>
    </w:tbl>
    <w:p>
      <w:pPr>
        <w:spacing w:before="360" w:after="80" w:line="240" w:lineRule="auto"/>
        <w:jc w:val="center"/>
      </w:pPr>
      <w:r>
        <w:rPr>
          <w:rFonts w:ascii="Arial" w:hAnsi="Arial" w:eastAsia="Arial"/>
          <w:b/>
          <w:i w:val="0"/>
          <w:color w:val="17325C"/>
          <w:sz w:val="21"/>
        </w:rPr>
        <w:t>Version 1.0  |  Source Accuracy: August 7, 2026</w:t>
      </w:r>
    </w:p>
    <w:p>
      <w:pPr>
        <w:spacing w:before="0" w:after="40" w:line="240" w:lineRule="auto"/>
        <w:jc w:val="center"/>
      </w:pPr>
      <w:r>
        <w:rPr>
          <w:rFonts w:ascii="Arial" w:hAnsi="Arial" w:eastAsia="Arial"/>
          <w:b w:val="0"/>
          <w:i w:val="0"/>
          <w:color w:val="243447"/>
          <w:sz w:val="21"/>
        </w:rPr>
        <w:t>CTA California Law &amp; Ethics Exam Preparation Program | CTA-EP-002</w:t>
      </w:r>
    </w:p>
    <w:p>
      <w:pPr>
        <w:spacing w:before="160" w:after="80" w:line="240" w:lineRule="auto"/>
        <w:jc w:val="center"/>
      </w:pPr>
      <w:r>
        <w:rPr>
          <w:rFonts w:ascii="Arial" w:hAnsi="Arial" w:eastAsia="Arial"/>
          <w:b/>
          <w:i w:val="0"/>
          <w:color w:val="A23B3B"/>
          <w:sz w:val="21"/>
        </w:rPr>
        <w:t>EXAM PREPARATION ONLY — NO CE CREDIT OR CE CERTIFICATE</w:t>
      </w:r>
    </w:p>
    <w:p>
      <w:pPr>
        <w:spacing w:before="280" w:after="0" w:line="240" w:lineRule="auto"/>
        <w:jc w:val="center"/>
      </w:pPr>
      <w:r>
        <w:rPr>
          <w:rFonts w:ascii="Arial" w:hAnsi="Arial" w:eastAsia="Arial"/>
          <w:b w:val="0"/>
          <w:i/>
          <w:color w:val="159A9C"/>
          <w:sz w:val="22"/>
        </w:rPr>
        <w:t>Educating Clinicians. Strengthening Practice.</w:t>
      </w:r>
    </w:p>
    <w:p>
      <w:r>
        <w:br w:type="page"/>
      </w:r>
    </w:p>
    <w:p>
      <w:pPr>
        <w:spacing w:before="0" w:after="60" w:line="240" w:lineRule="auto"/>
        <w:keepNext/>
        <w:pBdr>
          <w:bottom w:val="single" w:sz="12" w:space="3" w:color="159A9C"/>
        </w:pBdr>
      </w:pPr>
      <w:r>
        <w:rPr>
          <w:rFonts w:ascii="Arial" w:hAnsi="Arial" w:eastAsia="Arial"/>
          <w:b/>
          <w:i w:val="0"/>
          <w:color w:val="17325C"/>
          <w:sz w:val="36"/>
        </w:rPr>
        <w:t>How to Use This Toolkit</w:t>
      </w:r>
    </w:p>
    <w:p>
      <w:pPr>
        <w:spacing w:before="0" w:after="160" w:line="240" w:lineRule="auto"/>
      </w:pPr>
      <w:r>
        <w:rPr>
          <w:rFonts w:ascii="Arial" w:hAnsi="Arial" w:eastAsia="Arial"/>
          <w:b w:val="0"/>
          <w:i/>
          <w:color w:val="657487"/>
          <w:sz w:val="21"/>
        </w:rPr>
        <w:t>Use the maps to identify the ethical tension, protect client welfare, and select the best professional response.</w:t>
      </w:r>
    </w:p>
    <w:tbl>
      <w:tblPr>
        <w:tblW w:type="dxa" w:w="10080"/>
        <w:jc w:val="center"/>
        <w:tblLayout w:type="fixed"/>
        <w:tblLook w:firstColumn="1" w:firstRow="1" w:lastColumn="0" w:lastRow="0" w:noHBand="0" w:noVBand="1" w:val="04A0"/>
        <w:tblInd w:type="dxa" w:w="0"/>
      </w:tblPr>
      <w:tblGrid>
        <w:gridCol w:w="10080"/>
      </w:tblGrid>
      <w:tr>
        <w:tc>
          <w:tcPr>
            <w:tcW w:type="dxa" w:w="10080"/>
            <w:shd w:fill="E8F6F6"/>
            <w:tcBorders>
              <w:top w:val="single" w:sz="10" w:color="159A9C"/>
              <w:left w:val="single" w:sz="10" w:color="159A9C"/>
              <w:bottom w:val="single" w:sz="10" w:color="159A9C"/>
              <w:right w:val="single" w:sz="10" w:color="159A9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THE EXAM ASKS FOR JUDGMENT—NOT SLOGANS</w:t>
            </w:r>
          </w:p>
          <w:p>
            <w:pPr>
              <w:spacing w:before="0" w:after="0" w:line="259" w:lineRule="auto"/>
            </w:pPr>
            <w:r>
              <w:rPr>
                <w:rFonts w:ascii="Arial" w:hAnsi="Arial" w:eastAsia="Arial"/>
                <w:b w:val="0"/>
                <w:i w:val="0"/>
                <w:color w:val="243447"/>
                <w:sz w:val="20"/>
              </w:rPr>
              <w:t>Ethics questions often present several options that are technically possible. The strongest answer usually protects client welfare, preserves autonomy, addresses risk proportionately, clarifies roles, and uses consultation or referral when needed.</w:t>
            </w:r>
          </w:p>
        </w:tc>
        <w:trPr>
          <w:tblHeader/>
        </w:trPr>
      </w:tr>
    </w:tbl>
    <w:p>
      <w:pPr>
        <w:spacing w:after="20"/>
      </w:pP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Ethics Blueprint</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Weight</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What It Tests</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Professional Competence and Integrity</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16%</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Competence, culture, conflicts, boundaries, personal values, impairment.</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Responsibility to Clients and Social Work Relationships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24%</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Consent, autonomy, confidentiality, safety, collaboration, referral, continuity, termination.</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Practice Policies and Professional Responsibilities</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16%</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Technology, finances, advertising, records, testimony, research, colleagues, supervision.</w:t>
            </w:r>
          </w:p>
        </w:tc>
      </w:tr>
    </w:tbl>
    <w:p>
      <w:pPr>
        <w:spacing w:before="160" w:after="60" w:line="240" w:lineRule="auto"/>
      </w:pPr>
      <w:r>
        <w:rPr>
          <w:rFonts w:ascii="Arial" w:hAnsi="Arial" w:eastAsia="Arial"/>
          <w:b/>
          <w:i w:val="0"/>
          <w:color w:val="159A9C"/>
          <w:sz w:val="23"/>
        </w:rPr>
        <w:t>Recommended Study Method</w:t>
      </w:r>
    </w:p>
    <w:p>
      <w:pPr>
        <w:spacing w:before="60" w:after="100" w:line="240" w:lineRule="auto"/>
      </w:pPr>
      <w:r>
        <w:rPr>
          <w:rFonts w:ascii="Arial" w:hAnsi="Arial" w:eastAsia="Arial"/>
          <w:b/>
          <w:i w:val="0"/>
          <w:color w:val="159A9C"/>
          <w:sz w:val="21"/>
        </w:rPr>
        <w:t>FIVE-PASS REVIEW</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Name the ethical issue: </w:t>
            </w:r>
            <w:r>
              <w:rPr>
                <w:rFonts w:ascii="Arial" w:hAnsi="Arial" w:eastAsia="Arial"/>
                <w:b w:val="0"/>
                <w:i w:val="0"/>
                <w:color w:val="243447"/>
                <w:sz w:val="19"/>
              </w:rPr>
              <w:t>Identify the primary tension before evaluating options.</w:t>
            </w:r>
          </w:p>
        </w:tc>
        <w:trPr>
          <w:tblHeader/>
        </w:trPr>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Protect the client first: </w:t>
            </w:r>
            <w:r>
              <w:rPr>
                <w:rFonts w:ascii="Arial" w:hAnsi="Arial" w:eastAsia="Arial"/>
                <w:b w:val="0"/>
                <w:i w:val="0"/>
                <w:color w:val="243447"/>
                <w:sz w:val="19"/>
              </w:rPr>
              <w:t>Prioritize safety, welfare, autonomy, and continuity of care.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Use the least intrusive effective response: </w:t>
            </w:r>
            <w:r>
              <w:rPr>
                <w:rFonts w:ascii="Arial" w:hAnsi="Arial" w:eastAsia="Arial"/>
                <w:b w:val="0"/>
                <w:i w:val="0"/>
                <w:color w:val="243447"/>
                <w:sz w:val="19"/>
              </w:rPr>
              <w:t>Avoid unnecessary disclosure, punishment, or abrupt action.</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Clarify and consult: </w:t>
            </w:r>
            <w:r>
              <w:rPr>
                <w:rFonts w:ascii="Arial" w:hAnsi="Arial" w:eastAsia="Arial"/>
                <w:b w:val="0"/>
                <w:i w:val="0"/>
                <w:color w:val="243447"/>
                <w:sz w:val="19"/>
              </w:rPr>
              <w:t>Gather missing facts, clarify roles, and seek consultation when the issue is complex.</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Document the reasoning: </w:t>
            </w:r>
            <w:r>
              <w:rPr>
                <w:rFonts w:ascii="Arial" w:hAnsi="Arial" w:eastAsia="Arial"/>
                <w:b w:val="0"/>
                <w:i w:val="0"/>
                <w:color w:val="243447"/>
                <w:sz w:val="19"/>
              </w:rPr>
              <w:t>Record the relevant facts, options considered, consultation, and follow-through.</w:t>
            </w:r>
          </w:p>
        </w:tc>
      </w:tr>
    </w:tbl>
    <w:p>
      <w:pPr>
        <w:spacing w:before="100" w:after="0" w:line="240" w:lineRule="auto"/>
      </w:pPr>
      <w:r>
        <w:rPr>
          <w:rFonts w:ascii="Arial" w:hAnsi="Arial" w:eastAsia="Arial"/>
          <w:b/>
          <w:i w:val="0"/>
          <w:color w:val="657487"/>
          <w:sz w:val="16"/>
        </w:rPr>
        <w:t>SOURCE ANCHOR: Pearson VUE, Licensed Clinical Social Worker Law and Ethics Examination Outline, effective January 2024 and listed as current on the California BBS testing page in August 2026; CTA Law &amp; Ethics Curriculum Standards v3.1.</w:t>
      </w:r>
      <w:r>
        <w:rPr>
          <w:rFonts w:ascii="Arial" w:hAnsi="Arial" w:eastAsia="Arial"/>
          <w:b w:val="0"/>
          <w:i w:val="0"/>
          <w:color w:val="657487"/>
          <w:sz w:val="16"/>
        </w:rPr>
      </w:r>
    </w:p>
    <w:p>
      <w:r>
        <w:br w:type="page"/>
      </w:r>
    </w:p>
    <w:p>
      <w:pPr>
        <w:spacing w:before="0" w:after="60" w:line="240" w:lineRule="auto"/>
        <w:keepNext/>
        <w:pBdr>
          <w:bottom w:val="single" w:sz="12" w:space="3" w:color="159A9C"/>
        </w:pBdr>
      </w:pPr>
      <w:r>
        <w:rPr>
          <w:rFonts w:ascii="Arial" w:hAnsi="Arial" w:eastAsia="Arial"/>
          <w:b/>
          <w:i w:val="0"/>
          <w:color w:val="17325C"/>
          <w:sz w:val="36"/>
        </w:rPr>
        <w:t>1. Universal Ethics Decision Map</w:t>
      </w:r>
    </w:p>
    <w:p>
      <w:pPr>
        <w:spacing w:before="0" w:after="160" w:line="240" w:lineRule="auto"/>
      </w:pPr>
      <w:r>
        <w:rPr>
          <w:rFonts w:ascii="Arial" w:hAnsi="Arial" w:eastAsia="Arial"/>
          <w:b w:val="0"/>
          <w:i/>
          <w:color w:val="657487"/>
          <w:sz w:val="21"/>
        </w:rPr>
        <w:t>A repeatable sequence for nearly every ethics-based vignette</w:t>
      </w:r>
    </w:p>
    <w:p>
      <w:pPr>
        <w:spacing w:before="60" w:after="100" w:line="240" w:lineRule="auto"/>
      </w:pPr>
      <w:r>
        <w:rPr>
          <w:rFonts w:ascii="Arial" w:hAnsi="Arial" w:eastAsia="Arial"/>
          <w:b/>
          <w:i w:val="0"/>
          <w:color w:val="159A9C"/>
          <w:sz w:val="21"/>
        </w:rPr>
        <w:t>DECISION SEQUENCE</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Identify the client and treatment unit: </w:t>
            </w:r>
            <w:r>
              <w:rPr>
                <w:rFonts w:ascii="Arial" w:hAnsi="Arial" w:eastAsia="Arial"/>
                <w:b w:val="0"/>
                <w:i w:val="0"/>
                <w:color w:val="243447"/>
                <w:sz w:val="19"/>
              </w:rPr>
              <w:t>Who is receiving services, who holds relevant rights, and whose welfare is at stake?</w:t>
            </w:r>
          </w:p>
        </w:tc>
        <w:trPr>
          <w:tblHeader/>
        </w:trPr>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Name the ethical tension: </w:t>
            </w:r>
            <w:r>
              <w:rPr>
                <w:rFonts w:ascii="Arial" w:hAnsi="Arial" w:eastAsia="Arial"/>
                <w:b w:val="0"/>
                <w:i w:val="0"/>
                <w:color w:val="243447"/>
                <w:sz w:val="19"/>
              </w:rPr>
              <w:t>Competence, autonomy, confidentiality, boundary, role conflict, impairment, fairness, continuity, or professional integrity?</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Assess urgency and harm: </w:t>
            </w:r>
            <w:r>
              <w:rPr>
                <w:rFonts w:ascii="Arial" w:hAnsi="Arial" w:eastAsia="Arial"/>
                <w:b w:val="0"/>
                <w:i w:val="0"/>
                <w:color w:val="243447"/>
                <w:sz w:val="19"/>
              </w:rPr>
              <w:t>Is there immediate safety risk, exploitation, serious impairment, or a time-sensitive duty?</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Clarify missing facts: </w:t>
            </w:r>
            <w:r>
              <w:rPr>
                <w:rFonts w:ascii="Arial" w:hAnsi="Arial" w:eastAsia="Arial"/>
                <w:b w:val="0"/>
                <w:i w:val="0"/>
                <w:color w:val="243447"/>
                <w:sz w:val="19"/>
              </w:rPr>
              <w:t>What information must be gathered before acting? Do not invent facts that the stem does not provide.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Choose the proportionate response: </w:t>
            </w:r>
            <w:r>
              <w:rPr>
                <w:rFonts w:ascii="Arial" w:hAnsi="Arial" w:eastAsia="Arial"/>
                <w:b w:val="0"/>
                <w:i w:val="0"/>
                <w:color w:val="243447"/>
                <w:sz w:val="19"/>
              </w:rPr>
              <w:t>Use the least intrusive action that adequately protects the client and fulfills professional responsibilities.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6</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Consult, refer, or transition: </w:t>
            </w:r>
            <w:r>
              <w:rPr>
                <w:rFonts w:ascii="Arial" w:hAnsi="Arial" w:eastAsia="Arial"/>
                <w:b w:val="0"/>
                <w:i w:val="0"/>
                <w:color w:val="243447"/>
                <w:sz w:val="19"/>
              </w:rPr>
              <w:t>When competence, objectivity, or role clarity is compromised, obtain support or arrange appropriate care.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7</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Document and follow through: </w:t>
            </w:r>
            <w:r>
              <w:rPr>
                <w:rFonts w:ascii="Arial" w:hAnsi="Arial" w:eastAsia="Arial"/>
                <w:b w:val="0"/>
                <w:i w:val="0"/>
                <w:color w:val="243447"/>
                <w:sz w:val="19"/>
              </w:rPr>
              <w:t>A strong answer includes implementation, not only insight.</w:t>
            </w:r>
          </w:p>
        </w:tc>
      </w:tr>
    </w:tbl>
    <w:tbl>
      <w:tblPr>
        <w:tblW w:type="dxa" w:w="10080"/>
        <w:jc w:val="center"/>
        <w:tblLayout w:type="fixed"/>
        <w:tblLook w:firstColumn="1" w:firstRow="1" w:lastColumn="0" w:lastRow="0" w:noHBand="0" w:noVBand="1" w:val="04A0"/>
        <w:tblInd w:type="dxa" w:w="0"/>
      </w:tblPr>
      <w:tblGrid>
        <w:gridCol w:w="5040"/>
        <w:gridCol w:w="5040"/>
      </w:tblGrid>
      <w:tr>
        <w:trPr>
          <w:tblHeader w:val="true"/>
        </w:trPr>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Stronger Exam Answers</w:t>
            </w:r>
          </w:p>
        </w:tc>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Common Distractor Patterns</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Assess, discuss, clarify, consult, and plan.</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React immediately without enough information.</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Protect welfare while preserving autonomy.</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Use paternalism or social worker convenience.</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Address the issue directly with the client.</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Avoid the conversation or act indirectly.</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Use a proportionate boundary or corrective step.</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Choose an extreme rule when context matters.</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Create continuity and realistic follow-through.</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End services abruptly or make vague referrals.</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DECISION SENTENCE</w:t>
            </w:r>
          </w:p>
          <w:p>
            <w:pPr>
              <w:spacing w:before="0" w:after="0" w:line="259" w:lineRule="auto"/>
            </w:pPr>
            <w:r>
              <w:rPr>
                <w:rFonts w:ascii="Arial" w:hAnsi="Arial" w:eastAsia="Arial"/>
                <w:b w:val="0"/>
                <w:i w:val="0"/>
                <w:color w:val="243447"/>
                <w:sz w:val="20"/>
              </w:rPr>
              <w:t>“The social worker should first ______ because ______; then ______ to protect ______ while preserving ______.”</w:t>
            </w:r>
          </w:p>
        </w:tc>
        <w:trPr>
          <w:tblHeader/>
        </w:trPr>
      </w:tr>
    </w:tbl>
    <w:p>
      <w:pPr>
        <w:spacing w:after="20"/>
      </w:pPr>
    </w:p>
    <w:p>
      <w:pPr>
        <w:spacing w:before="100" w:after="0" w:line="240" w:lineRule="auto"/>
      </w:pPr>
      <w:r>
        <w:rPr>
          <w:rFonts w:ascii="Arial" w:hAnsi="Arial" w:eastAsia="Arial"/>
          <w:b/>
          <w:i w:val="0"/>
          <w:color w:val="657487"/>
          <w:sz w:val="16"/>
        </w:rPr>
        <w:t>SOURCE ANCHOR: Pearson VUE LCSW ethics tasks and knowledge statements; CTA curriculum emphasis on first-step reasoning, exam traps, and decision trees.</w:t>
      </w:r>
      <w:r>
        <w:rPr>
          <w:rFonts w:ascii="Arial" w:hAnsi="Arial" w:eastAsia="Arial"/>
          <w:b w:val="0"/>
          <w:i w:val="0"/>
          <w:color w:val="657487"/>
          <w:sz w:val="16"/>
        </w:rPr>
      </w:r>
    </w:p>
    <w:p>
      <w:r>
        <w:br w:type="page"/>
      </w:r>
    </w:p>
    <w:p>
      <w:pPr>
        <w:spacing w:before="0" w:after="60" w:line="240" w:lineRule="auto"/>
        <w:keepNext/>
        <w:pBdr>
          <w:bottom w:val="single" w:sz="12" w:space="3" w:color="159A9C"/>
        </w:pBdr>
      </w:pPr>
      <w:r>
        <w:rPr>
          <w:rFonts w:ascii="Arial" w:hAnsi="Arial" w:eastAsia="Arial"/>
          <w:b/>
          <w:i w:val="0"/>
          <w:color w:val="17325C"/>
          <w:sz w:val="36"/>
        </w:rPr>
        <w:t>2. Competence and Expanding Competence</w:t>
      </w:r>
    </w:p>
    <w:p>
      <w:pPr>
        <w:spacing w:before="0" w:after="160" w:line="240" w:lineRule="auto"/>
      </w:pPr>
      <w:r>
        <w:rPr>
          <w:rFonts w:ascii="Arial" w:hAnsi="Arial" w:eastAsia="Arial"/>
          <w:b w:val="0"/>
          <w:i/>
          <w:color w:val="657487"/>
          <w:sz w:val="21"/>
        </w:rPr>
        <w:t>Separate legal scope, current competence, and a plan to develop competence</w:t>
      </w: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Question</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Best Ethical Reasoning</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Exam Trap</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Is the service within clinical social-work scope and the social worker’s present role?</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Confirm the service belongs within the professional scope and setting.</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Assume interest or a course alone creates authority.</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Does the social worker have current competence?</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Evaluate education, training, supervised experience, consultation, and case complexity.</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Treat licensure as proof of competence in every specialty.</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Can competence be developed safely?</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Use training, supervision, consultation, co-treatment, and gradual case selection.</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Learn by experimenting on a high-risk client.</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What if the client needs care now?</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Refer or collaborate when delay or insufficient competence could harm the client.</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Keep the case solely to avoid losing income.</w:t>
            </w:r>
          </w:p>
        </w:tc>
      </w:tr>
    </w:tbl>
    <w:p>
      <w:pPr>
        <w:spacing w:before="60" w:after="100" w:line="240" w:lineRule="auto"/>
      </w:pPr>
      <w:r>
        <w:rPr>
          <w:rFonts w:ascii="Arial" w:hAnsi="Arial" w:eastAsia="Arial"/>
          <w:b/>
          <w:i w:val="0"/>
          <w:color w:val="159A9C"/>
          <w:sz w:val="21"/>
        </w:rPr>
        <w:t>COMPETENCE EXPANSION PATH</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Assess: </w:t>
            </w:r>
            <w:r>
              <w:rPr>
                <w:rFonts w:ascii="Arial" w:hAnsi="Arial" w:eastAsia="Arial"/>
                <w:b w:val="0"/>
                <w:i w:val="0"/>
                <w:color w:val="243447"/>
                <w:sz w:val="19"/>
              </w:rPr>
              <w:t>Name the specific knowledge or skill gap.</w:t>
            </w:r>
          </w:p>
        </w:tc>
        <w:trPr>
          <w:tblHeader/>
        </w:trPr>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Protect: </w:t>
            </w:r>
            <w:r>
              <w:rPr>
                <w:rFonts w:ascii="Arial" w:hAnsi="Arial" w:eastAsia="Arial"/>
                <w:b w:val="0"/>
                <w:i w:val="0"/>
                <w:color w:val="243447"/>
                <w:sz w:val="19"/>
              </w:rPr>
              <w:t>Determine whether continuing independently creates foreseeable risk.</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Consult: </w:t>
            </w:r>
            <w:r>
              <w:rPr>
                <w:rFonts w:ascii="Arial" w:hAnsi="Arial" w:eastAsia="Arial"/>
                <w:b w:val="0"/>
                <w:i w:val="0"/>
                <w:color w:val="243447"/>
                <w:sz w:val="19"/>
              </w:rPr>
              <w:t>Obtain qualified supervision or consultation.</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Plan: </w:t>
            </w:r>
            <w:r>
              <w:rPr>
                <w:rFonts w:ascii="Arial" w:hAnsi="Arial" w:eastAsia="Arial"/>
                <w:b w:val="0"/>
                <w:i w:val="0"/>
                <w:color w:val="243447"/>
                <w:sz w:val="19"/>
              </w:rPr>
              <w:t>Define training, limits, review points, and referral thresholds.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Monitor: </w:t>
            </w:r>
            <w:r>
              <w:rPr>
                <w:rFonts w:ascii="Arial" w:hAnsi="Arial" w:eastAsia="Arial"/>
                <w:b w:val="0"/>
                <w:i w:val="0"/>
                <w:color w:val="243447"/>
                <w:sz w:val="19"/>
              </w:rPr>
              <w:t>Reassess competence as the case changes.</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8F6F6"/>
            <w:tcBorders>
              <w:top w:val="single" w:sz="10" w:color="159A9C"/>
              <w:left w:val="single" w:sz="10" w:color="159A9C"/>
              <w:bottom w:val="single" w:sz="10" w:color="159A9C"/>
              <w:right w:val="single" w:sz="10" w:color="159A9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FIRST-STEP RULE</w:t>
            </w:r>
          </w:p>
          <w:p>
            <w:pPr>
              <w:spacing w:before="0" w:after="0" w:line="259" w:lineRule="auto"/>
            </w:pPr>
            <w:r>
              <w:rPr>
                <w:rFonts w:ascii="Arial" w:hAnsi="Arial" w:eastAsia="Arial"/>
                <w:b w:val="0"/>
                <w:i w:val="0"/>
                <w:color w:val="243447"/>
                <w:sz w:val="20"/>
              </w:rPr>
              <w:t>When the vignette reveals a competence gap, the first response is usually to recognize and assess the limitation—not to conceal it, overstate expertise, or immediately abandon the client.</w:t>
            </w:r>
          </w:p>
        </w:tc>
        <w:trPr>
          <w:tblHeader/>
        </w:trPr>
      </w:tr>
    </w:tbl>
    <w:p>
      <w:pPr>
        <w:spacing w:after="20"/>
      </w:pPr>
    </w:p>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2A, tasks on practicing within competence, remaining current, managing cases outside competence, and developing competence.</w:t>
      </w:r>
    </w:p>
    <w:p>
      <w:r>
        <w:br w:type="page"/>
      </w:r>
    </w:p>
    <w:p>
      <w:pPr>
        <w:spacing w:before="0" w:after="60" w:line="240" w:lineRule="auto"/>
        <w:keepNext/>
        <w:pBdr>
          <w:bottom w:val="single" w:sz="12" w:space="3" w:color="159A9C"/>
        </w:pBdr>
      </w:pPr>
      <w:r>
        <w:rPr>
          <w:rFonts w:ascii="Arial" w:hAnsi="Arial" w:eastAsia="Arial"/>
          <w:b/>
          <w:i w:val="0"/>
          <w:color w:val="17325C"/>
          <w:sz w:val="36"/>
        </w:rPr>
        <w:t>3. Cultural Humility, Bias, and Discrimination</w:t>
      </w:r>
    </w:p>
    <w:p>
      <w:pPr>
        <w:spacing w:before="0" w:after="160" w:line="240" w:lineRule="auto"/>
      </w:pPr>
      <w:r>
        <w:rPr>
          <w:rFonts w:ascii="Arial" w:hAnsi="Arial" w:eastAsia="Arial"/>
          <w:b w:val="0"/>
          <w:i/>
          <w:color w:val="657487"/>
          <w:sz w:val="21"/>
        </w:rPr>
        <w:t>Use curiosity, self-awareness, collaboration, and corrective action</w:t>
      </w:r>
    </w:p>
    <w:tbl>
      <w:tblPr>
        <w:tblW w:type="dxa" w:w="10080"/>
        <w:jc w:val="center"/>
        <w:tblLayout w:type="fixed"/>
        <w:tblLook w:firstColumn="1" w:firstRow="1" w:lastColumn="0" w:lastRow="0" w:noHBand="0" w:noVBand="1" w:val="04A0"/>
        <w:tblInd w:type="dxa" w:w="0"/>
      </w:tblPr>
      <w:tblGrid>
        <w:gridCol w:w="5040"/>
        <w:gridCol w:w="5040"/>
      </w:tblGrid>
      <w:tr>
        <w:trPr>
          <w:tblHeader w:val="true"/>
        </w:trPr>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Culturally Humble Response</w:t>
            </w:r>
          </w:p>
        </w:tc>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Weak or Harmful Response</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Ask how identity, culture, family, and community shape the client’s experience.</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Assume group membership predicts the client’s beliefs.</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Recognize the social worker’s limits and invite correction.</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Claim to be “color-blind” or culture-free.</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Adapt communication and treatment collaboratively.</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Apply one standard script to every client.</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Seek consultation or referral when bias or lack of competence affects care.</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Continue unchanged while minimizing the impact.</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Address a rupture directly and take responsibility.</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Defend intent instead of examining impact.</w:t>
            </w:r>
          </w:p>
        </w:tc>
      </w:tr>
    </w:tbl>
    <w:p>
      <w:pPr>
        <w:spacing w:before="60" w:after="100" w:line="240" w:lineRule="auto"/>
      </w:pPr>
      <w:r>
        <w:rPr>
          <w:rFonts w:ascii="Arial" w:hAnsi="Arial" w:eastAsia="Arial"/>
          <w:b/>
          <w:i w:val="0"/>
          <w:color w:val="159A9C"/>
          <w:sz w:val="21"/>
        </w:rPr>
        <w:t>BIAS-TO-REPAIR MAP</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Pause: </w:t>
            </w:r>
            <w:r>
              <w:rPr>
                <w:rFonts w:ascii="Arial" w:hAnsi="Arial" w:eastAsia="Arial"/>
                <w:b w:val="0"/>
                <w:i w:val="0"/>
                <w:color w:val="243447"/>
                <w:sz w:val="19"/>
              </w:rPr>
              <w:t>Notice the reaction, assumption, or mismatch.</w:t>
            </w:r>
          </w:p>
        </w:tc>
        <w:trPr>
          <w:tblHeader/>
        </w:trPr>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Explore: </w:t>
            </w:r>
            <w:r>
              <w:rPr>
                <w:rFonts w:ascii="Arial" w:hAnsi="Arial" w:eastAsia="Arial"/>
                <w:b w:val="0"/>
                <w:i w:val="0"/>
                <w:color w:val="243447"/>
                <w:sz w:val="19"/>
              </w:rPr>
              <w:t>Ask open, respectful questions about the client’s meaning and preferences.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Reflect: Examine the social worker’s values, power, privilege, and possible bias.</w:t>
            </w:r>
            <w:r>
              <w:rPr>
                <w:rFonts w:ascii="Arial" w:hAnsi="Arial" w:eastAsia="Arial"/>
                <w:b w:val="0"/>
                <w:i w:val="0"/>
                <w:color w:val="243447"/>
                <w:sz w:val="19"/>
              </w:rPr>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Repair: </w:t>
            </w:r>
            <w:r>
              <w:rPr>
                <w:rFonts w:ascii="Arial" w:hAnsi="Arial" w:eastAsia="Arial"/>
                <w:b w:val="0"/>
                <w:i w:val="0"/>
                <w:color w:val="243447"/>
                <w:sz w:val="19"/>
              </w:rPr>
              <w:t>Acknowledge impact, clarify, and modify the approach when needed.</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Support: </w:t>
            </w:r>
            <w:r>
              <w:rPr>
                <w:rFonts w:ascii="Arial" w:hAnsi="Arial" w:eastAsia="Arial"/>
                <w:b w:val="0"/>
                <w:i w:val="0"/>
                <w:color w:val="243447"/>
                <w:sz w:val="19"/>
              </w:rPr>
              <w:t>Consult, train, collaborate, or refer when the limitation is material.</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EXAM DISTINCTION</w:t>
            </w:r>
          </w:p>
          <w:p>
            <w:pPr>
              <w:spacing w:before="0" w:after="0" w:line="259" w:lineRule="auto"/>
            </w:pPr>
            <w:r>
              <w:rPr>
                <w:rFonts w:ascii="Arial" w:hAnsi="Arial" w:eastAsia="Arial"/>
                <w:b w:val="0"/>
                <w:i w:val="0"/>
                <w:color w:val="243447"/>
                <w:sz w:val="20"/>
              </w:rPr>
              <w:t>Cultural humility is an ongoing stance of openness and self-evaluation. It is not a claim of complete mastery of another person’s culture.</w:t>
            </w:r>
          </w:p>
        </w:tc>
        <w:trPr>
          <w:tblHeader/>
        </w:trPr>
      </w:tr>
    </w:tbl>
    <w:p>
      <w:pPr>
        <w:spacing w:after="20"/>
      </w:pPr>
    </w:p>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2A tasks on culturally sensitive and diversity-informed services, cultural humility, expanding competence, and nondiscrimination.</w:t>
      </w:r>
    </w:p>
    <w:p>
      <w:r>
        <w:br w:type="page"/>
      </w:r>
    </w:p>
    <w:p>
      <w:pPr>
        <w:spacing w:before="0" w:after="60" w:line="240" w:lineRule="auto"/>
        <w:keepNext/>
        <w:pBdr>
          <w:bottom w:val="single" w:sz="12" w:space="3" w:color="159A9C"/>
        </w:pBdr>
      </w:pPr>
      <w:r>
        <w:rPr>
          <w:rFonts w:ascii="Arial" w:hAnsi="Arial" w:eastAsia="Arial"/>
          <w:b/>
          <w:i w:val="0"/>
          <w:color w:val="17325C"/>
          <w:sz w:val="36"/>
        </w:rPr>
        <w:t>4. Conflicts of Interest and Multiple Roles</w:t>
      </w:r>
    </w:p>
    <w:p>
      <w:pPr>
        <w:spacing w:before="0" w:after="160" w:line="240" w:lineRule="auto"/>
      </w:pPr>
      <w:r>
        <w:rPr>
          <w:rFonts w:ascii="Arial" w:hAnsi="Arial" w:eastAsia="Arial"/>
          <w:b w:val="0"/>
          <w:i/>
          <w:color w:val="657487"/>
          <w:sz w:val="21"/>
        </w:rPr>
        <w:t>Clarify who you are, what you are doing, and whose interests you serve</w:t>
      </w: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Trigger</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Ethical Concern</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Best Response</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Social worker is also evaluator, mediator, supervisor, or expert.</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Role expectations and confidentiality may conflict.</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Clarify the role, limits, recipients of information, and foreseeable conflicts before proceeding.</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Social worker has financial, personal, or organizational interests.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Recommendations may be biased or exploitative.</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Disclose and manage the conflict; avoid or withdraw when objectivity cannot be protected.</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Employer requests action against client welfare.</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Workplace duty may conflict with client interests.</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Clarify obligations, protect the client, consult, and document the resolution.</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Social worker is asked to serve two parties with opposing goals.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Loyalty and informed consent become unstable.</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Assess whether the roles can be separated; decline incompatible roles.</w:t>
            </w:r>
          </w:p>
        </w:tc>
      </w:tr>
    </w:tbl>
    <w:p>
      <w:pPr>
        <w:spacing w:before="60" w:after="100" w:line="240" w:lineRule="auto"/>
      </w:pPr>
      <w:r>
        <w:rPr>
          <w:rFonts w:ascii="Arial" w:hAnsi="Arial" w:eastAsia="Arial"/>
          <w:b/>
          <w:i w:val="0"/>
          <w:color w:val="159A9C"/>
          <w:sz w:val="21"/>
        </w:rPr>
        <w:t>ROLE-CONFLICT TEST</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Identify all roles: List the social worker’s role and each party’s expectations.</w:t>
            </w:r>
            <w:r>
              <w:rPr>
                <w:rFonts w:ascii="Arial" w:hAnsi="Arial" w:eastAsia="Arial"/>
                <w:b w:val="0"/>
                <w:i w:val="0"/>
                <w:color w:val="243447"/>
                <w:sz w:val="19"/>
              </w:rPr>
            </w:r>
          </w:p>
        </w:tc>
        <w:trPr>
          <w:tblHeader/>
        </w:trPr>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Predict conflicts: </w:t>
            </w:r>
            <w:r>
              <w:rPr>
                <w:rFonts w:ascii="Arial" w:hAnsi="Arial" w:eastAsia="Arial"/>
                <w:b w:val="0"/>
                <w:i w:val="0"/>
                <w:color w:val="243447"/>
                <w:sz w:val="19"/>
              </w:rPr>
              <w:t>Ask where loyalty, confidentiality, neutrality, or judgment could be compromised.</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Disclose and clarify: </w:t>
            </w:r>
            <w:r>
              <w:rPr>
                <w:rFonts w:ascii="Arial" w:hAnsi="Arial" w:eastAsia="Arial"/>
                <w:b w:val="0"/>
                <w:i w:val="0"/>
                <w:color w:val="243447"/>
                <w:sz w:val="19"/>
              </w:rPr>
              <w:t>Explain the material limits before consent.</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Create safeguards: </w:t>
            </w:r>
            <w:r>
              <w:rPr>
                <w:rFonts w:ascii="Arial" w:hAnsi="Arial" w:eastAsia="Arial"/>
                <w:b w:val="0"/>
                <w:i w:val="0"/>
                <w:color w:val="243447"/>
                <w:sz w:val="19"/>
              </w:rPr>
              <w:t>Use written agreements, consultation, boundaries, or separate providers.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Exit when necessary: </w:t>
            </w:r>
            <w:r>
              <w:rPr>
                <w:rFonts w:ascii="Arial" w:hAnsi="Arial" w:eastAsia="Arial"/>
                <w:b w:val="0"/>
                <w:i w:val="0"/>
                <w:color w:val="243447"/>
                <w:sz w:val="19"/>
              </w:rPr>
              <w:t>Do not continue when the conflict cannot be adequately managed.</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FDEEEE"/>
            <w:tcBorders>
              <w:top w:val="single" w:sz="10" w:color="A23B3B"/>
              <w:left w:val="single" w:sz="10" w:color="A23B3B"/>
              <w:bottom w:val="single" w:sz="10" w:color="A23B3B"/>
              <w:right w:val="single" w:sz="10" w:color="A23B3B"/>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EXAM TRAP</w:t>
            </w:r>
          </w:p>
          <w:p>
            <w:pPr>
              <w:spacing w:before="0" w:after="0" w:line="259" w:lineRule="auto"/>
            </w:pPr>
            <w:r>
              <w:rPr>
                <w:rFonts w:ascii="Arial" w:hAnsi="Arial" w:eastAsia="Arial"/>
                <w:b w:val="0"/>
                <w:i w:val="0"/>
                <w:color w:val="243447"/>
                <w:sz w:val="20"/>
              </w:rPr>
              <w:t>A signed disclosure does not automatically cure an unmanageable conflict of interest. Consent is one safeguard, not a permission slip for exploitation or impaired judgment.</w:t>
            </w:r>
          </w:p>
        </w:tc>
        <w:trPr>
          <w:tblHeader/>
        </w:trPr>
      </w:tr>
    </w:tbl>
    <w:p>
      <w:pPr>
        <w:spacing w:after="20"/>
      </w:pPr>
    </w:p>
    <w:p>
      <w:pPr>
        <w:spacing w:before="100" w:after="0" w:line="240" w:lineRule="auto"/>
      </w:pPr>
      <w:r>
        <w:rPr>
          <w:rFonts w:ascii="Arial" w:hAnsi="Arial" w:eastAsia="Arial"/>
          <w:b/>
          <w:i w:val="0"/>
          <w:color w:val="657487"/>
          <w:sz w:val="16"/>
        </w:rPr>
        <w:t>SOURCE ANCHOR: Pearson VUE Ethics Section 2A tasks on conflicts of interest and conflicting social worker roles; current NASW Code of Ethics reviewed August 7, 2026.</w:t>
      </w:r>
      <w:r>
        <w:rPr>
          <w:rFonts w:ascii="Arial" w:hAnsi="Arial" w:eastAsia="Arial"/>
          <w:b w:val="0"/>
          <w:i w:val="0"/>
          <w:color w:val="657487"/>
          <w:sz w:val="16"/>
        </w:rPr>
      </w:r>
    </w:p>
    <w:p>
      <w:r>
        <w:br w:type="page"/>
      </w:r>
    </w:p>
    <w:p>
      <w:pPr>
        <w:spacing w:before="0" w:after="60" w:line="240" w:lineRule="auto"/>
        <w:keepNext/>
        <w:pBdr>
          <w:bottom w:val="single" w:sz="12" w:space="3" w:color="159A9C"/>
        </w:pBdr>
      </w:pPr>
      <w:r>
        <w:rPr>
          <w:rFonts w:ascii="Arial" w:hAnsi="Arial" w:eastAsia="Arial"/>
          <w:b/>
          <w:i w:val="0"/>
          <w:color w:val="17325C"/>
          <w:sz w:val="36"/>
        </w:rPr>
        <w:t>5. Boundaries, Gifts, and Dual Relationships</w:t>
      </w:r>
    </w:p>
    <w:p>
      <w:pPr>
        <w:spacing w:before="0" w:after="160" w:line="240" w:lineRule="auto"/>
      </w:pPr>
      <w:r>
        <w:rPr>
          <w:rFonts w:ascii="Arial" w:hAnsi="Arial" w:eastAsia="Arial"/>
          <w:b w:val="0"/>
          <w:i/>
          <w:color w:val="657487"/>
          <w:sz w:val="21"/>
        </w:rPr>
        <w:t>Context matters—but client welfare and professional judgment control</w:t>
      </w: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Factor</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Questions to Ask</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High-Risk Signs</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Value and meaning</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Is the item symbolic, culturally meaningful, costly, or personally intimate?</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Cash, luxury goods, repeated gifts, secrecy, obligation.</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Timing</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Is it offered at termination, after a rupture, or before a request?</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Gift appears designed to influence treatment or access.</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Power and vulnerability</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Could the client feel pressure, indebtedness, or special status?</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Social worker benefits more than the client.</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Clinical impact</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Would accepting or declining create harm that can be addressed therapeutically?</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Boundary shifts are not discussed.</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Objectivity</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Could the interaction impair judgment or create favoritism?</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Social worker rationalizes personal gain.</w:t>
            </w:r>
          </w:p>
        </w:tc>
      </w:tr>
    </w:tbl>
    <w:p>
      <w:pPr>
        <w:spacing w:before="60" w:after="100" w:line="240" w:lineRule="auto"/>
      </w:pPr>
      <w:r>
        <w:rPr>
          <w:rFonts w:ascii="Arial" w:hAnsi="Arial" w:eastAsia="Arial"/>
          <w:b/>
          <w:i w:val="0"/>
          <w:color w:val="159A9C"/>
          <w:sz w:val="21"/>
        </w:rPr>
        <w:t>BOUNDARY DECISION</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Explore: </w:t>
            </w:r>
            <w:r>
              <w:rPr>
                <w:rFonts w:ascii="Arial" w:hAnsi="Arial" w:eastAsia="Arial"/>
                <w:b w:val="0"/>
                <w:i w:val="0"/>
                <w:color w:val="243447"/>
                <w:sz w:val="19"/>
              </w:rPr>
              <w:t>Discuss the meaning of the proposed boundary crossing.</w:t>
            </w:r>
          </w:p>
        </w:tc>
        <w:trPr>
          <w:tblHeader/>
        </w:trPr>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Assess: </w:t>
            </w:r>
            <w:r>
              <w:rPr>
                <w:rFonts w:ascii="Arial" w:hAnsi="Arial" w:eastAsia="Arial"/>
                <w:b w:val="0"/>
                <w:i w:val="0"/>
                <w:color w:val="243447"/>
                <w:sz w:val="19"/>
              </w:rPr>
              <w:t>Consider exploitation, power, value, cultural meaning, and impact.</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Consult: </w:t>
            </w:r>
            <w:r>
              <w:rPr>
                <w:rFonts w:ascii="Arial" w:hAnsi="Arial" w:eastAsia="Arial"/>
                <w:b w:val="0"/>
                <w:i w:val="0"/>
                <w:color w:val="243447"/>
                <w:sz w:val="19"/>
              </w:rPr>
              <w:t>Use consultation when the risk is not clear.</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Set the boundary: </w:t>
            </w:r>
            <w:r>
              <w:rPr>
                <w:rFonts w:ascii="Arial" w:hAnsi="Arial" w:eastAsia="Arial"/>
                <w:b w:val="0"/>
                <w:i w:val="0"/>
                <w:color w:val="243447"/>
                <w:sz w:val="19"/>
              </w:rPr>
              <w:t>Accept, decline, or modify only when the decision protects the therapeutic role.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Document: </w:t>
            </w:r>
            <w:r>
              <w:rPr>
                <w:rFonts w:ascii="Arial" w:hAnsi="Arial" w:eastAsia="Arial"/>
                <w:b w:val="0"/>
                <w:i w:val="0"/>
                <w:color w:val="243447"/>
                <w:sz w:val="19"/>
              </w:rPr>
              <w:t>Record the reasoning and the client’s response.</w:t>
            </w:r>
          </w:p>
        </w:tc>
      </w:tr>
    </w:tbl>
    <w:tbl>
      <w:tblPr>
        <w:tblW w:type="dxa" w:w="10080"/>
        <w:jc w:val="center"/>
        <w:tblLayout w:type="fixed"/>
        <w:tblLook w:firstColumn="1" w:firstRow="1" w:lastColumn="0" w:lastRow="0" w:noHBand="0" w:noVBand="1" w:val="04A0"/>
        <w:tblInd w:type="dxa" w:w="0"/>
      </w:tblPr>
      <w:tblGrid>
        <w:gridCol w:w="5040"/>
        <w:gridCol w:w="5040"/>
      </w:tblGrid>
      <w:tr>
        <w:trPr>
          <w:tblHeader w:val="true"/>
        </w:trPr>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Usually Stronger</w:t>
            </w:r>
          </w:p>
        </w:tc>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Usually Weaker</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Address the gift or dual-role request directly and respectfully.</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Accept automatically to avoid discomfort.</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Decline high-risk or exploitative arrangements.</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Assume documentation alone makes it ethical.</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Use alternatives that preserve meaning without personal gain.</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Shame the client or cite an absolute rule that does not exist.</w:t>
            </w:r>
          </w:p>
        </w:tc>
      </w:tr>
    </w:tbl>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2A tasks on maintaining boundaries, physical contact, dual or multiple relationships, and preventing boundary confusion.</w:t>
      </w:r>
    </w:p>
    <w:p>
      <w:r>
        <w:br w:type="page"/>
      </w:r>
    </w:p>
    <w:p>
      <w:pPr>
        <w:spacing w:before="0" w:after="60" w:line="240" w:lineRule="auto"/>
        <w:keepNext/>
        <w:pBdr>
          <w:bottom w:val="single" w:sz="12" w:space="3" w:color="159A9C"/>
        </w:pBdr>
      </w:pPr>
      <w:r>
        <w:rPr>
          <w:rFonts w:ascii="Arial" w:hAnsi="Arial" w:eastAsia="Arial"/>
          <w:b/>
          <w:i w:val="0"/>
          <w:color w:val="17325C"/>
          <w:sz w:val="36"/>
        </w:rPr>
        <w:t>6. Sexual, Nonprofessional, and Digital Interactions</w:t>
      </w:r>
    </w:p>
    <w:p>
      <w:pPr>
        <w:spacing w:before="0" w:after="160" w:line="240" w:lineRule="auto"/>
      </w:pPr>
      <w:r>
        <w:rPr>
          <w:rFonts w:ascii="Arial" w:hAnsi="Arial" w:eastAsia="Arial"/>
          <w:b w:val="0"/>
          <w:i/>
          <w:color w:val="657487"/>
          <w:sz w:val="21"/>
        </w:rPr>
        <w:t>Protect the therapeutic role across in-person and online settings</w:t>
      </w:r>
    </w:p>
    <w:tbl>
      <w:tblPr>
        <w:tblW w:type="dxa" w:w="10080"/>
        <w:jc w:val="center"/>
        <w:tblLayout w:type="fixed"/>
        <w:tblLook w:firstColumn="1" w:firstRow="1" w:lastColumn="0" w:lastRow="0" w:noHBand="0" w:noVBand="1" w:val="04A0"/>
        <w:tblInd w:type="dxa" w:w="0"/>
      </w:tblPr>
      <w:tblGrid>
        <w:gridCol w:w="5040"/>
        <w:gridCol w:w="5040"/>
      </w:tblGrid>
      <w:tr>
        <w:trPr>
          <w:tblHeader w:val="true"/>
        </w:trPr>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Red Flags</w:t>
            </w:r>
          </w:p>
        </w:tc>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Best Ethical Response</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Flirtatious, sexual, romantic, or suggestive communication.</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Stop the conduct, restore boundaries, consult, and protect the client from exploitation.</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Private social-media connections that blur roles.</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Apply a clear policy and address requests within treatment rather than silently connecting.</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Derogatory, humiliating, or sexualized language.</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Correct the behavior and address impact; do not normalize it as humor.</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Personal disclosure that shifts emotional care to the client.</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Refocus on the client and examine the social worker’s need or countertransference.</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Nonprofessional contact that creates secrecy or special access.</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Clarify boundaries and discontinue the arrangement when it compromises treatment.</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FDEEEE"/>
            <w:tcBorders>
              <w:top w:val="single" w:sz="10" w:color="A23B3B"/>
              <w:left w:val="single" w:sz="10" w:color="A23B3B"/>
              <w:bottom w:val="single" w:sz="10" w:color="A23B3B"/>
              <w:right w:val="single" w:sz="10" w:color="A23B3B"/>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ABSOLUTE RED LINE</w:t>
            </w:r>
          </w:p>
          <w:p>
            <w:pPr>
              <w:spacing w:before="0" w:after="0" w:line="259" w:lineRule="auto"/>
            </w:pPr>
            <w:r>
              <w:rPr>
                <w:rFonts w:ascii="Arial" w:hAnsi="Arial" w:eastAsia="Arial"/>
                <w:b w:val="0"/>
                <w:i w:val="0"/>
                <w:color w:val="243447"/>
                <w:sz w:val="20"/>
              </w:rPr>
              <w:t>Sexual exploitation of a current client is never a boundary-management problem to “work through.” It requires immediate protective action and compliance with applicable law and professional standards.</w:t>
            </w:r>
          </w:p>
        </w:tc>
        <w:trPr>
          <w:tblHeader/>
        </w:trPr>
      </w:tr>
    </w:tbl>
    <w:p>
      <w:pPr>
        <w:spacing w:after="20"/>
      </w:pPr>
    </w:p>
    <w:p>
      <w:pPr>
        <w:spacing w:before="60" w:after="100" w:line="240" w:lineRule="auto"/>
      </w:pPr>
      <w:r>
        <w:rPr>
          <w:rFonts w:ascii="Arial" w:hAnsi="Arial" w:eastAsia="Arial"/>
          <w:b/>
          <w:i w:val="0"/>
          <w:color w:val="159A9C"/>
          <w:sz w:val="21"/>
        </w:rPr>
        <w:t>PROTECTIVE RESPONSE</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Recognize: </w:t>
            </w:r>
            <w:r>
              <w:rPr>
                <w:rFonts w:ascii="Arial" w:hAnsi="Arial" w:eastAsia="Arial"/>
                <w:b w:val="0"/>
                <w:i w:val="0"/>
                <w:color w:val="243447"/>
                <w:sz w:val="19"/>
              </w:rPr>
              <w:t>Name the conduct and the power imbalance.</w:t>
            </w:r>
          </w:p>
        </w:tc>
        <w:trPr>
          <w:tblHeader/>
        </w:trPr>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Protect: </w:t>
            </w:r>
            <w:r>
              <w:rPr>
                <w:rFonts w:ascii="Arial" w:hAnsi="Arial" w:eastAsia="Arial"/>
                <w:b w:val="0"/>
                <w:i w:val="0"/>
                <w:color w:val="243447"/>
                <w:sz w:val="19"/>
              </w:rPr>
              <w:t>End the problematic interaction and prevent further harm.</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Consult: </w:t>
            </w:r>
            <w:r>
              <w:rPr>
                <w:rFonts w:ascii="Arial" w:hAnsi="Arial" w:eastAsia="Arial"/>
                <w:b w:val="0"/>
                <w:i w:val="0"/>
                <w:color w:val="243447"/>
                <w:sz w:val="19"/>
              </w:rPr>
              <w:t>Obtain ethics, legal, or supervisory guidance as appropriate.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Repair or transition: </w:t>
            </w:r>
            <w:r>
              <w:rPr>
                <w:rFonts w:ascii="Arial" w:hAnsi="Arial" w:eastAsia="Arial"/>
                <w:b w:val="0"/>
                <w:i w:val="0"/>
                <w:color w:val="243447"/>
                <w:sz w:val="19"/>
              </w:rPr>
              <w:t>Address the clinical impact and arrange care when the relationship is no longer safe.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Document and report: </w:t>
            </w:r>
            <w:r>
              <w:rPr>
                <w:rFonts w:ascii="Arial" w:hAnsi="Arial" w:eastAsia="Arial"/>
                <w:b w:val="0"/>
                <w:i w:val="0"/>
                <w:color w:val="243447"/>
                <w:sz w:val="19"/>
              </w:rPr>
              <w:t>Follow applicable reporting or complaint duties without unnecessary disclosure.</w:t>
            </w:r>
          </w:p>
        </w:tc>
      </w:tr>
    </w:tbl>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2A tasks on nonprofessional interactions, sexual activity or explicit communications, harassment, derogatory language, and former intimate partners; California BBS professional-conduct framework.</w:t>
      </w:r>
    </w:p>
    <w:p>
      <w:r>
        <w:br w:type="page"/>
      </w:r>
    </w:p>
    <w:p>
      <w:pPr>
        <w:spacing w:before="0" w:after="60" w:line="240" w:lineRule="auto"/>
        <w:keepNext/>
        <w:pBdr>
          <w:bottom w:val="single" w:sz="12" w:space="3" w:color="159A9C"/>
        </w:pBdr>
      </w:pPr>
      <w:r>
        <w:rPr>
          <w:rFonts w:ascii="Arial" w:hAnsi="Arial" w:eastAsia="Arial"/>
          <w:b/>
          <w:i w:val="0"/>
          <w:color w:val="17325C"/>
          <w:sz w:val="36"/>
        </w:rPr>
        <w:t>7. Personal Values, Countertransference, and Impairment</w:t>
      </w:r>
    </w:p>
    <w:p>
      <w:pPr>
        <w:spacing w:before="0" w:after="160" w:line="240" w:lineRule="auto"/>
      </w:pPr>
      <w:r>
        <w:rPr>
          <w:rFonts w:ascii="Arial" w:hAnsi="Arial" w:eastAsia="Arial"/>
          <w:b w:val="0"/>
          <w:i/>
          <w:color w:val="657487"/>
          <w:sz w:val="21"/>
        </w:rPr>
        <w:t>Self-awareness is not enough; the social worker must act before the client is harmed</w:t>
      </w: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Signal</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Ethical Meaning</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Corrective Action</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Strong emotional reaction or rescue/avoidance pattern</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Countertransference may be affecting judgment.</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Reflect, consult, adjust boundaries, and monitor decisions.</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Personal values direct the client’s choices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Autonomy and objectivity are compromised.</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Separate the social worker’s beliefs from the client’s goals.</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Fatigue, grief, illness, or distress affects performance</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Possible impairment requires intervention.</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Reduce risk, seek support or treatment, modify workload, and arrange coverage.</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Substance use or severe psychological impairment</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Immediate risk to competent practice.</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Stop unsafe practice and obtain appropriate assistance.</w:t>
            </w:r>
          </w:p>
        </w:tc>
      </w:tr>
    </w:tbl>
    <w:p>
      <w:pPr>
        <w:spacing w:before="60" w:after="100" w:line="240" w:lineRule="auto"/>
      </w:pPr>
      <w:r>
        <w:rPr>
          <w:rFonts w:ascii="Arial" w:hAnsi="Arial" w:eastAsia="Arial"/>
          <w:b/>
          <w:i w:val="0"/>
          <w:color w:val="159A9C"/>
          <w:sz w:val="21"/>
        </w:rPr>
        <w:t>IMPAIRMENT RESPONSE</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Notice: </w:t>
            </w:r>
            <w:r>
              <w:rPr>
                <w:rFonts w:ascii="Arial" w:hAnsi="Arial" w:eastAsia="Arial"/>
                <w:b w:val="0"/>
                <w:i w:val="0"/>
                <w:color w:val="243447"/>
                <w:sz w:val="19"/>
              </w:rPr>
              <w:t>Identify the change in judgment, behavior, or functioning.</w:t>
            </w:r>
          </w:p>
        </w:tc>
        <w:trPr>
          <w:tblHeader/>
        </w:trPr>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Measure impact: </w:t>
            </w:r>
            <w:r>
              <w:rPr>
                <w:rFonts w:ascii="Arial" w:hAnsi="Arial" w:eastAsia="Arial"/>
                <w:b w:val="0"/>
                <w:i w:val="0"/>
                <w:color w:val="243447"/>
                <w:sz w:val="19"/>
              </w:rPr>
              <w:t>Ask how the issue affects competence, boundaries, reliability, and client welfare.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Protect clients now: </w:t>
            </w:r>
            <w:r>
              <w:rPr>
                <w:rFonts w:ascii="Arial" w:hAnsi="Arial" w:eastAsia="Arial"/>
                <w:b w:val="0"/>
                <w:i w:val="0"/>
                <w:color w:val="243447"/>
                <w:sz w:val="19"/>
              </w:rPr>
              <w:t>Limit or stop affected work, arrange coverage, and address urgent needs.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Obtain help: </w:t>
            </w:r>
            <w:r>
              <w:rPr>
                <w:rFonts w:ascii="Arial" w:hAnsi="Arial" w:eastAsia="Arial"/>
                <w:b w:val="0"/>
                <w:i w:val="0"/>
                <w:color w:val="243447"/>
                <w:sz w:val="19"/>
              </w:rPr>
              <w:t>Use consultation, treatment, supervision, or medical care.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Return with safeguards: </w:t>
            </w:r>
            <w:r>
              <w:rPr>
                <w:rFonts w:ascii="Arial" w:hAnsi="Arial" w:eastAsia="Arial"/>
                <w:b w:val="0"/>
                <w:i w:val="0"/>
                <w:color w:val="243447"/>
                <w:sz w:val="19"/>
              </w:rPr>
              <w:t>Resume only when competence and reliability are restored.</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EXAM TRAP</w:t>
            </w:r>
          </w:p>
          <w:p>
            <w:pPr>
              <w:spacing w:before="0" w:after="0" w:line="259" w:lineRule="auto"/>
            </w:pPr>
            <w:r>
              <w:rPr>
                <w:rFonts w:ascii="Arial" w:hAnsi="Arial" w:eastAsia="Arial"/>
                <w:b w:val="0"/>
                <w:i w:val="0"/>
                <w:color w:val="243447"/>
                <w:sz w:val="20"/>
              </w:rPr>
              <w:t>“The social worker is aware of the problem” is not enough. The best answer includes a concrete protective action.</w:t>
            </w:r>
          </w:p>
        </w:tc>
        <w:trPr>
          <w:tblHeader/>
        </w:trPr>
      </w:tr>
    </w:tbl>
    <w:p>
      <w:pPr>
        <w:spacing w:after="20"/>
      </w:pPr>
    </w:p>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2A tasks on personal values, reactions, professional objectivity, personal issues affecting performance, and practicing while impaired.</w:t>
      </w:r>
    </w:p>
    <w:p>
      <w:r>
        <w:br w:type="page"/>
      </w:r>
    </w:p>
    <w:p>
      <w:pPr>
        <w:spacing w:before="0" w:after="60" w:line="240" w:lineRule="auto"/>
        <w:keepNext/>
        <w:pBdr>
          <w:bottom w:val="single" w:sz="12" w:space="3" w:color="159A9C"/>
        </w:pBdr>
      </w:pPr>
      <w:r>
        <w:rPr>
          <w:rFonts w:ascii="Arial" w:hAnsi="Arial" w:eastAsia="Arial"/>
          <w:b/>
          <w:i w:val="0"/>
          <w:color w:val="17325C"/>
          <w:sz w:val="36"/>
        </w:rPr>
        <w:t>8. Informed Consent, Autonomy, and Client Choice</w:t>
      </w:r>
    </w:p>
    <w:p>
      <w:pPr>
        <w:spacing w:before="0" w:after="160" w:line="240" w:lineRule="auto"/>
      </w:pPr>
      <w:r>
        <w:rPr>
          <w:rFonts w:ascii="Arial" w:hAnsi="Arial" w:eastAsia="Arial"/>
          <w:b w:val="0"/>
          <w:i/>
          <w:color w:val="657487"/>
          <w:sz w:val="21"/>
        </w:rPr>
        <w:t>Ethical consent remains active throughout treatment</w:t>
      </w:r>
    </w:p>
    <w:tbl>
      <w:tblPr>
        <w:tblW w:type="dxa" w:w="10080"/>
        <w:jc w:val="center"/>
        <w:tblLayout w:type="fixed"/>
        <w:tblLook w:firstColumn="1" w:firstRow="1" w:lastColumn="0" w:lastRow="0" w:noHBand="0" w:noVBand="1" w:val="04A0"/>
        <w:tblInd w:type="dxa" w:w="0"/>
      </w:tblPr>
      <w:tblGrid>
        <w:gridCol w:w="5040"/>
        <w:gridCol w:w="5040"/>
      </w:tblGrid>
      <w:tr>
        <w:trPr>
          <w:tblHeader w:val="true"/>
        </w:trPr>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Client Right</w:t>
            </w:r>
          </w:p>
        </w:tc>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Social worker Responsibility</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Understand the service, options, risks, costs, and limits.</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Communicate clearly, check understanding, and revisit material changes.</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Accept, decline, or withdraw from treatment.</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Respect the decision while addressing safety, competence, and continuity.</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Participate even when another person holds legal consent authority.</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Support meaningful assent and involvement whenever possible.</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Choose among reasonable treatment options.</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Offer a professional recommendation without domination or coercion.</w:t>
            </w:r>
          </w:p>
        </w:tc>
      </w:tr>
    </w:tbl>
    <w:p>
      <w:pPr>
        <w:spacing w:before="60" w:after="100" w:line="240" w:lineRule="auto"/>
      </w:pPr>
      <w:r>
        <w:rPr>
          <w:rFonts w:ascii="Arial" w:hAnsi="Arial" w:eastAsia="Arial"/>
          <w:b/>
          <w:i w:val="0"/>
          <w:color w:val="159A9C"/>
          <w:sz w:val="21"/>
        </w:rPr>
        <w:t>ETHICAL CONSENT PROCESS</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Clarify the decision: </w:t>
            </w:r>
            <w:r>
              <w:rPr>
                <w:rFonts w:ascii="Arial" w:hAnsi="Arial" w:eastAsia="Arial"/>
                <w:b w:val="0"/>
                <w:i w:val="0"/>
                <w:color w:val="243447"/>
                <w:sz w:val="19"/>
              </w:rPr>
              <w:t>What is the client being asked to agree to now?</w:t>
            </w:r>
          </w:p>
        </w:tc>
        <w:trPr>
          <w:tblHeader/>
        </w:trPr>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Provide material information: </w:t>
            </w:r>
            <w:r>
              <w:rPr>
                <w:rFonts w:ascii="Arial" w:hAnsi="Arial" w:eastAsia="Arial"/>
                <w:b w:val="0"/>
                <w:i w:val="0"/>
                <w:color w:val="243447"/>
                <w:sz w:val="19"/>
              </w:rPr>
              <w:t>Explain what a reasonable client would need to decide.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Check understanding and voluntariness: </w:t>
            </w:r>
            <w:r>
              <w:rPr>
                <w:rFonts w:ascii="Arial" w:hAnsi="Arial" w:eastAsia="Arial"/>
                <w:b w:val="0"/>
                <w:i w:val="0"/>
                <w:color w:val="243447"/>
                <w:sz w:val="19"/>
              </w:rPr>
              <w:t>Do not equate a signature with comprehension.</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Respect the choice: </w:t>
            </w:r>
            <w:r>
              <w:rPr>
                <w:rFonts w:ascii="Arial" w:hAnsi="Arial" w:eastAsia="Arial"/>
                <w:b w:val="0"/>
                <w:i w:val="0"/>
                <w:color w:val="243447"/>
                <w:sz w:val="19"/>
              </w:rPr>
              <w:t>A capable client may refuse a recommendation.</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Manage professional limits: The social worker need not provide ineffective, unsafe, or incompetent care; discuss alternatives and transition appropriately.</w:t>
            </w:r>
            <w:r>
              <w:rPr>
                <w:rFonts w:ascii="Arial" w:hAnsi="Arial" w:eastAsia="Arial"/>
                <w:b w:val="0"/>
                <w:i w:val="0"/>
                <w:color w:val="243447"/>
                <w:sz w:val="19"/>
              </w:rPr>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8F6F6"/>
            <w:tcBorders>
              <w:top w:val="single" w:sz="10" w:color="159A9C"/>
              <w:left w:val="single" w:sz="10" w:color="159A9C"/>
              <w:bottom w:val="single" w:sz="10" w:color="159A9C"/>
              <w:right w:val="single" w:sz="10" w:color="159A9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FIRST-STEP RULE</w:t>
            </w:r>
          </w:p>
          <w:p>
            <w:pPr>
              <w:spacing w:before="0" w:after="0" w:line="259" w:lineRule="auto"/>
            </w:pPr>
            <w:r>
              <w:rPr>
                <w:rFonts w:ascii="Arial" w:hAnsi="Arial" w:eastAsia="Arial"/>
                <w:b w:val="0"/>
                <w:i w:val="0"/>
                <w:color w:val="243447"/>
                <w:sz w:val="20"/>
              </w:rPr>
              <w:t>When the client resists or disagrees, explore understanding, goals, and voluntariness before assuming incapacity or noncompliance.</w:t>
            </w:r>
          </w:p>
        </w:tc>
        <w:trPr>
          <w:tblHeader/>
        </w:trPr>
      </w:tr>
    </w:tbl>
    <w:p>
      <w:pPr>
        <w:spacing w:after="20"/>
      </w:pPr>
    </w:p>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2B tasks on treatment information and alternatives, informed consent, withdrawal of consent, understanding, voluntary participation, autonomy, and client welfare.</w:t>
      </w:r>
    </w:p>
    <w:p>
      <w:r>
        <w:br w:type="page"/>
      </w:r>
    </w:p>
    <w:p>
      <w:pPr>
        <w:spacing w:before="0" w:after="60" w:line="240" w:lineRule="auto"/>
        <w:keepNext/>
        <w:pBdr>
          <w:bottom w:val="single" w:sz="12" w:space="3" w:color="159A9C"/>
        </w:pBdr>
      </w:pPr>
      <w:r>
        <w:rPr>
          <w:rFonts w:ascii="Arial" w:hAnsi="Arial" w:eastAsia="Arial"/>
          <w:b/>
          <w:i w:val="0"/>
          <w:color w:val="17325C"/>
          <w:sz w:val="36"/>
        </w:rPr>
        <w:t>9. Confidentiality in Complex Treatment</w:t>
      </w:r>
    </w:p>
    <w:p>
      <w:pPr>
        <w:spacing w:before="0" w:after="160" w:line="240" w:lineRule="auto"/>
      </w:pPr>
      <w:r>
        <w:rPr>
          <w:rFonts w:ascii="Arial" w:hAnsi="Arial" w:eastAsia="Arial"/>
          <w:b w:val="0"/>
          <w:i/>
          <w:color w:val="657487"/>
          <w:sz w:val="21"/>
        </w:rPr>
        <w:t>Couples, families, groups, consultations, and payors require role clarity</w:t>
      </w: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Context</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What Must Be Clarified</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Best Ethical Practice</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Couples/family treatment</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Who is the client, how secrets are handled, and how records may be used.</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Establish the policy before predictable conflicts arise.</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Group treatment</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Limits of social worker control over member disclosures.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Explain confidentiality expectations without guaranteeing other members’ behavior.</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Consultation</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What information is necessary for professional guidance.</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Use de-identification and minimum necessary disclosure when possible.</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Third-party payor</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What information may be requested and how it affects privacy.</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Discuss foreseeable disclosures and avoid unnecessary detail.</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Accidental breach</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Who may be affected and what harm may follow.</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Contain, assess, notify or remediate as appropriate, and prevent recurrence.</w:t>
            </w:r>
          </w:p>
        </w:tc>
      </w:tr>
    </w:tbl>
    <w:p>
      <w:pPr>
        <w:spacing w:before="60" w:after="100" w:line="240" w:lineRule="auto"/>
      </w:pPr>
      <w:r>
        <w:rPr>
          <w:rFonts w:ascii="Arial" w:hAnsi="Arial" w:eastAsia="Arial"/>
          <w:b/>
          <w:i w:val="0"/>
          <w:color w:val="159A9C"/>
          <w:sz w:val="21"/>
        </w:rPr>
        <w:t>CONFIDENTIALITY ETHICS MAP</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Identify the treatment unit: </w:t>
            </w:r>
            <w:r>
              <w:rPr>
                <w:rFonts w:ascii="Arial" w:hAnsi="Arial" w:eastAsia="Arial"/>
                <w:b w:val="0"/>
                <w:i w:val="0"/>
                <w:color w:val="243447"/>
                <w:sz w:val="19"/>
              </w:rPr>
              <w:t>Do not assume the payer, requester, or most vocal person is the sole client.</w:t>
            </w:r>
          </w:p>
        </w:tc>
        <w:trPr>
          <w:tblHeader/>
        </w:trPr>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Apply the established agreement: </w:t>
            </w:r>
            <w:r>
              <w:rPr>
                <w:rFonts w:ascii="Arial" w:hAnsi="Arial" w:eastAsia="Arial"/>
                <w:b w:val="0"/>
                <w:i w:val="0"/>
                <w:color w:val="243447"/>
                <w:sz w:val="19"/>
              </w:rPr>
              <w:t>Use the informed-consent policy and applicable law.</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Minimize disclosure: </w:t>
            </w:r>
            <w:r>
              <w:rPr>
                <w:rFonts w:ascii="Arial" w:hAnsi="Arial" w:eastAsia="Arial"/>
                <w:b w:val="0"/>
                <w:i w:val="0"/>
                <w:color w:val="243447"/>
                <w:sz w:val="19"/>
              </w:rPr>
              <w:t>Share only what is authorized, required, and relevant.</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Protect the relationship: </w:t>
            </w:r>
            <w:r>
              <w:rPr>
                <w:rFonts w:ascii="Arial" w:hAnsi="Arial" w:eastAsia="Arial"/>
                <w:b w:val="0"/>
                <w:i w:val="0"/>
                <w:color w:val="243447"/>
                <w:sz w:val="19"/>
              </w:rPr>
              <w:t>Explain actions when doing so is safe and permitted.</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Repair breaches: </w:t>
            </w:r>
            <w:r>
              <w:rPr>
                <w:rFonts w:ascii="Arial" w:hAnsi="Arial" w:eastAsia="Arial"/>
                <w:b w:val="0"/>
                <w:i w:val="0"/>
                <w:color w:val="243447"/>
                <w:sz w:val="19"/>
              </w:rPr>
              <w:t>Contain harm, consult, document, and improve systems.</w:t>
            </w:r>
          </w:p>
        </w:tc>
      </w:tr>
    </w:tbl>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2B tasks on confidentiality in therapy, couples/families/groups, minimizing harm, managing breaches, consultation, and third-party payors.</w:t>
      </w:r>
    </w:p>
    <w:p>
      <w:r>
        <w:br w:type="page"/>
      </w:r>
    </w:p>
    <w:p>
      <w:pPr>
        <w:spacing w:before="0" w:after="60" w:line="240" w:lineRule="auto"/>
        <w:keepNext/>
        <w:pBdr>
          <w:bottom w:val="single" w:sz="12" w:space="3" w:color="159A9C"/>
        </w:pBdr>
      </w:pPr>
      <w:r>
        <w:rPr>
          <w:rFonts w:ascii="Arial" w:hAnsi="Arial" w:eastAsia="Arial"/>
          <w:b/>
          <w:i w:val="0"/>
          <w:color w:val="17325C"/>
          <w:sz w:val="36"/>
        </w:rPr>
        <w:t>10. Safety, Crisis, and Legal–Ethical Obligations</w:t>
      </w:r>
    </w:p>
    <w:p>
      <w:pPr>
        <w:spacing w:before="0" w:after="160" w:line="240" w:lineRule="auto"/>
      </w:pPr>
      <w:r>
        <w:rPr>
          <w:rFonts w:ascii="Arial" w:hAnsi="Arial" w:eastAsia="Arial"/>
          <w:b w:val="0"/>
          <w:i/>
          <w:color w:val="657487"/>
          <w:sz w:val="21"/>
        </w:rPr>
        <w:t>Protect safety without abandoning dignity, autonomy, or therapeutic support</w:t>
      </w: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Question</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Ethical Priority</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Avoid</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Is there immediate danger or serious deterioration?</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Conduct a focused assessment and act proportionately.</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Discussing abstract ethics while delaying safety action.</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Is disclosure legally permitted or required?</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Follow law and disclose only what is necessary.</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Treating every concern as permission for broad disclosure.</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Can a less restrictive option adequately protect safety?</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Use collaborative and least restrictive measures when clinically appropriate.</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Choosing the most coercive option by default.</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How will care continue after the crisis?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Plan follow-up, coordination, documentation, and repair.</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Ending the therapeutic relationship because a crisis occurred.</w:t>
            </w:r>
          </w:p>
        </w:tc>
      </w:tr>
    </w:tbl>
    <w:p>
      <w:pPr>
        <w:spacing w:before="60" w:after="100" w:line="240" w:lineRule="auto"/>
      </w:pPr>
      <w:r>
        <w:rPr>
          <w:rFonts w:ascii="Arial" w:hAnsi="Arial" w:eastAsia="Arial"/>
          <w:b/>
          <w:i w:val="0"/>
          <w:color w:val="159A9C"/>
          <w:sz w:val="21"/>
        </w:rPr>
        <w:t>CRISIS ETHICS SEQUENCE</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Assess: </w:t>
            </w:r>
            <w:r>
              <w:rPr>
                <w:rFonts w:ascii="Arial" w:hAnsi="Arial" w:eastAsia="Arial"/>
                <w:b w:val="0"/>
                <w:i w:val="0"/>
                <w:color w:val="243447"/>
                <w:sz w:val="19"/>
              </w:rPr>
              <w:t>Clarify risk, protective factors, immediacy, means, and current supports.</w:t>
            </w:r>
          </w:p>
        </w:tc>
        <w:trPr>
          <w:tblHeader/>
        </w:trPr>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Stabilize: </w:t>
            </w:r>
            <w:r>
              <w:rPr>
                <w:rFonts w:ascii="Arial" w:hAnsi="Arial" w:eastAsia="Arial"/>
                <w:b w:val="0"/>
                <w:i w:val="0"/>
                <w:color w:val="243447"/>
                <w:sz w:val="19"/>
              </w:rPr>
              <w:t>Use the least restrictive effective intervention.</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Consult or coordinate: </w:t>
            </w:r>
            <w:r>
              <w:rPr>
                <w:rFonts w:ascii="Arial" w:hAnsi="Arial" w:eastAsia="Arial"/>
                <w:b w:val="0"/>
                <w:i w:val="0"/>
                <w:color w:val="243447"/>
                <w:sz w:val="19"/>
              </w:rPr>
              <w:t>Engage appropriate professionals or emergency resources.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Communicate: </w:t>
            </w:r>
            <w:r>
              <w:rPr>
                <w:rFonts w:ascii="Arial" w:hAnsi="Arial" w:eastAsia="Arial"/>
                <w:b w:val="0"/>
                <w:i w:val="0"/>
                <w:color w:val="243447"/>
                <w:sz w:val="19"/>
              </w:rPr>
              <w:t>Explain the action and preserve client dignity when possible.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Follow through: </w:t>
            </w:r>
            <w:r>
              <w:rPr>
                <w:rFonts w:ascii="Arial" w:hAnsi="Arial" w:eastAsia="Arial"/>
                <w:b w:val="0"/>
                <w:i w:val="0"/>
                <w:color w:val="243447"/>
                <w:sz w:val="19"/>
              </w:rPr>
              <w:t>Document, reassess, and provide continuity.</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EXAM DISTINCTION</w:t>
            </w:r>
          </w:p>
          <w:p>
            <w:pPr>
              <w:spacing w:before="0" w:after="0" w:line="259" w:lineRule="auto"/>
            </w:pPr>
            <w:r>
              <w:rPr>
                <w:rFonts w:ascii="Arial" w:hAnsi="Arial" w:eastAsia="Arial"/>
                <w:b w:val="0"/>
                <w:i w:val="0"/>
                <w:color w:val="243447"/>
                <w:sz w:val="20"/>
              </w:rPr>
              <w:t>The legal question may ask what the social worker is permitted or required to do. The ethical question often asks how to carry out that duty while minimizing harm and preserving the therapeutic relationship.</w:t>
            </w:r>
          </w:p>
        </w:tc>
        <w:trPr>
          <w:tblHeader/>
        </w:trPr>
      </w:tr>
    </w:tbl>
    <w:p>
      <w:pPr>
        <w:spacing w:after="20"/>
      </w:pPr>
    </w:p>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2B tasks on safety needs and protecting clients when legal and ethical obligations arise; related law sections should be analyzed separately.</w:t>
      </w:r>
    </w:p>
    <w:p>
      <w:r>
        <w:br w:type="page"/>
      </w:r>
    </w:p>
    <w:p>
      <w:pPr>
        <w:spacing w:before="0" w:after="60" w:line="240" w:lineRule="auto"/>
        <w:keepNext/>
        <w:pBdr>
          <w:bottom w:val="single" w:sz="12" w:space="3" w:color="159A9C"/>
        </w:pBdr>
      </w:pPr>
      <w:r>
        <w:rPr>
          <w:rFonts w:ascii="Arial" w:hAnsi="Arial" w:eastAsia="Arial"/>
          <w:b/>
          <w:i w:val="0"/>
          <w:color w:val="17325C"/>
          <w:sz w:val="36"/>
        </w:rPr>
        <w:t>11. Collaboration, Referral, Continuity, and Termination</w:t>
      </w:r>
    </w:p>
    <w:p>
      <w:pPr>
        <w:spacing w:before="0" w:after="160" w:line="240" w:lineRule="auto"/>
      </w:pPr>
      <w:r>
        <w:rPr>
          <w:rFonts w:ascii="Arial" w:hAnsi="Arial" w:eastAsia="Arial"/>
          <w:b w:val="0"/>
          <w:i/>
          <w:color w:val="657487"/>
          <w:sz w:val="21"/>
        </w:rPr>
        <w:t>A transition is an active clinical process—not a list of names</w:t>
      </w:r>
    </w:p>
    <w:tbl>
      <w:tblPr>
        <w:tblW w:type="dxa" w:w="10080"/>
        <w:jc w:val="center"/>
        <w:tblLayout w:type="fixed"/>
        <w:tblLook w:firstColumn="1" w:firstRow="1" w:lastColumn="0" w:lastRow="0" w:noHBand="0" w:noVBand="1" w:val="04A0"/>
        <w:tblInd w:type="dxa" w:w="0"/>
      </w:tblPr>
      <w:tblGrid>
        <w:gridCol w:w="5040"/>
        <w:gridCol w:w="5040"/>
      </w:tblGrid>
      <w:tr>
        <w:trPr>
          <w:tblHeader w:val="true"/>
        </w:trPr>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Situation</w:t>
            </w:r>
          </w:p>
        </w:tc>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Best Ethical Response</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Client already has another provider.</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Clarify roles, obtain authorization as needed, and prevent duplication or conflicting treatment.</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Client needs adjunctive expertise.</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Refer or collaborate based on client needs, competence, access, and continuity.</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Social worker must take leave or close practice.</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Provide timely notice, realistic options, emergency information, and records continuity.</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Treatment is no longer beneficial or needed.</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Discuss progress, prepare for termination, and arrange appropriate follow-up.</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Client is disengaged or misses sessions.</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Assess barriers and clinical meaning before using an abandonment-prone response.</w:t>
            </w:r>
          </w:p>
        </w:tc>
      </w:tr>
    </w:tbl>
    <w:p>
      <w:pPr>
        <w:spacing w:before="60" w:after="100" w:line="240" w:lineRule="auto"/>
      </w:pPr>
      <w:r>
        <w:rPr>
          <w:rFonts w:ascii="Arial" w:hAnsi="Arial" w:eastAsia="Arial"/>
          <w:b/>
          <w:i w:val="0"/>
          <w:color w:val="159A9C"/>
          <w:sz w:val="21"/>
        </w:rPr>
        <w:t>CONTINUITY PLAN</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Discuss: </w:t>
            </w:r>
            <w:r>
              <w:rPr>
                <w:rFonts w:ascii="Arial" w:hAnsi="Arial" w:eastAsia="Arial"/>
                <w:b w:val="0"/>
                <w:i w:val="0"/>
                <w:color w:val="243447"/>
                <w:sz w:val="19"/>
              </w:rPr>
              <w:t>Address the reason for referral, interruption, or termination directly.</w:t>
            </w:r>
          </w:p>
        </w:tc>
        <w:trPr>
          <w:tblHeader/>
        </w:trPr>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Assess risk and dependency: </w:t>
            </w:r>
            <w:r>
              <w:rPr>
                <w:rFonts w:ascii="Arial" w:hAnsi="Arial" w:eastAsia="Arial"/>
                <w:b w:val="0"/>
                <w:i w:val="0"/>
                <w:color w:val="243447"/>
                <w:sz w:val="19"/>
              </w:rPr>
              <w:t>More vulnerable clients may require additional transition support.</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Offer realistic options: </w:t>
            </w:r>
            <w:r>
              <w:rPr>
                <w:rFonts w:ascii="Arial" w:hAnsi="Arial" w:eastAsia="Arial"/>
                <w:b w:val="0"/>
                <w:i w:val="0"/>
                <w:color w:val="243447"/>
                <w:sz w:val="19"/>
              </w:rPr>
              <w:t>Consider insurance, geography, language, specialty, and availability.</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Coordinate with authorization: </w:t>
            </w:r>
            <w:r>
              <w:rPr>
                <w:rFonts w:ascii="Arial" w:hAnsi="Arial" w:eastAsia="Arial"/>
                <w:b w:val="0"/>
                <w:i w:val="0"/>
                <w:color w:val="243447"/>
                <w:sz w:val="19"/>
              </w:rPr>
              <w:t>Share only necessary information.</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Confirm closure: </w:t>
            </w:r>
            <w:r>
              <w:rPr>
                <w:rFonts w:ascii="Arial" w:hAnsi="Arial" w:eastAsia="Arial"/>
                <w:b w:val="0"/>
                <w:i w:val="0"/>
                <w:color w:val="243447"/>
                <w:sz w:val="19"/>
              </w:rPr>
              <w:t>Document notice, outreach, referrals, final status, and unresolved risks.</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FFF7E6"/>
            <w:tcBorders>
              <w:top w:val="single" w:sz="10" w:color="E9B44C"/>
              <w:left w:val="single" w:sz="10" w:color="E9B44C"/>
              <w:bottom w:val="single" w:sz="10" w:color="E9B44C"/>
              <w:right w:val="single" w:sz="10" w:color="E9B44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DO NOT INVENT UNIVERSAL NUMBERS</w:t>
            </w:r>
          </w:p>
          <w:p>
            <w:pPr>
              <w:spacing w:before="0" w:after="0" w:line="259" w:lineRule="auto"/>
            </w:pPr>
            <w:r>
              <w:rPr>
                <w:rFonts w:ascii="Arial" w:hAnsi="Arial" w:eastAsia="Arial"/>
                <w:b w:val="0"/>
                <w:i w:val="0"/>
                <w:color w:val="243447"/>
                <w:sz w:val="20"/>
              </w:rPr>
              <w:t>Ethical adequacy depends on the client’s needs, risk, setting, access, and circumstances. The exam is more likely to reward a reasoned transition plan than a rigid “three referrals” or “two-week notice” rule.</w:t>
            </w:r>
          </w:p>
        </w:tc>
        <w:trPr>
          <w:tblHeader/>
        </w:trPr>
      </w:tr>
    </w:tbl>
    <w:p>
      <w:pPr>
        <w:spacing w:after="20"/>
      </w:pPr>
    </w:p>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2B tasks on other providers, advocacy, interdisciplinary collaboration, referrals, transfers, continuity of care, interruption, discontinuation, and abandonment prevention.</w:t>
      </w:r>
    </w:p>
    <w:p>
      <w:r>
        <w:br w:type="page"/>
      </w:r>
    </w:p>
    <w:p>
      <w:pPr>
        <w:spacing w:before="0" w:after="60" w:line="240" w:lineRule="auto"/>
        <w:keepNext/>
        <w:pBdr>
          <w:bottom w:val="single" w:sz="12" w:space="3" w:color="159A9C"/>
        </w:pBdr>
      </w:pPr>
      <w:r>
        <w:rPr>
          <w:rFonts w:ascii="Arial" w:hAnsi="Arial" w:eastAsia="Arial"/>
          <w:b/>
          <w:i w:val="0"/>
          <w:color w:val="17325C"/>
          <w:sz w:val="36"/>
        </w:rPr>
        <w:t>12. Financial Policies, Barter, Advertising, and Testimonials</w:t>
      </w:r>
    </w:p>
    <w:p>
      <w:pPr>
        <w:spacing w:before="0" w:after="160" w:line="240" w:lineRule="auto"/>
      </w:pPr>
      <w:r>
        <w:rPr>
          <w:rFonts w:ascii="Arial" w:hAnsi="Arial" w:eastAsia="Arial"/>
          <w:b w:val="0"/>
          <w:i/>
          <w:color w:val="657487"/>
          <w:sz w:val="21"/>
        </w:rPr>
        <w:t>Avoid exploitation, hidden terms, and misleading claims</w:t>
      </w: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Area</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Strong Ethical Practice</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Red Flag</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Fees and collections</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Disclose terms, communicate changes, and use proportionate collection practices.</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Surprise fees, public shaming, or leveraging clinical vulnerability.</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Barter or goods/services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Assess clinical meaning, power, value, culture, and exploitation risk.</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Social worker receives substantial personal benefit or ongoing dependency develops.</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Advertising</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Describe qualifications and services accurately.</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Guarantees, exaggerated expertise, fear-based claims, or misleading titles.</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Testimonials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Consider voluntariness, confidentiality, power, and whether solicitation is exploitative.</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Current clients feel pressure to praise the social worker.</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Referral arrangements</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Recommend based on client welfare and competence.</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Financial incentives distort the referral.</w:t>
            </w:r>
          </w:p>
        </w:tc>
      </w:tr>
    </w:tbl>
    <w:p>
      <w:pPr>
        <w:spacing w:before="60" w:after="100" w:line="240" w:lineRule="auto"/>
      </w:pPr>
      <w:r>
        <w:rPr>
          <w:rFonts w:ascii="Arial" w:hAnsi="Arial" w:eastAsia="Arial"/>
          <w:b/>
          <w:i w:val="0"/>
          <w:color w:val="159A9C"/>
          <w:sz w:val="21"/>
        </w:rPr>
        <w:t>FINANCIAL ETHICS TEST</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Disclose: </w:t>
            </w:r>
            <w:r>
              <w:rPr>
                <w:rFonts w:ascii="Arial" w:hAnsi="Arial" w:eastAsia="Arial"/>
                <w:b w:val="0"/>
                <w:i w:val="0"/>
                <w:color w:val="243447"/>
                <w:sz w:val="19"/>
              </w:rPr>
              <w:t>Make material financial and service terms understandable before enforcement.</w:t>
            </w:r>
          </w:p>
        </w:tc>
        <w:trPr>
          <w:tblHeader/>
        </w:trPr>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Assess power: </w:t>
            </w:r>
            <w:r>
              <w:rPr>
                <w:rFonts w:ascii="Arial" w:hAnsi="Arial" w:eastAsia="Arial"/>
                <w:b w:val="0"/>
                <w:i w:val="0"/>
                <w:color w:val="243447"/>
                <w:sz w:val="19"/>
              </w:rPr>
              <w:t>Ask whether the arrangement uses the client’s trust or vulnerability.</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Avoid misleading claims: </w:t>
            </w:r>
            <w:r>
              <w:rPr>
                <w:rFonts w:ascii="Arial" w:hAnsi="Arial" w:eastAsia="Arial"/>
                <w:b w:val="0"/>
                <w:i w:val="0"/>
                <w:color w:val="243447"/>
                <w:sz w:val="19"/>
              </w:rPr>
              <w:t>Do not promise outcomes or imply unsupported superiority.</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Separate care from collection: </w:t>
            </w:r>
            <w:r>
              <w:rPr>
                <w:rFonts w:ascii="Arial" w:hAnsi="Arial" w:eastAsia="Arial"/>
                <w:b w:val="0"/>
                <w:i w:val="0"/>
                <w:color w:val="243447"/>
                <w:sz w:val="19"/>
              </w:rPr>
              <w:t>Financial disputes should not become clinical retaliation.</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Document exceptions: </w:t>
            </w:r>
            <w:r>
              <w:rPr>
                <w:rFonts w:ascii="Arial" w:hAnsi="Arial" w:eastAsia="Arial"/>
                <w:b w:val="0"/>
                <w:i w:val="0"/>
                <w:color w:val="243447"/>
                <w:sz w:val="19"/>
              </w:rPr>
              <w:t>Record the rationale for unusual arrangements such as barter.</w:t>
            </w:r>
          </w:p>
        </w:tc>
      </w:tr>
    </w:tbl>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2C tasks on financial policies, unpaid balances, goods or services as payment, advertising, testimonials, endorsements, and recruitment; related California law remains separately controlling.</w:t>
      </w:r>
    </w:p>
    <w:p>
      <w:r>
        <w:br w:type="page"/>
      </w:r>
    </w:p>
    <w:p>
      <w:pPr>
        <w:spacing w:before="0" w:after="60" w:line="240" w:lineRule="auto"/>
        <w:keepNext/>
        <w:pBdr>
          <w:bottom w:val="single" w:sz="12" w:space="3" w:color="159A9C"/>
        </w:pBdr>
      </w:pPr>
      <w:r>
        <w:rPr>
          <w:rFonts w:ascii="Arial" w:hAnsi="Arial" w:eastAsia="Arial"/>
          <w:b/>
          <w:i w:val="0"/>
          <w:color w:val="17325C"/>
          <w:sz w:val="36"/>
        </w:rPr>
        <w:t>13. Technology, Telehealth, and Electronic Communication</w:t>
      </w:r>
    </w:p>
    <w:p>
      <w:pPr>
        <w:spacing w:before="0" w:after="160" w:line="240" w:lineRule="auto"/>
      </w:pPr>
      <w:r>
        <w:rPr>
          <w:rFonts w:ascii="Arial" w:hAnsi="Arial" w:eastAsia="Arial"/>
          <w:b w:val="0"/>
          <w:i/>
          <w:color w:val="657487"/>
          <w:sz w:val="21"/>
        </w:rPr>
        <w:t>Competence, privacy, boundaries, access, and contingency planning</w:t>
      </w: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Decision Area</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Questions to Ask</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Best Practice</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Platform and tools</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Does the social worker understand the technology, privacy risks, and limitations?</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Use competent, secure, and appropriately configured systems.</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Clinical appropriateness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Is remote care suitable for this client, risk level, location, and treatment need?</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Reassess as circumstances change.</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Text, email, portals</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What response times, emergencies, privacy limits, and documentation rules apply?</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Set clear policies and avoid informal 24/7 expectations.</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Social media</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Could the interaction reveal the relationship or blur roles?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Use a policy that protects confidentiality and boundaries.</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Disruption or crisis</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What happens if the connection fails or the client cannot be reached?</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Maintain a realistic backup and emergency plan.</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Electronic records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How are records stored, accessed, transmitted, and disposed?</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Use safeguards and limit access.</w:t>
            </w:r>
          </w:p>
        </w:tc>
      </w:tr>
    </w:tbl>
    <w:p>
      <w:pPr>
        <w:spacing w:before="60" w:after="100" w:line="240" w:lineRule="auto"/>
      </w:pPr>
      <w:r>
        <w:rPr>
          <w:rFonts w:ascii="Arial" w:hAnsi="Arial" w:eastAsia="Arial"/>
          <w:b/>
          <w:i w:val="0"/>
          <w:color w:val="159A9C"/>
          <w:sz w:val="21"/>
        </w:rPr>
        <w:t>DIGITAL ETHICS MAP</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Explain: </w:t>
            </w:r>
            <w:r>
              <w:rPr>
                <w:rFonts w:ascii="Arial" w:hAnsi="Arial" w:eastAsia="Arial"/>
                <w:b w:val="0"/>
                <w:i w:val="0"/>
                <w:color w:val="243447"/>
                <w:sz w:val="19"/>
              </w:rPr>
              <w:t>Review technology-specific risks and communication policies.</w:t>
            </w:r>
          </w:p>
        </w:tc>
        <w:trPr>
          <w:tblHeader/>
        </w:trPr>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Assess: </w:t>
            </w:r>
            <w:r>
              <w:rPr>
                <w:rFonts w:ascii="Arial" w:hAnsi="Arial" w:eastAsia="Arial"/>
                <w:b w:val="0"/>
                <w:i w:val="0"/>
                <w:color w:val="243447"/>
                <w:sz w:val="19"/>
              </w:rPr>
              <w:t>Confirm clinical fit and emergency readiness.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Secure: </w:t>
            </w:r>
            <w:r>
              <w:rPr>
                <w:rFonts w:ascii="Arial" w:hAnsi="Arial" w:eastAsia="Arial"/>
                <w:b w:val="0"/>
                <w:i w:val="0"/>
                <w:color w:val="243447"/>
                <w:sz w:val="19"/>
              </w:rPr>
              <w:t>Use reasonable privacy and access safeguards.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Boundary: </w:t>
            </w:r>
            <w:r>
              <w:rPr>
                <w:rFonts w:ascii="Arial" w:hAnsi="Arial" w:eastAsia="Arial"/>
                <w:b w:val="0"/>
                <w:i w:val="0"/>
                <w:color w:val="243447"/>
                <w:sz w:val="19"/>
              </w:rPr>
              <w:t>Keep digital communication within the therapeutic role.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Contingency: </w:t>
            </w:r>
            <w:r>
              <w:rPr>
                <w:rFonts w:ascii="Arial" w:hAnsi="Arial" w:eastAsia="Arial"/>
                <w:b w:val="0"/>
                <w:i w:val="0"/>
                <w:color w:val="243447"/>
                <w:sz w:val="19"/>
              </w:rPr>
              <w:t>Plan for outages, emergencies, and transitions.</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FFF7E6"/>
            <w:tcBorders>
              <w:top w:val="single" w:sz="10" w:color="E9B44C"/>
              <w:left w:val="single" w:sz="10" w:color="E9B44C"/>
              <w:bottom w:val="single" w:sz="10" w:color="E9B44C"/>
              <w:right w:val="single" w:sz="10" w:color="E9B44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CURRENT-CODE CAUTION</w:t>
            </w:r>
          </w:p>
          <w:p>
            <w:pPr>
              <w:spacing w:before="0" w:after="0" w:line="259" w:lineRule="auto"/>
            </w:pPr>
            <w:r>
              <w:rPr>
                <w:rFonts w:ascii="Arial" w:hAnsi="Arial" w:eastAsia="Arial"/>
                <w:b w:val="0"/>
                <w:i w:val="0"/>
                <w:color w:val="243447"/>
                <w:sz w:val="20"/>
              </w:rPr>
              <w:t>Technology and artificial-intelligence ethics are evolving. Use the current NASW Code of Ethics, NASW/ASWB technology standards, controlling California law, and current official guidance rather than treating proposed or informal guidance as binding.</w:t>
            </w:r>
          </w:p>
        </w:tc>
        <w:trPr>
          <w:tblHeader/>
        </w:trPr>
      </w:tr>
    </w:tbl>
    <w:p>
      <w:pPr>
        <w:spacing w:after="20"/>
      </w:pPr>
    </w:p>
    <w:p>
      <w:pPr>
        <w:spacing w:before="100" w:after="0" w:line="240" w:lineRule="auto"/>
      </w:pPr>
      <w:r>
        <w:rPr>
          <w:rFonts w:ascii="Arial" w:hAnsi="Arial" w:eastAsia="Arial"/>
          <w:b/>
          <w:i w:val="0"/>
          <w:color w:val="657487"/>
          <w:sz w:val="16"/>
        </w:rPr>
        <w:t>SOURCE ANCHOR: Pearson VUE Ethics Section 2C tasks on technology competence, electronic communication, service delivery, emergencies, disruptions, and electronic information; NASW/ASWB Standards for Technology in Social Work Practice reviewed August 7, 2026.</w:t>
      </w:r>
      <w:r>
        <w:rPr>
          <w:rFonts w:ascii="Arial" w:hAnsi="Arial" w:eastAsia="Arial"/>
          <w:b w:val="0"/>
          <w:i w:val="0"/>
          <w:color w:val="657487"/>
          <w:sz w:val="16"/>
        </w:rPr>
      </w:r>
    </w:p>
    <w:p>
      <w:r>
        <w:br w:type="page"/>
      </w:r>
    </w:p>
    <w:p>
      <w:pPr>
        <w:spacing w:before="0" w:after="60" w:line="240" w:lineRule="auto"/>
        <w:keepNext/>
        <w:pBdr>
          <w:bottom w:val="single" w:sz="12" w:space="3" w:color="159A9C"/>
        </w:pBdr>
      </w:pPr>
      <w:r>
        <w:rPr>
          <w:rFonts w:ascii="Arial" w:hAnsi="Arial" w:eastAsia="Arial"/>
          <w:b/>
          <w:i w:val="0"/>
          <w:color w:val="17325C"/>
          <w:sz w:val="36"/>
        </w:rPr>
        <w:t>14. Professional Roles, Testimony, Research, Colleagues, and Supervision</w:t>
      </w:r>
    </w:p>
    <w:p>
      <w:pPr>
        <w:spacing w:before="0" w:after="160" w:line="240" w:lineRule="auto"/>
      </w:pPr>
      <w:r>
        <w:rPr>
          <w:rFonts w:ascii="Arial" w:hAnsi="Arial" w:eastAsia="Arial"/>
          <w:b w:val="0"/>
          <w:i/>
          <w:color w:val="657487"/>
          <w:sz w:val="21"/>
        </w:rPr>
        <w:t>Integrity extends beyond the therapy room</w:t>
      </w:r>
    </w:p>
    <w:tbl>
      <w:tblPr>
        <w:tblW w:type="dxa" w:w="10080"/>
        <w:jc w:val="center"/>
        <w:tblLayout w:type="fixed"/>
        <w:tblLook w:firstColumn="1" w:firstRow="1" w:lastColumn="0" w:lastRow="0" w:noHBand="0" w:noVBand="1" w:val="04A0"/>
        <w:tblInd w:type="dxa" w:w="0"/>
      </w:tblPr>
      <w:tblGrid>
        <w:gridCol w:w="5040"/>
        <w:gridCol w:w="5040"/>
      </w:tblGrid>
      <w:tr>
        <w:trPr>
          <w:tblHeader w:val="true"/>
        </w:trPr>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Context</w:t>
            </w:r>
          </w:p>
        </w:tc>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Ethical Decision Guide</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Evaluation, testimony, or expert role</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Clarify the role, purpose, limits of confidentiality, methods, and recipients of information.</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Research or program evaluation</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Protect consent, voluntariness, privacy, withdrawal rights, and accurate reporting.</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Concern about colleague conduct</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Assess credibility and risk, consult, protect clients, and follow applicable reporting duties.</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Supervision of associates or trainees</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Provide adequate oversight, feedback, documentation, competence development, and gatekeeping.</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Conflict between loyalty and public/client protection</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Client welfare and professional accountability outweigh collegial avoidance.</w:t>
            </w:r>
          </w:p>
        </w:tc>
      </w:tr>
    </w:tbl>
    <w:p>
      <w:pPr>
        <w:spacing w:before="60" w:after="100" w:line="240" w:lineRule="auto"/>
      </w:pPr>
      <w:r>
        <w:rPr>
          <w:rFonts w:ascii="Arial" w:hAnsi="Arial" w:eastAsia="Arial"/>
          <w:b/>
          <w:i w:val="0"/>
          <w:color w:val="159A9C"/>
          <w:sz w:val="21"/>
        </w:rPr>
        <w:t>PROFESSIONAL ACCOUNTABILITY</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Clarify role and authority: </w:t>
            </w:r>
            <w:r>
              <w:rPr>
                <w:rFonts w:ascii="Arial" w:hAnsi="Arial" w:eastAsia="Arial"/>
                <w:b w:val="0"/>
                <w:i w:val="0"/>
                <w:color w:val="243447"/>
                <w:sz w:val="19"/>
              </w:rPr>
              <w:t>Do not imply a therapeutic relationship when acting in another capacity.</w:t>
            </w:r>
          </w:p>
        </w:tc>
        <w:trPr>
          <w:tblHeader/>
        </w:trPr>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Use appropriate methods: </w:t>
            </w:r>
            <w:r>
              <w:rPr>
                <w:rFonts w:ascii="Arial" w:hAnsi="Arial" w:eastAsia="Arial"/>
                <w:b w:val="0"/>
                <w:i w:val="0"/>
                <w:color w:val="243447"/>
                <w:sz w:val="19"/>
              </w:rPr>
              <w:t>Base opinions and evaluations on sufficient information and professional standards.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Protect affected persons: </w:t>
            </w:r>
            <w:r>
              <w:rPr>
                <w:rFonts w:ascii="Arial" w:hAnsi="Arial" w:eastAsia="Arial"/>
                <w:b w:val="0"/>
                <w:i w:val="0"/>
                <w:color w:val="243447"/>
                <w:sz w:val="19"/>
              </w:rPr>
              <w:t>Respond proportionately to misconduct or inadequate practice.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Consult and document: </w:t>
            </w:r>
            <w:r>
              <w:rPr>
                <w:rFonts w:ascii="Arial" w:hAnsi="Arial" w:eastAsia="Arial"/>
                <w:b w:val="0"/>
                <w:i w:val="0"/>
                <w:color w:val="243447"/>
                <w:sz w:val="19"/>
              </w:rPr>
              <w:t>Complex professional-accountability issues require careful records.</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Escalate when required: </w:t>
            </w:r>
            <w:r>
              <w:rPr>
                <w:rFonts w:ascii="Arial" w:hAnsi="Arial" w:eastAsia="Arial"/>
                <w:b w:val="0"/>
                <w:i w:val="0"/>
                <w:color w:val="243447"/>
                <w:sz w:val="19"/>
              </w:rPr>
              <w:t>Use formal reporting or gatekeeping processes when informal correction is insufficient or unsafe.</w:t>
            </w:r>
          </w:p>
        </w:tc>
      </w:tr>
    </w:tbl>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Pearson VUE Ethics Section 2C tasks on records, professional roles, testimony, opinions, evaluations, research, colleague misconduct, and supervisor/prelicensee relationships.</w:t>
      </w:r>
    </w:p>
    <w:p>
      <w:r>
        <w:br w:type="page"/>
      </w:r>
    </w:p>
    <w:p>
      <w:pPr>
        <w:spacing w:before="0" w:after="60" w:line="240" w:lineRule="auto"/>
        <w:keepNext/>
        <w:pBdr>
          <w:bottom w:val="single" w:sz="12" w:space="3" w:color="159A9C"/>
        </w:pBdr>
      </w:pPr>
      <w:r>
        <w:rPr>
          <w:rFonts w:ascii="Arial" w:hAnsi="Arial" w:eastAsia="Arial"/>
          <w:b/>
          <w:i w:val="0"/>
          <w:color w:val="17325C"/>
          <w:sz w:val="36"/>
        </w:rPr>
        <w:t>15. Law vs. Ethics Sorting Map</w:t>
      </w:r>
    </w:p>
    <w:p>
      <w:pPr>
        <w:spacing w:before="0" w:after="160" w:line="240" w:lineRule="auto"/>
      </w:pPr>
      <w:r>
        <w:rPr>
          <w:rFonts w:ascii="Arial" w:hAnsi="Arial" w:eastAsia="Arial"/>
          <w:b w:val="0"/>
          <w:i/>
          <w:color w:val="657487"/>
          <w:sz w:val="21"/>
        </w:rPr>
        <w:t>Determine what the question is actually asking</w:t>
      </w: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Prompt Language</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Question Type</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How to Answer</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“Legally required,” “must,” “mandated,” “permitted”</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Law</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Identify the statute, regulation, privilege rule, or required procedure.</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“Most ethical,” “best protects,” “professional responsibility”</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Ethics</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Choose the option that best protects welfare, autonomy, integrity, and continuity.</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“First” or “initial”</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Sequence</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Select the necessary assessment, clarification, or protective step before later actions.</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“Next”</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Implementation</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Assume the prior step occurred and choose the next proportional action.</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“Best” or “most appropriate”</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Comparative judgment</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All options may be possible; choose the one that is most complete and least harmful.</w:t>
            </w:r>
          </w:p>
        </w:tc>
      </w:tr>
    </w:tbl>
    <w:tbl>
      <w:tblPr>
        <w:tblW w:type="dxa" w:w="10080"/>
        <w:jc w:val="center"/>
        <w:tblLayout w:type="fixed"/>
        <w:tblLook w:firstColumn="1" w:firstRow="1" w:lastColumn="0" w:lastRow="0" w:noHBand="0" w:noVBand="1" w:val="04A0"/>
        <w:tblInd w:type="dxa" w:w="0"/>
      </w:tblPr>
      <w:tblGrid>
        <w:gridCol w:w="5040"/>
        <w:gridCol w:w="5040"/>
      </w:tblGrid>
      <w:tr>
        <w:trPr>
          <w:tblHeader w:val="true"/>
        </w:trPr>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Law May Establish</w:t>
            </w:r>
          </w:p>
        </w:tc>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Ethics Often Adds</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Minimum required disclosure or procedure.</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Clear explanation, collaboration, and harm minimization.</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Permission to disclose.</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Minimum necessary disclosure and discussion when appropriate.</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Authority to act.</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Least restrictive and clinically proportionate implementation.</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A prohibited act.</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Boundary repair, consultation, continuity, and accountability.</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EXAM REMINDER</w:t>
            </w:r>
          </w:p>
          <w:p>
            <w:pPr>
              <w:spacing w:before="0" w:after="0" w:line="259" w:lineRule="auto"/>
            </w:pPr>
            <w:r>
              <w:rPr>
                <w:rFonts w:ascii="Arial" w:hAnsi="Arial" w:eastAsia="Arial"/>
                <w:b w:val="0"/>
                <w:i w:val="0"/>
                <w:color w:val="243447"/>
                <w:sz w:val="20"/>
              </w:rPr>
              <w:t>Do not replace a legal rule with a preferred ethical action, and do not stop at the legal minimum when the stem explicitly asks for the most ethical response.</w:t>
            </w:r>
          </w:p>
        </w:tc>
        <w:trPr>
          <w:tblHeader/>
        </w:trPr>
      </w:tr>
    </w:tbl>
    <w:p>
      <w:pPr>
        <w:spacing w:after="20"/>
      </w:pPr>
    </w:p>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CTA Law vs. Ethics study framework, Pearson VUE law and ethics domain structure, and CTA Curriculum Standards v3.1.</w:t>
      </w:r>
    </w:p>
    <w:p>
      <w:r>
        <w:br w:type="page"/>
      </w:r>
    </w:p>
    <w:p>
      <w:pPr>
        <w:spacing w:before="0" w:after="60" w:line="240" w:lineRule="auto"/>
        <w:keepNext/>
        <w:pBdr>
          <w:bottom w:val="single" w:sz="12" w:space="3" w:color="159A9C"/>
        </w:pBdr>
      </w:pPr>
      <w:r>
        <w:rPr>
          <w:rFonts w:ascii="Arial" w:hAnsi="Arial" w:eastAsia="Arial"/>
          <w:b/>
          <w:i w:val="0"/>
          <w:color w:val="17325C"/>
          <w:sz w:val="36"/>
        </w:rPr>
        <w:t>16. Applied Ethics Reasoning Worksheet</w:t>
      </w:r>
    </w:p>
    <w:p>
      <w:pPr>
        <w:spacing w:before="0" w:after="160" w:line="240" w:lineRule="auto"/>
      </w:pPr>
      <w:r>
        <w:rPr>
          <w:rFonts w:ascii="Arial" w:hAnsi="Arial" w:eastAsia="Arial"/>
          <w:b w:val="0"/>
          <w:i/>
          <w:color w:val="657487"/>
          <w:sz w:val="21"/>
        </w:rPr>
        <w:t>Turn every difficult question into a reusable decision skill</w:t>
      </w:r>
    </w:p>
    <w:tbl>
      <w:tblPr>
        <w:tblW w:type="dxa" w:w="10080"/>
        <w:jc w:val="center"/>
        <w:tblLayout w:type="fixed"/>
        <w:tblLook w:firstColumn="1" w:firstRow="1" w:lastColumn="0" w:lastRow="0" w:noHBand="0" w:noVBand="1" w:val="04A0"/>
        <w:tblInd w:type="dxa" w:w="0"/>
      </w:tblPr>
      <w:tblGrid>
        <w:gridCol w:w="5040"/>
        <w:gridCol w:w="5040"/>
      </w:tblGrid>
      <w:tr>
        <w:trPr>
          <w:tblHeader w:val="true"/>
        </w:trPr>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Analysis Step</w:t>
            </w:r>
          </w:p>
        </w:tc>
        <w:tc>
          <w:tcPr>
            <w:tcW w:type="dxa" w:w="5040"/>
            <w:shd w:fill="17325C"/>
            <w:tcMar>
              <w:top w:w="90" w:type="dxa"/>
              <w:start w:w="110" w:type="dxa"/>
              <w:bottom w:w="90" w:type="dxa"/>
              <w:end w:w="110" w:type="dxa"/>
            </w:tcMar>
          </w:tcPr>
          <w:p>
            <w:pPr>
              <w:jc w:val="center"/>
            </w:pPr>
            <w:r>
              <w:rPr>
                <w:rFonts w:ascii="Arial" w:hAnsi="Arial" w:eastAsia="Arial"/>
                <w:b/>
                <w:i w:val="0"/>
                <w:color w:val="FFFFFF"/>
                <w:sz w:val="20"/>
              </w:rPr>
              <w:t>My Notes</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1. Primary ethical issue</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____________________________________________________________</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2. Client/treatment unit</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____________________________________________________________</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3. Immediate risk or harm</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____________________________________________________________</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4. Missing facts to clarify</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____________________________________________________________</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5. Client rights/autonomy</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____________________________________________________________</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6. Social worker duties/limits</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____________________________________________________________</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7. Least intrusive effective response</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____________________________________________________________</w:t>
            </w:r>
          </w:p>
        </w:tc>
      </w:tr>
      <w:tr>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8. Consultation/referral/transition needed</w:t>
            </w:r>
          </w:p>
        </w:tc>
        <w:tc>
          <w:tcPr>
            <w:tcW w:type="dxa" w:w="5040"/>
            <w:shd w:fill="F3F5F7"/>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____________________________________________________________</w:t>
            </w:r>
          </w:p>
        </w:tc>
      </w:tr>
      <w:tr>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9. Documentation and follow-through</w:t>
            </w:r>
          </w:p>
        </w:tc>
        <w:tc>
          <w:tcPr>
            <w:tcW w:type="dxa" w:w="5040"/>
            <w:shd w:fill="FFFFFF"/>
            <w:tcMar>
              <w:top w:w="95" w:type="dxa"/>
              <w:start w:w="110" w:type="dxa"/>
              <w:bottom w:w="95" w:type="dxa"/>
              <w:end w:w="110" w:type="dxa"/>
            </w:tcMar>
            <w:tcBorders>
              <w:top w:val="single" w:sz="4" w:color="C9D2DC"/>
              <w:left w:val="single" w:sz="4" w:color="C9D2DC"/>
              <w:bottom w:val="single" w:sz="4" w:color="C9D2DC"/>
              <w:right w:val="single" w:sz="4" w:color="C9D2DC"/>
            </w:tcBorders>
          </w:tcPr>
          <w:p>
            <w:pPr>
              <w:spacing w:before="0" w:after="0" w:line="252" w:lineRule="auto"/>
            </w:pPr>
            <w:r>
              <w:rPr>
                <w:rFonts w:ascii="Arial" w:hAnsi="Arial" w:eastAsia="Arial"/>
                <w:b w:val="0"/>
                <w:i w:val="0"/>
                <w:color w:val="243447"/>
                <w:sz w:val="19"/>
              </w:rPr>
              <w:t>____________________________________________________________</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8F6F6"/>
            <w:tcBorders>
              <w:top w:val="single" w:sz="10" w:color="159A9C"/>
              <w:left w:val="single" w:sz="10" w:color="159A9C"/>
              <w:bottom w:val="single" w:sz="10" w:color="159A9C"/>
              <w:right w:val="single" w:sz="10" w:color="159A9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FINAL DECISION SENTENCE</w:t>
            </w:r>
          </w:p>
          <w:p>
            <w:pPr>
              <w:spacing w:before="0" w:after="0" w:line="259" w:lineRule="auto"/>
            </w:pPr>
            <w:r>
              <w:rPr>
                <w:rFonts w:ascii="Arial" w:hAnsi="Arial" w:eastAsia="Arial"/>
                <w:b w:val="0"/>
                <w:i w:val="0"/>
                <w:color w:val="243447"/>
                <w:sz w:val="20"/>
              </w:rPr>
              <w:t>“The most ethical response is to ______ first, because ______. The social worker should then ______ while protecting ______ and preserving ______.”</w:t>
            </w:r>
          </w:p>
        </w:tc>
        <w:trPr>
          <w:tblHeader/>
        </w:trPr>
      </w:tr>
    </w:tbl>
    <w:p>
      <w:pPr>
        <w:spacing w:after="20"/>
      </w:pPr>
    </w:p>
    <w:p>
      <w:pPr>
        <w:spacing w:before="100" w:after="0" w:line="240" w:lineRule="auto"/>
      </w:pPr>
      <w:r>
        <w:rPr>
          <w:rFonts w:ascii="Arial" w:hAnsi="Arial" w:eastAsia="Arial"/>
          <w:b/>
          <w:i w:val="0"/>
          <w:color w:val="657487"/>
          <w:sz w:val="16"/>
        </w:rPr>
        <w:t xml:space="preserve">SOURCE ANCHOR: </w:t>
      </w:r>
      <w:r>
        <w:rPr>
          <w:rFonts w:ascii="Arial" w:hAnsi="Arial" w:eastAsia="Arial"/>
          <w:b w:val="0"/>
          <w:i w:val="0"/>
          <w:color w:val="657487"/>
          <w:sz w:val="16"/>
        </w:rPr>
        <w:t>CTA Exam Strategy and applied ethical-reasoning framework.</w:t>
      </w:r>
    </w:p>
    <w:p>
      <w:r>
        <w:br w:type="page"/>
      </w:r>
    </w:p>
    <w:p>
      <w:pPr>
        <w:spacing w:before="0" w:after="60" w:line="240" w:lineRule="auto"/>
        <w:keepNext/>
        <w:pBdr>
          <w:bottom w:val="single" w:sz="12" w:space="3" w:color="159A9C"/>
        </w:pBdr>
      </w:pPr>
      <w:r>
        <w:rPr>
          <w:rFonts w:ascii="Arial" w:hAnsi="Arial" w:eastAsia="Arial"/>
          <w:b/>
          <w:i w:val="0"/>
          <w:color w:val="17325C"/>
          <w:sz w:val="36"/>
        </w:rPr>
        <w:t>17. Error Repair and Final Review</w:t>
      </w:r>
    </w:p>
    <w:p>
      <w:pPr>
        <w:spacing w:before="0" w:after="160" w:line="240" w:lineRule="auto"/>
      </w:pPr>
      <w:r>
        <w:rPr>
          <w:rFonts w:ascii="Arial" w:hAnsi="Arial" w:eastAsia="Arial"/>
          <w:b w:val="0"/>
          <w:i/>
          <w:color w:val="657487"/>
          <w:sz w:val="21"/>
        </w:rPr>
        <w:t>Use missed questions to improve ethical judgment rather than memorize answer letters</w:t>
      </w:r>
    </w:p>
    <w:tbl>
      <w:tblPr>
        <w:tblW w:type="dxa" w:w="10080"/>
        <w:jc w:val="center"/>
        <w:tblLayout w:type="fixed"/>
        <w:tblLook w:firstColumn="1" w:firstRow="1" w:lastColumn="0" w:lastRow="0" w:noHBand="0" w:noVBand="1" w:val="04A0"/>
        <w:tblInd w:type="dxa" w:w="0"/>
      </w:tblPr>
      <w:tblGrid>
        <w:gridCol w:w="3360"/>
        <w:gridCol w:w="3360"/>
        <w:gridCol w:w="3360"/>
      </w:tblGrid>
      <w:tr>
        <w:trPr>
          <w:tblHeader w:val="true"/>
        </w:trPr>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Code</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What Happened</w:t>
            </w:r>
          </w:p>
        </w:tc>
        <w:tc>
          <w:tcPr>
            <w:tcW w:type="dxa" w:w="3360"/>
            <w:shd w:fill="17325C"/>
            <w:tcMar>
              <w:top w:w="90" w:type="dxa"/>
              <w:start w:w="110" w:type="dxa"/>
              <w:bottom w:w="90" w:type="dxa"/>
              <w:end w:w="110" w:type="dxa"/>
            </w:tcMar>
          </w:tcPr>
          <w:p>
            <w:pPr>
              <w:jc w:val="center"/>
            </w:pPr>
            <w:r>
              <w:rPr>
                <w:rFonts w:ascii="Arial" w:hAnsi="Arial" w:eastAsia="Arial"/>
                <w:b/>
                <w:i w:val="0"/>
                <w:color w:val="FFFFFF"/>
                <w:sz w:val="19"/>
              </w:rPr>
              <w:t>Repair</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E1</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Missed the ethical issue</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Name the controlling tension before reading options.</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E2</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Chose social worker convenience</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Re-center client welfare and autonomy.</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E3</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Acted too quickly</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Identify the first missing assessment or clarification.</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E4</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Used an absolute rule</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Look for context, proportionality, and exceptions.</w:t>
            </w:r>
          </w:p>
        </w:tc>
      </w:tr>
      <w:tr>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E5</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Ignored role/conflict</w:t>
            </w:r>
          </w:p>
        </w:tc>
        <w:tc>
          <w:tcPr>
            <w:tcW w:type="dxa" w:w="3360"/>
            <w:shd w:fill="FFFFFF"/>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Clarify roles, loyalties, and confidentiality.</w:t>
            </w:r>
          </w:p>
        </w:tc>
      </w:tr>
      <w:tr>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E6</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Forgot continuity</w:t>
            </w:r>
          </w:p>
        </w:tc>
        <w:tc>
          <w:tcPr>
            <w:tcW w:type="dxa" w:w="3360"/>
            <w:shd w:fill="F3F5F7"/>
            <w:tcMar>
              <w:top w:w="90" w:type="dxa"/>
              <w:start w:w="105" w:type="dxa"/>
              <w:bottom w:w="90" w:type="dxa"/>
              <w:end w:w="105" w:type="dxa"/>
            </w:tcMar>
            <w:tcBorders>
              <w:top w:val="single" w:sz="4" w:color="C9D2DC"/>
              <w:left w:val="single" w:sz="4" w:color="C9D2DC"/>
              <w:bottom w:val="single" w:sz="4" w:color="C9D2DC"/>
              <w:right w:val="single" w:sz="4" w:color="C9D2DC"/>
            </w:tcBorders>
          </w:tcPr>
          <w:p>
            <w:pPr>
              <w:spacing w:before="0" w:after="0" w:line="245" w:lineRule="auto"/>
            </w:pPr>
            <w:r>
              <w:rPr>
                <w:rFonts w:ascii="Arial" w:hAnsi="Arial" w:eastAsia="Arial"/>
                <w:b w:val="0"/>
                <w:i w:val="0"/>
                <w:color w:val="243447"/>
                <w:sz w:val="18"/>
              </w:rPr>
              <w:t>Add transition, referral, follow-up, or repair.</w:t>
            </w:r>
          </w:p>
        </w:tc>
      </w:tr>
    </w:tbl>
    <w:p>
      <w:pPr>
        <w:spacing w:before="60" w:after="100" w:line="240" w:lineRule="auto"/>
      </w:pPr>
      <w:r>
        <w:rPr>
          <w:rFonts w:ascii="Arial" w:hAnsi="Arial" w:eastAsia="Arial"/>
          <w:b/>
          <w:i w:val="0"/>
          <w:color w:val="159A9C"/>
          <w:sz w:val="21"/>
        </w:rPr>
        <w:t>FIVE-STEP REPAIR</w:t>
      </w:r>
    </w:p>
    <w:tbl>
      <w:tblPr>
        <w:tblW w:type="dxa" w:w="10080"/>
        <w:jc w:val="center"/>
        <w:tblLayout w:type="fixed"/>
        <w:tblLook w:firstColumn="1" w:firstRow="1" w:lastColumn="0" w:lastRow="0" w:noHBand="0" w:noVBand="1" w:val="04A0"/>
        <w:tblInd w:type="dxa" w:w="0"/>
      </w:tblPr>
      <w:tblGrid>
        <w:gridCol w:w="5040"/>
        <w:gridCol w:w="5040"/>
      </w:tblGrid>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1</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Reconstruct: </w:t>
            </w:r>
            <w:r>
              <w:rPr>
                <w:rFonts w:ascii="Arial" w:hAnsi="Arial" w:eastAsia="Arial"/>
                <w:b w:val="0"/>
                <w:i w:val="0"/>
                <w:color w:val="243447"/>
                <w:sz w:val="19"/>
              </w:rPr>
              <w:t>State the ethical issue and the client-protection goal in one sentence.</w:t>
            </w:r>
          </w:p>
        </w:tc>
        <w:trPr>
          <w:tblHeader/>
        </w:trPr>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2</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Locate the clue: </w:t>
            </w:r>
            <w:r>
              <w:rPr>
                <w:rFonts w:ascii="Arial" w:hAnsi="Arial" w:eastAsia="Arial"/>
                <w:b w:val="0"/>
                <w:i w:val="0"/>
                <w:color w:val="243447"/>
                <w:sz w:val="19"/>
              </w:rPr>
              <w:t>Identify the qualifier or fact that controlled the answer.</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3</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Name the distractor: Explain why the tempting option was premature, excessive, incomplete, or social worker-centered.</w:t>
            </w:r>
            <w:r>
              <w:rPr>
                <w:rFonts w:ascii="Arial" w:hAnsi="Arial" w:eastAsia="Arial"/>
                <w:b w:val="0"/>
                <w:i w:val="0"/>
                <w:color w:val="243447"/>
                <w:sz w:val="19"/>
              </w:rPr>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4</w:t>
            </w:r>
          </w:p>
        </w:tc>
        <w:tc>
          <w:tcPr>
            <w:tcW w:type="dxa" w:w="5040"/>
            <w:shd w:fill="F3F5F7"/>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Write the repair rule: </w:t>
            </w:r>
            <w:r>
              <w:rPr>
                <w:rFonts w:ascii="Arial" w:hAnsi="Arial" w:eastAsia="Arial"/>
                <w:b w:val="0"/>
                <w:i w:val="0"/>
                <w:color w:val="243447"/>
                <w:sz w:val="19"/>
              </w:rPr>
              <w:t>Create a short rule that can transfer to a new vignette.</w:t>
            </w:r>
          </w:p>
        </w:tc>
      </w:tr>
      <w:tr>
        <w:tc>
          <w:tcPr>
            <w:tcW w:type="dxa" w:w="5040"/>
            <w:shd w:fill="17325C"/>
            <w:tcMar>
              <w:top w:w="80" w:type="dxa"/>
              <w:start w:w="100" w:type="dxa"/>
              <w:bottom w:w="80" w:type="dxa"/>
              <w:end w:w="100" w:type="dxa"/>
            </w:tcMar>
            <w:tcBorders>
              <w:top w:val="single" w:sz="4" w:color="C9D2DC"/>
              <w:left w:val="single" w:sz="4" w:color="C9D2DC"/>
              <w:bottom w:val="single" w:sz="4" w:color="C9D2DC"/>
              <w:right w:val="single" w:sz="4" w:color="C9D2DC"/>
            </w:tcBorders>
          </w:tcPr>
          <w:p>
            <w:pPr>
              <w:jc w:val="center"/>
            </w:pPr>
            <w:r>
              <w:rPr>
                <w:rFonts w:ascii="Arial" w:hAnsi="Arial" w:eastAsia="Arial"/>
                <w:b/>
                <w:i w:val="0"/>
                <w:color w:val="FFFFFF"/>
                <w:sz w:val="22"/>
              </w:rPr>
              <w:t>5</w:t>
            </w:r>
          </w:p>
        </w:tc>
        <w:tc>
          <w:tcPr>
            <w:tcW w:type="dxa" w:w="5040"/>
            <w:shd w:fill="FFFFFF"/>
            <w:tcMar>
              <w:top w:w="80" w:type="dxa"/>
              <w:start w:w="100" w:type="dxa"/>
              <w:bottom w:w="80" w:type="dxa"/>
              <w:end w:w="100" w:type="dxa"/>
            </w:tcMar>
            <w:tcBorders>
              <w:top w:val="single" w:sz="4" w:color="C9D2DC"/>
              <w:left w:val="single" w:sz="4" w:color="C9D2DC"/>
              <w:bottom w:val="single" w:sz="4" w:color="C9D2DC"/>
              <w:right w:val="single" w:sz="4" w:color="C9D2DC"/>
            </w:tcBorders>
          </w:tcPr>
          <w:p>
            <w:pPr>
              <w:spacing w:before="0" w:after="0" w:line="250" w:lineRule="auto"/>
            </w:pPr>
            <w:r>
              <w:rPr>
                <w:rFonts w:ascii="Arial" w:hAnsi="Arial" w:eastAsia="Arial"/>
                <w:b/>
                <w:i w:val="0"/>
                <w:color w:val="17325C"/>
                <w:sz w:val="19"/>
              </w:rPr>
              <w:t xml:space="preserve">Revisit: </w:t>
            </w:r>
            <w:r>
              <w:rPr>
                <w:rFonts w:ascii="Arial" w:hAnsi="Arial" w:eastAsia="Arial"/>
                <w:b w:val="0"/>
                <w:i w:val="0"/>
                <w:color w:val="243447"/>
                <w:sz w:val="19"/>
              </w:rPr>
              <w:t>Answer a different question on the same concept after a delay.</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8F6F6"/>
            <w:tcBorders>
              <w:top w:val="single" w:sz="10" w:color="159A9C"/>
              <w:left w:val="single" w:sz="10" w:color="159A9C"/>
              <w:bottom w:val="single" w:sz="10" w:color="159A9C"/>
              <w:right w:val="single" w:sz="10" w:color="159A9C"/>
            </w:tcBorders>
            <w:tcMar>
              <w:top w:w="110" w:type="dxa"/>
              <w:start w:w="140" w:type="dxa"/>
              <w:bottom w:w="110" w:type="dxa"/>
              <w:end w:w="140" w:type="dxa"/>
            </w:tcMar>
          </w:tcPr>
          <w:p>
            <w:pPr>
              <w:spacing w:before="0" w:after="60" w:line="252" w:lineRule="auto"/>
            </w:pPr>
            <w:r>
              <w:rPr>
                <w:rFonts w:ascii="Arial" w:hAnsi="Arial" w:eastAsia="Arial"/>
                <w:b/>
                <w:i w:val="0"/>
                <w:color w:val="17325C"/>
                <w:sz w:val="21"/>
              </w:rPr>
              <w:t>FINAL REVIEW CHECKLIST</w:t>
            </w:r>
          </w:p>
          <w:p>
            <w:pPr>
              <w:spacing w:before="0" w:after="0" w:line="259" w:lineRule="auto"/>
            </w:pPr>
            <w:r>
              <w:rPr>
                <w:rFonts w:ascii="Arial" w:hAnsi="Arial" w:eastAsia="Arial"/>
                <w:b w:val="0"/>
                <w:i w:val="0"/>
                <w:color w:val="243447"/>
                <w:sz w:val="20"/>
              </w:rPr>
              <w:t>Before selecting an answer, confirm that it protects the client, respects autonomy, addresses the actual ethical issue, uses a proportionate first step, clarifies roles and confidentiality, and includes consultation or continuity when needed.</w:t>
            </w:r>
          </w:p>
        </w:tc>
        <w:trPr>
          <w:tblHeader/>
        </w:trPr>
      </w:tr>
    </w:tbl>
    <w:p>
      <w:pPr>
        <w:spacing w:after="20"/>
      </w:pPr>
    </w:p>
    <w:p>
      <w:pPr>
        <w:spacing w:before="100" w:after="0" w:line="240" w:lineRule="auto"/>
      </w:pPr>
      <w:r>
        <w:rPr>
          <w:rFonts w:ascii="Arial" w:hAnsi="Arial" w:eastAsia="Arial"/>
          <w:b/>
          <w:i w:val="0"/>
          <w:color w:val="657487"/>
          <w:sz w:val="16"/>
        </w:rPr>
        <w:t>SOURCE ANCHOR: CTA remediation and performance-analysis framework; Pearson VUE LCSW Ethics blueprint.</w:t>
      </w:r>
      <w:r>
        <w:rPr>
          <w:rFonts w:ascii="Arial" w:hAnsi="Arial" w:eastAsia="Arial"/>
          <w:b w:val="0"/>
          <w:i w:val="0"/>
          <w:color w:val="657487"/>
          <w:sz w:val="16"/>
        </w:rPr>
      </w:r>
    </w:p>
    <w:p>
      <w:pPr>
        <w:spacing w:before="80" w:after="20" w:line="240" w:lineRule="auto"/>
      </w:pPr>
      <w:r>
        <w:rPr>
          <w:rFonts w:ascii="Arial" w:hAnsi="Arial" w:eastAsia="Arial"/>
          <w:b/>
          <w:i w:val="0"/>
          <w:color w:val="17325C"/>
          <w:sz w:val="19"/>
        </w:rPr>
        <w:t>Primary Sources Reviewed</w:t>
      </w:r>
    </w:p>
    <w:p>
      <w:pPr>
        <w:spacing w:before="0" w:after="0" w:line="240" w:lineRule="auto"/>
      </w:pPr>
      <w:r>
        <w:rPr>
          <w:rFonts w:ascii="Arial" w:hAnsi="Arial" w:eastAsia="Arial"/>
          <w:b w:val="0"/>
          <w:i w:val="0"/>
          <w:color w:val="657487"/>
          <w:sz w:val="15"/>
        </w:rPr>
        <w:t>Pearson VUE Licensed Clinical Social Worker Law and Ethics Examination Outline (effective January 2024; listed as current August 2026); California BBS examination and statutes/regulations resources; NASW Code of Ethics (2021 update); NASW/ASWB Standards for Technology in Social Work Practice; CTA Law &amp; Ethics Curriculum Standards v3.1.</w:t>
      </w:r>
    </w:p>
    <w:sectPr w:rsidR="00FC693F" w:rsidRPr="0006063C" w:rsidSect="00034616">
      <w:headerReference w:type="default" r:id="rId9"/>
      <w:footerReference w:type="default" r:id="rId10"/>
      <w:headerReference w:type="first" r:id="rId11"/>
      <w:footerReference w:type="first" r:id="rId12"/>
      <w:pgSz w:w="12240" w:h="15840"/>
      <w:pgMar w:top="648" w:right="936" w:bottom="792" w:left="936" w:header="21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7"/>
        <w:color w:val="657487"/>
      </w:rPr>
      <w:t>CTA LCSW Ethics Decision Guides | Version 1.0 | August 2026 | Page</w:t>
    </w:r>
    <w:r>
      <w:rPr>
        <w:rFonts w:ascii="Arial" w:hAnsi="Arial"/>
        <w:color w:val="657487"/>
        <w:sz w:val="17"/>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4" w:space="2" w:color="159A9C"/>
      </w:pBdr>
    </w:pPr>
    <w:r>
      <w:drawing>
        <wp:inline xmlns:a="http://schemas.openxmlformats.org/drawingml/2006/main" xmlns:pic="http://schemas.openxmlformats.org/drawingml/2006/picture">
          <wp:extent cx="2011680" cy="1383695"/>
          <wp:docPr id="1" name="Picture 1" descr="Image: item1.xml"/>
          <wp:cNvGraphicFramePr>
            <a:graphicFrameLocks noChangeAspect="1"/>
          </wp:cNvGraphicFramePr>
          <a:graphic>
            <a:graphicData uri="http://schemas.openxmlformats.org/drawingml/2006/picture">
              <pic:pic>
                <pic:nvPicPr>
                  <pic:cNvPr id="0" name="Primary Horizontal Logo.png"/>
                  <pic:cNvPicPr/>
                </pic:nvPicPr>
                <pic:blipFill>
                  <a:blip r:embed="rId1"/>
                  <a:stretch>
                    <a:fillRect/>
                  </a:stretch>
                </pic:blipFill>
                <pic:spPr>
                  <a:xfrm>
                    <a:off x="0" y="0"/>
                    <a:ext cx="2011680" cy="1383695"/>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2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59A9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732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2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rial" w:hAnsi="Arial" w:eastAsia="Arial"/>
      <w:color w:val="65748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High-Yield California Ethics Decision Guides Toolkit v1.0</dc:title>
  <dc:subject>LCSW/ASW California Law &amp; Ethics Exam Preparation</dc:subject>
  <dc:creator>Clinical Training and Supervision Academy</dc:creator>
  <cp:keywords>LCSW, ASW, California Law and Ethics, exam preparation, CTA-EP-002</cp:keywords>
  <dc:description>Stage 5C2 LCSW/ASW learner toolkit regeneration; exam preparation only; no CE credit.</dc:description>
  <cp:lastModifiedBy/>
  <cp:revision>1</cp:revision>
  <dcterms:created xsi:type="dcterms:W3CDTF">2013-12-23T23:15:00Z</dcterms:created>
  <dcterms:modified xsi:type="dcterms:W3CDTF">2013-12-23T23:15:00Z</dcterms:modified>
  <cp:category/>
</cp:coreProperties>
</file>