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widowControl w:val="1"/>
      </w:pPr>
      <w:r>
        <w:drawing>
          <wp:inline xmlns:a="http://schemas.openxmlformats.org/drawingml/2006/main" xmlns:pic="http://schemas.openxmlformats.org/drawingml/2006/picture">
            <wp:extent cx="4937760" cy="3396343"/>
            <wp:docPr id="1" name="Picture 1" descr="Clinical Training and Supervision Academy logo"/>
            <wp:cNvGraphicFramePr>
              <a:graphicFrameLocks noChangeAspect="1"/>
            </wp:cNvGraphicFramePr>
            <a:graphic>
              <a:graphicData uri="http://schemas.openxmlformats.org/drawingml/2006/picture">
                <pic:pic>
                  <pic:nvPicPr>
                    <pic:cNvPr id="0" name="Primary Horizontal Logo.png"/>
                    <pic:cNvPicPr/>
                  </pic:nvPicPr>
                  <pic:blipFill>
                    <a:blip r:embed="rId10"/>
                    <a:stretch>
                      <a:fillRect/>
                    </a:stretch>
                  </pic:blipFill>
                  <pic:spPr>
                    <a:xfrm>
                      <a:off x="0" y="0"/>
                      <a:ext cx="4937760" cy="3396343"/>
                    </a:xfrm>
                    <a:prstGeom prst="rect"/>
                  </pic:spPr>
                </pic:pic>
              </a:graphicData>
            </a:graphic>
          </wp:inline>
        </w:drawing>
      </w:r>
    </w:p>
    <w:p>
      <w:pPr>
        <w:spacing w:before="240"/>
        <w:jc w:val="center"/>
        <w:widowControl w:val="1"/>
      </w:pPr>
      <w:r>
        <w:rPr>
          <w:rFonts w:ascii="Arial" w:hAnsi="Arial" w:eastAsia="Arial"/>
          <w:b/>
          <w:i w:val="0"/>
          <w:color w:val="159A9C"/>
          <w:sz w:val="26"/>
        </w:rPr>
        <w:t>LCSW CALIFORNIA LAW &amp; ETHICS EXAM</w:t>
      </w:r>
    </w:p>
    <w:p>
      <w:pPr>
        <w:spacing w:before="120"/>
        <w:jc w:val="center"/>
        <w:widowControl w:val="1"/>
      </w:pPr>
      <w:r>
        <w:rPr>
          <w:rFonts w:ascii="Arial" w:hAnsi="Arial" w:eastAsia="Arial"/>
          <w:b/>
          <w:i w:val="0"/>
          <w:color w:val="17325C"/>
          <w:sz w:val="46"/>
        </w:rPr>
        <w:t>HIGH-YIELD NUMBERS, TIMELINES</w:t>
        <w:br/>
        <w:t>&amp; TRIGGER WORDS TOOLKIT</w:t>
      </w:r>
    </w:p>
    <w:p>
      <w:pPr>
        <w:spacing w:before="160"/>
        <w:jc w:val="center"/>
        <w:widowControl w:val="1"/>
      </w:pPr>
      <w:r>
        <w:rPr>
          <w:rFonts w:ascii="Arial" w:hAnsi="Arial" w:eastAsia="Arial"/>
          <w:b w:val="0"/>
          <w:i/>
          <w:color w:val="657487"/>
          <w:sz w:val="22"/>
        </w:rPr>
        <w:t>A printable quick-reference and active-recall workbook for rules that turn on age, time, frequency, or sequence</w:t>
      </w:r>
    </w:p>
    <w:p>
      <w:pPr>
        <w:spacing w:before="360"/>
        <w:jc w:val="center"/>
        <w:widowControl w:val="1"/>
      </w:pPr>
      <w:r>
        <w:rPr>
          <w:rFonts w:ascii="Arial" w:hAnsi="Arial" w:eastAsia="Arial"/>
          <w:b/>
          <w:i w:val="0"/>
          <w:color w:val="17325C"/>
          <w:sz w:val="20"/>
        </w:rPr>
        <w:t>Printable Learner Resource  |  Version 1.0  |  August 2026</w:t>
      </w:r>
    </w:p>
    <w:p>
      <w:pPr>
        <w:jc w:val="center"/>
        <w:widowControl w:val="1"/>
      </w:pPr>
      <w:r>
        <w:rPr>
          <w:rFonts w:ascii="Arial" w:hAnsi="Arial" w:eastAsia="Arial"/>
          <w:b w:val="0"/>
          <w:i w:val="0"/>
          <w:color w:val="657487"/>
          <w:sz w:val="19"/>
        </w:rPr>
        <w:t>CTA California Law &amp; Ethics Exam Preparation Program  |  CTA-EP-002</w:t>
      </w:r>
    </w:p>
    <w:p>
      <w:pPr>
        <w:spacing w:before="240"/>
        <w:jc w:val="center"/>
        <w:widowControl w:val="1"/>
      </w:pPr>
      <w:r>
        <w:rPr>
          <w:rFonts w:ascii="Arial" w:hAnsi="Arial" w:eastAsia="Arial"/>
          <w:b/>
          <w:i w:val="0"/>
          <w:color w:val="A23B3B"/>
          <w:sz w:val="19"/>
        </w:rPr>
        <w:t>EXAM PREPARATION ONLY — NO CE CREDIT OR CE CERTIFICATE</w:t>
      </w:r>
    </w:p>
    <w:p>
      <w:pPr>
        <w:spacing w:before="560"/>
        <w:jc w:val="center"/>
        <w:widowControl w:val="1"/>
      </w:pPr>
      <w:r>
        <w:rPr>
          <w:rFonts w:ascii="Arial" w:hAnsi="Arial" w:eastAsia="Arial"/>
          <w:b/>
          <w:i w:val="0"/>
          <w:color w:val="17325C"/>
          <w:sz w:val="24"/>
        </w:rPr>
        <w:t>Teaching Clinicians How to Think.</w:t>
      </w:r>
    </w:p>
    <w:p>
      <w:pPr>
        <w:jc w:val="center"/>
        <w:widowControl w:val="1"/>
      </w:pPr>
      <w:r>
        <w:rPr>
          <w:rFonts w:ascii="Arial" w:hAnsi="Arial" w:eastAsia="Arial"/>
          <w:b w:val="0"/>
          <w:i/>
          <w:color w:val="159A9C"/>
          <w:sz w:val="20"/>
        </w:rPr>
        <w:t>Educating Clinicians. Strengthening Practice.</w:t>
      </w:r>
    </w:p>
    <w:p>
      <w:pPr>
        <w:widowControl w:val="1"/>
      </w:pPr>
      <w:r>
        <w:br w:type="page"/>
      </w:r>
    </w:p>
    <w:p>
      <w:pPr>
        <w:spacing w:before="0" w:after="80"/>
        <w:pBdr>
          <w:bottom w:val="single" w:sz="12" w:space="4" w:color="159A9C"/>
        </w:pBdr>
        <w:widowControl w:val="1"/>
      </w:pPr>
      <w:r>
        <w:rPr>
          <w:rFonts w:ascii="Arial" w:hAnsi="Arial" w:eastAsia="Arial"/>
          <w:b/>
          <w:color w:val="17325C"/>
          <w:sz w:val="36"/>
        </w:rPr>
        <w:t>How to Use This Toolkit</w:t>
      </w:r>
    </w:p>
    <w:p>
      <w:pPr>
        <w:spacing w:after="160"/>
        <w:widowControl w:val="1"/>
      </w:pPr>
      <w:r>
        <w:rPr>
          <w:rFonts w:ascii="Arial" w:hAnsi="Arial" w:eastAsia="Arial"/>
          <w:b w:val="0"/>
          <w:i/>
          <w:color w:val="657487"/>
          <w:sz w:val="21"/>
        </w:rPr>
        <w:t>Memorize the trigger, then apply the rule in context</w:t>
      </w: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THE CORE PRINCIPLE</w:t>
            </w:r>
          </w:p>
          <w:p>
            <w:pPr>
              <w:spacing w:after="0"/>
            </w:pPr>
            <w:r>
              <w:rPr>
                <w:rFonts w:ascii="Arial" w:hAnsi="Arial" w:eastAsia="Arial"/>
                <w:b w:val="0"/>
                <w:i w:val="0"/>
                <w:color w:val="243447"/>
                <w:sz w:val="20"/>
              </w:rPr>
              <w:t>A number is useful only when you know what activates it, who it applies to, what action it requires, and which exceptions or setting-specific rules may change the response.</w:t>
            </w:r>
          </w:p>
        </w:tc>
      </w:tr>
    </w:tbl>
    <w:p>
      <w:pPr>
        <w:spacing w:after="0"/>
        <w:widowControl w:val="1"/>
      </w:pPr>
    </w:p>
    <w:p>
      <w:pPr>
        <w:pStyle w:val="ListBullet"/>
        <w:spacing w:after="60"/>
        <w:ind w:left="259" w:hanging="173"/>
        <w:widowControl w:val="1"/>
      </w:pPr>
      <w:r>
        <w:rPr>
          <w:rFonts w:ascii="Arial" w:hAnsi="Arial" w:eastAsia="Arial"/>
          <w:b w:val="0"/>
          <w:i w:val="0"/>
          <w:color w:val="243447"/>
          <w:sz w:val="21"/>
        </w:rPr>
        <w:t>Read each number with its trigger phrase. “Within 36 hours” is incomplete unless you know it follows the initial child-abuse report.</w:t>
      </w:r>
    </w:p>
    <w:p>
      <w:pPr>
        <w:pStyle w:val="ListBullet"/>
        <w:spacing w:after="60"/>
        <w:ind w:left="259" w:hanging="173"/>
        <w:widowControl w:val="1"/>
      </w:pPr>
      <w:r>
        <w:rPr>
          <w:rFonts w:ascii="Arial" w:hAnsi="Arial" w:eastAsia="Arial"/>
          <w:b w:val="0"/>
          <w:i w:val="0"/>
          <w:color w:val="243447"/>
          <w:sz w:val="21"/>
        </w:rPr>
        <w:t>Separate universal rules from setting-specific rules. Elder-abuse timelines can change in long-term-care and state-facility settings.</w:t>
      </w:r>
    </w:p>
    <w:p>
      <w:pPr>
        <w:pStyle w:val="ListBullet"/>
        <w:spacing w:after="60"/>
        <w:ind w:left="259" w:hanging="173"/>
        <w:widowControl w:val="1"/>
      </w:pPr>
      <w:r>
        <w:rPr>
          <w:rFonts w:ascii="Arial" w:hAnsi="Arial" w:eastAsia="Arial"/>
          <w:b w:val="0"/>
          <w:i w:val="0"/>
          <w:color w:val="243447"/>
          <w:sz w:val="21"/>
        </w:rPr>
        <w:t>Do not invent numbers where California law or ethics requires a contextual judgment. Gifts, termination notice, referral counts, and consultation do not use universal fixed numbers.</w:t>
      </w:r>
    </w:p>
    <w:p>
      <w:pPr>
        <w:pStyle w:val="ListBullet"/>
        <w:spacing w:after="60"/>
        <w:ind w:left="259" w:hanging="173"/>
        <w:widowControl w:val="1"/>
      </w:pPr>
      <w:r>
        <w:rPr>
          <w:rFonts w:ascii="Arial" w:hAnsi="Arial" w:eastAsia="Arial"/>
          <w:b w:val="0"/>
          <w:i w:val="0"/>
          <w:color w:val="243447"/>
          <w:sz w:val="21"/>
        </w:rPr>
        <w:t>Use the final drills without looking at the reference pages. Mark every missed or guessed item for workbook remediation.</w:t>
      </w:r>
    </w:p>
    <w:p>
      <w:pPr>
        <w:spacing w:before="80" w:after="80"/>
        <w:widowControl w:val="1"/>
      </w:pPr>
      <w:r>
        <w:rPr>
          <w:rFonts w:ascii="Arial" w:hAnsi="Arial" w:eastAsia="Arial"/>
          <w:b/>
          <w:color w:val="159A9C"/>
          <w:sz w:val="26"/>
        </w:rPr>
        <w:t>Three-Part Recall Method</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Step</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Question to Ask</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Example</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1. Trigger</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What word or fact activates the rule?</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“Reasonably suspects” child abuse.</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2. Number</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What age, deadline, duration, or frequency applies?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Initial report immediately; written follow-up within 36 hours.</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3. Boundary</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What limitation prevents overgeneralization?</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Do not investigate or wait for proof; reporting duty is individual.</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AF0F6"/>
            <w:tcMar>
              <w:top w:w="130" w:type="dxa"/>
              <w:start w:w="170" w:type="dxa"/>
              <w:bottom w:w="130" w:type="dxa"/>
              <w:end w:w="170" w:type="dxa"/>
            </w:tcMar>
            <w:tcBorders>
              <w:top w:val="single" w:sz="4" w:color="EAF0F6"/>
              <w:left w:val="single" w:sz="20" w:color="17325C"/>
              <w:bottom w:val="single" w:sz="4" w:color="EAF0F6"/>
              <w:right w:val="single" w:sz="4" w:color="EAF0F6"/>
            </w:tcBorders>
          </w:tcPr>
          <w:p>
            <w:pPr>
              <w:spacing w:after="60"/>
            </w:pPr>
            <w:r>
              <w:rPr>
                <w:rFonts w:ascii="Arial" w:hAnsi="Arial" w:eastAsia="Arial"/>
                <w:b/>
                <w:i w:val="0"/>
                <w:color w:val="17325C"/>
                <w:sz w:val="21"/>
              </w:rPr>
              <w:t>ACCURACY BOUNDARY</w:t>
            </w:r>
          </w:p>
          <w:p>
            <w:pPr>
              <w:spacing w:after="0"/>
            </w:pPr>
            <w:r>
              <w:rPr>
                <w:rFonts w:ascii="Arial" w:hAnsi="Arial" w:eastAsia="Arial"/>
                <w:b w:val="0"/>
                <w:i w:val="0"/>
                <w:color w:val="243447"/>
                <w:sz w:val="20"/>
              </w:rPr>
              <w:t>This educational resource summarizes high-yield rules for examination preparation. It does not replace the governing statute, current Board guidance, professional consultation, or individualized legal advice.</w:t>
            </w:r>
          </w:p>
        </w:tc>
      </w:tr>
    </w:tbl>
    <w:p>
      <w:pPr>
        <w:spacing w:after="0"/>
        <w:widowControl w:val="1"/>
      </w:pPr>
    </w:p>
    <w:p>
      <w:pPr>
        <w:spacing w:before="80" w:after="0"/>
        <w:widowControl w:val="1"/>
      </w:pPr>
      <w:r>
        <w:rPr>
          <w:rFonts w:ascii="Arial" w:hAnsi="Arial" w:eastAsia="Arial"/>
          <w:b/>
          <w:i w:val="0"/>
          <w:color w:val="657487"/>
          <w:sz w:val="15"/>
        </w:rPr>
        <w:t>SOURCE ANCHOR: CTA Law &amp; Ethics Curriculum Standards v3.1; CTA LCSW Law &amp; Ethics Flashcard Study Center Master v1.0; official sources listed on the final pages.</w:t>
      </w:r>
      <w:r>
        <w:rPr>
          <w:rFonts w:ascii="Arial" w:hAnsi="Arial" w:eastAsia="Arial"/>
          <w:b w:val="0"/>
          <w:i w:val="0"/>
          <w:color w:val="657487"/>
          <w:sz w:val="15"/>
        </w:rPr>
      </w:r>
    </w:p>
    <w:p>
      <w:pPr>
        <w:widowControl w:val="1"/>
      </w:pPr>
      <w:r>
        <w:br w:type="page"/>
      </w:r>
    </w:p>
    <w:p>
      <w:pPr>
        <w:spacing w:before="0" w:after="80"/>
        <w:pBdr>
          <w:bottom w:val="single" w:sz="12" w:space="4" w:color="159A9C"/>
        </w:pBdr>
        <w:widowControl w:val="1"/>
      </w:pPr>
      <w:r>
        <w:rPr>
          <w:rFonts w:ascii="Arial" w:hAnsi="Arial" w:eastAsia="Arial"/>
          <w:b/>
          <w:color w:val="17325C"/>
          <w:sz w:val="36"/>
        </w:rPr>
        <w:t>1. Official Exam Snapshot</w:t>
      </w:r>
    </w:p>
    <w:p>
      <w:pPr>
        <w:spacing w:after="160"/>
        <w:widowControl w:val="1"/>
      </w:pPr>
      <w:r>
        <w:rPr>
          <w:rFonts w:ascii="Arial" w:hAnsi="Arial" w:eastAsia="Arial"/>
          <w:b w:val="0"/>
          <w:i/>
          <w:color w:val="657487"/>
          <w:sz w:val="21"/>
        </w:rPr>
        <w:t>Know the structure before you build a pacing plan</w:t>
      </w:r>
    </w:p>
    <w:tbl>
      <w:tblPr>
        <w:tblW w:type="dxa" w:w="10080"/>
        <w:tblLayout w:type="fixed"/>
        <w:tblLook w:firstColumn="1" w:firstRow="1" w:lastColumn="0" w:lastRow="0" w:noHBand="0" w:noVBand="1" w:val="04A0"/>
        <w:jc w:val="left"/>
        <w:tblInd w:type="dxa" w:w="0"/>
      </w:tblPr>
      <w:tblGrid>
        <w:gridCol w:w="5040"/>
        <w:gridCol w:w="5040"/>
      </w:tblGrid>
      <w:tr>
        <w:trPr>
          <w:tblHeader w:val="true"/>
          <w:cantSplit/>
        </w:trPr>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Exam Feature</w:t>
            </w:r>
          </w:p>
        </w:tc>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Current LCSW Law &amp; Ethics Exam</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Total questions presented</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75</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Scored questions</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50</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Unscored pretest questions</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25</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Time allotted</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90 minutes</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Average pace across all 75 items</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72 seconds per item</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Pretest identification</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9"/>
              </w:rPr>
              <w:t>Not identified; answer every item as though it is scored</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EXAM STRATEGY</w:t>
            </w:r>
          </w:p>
          <w:p>
            <w:pPr>
              <w:spacing w:after="0"/>
            </w:pPr>
            <w:r>
              <w:rPr>
                <w:rFonts w:ascii="Arial" w:hAnsi="Arial" w:eastAsia="Arial"/>
                <w:b w:val="0"/>
                <w:i w:val="0"/>
                <w:color w:val="243447"/>
                <w:sz w:val="20"/>
              </w:rPr>
              <w:t>Your score is based on the number of scored questions answered correctly. Because pretest questions are mixed throughout the exam and are not labeled, do not spend time trying to identify them.</w:t>
            </w:r>
          </w:p>
        </w:tc>
      </w:tr>
    </w:tbl>
    <w:p>
      <w:pPr>
        <w:spacing w:after="0"/>
        <w:widowControl w:val="1"/>
      </w:pPr>
    </w:p>
    <w:p>
      <w:pPr>
        <w:spacing w:before="80" w:after="80"/>
        <w:widowControl w:val="1"/>
      </w:pPr>
      <w:r>
        <w:rPr>
          <w:rFonts w:ascii="Arial" w:hAnsi="Arial" w:eastAsia="Arial"/>
          <w:b/>
          <w:color w:val="159A9C"/>
          <w:sz w:val="26"/>
        </w:rPr>
        <w:t>What the Numbers Mean for Pacing</w:t>
      </w:r>
    </w:p>
    <w:p>
      <w:pPr>
        <w:pStyle w:val="ListBullet"/>
        <w:spacing w:after="60"/>
        <w:ind w:left="259" w:hanging="173"/>
        <w:widowControl w:val="1"/>
      </w:pPr>
      <w:r>
        <w:rPr>
          <w:rFonts w:ascii="Arial" w:hAnsi="Arial" w:eastAsia="Arial"/>
          <w:b w:val="0"/>
          <w:i w:val="0"/>
          <w:color w:val="243447"/>
          <w:sz w:val="21"/>
        </w:rPr>
        <w:t>A 15-question checkpoint should be reached near 18 minutes.</w:t>
      </w:r>
    </w:p>
    <w:p>
      <w:pPr>
        <w:pStyle w:val="ListBullet"/>
        <w:spacing w:after="60"/>
        <w:ind w:left="259" w:hanging="173"/>
        <w:widowControl w:val="1"/>
      </w:pPr>
      <w:r>
        <w:rPr>
          <w:rFonts w:ascii="Arial" w:hAnsi="Arial" w:eastAsia="Arial"/>
          <w:b w:val="0"/>
          <w:i w:val="0"/>
          <w:color w:val="243447"/>
          <w:sz w:val="21"/>
        </w:rPr>
        <w:t>A 25-question checkpoint should be reached near 30 minutes.</w:t>
      </w:r>
    </w:p>
    <w:p>
      <w:pPr>
        <w:pStyle w:val="ListBullet"/>
        <w:spacing w:after="60"/>
        <w:ind w:left="259" w:hanging="173"/>
        <w:widowControl w:val="1"/>
      </w:pPr>
      <w:r>
        <w:rPr>
          <w:rFonts w:ascii="Arial" w:hAnsi="Arial" w:eastAsia="Arial"/>
          <w:b w:val="0"/>
          <w:i w:val="0"/>
          <w:color w:val="243447"/>
          <w:sz w:val="21"/>
        </w:rPr>
        <w:t>A 50-question checkpoint should be reached near 60 minutes.</w:t>
      </w:r>
    </w:p>
    <w:p>
      <w:pPr>
        <w:pStyle w:val="ListBullet"/>
        <w:spacing w:after="60"/>
        <w:ind w:left="259" w:hanging="173"/>
        <w:widowControl w:val="1"/>
      </w:pPr>
      <w:r>
        <w:rPr>
          <w:rFonts w:ascii="Arial" w:hAnsi="Arial" w:eastAsia="Arial"/>
          <w:b w:val="0"/>
          <w:i w:val="0"/>
          <w:color w:val="243447"/>
          <w:sz w:val="21"/>
        </w:rPr>
        <w:t>Aim to reach question 75 with several minutes remaining for marked items and response review.</w:t>
      </w: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Pearson VUE California BBS Candidate Handbook, July 2026, Available Exams and Timed Examination sections.</w:t>
      </w:r>
    </w:p>
    <w:p>
      <w:pPr>
        <w:widowControl w:val="1"/>
      </w:pPr>
      <w:r>
        <w:br w:type="page"/>
      </w:r>
    </w:p>
    <w:p>
      <w:pPr>
        <w:spacing w:before="0" w:after="80"/>
        <w:pBdr>
          <w:bottom w:val="single" w:sz="12" w:space="4" w:color="159A9C"/>
        </w:pBdr>
        <w:widowControl w:val="1"/>
      </w:pPr>
      <w:r>
        <w:rPr>
          <w:rFonts w:ascii="Arial" w:hAnsi="Arial" w:eastAsia="Arial"/>
          <w:b/>
          <w:color w:val="17325C"/>
          <w:sz w:val="36"/>
        </w:rPr>
        <w:t>2. Weighted Content Blueprint</w:t>
      </w:r>
    </w:p>
    <w:p>
      <w:pPr>
        <w:spacing w:after="160"/>
        <w:widowControl w:val="1"/>
      </w:pPr>
      <w:r>
        <w:rPr>
          <w:rFonts w:ascii="Arial" w:hAnsi="Arial" w:eastAsia="Arial"/>
          <w:b w:val="0"/>
          <w:i/>
          <w:color w:val="657487"/>
          <w:sz w:val="21"/>
        </w:rPr>
        <w:t>Use official percentages to allocate study time</w:t>
      </w:r>
    </w:p>
    <w:tbl>
      <w:tblPr>
        <w:tblW w:type="dxa" w:w="10080"/>
        <w:tblLayout w:type="fixed"/>
        <w:tblLook w:firstColumn="1" w:firstRow="1" w:lastColumn="0" w:lastRow="0" w:noHBand="0" w:noVBand="1" w:val="04A0"/>
        <w:jc w:val="left"/>
        <w:tblInd w:type="dxa" w:w="0"/>
      </w:tblPr>
      <w:tblGrid>
        <w:gridCol w:w="2520"/>
        <w:gridCol w:w="2520"/>
        <w:gridCol w:w="2520"/>
        <w:gridCol w:w="2520"/>
      </w:tblGrid>
      <w:tr>
        <w:trPr>
          <w:tblHeader w:val="true"/>
          <w:cantSplit/>
        </w:trPr>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Section</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Official Weight</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Weight</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50-Item Study Model</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1A</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Consent, Confidentiality, and Privilege</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16%</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8</w:t>
            </w:r>
          </w:p>
        </w:tc>
      </w:tr>
      <w:tr>
        <w:trPr>
          <w:cantSplit/>
        </w:trPr>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1B</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Limits to Confidentiality and Mandated Reporting</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16%</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8</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1C</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Legal Standards for Professional Practice</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12%</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6</w:t>
            </w:r>
          </w:p>
        </w:tc>
      </w:tr>
      <w:tr>
        <w:trPr>
          <w:cantSplit/>
        </w:trPr>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2A</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Professional Competence and Integrity</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16%</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8</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2B</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Responsibility to Clients and Social Work Relationships</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24%</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12</w:t>
            </w:r>
          </w:p>
        </w:tc>
      </w:tr>
      <w:tr>
        <w:trPr>
          <w:cantSplit/>
        </w:trPr>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2C</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Practice Policies and Professional Responsibilities</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16%</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8</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AF0F6"/>
            <w:tcMar>
              <w:top w:w="130" w:type="dxa"/>
              <w:start w:w="170" w:type="dxa"/>
              <w:bottom w:w="130" w:type="dxa"/>
              <w:end w:w="170" w:type="dxa"/>
            </w:tcMar>
            <w:tcBorders>
              <w:top w:val="single" w:sz="4" w:color="EAF0F6"/>
              <w:left w:val="single" w:sz="20" w:color="17325C"/>
              <w:bottom w:val="single" w:sz="4" w:color="EAF0F6"/>
              <w:right w:val="single" w:sz="4" w:color="EAF0F6"/>
            </w:tcBorders>
          </w:tcPr>
          <w:p>
            <w:pPr>
              <w:spacing w:after="60"/>
            </w:pPr>
            <w:r>
              <w:rPr>
                <w:rFonts w:ascii="Arial" w:hAnsi="Arial" w:eastAsia="Arial"/>
                <w:b/>
                <w:i w:val="0"/>
                <w:color w:val="17325C"/>
                <w:sz w:val="21"/>
              </w:rPr>
              <w:t>STUDY MODEL</w:t>
            </w:r>
          </w:p>
          <w:p>
            <w:pPr>
              <w:spacing w:after="0"/>
            </w:pPr>
            <w:r>
              <w:rPr>
                <w:rFonts w:ascii="Arial" w:hAnsi="Arial" w:eastAsia="Arial"/>
                <w:b w:val="0"/>
                <w:i w:val="0"/>
                <w:color w:val="243447"/>
                <w:sz w:val="20"/>
              </w:rPr>
              <w:t>The final column converts each percentage into a 50-item practice model. It is a study-planning tool, not a promise about the exact order or visible composition of a live exam form.</w:t>
            </w:r>
          </w:p>
        </w:tc>
      </w:tr>
    </w:tbl>
    <w:p>
      <w:pPr>
        <w:spacing w:after="0"/>
        <w:widowControl w:val="1"/>
      </w:pPr>
    </w:p>
    <w:p>
      <w:pPr>
        <w:spacing w:before="80" w:after="80"/>
        <w:widowControl w:val="1"/>
      </w:pPr>
      <w:r>
        <w:rPr>
          <w:rFonts w:ascii="Arial" w:hAnsi="Arial" w:eastAsia="Arial"/>
          <w:b/>
          <w:color w:val="159A9C"/>
          <w:sz w:val="26"/>
        </w:rPr>
        <w:t>Law vs. Ethics</w:t>
      </w:r>
    </w:p>
    <w:tbl>
      <w:tblPr>
        <w:tblW w:type="dxa" w:w="10080"/>
        <w:tblLayout w:type="fixed"/>
        <w:tblLook w:firstColumn="1" w:firstRow="1" w:lastColumn="0" w:lastRow="0" w:noHBand="0" w:noVBand="1" w:val="04A0"/>
        <w:jc w:val="left"/>
        <w:tblInd w:type="dxa" w:w="0"/>
      </w:tblPr>
      <w:tblGrid>
        <w:gridCol w:w="2520"/>
        <w:gridCol w:w="2520"/>
        <w:gridCol w:w="2520"/>
        <w:gridCol w:w="2520"/>
      </w:tblGrid>
      <w:tr>
        <w:trPr>
          <w:tblHeader w:val="true"/>
          <w:cantSplit/>
        </w:trPr>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Domain</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Official Weight</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Equivalent in a 50-Item Study Model</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My Planned Minutes</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Law</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44%</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22</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w:t>
            </w:r>
          </w:p>
        </w:tc>
      </w:tr>
      <w:tr>
        <w:trPr>
          <w:cantSplit/>
        </w:trPr>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Ethics</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56%</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28</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w:t>
            </w:r>
          </w:p>
        </w:tc>
      </w:tr>
    </w:tbl>
    <w:p>
      <w:pPr>
        <w:spacing w:after="0"/>
        <w:widowControl w:val="1"/>
      </w:pPr>
    </w:p>
    <w:p>
      <w:pPr>
        <w:spacing w:before="80" w:after="80"/>
        <w:widowControl w:val="1"/>
      </w:pPr>
      <w:r>
        <w:rPr>
          <w:rFonts w:ascii="Arial" w:hAnsi="Arial" w:eastAsia="Arial"/>
          <w:b/>
          <w:color w:val="159A9C"/>
          <w:sz w:val="26"/>
        </w:rPr>
        <w:t>My Priority Adjustment</w:t>
      </w:r>
    </w:p>
    <w:tbl>
      <w:tblPr>
        <w:tblW w:type="dxa" w:w="10080"/>
        <w:tblLayout w:type="fixed"/>
        <w:tblLook w:firstColumn="1" w:firstRow="1" w:lastColumn="0" w:lastRow="0" w:noHBand="0" w:noVBand="1" w:val="04A0"/>
        <w:jc w:val="left"/>
        <w:tblInd w:type="dxa" w:w="0"/>
      </w:tblPr>
      <w:tblGrid>
        <w:gridCol w:w="5040"/>
        <w:gridCol w:w="5040"/>
      </w:tblGrid>
      <w:tr>
        <w:trPr>
          <w:tblHeader w:val="true"/>
          <w:cantSplit/>
        </w:trPr>
        <w:tc>
          <w:tcPr>
            <w:tcW w:type="dxa" w:w="5040"/>
            <w:shd w:fill="159A9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Review Item</w:t>
            </w:r>
          </w:p>
        </w:tc>
        <w:tc>
          <w:tcPr>
            <w:tcW w:type="dxa" w:w="5040"/>
            <w:shd w:fill="159A9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Review Item</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1A High priority</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1B High priority</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1C High priority</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2A High priority</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2B High priority</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2C High priority</w:t>
            </w:r>
          </w:p>
        </w:tc>
      </w:tr>
    </w:tbl>
    <w:p>
      <w:pPr>
        <w:spacing w:after="0"/>
        <w:widowControl w:val="1"/>
      </w:pPr>
    </w:p>
    <w:p>
      <w:pPr>
        <w:spacing w:before="80" w:after="0"/>
        <w:widowControl w:val="1"/>
      </w:pPr>
      <w:r>
        <w:rPr>
          <w:rFonts w:ascii="Arial" w:hAnsi="Arial" w:eastAsia="Arial"/>
          <w:b/>
          <w:i w:val="0"/>
          <w:color w:val="657487"/>
          <w:sz w:val="15"/>
        </w:rPr>
        <w:t>SOURCE ANCHOR: Licensed Clinical Social Worker Law and Ethics Examination Outline, effective January 2024 and listed by Pearson VUE as the current LCSW outline in August 2026.</w:t>
      </w:r>
      <w:r>
        <w:rPr>
          <w:rFonts w:ascii="Arial" w:hAnsi="Arial" w:eastAsia="Arial"/>
          <w:b w:val="0"/>
          <w:i w:val="0"/>
          <w:color w:val="657487"/>
          <w:sz w:val="15"/>
        </w:rPr>
      </w:r>
    </w:p>
    <w:p>
      <w:pPr>
        <w:widowControl w:val="1"/>
      </w:pPr>
      <w:r>
        <w:br w:type="page"/>
      </w:r>
    </w:p>
    <w:p>
      <w:pPr>
        <w:spacing w:before="0" w:after="80"/>
        <w:pBdr>
          <w:bottom w:val="single" w:sz="12" w:space="4" w:color="159A9C"/>
        </w:pBdr>
        <w:widowControl w:val="1"/>
      </w:pPr>
      <w:r>
        <w:rPr>
          <w:rFonts w:ascii="Arial" w:hAnsi="Arial" w:eastAsia="Arial"/>
          <w:b/>
          <w:color w:val="17325C"/>
          <w:sz w:val="36"/>
        </w:rPr>
        <w:t>3. Pacing Checkpoints</w:t>
      </w:r>
    </w:p>
    <w:p>
      <w:pPr>
        <w:spacing w:after="160"/>
        <w:widowControl w:val="1"/>
      </w:pPr>
      <w:r>
        <w:rPr>
          <w:rFonts w:ascii="Arial" w:hAnsi="Arial" w:eastAsia="Arial"/>
          <w:b w:val="0"/>
          <w:i/>
          <w:color w:val="657487"/>
          <w:sz w:val="21"/>
        </w:rPr>
        <w:t>Use time as a decision aid, not a source of panic</w:t>
      </w:r>
    </w:p>
    <w:tbl>
      <w:tblPr>
        <w:tblW w:type="dxa" w:w="10080"/>
        <w:tblLayout w:type="fixed"/>
        <w:tblLook w:firstColumn="1" w:firstRow="1" w:lastColumn="0" w:lastRow="0" w:noHBand="0" w:noVBand="1" w:val="04A0"/>
        <w:jc w:val="left"/>
        <w:tblInd w:type="dxa" w:w="0"/>
      </w:tblPr>
      <w:tblGrid>
        <w:gridCol w:w="2520"/>
        <w:gridCol w:w="2520"/>
        <w:gridCol w:w="2520"/>
        <w:gridCol w:w="2520"/>
      </w:tblGrid>
      <w:tr>
        <w:trPr>
          <w:tblHeader w:val="true"/>
          <w:cantSplit/>
        </w:trPr>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Checkpoint</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Target Time Used</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Time Remaining</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Reset Instruction</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Question 15</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18 minutes</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72 minutes</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Release any one item that is consuming disproportionate time.</w:t>
            </w:r>
          </w:p>
        </w:tc>
      </w:tr>
      <w:tr>
        <w:trPr>
          <w:cantSplit/>
        </w:trPr>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Question 25</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30 minutes</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60 minutes</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Check whether you are rereading stems without changing your analysis.</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Question 50</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60 minutes</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30 minutes</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Shift from perfectionism to one-best-answer reasoning.</w:t>
            </w:r>
          </w:p>
        </w:tc>
      </w:tr>
      <w:tr>
        <w:trPr>
          <w:cantSplit/>
        </w:trPr>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Question 65</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78 minutes</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12 minutes</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Answer every remaining item; mark only specific uncertainties.</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Question 75</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90 minutes</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0 minutes</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Preferred goal: arrive earlier with review time available.</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ONE-MINUTE RESET</w:t>
            </w:r>
          </w:p>
          <w:p>
            <w:pPr>
              <w:spacing w:after="0"/>
            </w:pPr>
            <w:r>
              <w:rPr>
                <w:rFonts w:ascii="Arial" w:hAnsi="Arial" w:eastAsia="Arial"/>
                <w:b w:val="0"/>
                <w:i w:val="0"/>
                <w:color w:val="243447"/>
                <w:sz w:val="20"/>
              </w:rPr>
              <w:t>Name the qualifier, identify the controlling rule, eliminate the option that is premature or excessive, select the best available answer, and move forward.</w:t>
            </w:r>
          </w:p>
        </w:tc>
      </w:tr>
    </w:tbl>
    <w:p>
      <w:pPr>
        <w:spacing w:after="0"/>
        <w:widowControl w:val="1"/>
      </w:pPr>
    </w:p>
    <w:p>
      <w:pPr>
        <w:spacing w:before="80" w:after="80"/>
        <w:widowControl w:val="1"/>
      </w:pPr>
      <w:r>
        <w:rPr>
          <w:rFonts w:ascii="Arial" w:hAnsi="Arial" w:eastAsia="Arial"/>
          <w:b/>
          <w:color w:val="159A9C"/>
          <w:sz w:val="26"/>
        </w:rPr>
        <w:t>My Personal Pace</w:t>
      </w:r>
    </w:p>
    <w:tbl>
      <w:tblPr>
        <w:tblW w:type="dxa" w:w="10080"/>
        <w:tblLayout w:type="fixed"/>
        <w:tblLook w:firstColumn="1" w:firstRow="1" w:lastColumn="0" w:lastRow="0" w:noHBand="0" w:noVBand="1" w:val="04A0"/>
        <w:jc w:val="left"/>
        <w:tblInd w:type="dxa" w:w="0"/>
      </w:tblPr>
      <w:tblGrid>
        <w:gridCol w:w="2016"/>
        <w:gridCol w:w="2016"/>
        <w:gridCol w:w="2016"/>
        <w:gridCol w:w="2016"/>
        <w:gridCol w:w="2016"/>
      </w:tblGrid>
      <w:tr>
        <w:trPr>
          <w:tblHeader w:val="true"/>
          <w:cantSplit/>
        </w:trPr>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Checkpoint</w:t>
            </w:r>
          </w:p>
        </w:tc>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My Target</w:t>
            </w:r>
          </w:p>
        </w:tc>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Actual on Practice A</w:t>
            </w:r>
          </w:p>
        </w:tc>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Actual on Practice B</w:t>
            </w:r>
          </w:p>
        </w:tc>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Adjustment</w:t>
            </w:r>
          </w:p>
        </w:tc>
      </w:tr>
      <w:tr>
        <w:trPr>
          <w:cantSplit/>
        </w:trPr>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15</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________________</w:t>
            </w:r>
          </w:p>
        </w:tc>
      </w:tr>
      <w:tr>
        <w:trPr>
          <w:cantSplit/>
        </w:trPr>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25</w:t>
            </w:r>
          </w:p>
        </w:tc>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________________</w:t>
            </w:r>
          </w:p>
        </w:tc>
      </w:tr>
      <w:tr>
        <w:trPr>
          <w:cantSplit/>
        </w:trPr>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50</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________________</w:t>
            </w:r>
          </w:p>
        </w:tc>
      </w:tr>
      <w:tr>
        <w:trPr>
          <w:cantSplit/>
        </w:trPr>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65</w:t>
            </w:r>
          </w:p>
        </w:tc>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________________</w:t>
            </w:r>
          </w:p>
        </w:tc>
      </w:tr>
      <w:tr>
        <w:trPr>
          <w:cantSplit/>
        </w:trPr>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75</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________________</w:t>
            </w:r>
          </w:p>
        </w:tc>
      </w:tr>
    </w:tbl>
    <w:p>
      <w:pPr>
        <w:spacing w:after="0"/>
        <w:widowControl w:val="1"/>
      </w:pP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Pacing calculations are derived from the current 75-question, 90-minute Pearson VUE format.</w:t>
      </w:r>
    </w:p>
    <w:p>
      <w:pPr>
        <w:widowControl w:val="1"/>
      </w:pPr>
      <w:r>
        <w:br w:type="page"/>
      </w:r>
    </w:p>
    <w:p>
      <w:pPr>
        <w:spacing w:before="0" w:after="80"/>
        <w:pBdr>
          <w:bottom w:val="single" w:sz="12" w:space="4" w:color="159A9C"/>
        </w:pBdr>
        <w:widowControl w:val="1"/>
      </w:pPr>
      <w:r>
        <w:rPr>
          <w:rFonts w:ascii="Arial" w:hAnsi="Arial" w:eastAsia="Arial"/>
          <w:b/>
          <w:color w:val="17325C"/>
          <w:sz w:val="36"/>
        </w:rPr>
        <w:t>4. Minor Self-Consent Numbers</w:t>
      </w:r>
    </w:p>
    <w:p>
      <w:pPr>
        <w:spacing w:after="160"/>
        <w:widowControl w:val="1"/>
      </w:pPr>
      <w:r>
        <w:rPr>
          <w:rFonts w:ascii="Arial" w:hAnsi="Arial" w:eastAsia="Arial"/>
          <w:b w:val="0"/>
          <w:i/>
          <w:color w:val="657487"/>
          <w:sz w:val="21"/>
        </w:rPr>
        <w:t>Age, maturity, parent involvement, and documentation</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Trigger</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Number / Frequency</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Required Reasoning</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Minor seeks outpatient mental health treatment without parent authorization</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Age 12 or older</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The attending professional must also determine that the minor is mature enough to participate intelligently.</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Parent or guardian involvement</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Required unless determined inappropriate</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Consult with the minor; record whether/when contact was attempted, whether successful, or why contact would be inappropriate.</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Covered trainee or intern treats under self-consent rule</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Notify supervisor within 24 hours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Applies to the trainee/intern categories listed in Health and Safety Code section 124260.</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Covered trainee or intern believes minor is a danger to self or others at initial assessment</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Notify supervisor immediately after the session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This is a narrower, faster notification rule tied to danger identified at the initial assessment.</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EXAM TRAP</w:t>
            </w:r>
          </w:p>
          <w:p>
            <w:pPr>
              <w:spacing w:after="0"/>
            </w:pPr>
            <w:r>
              <w:rPr>
                <w:rFonts w:ascii="Arial" w:hAnsi="Arial" w:eastAsia="Arial"/>
                <w:b w:val="0"/>
                <w:i w:val="0"/>
                <w:color w:val="243447"/>
                <w:sz w:val="20"/>
              </w:rPr>
              <w:t>Age 12 alone is not enough. The strongest response includes maturity, parent-involvement analysis, and documentation. Do not convert “unless inappropriate” into “never involve the parent.”</w:t>
            </w:r>
          </w:p>
        </w:tc>
      </w:tr>
    </w:tbl>
    <w:p>
      <w:pPr>
        <w:spacing w:after="0"/>
        <w:widowControl w:val="1"/>
      </w:pPr>
    </w:p>
    <w:p>
      <w:pPr>
        <w:spacing w:before="80" w:after="80"/>
        <w:widowControl w:val="1"/>
      </w:pPr>
      <w:r>
        <w:rPr>
          <w:rFonts w:ascii="Arial" w:hAnsi="Arial" w:eastAsia="Arial"/>
          <w:b/>
          <w:color w:val="159A9C"/>
          <w:sz w:val="26"/>
        </w:rPr>
        <w:t>Memory Chain</w:t>
      </w:r>
    </w:p>
    <w:tbl>
      <w:tblPr>
        <w:tblW w:type="dxa" w:w="10080"/>
        <w:tblLayout w:type="fixed"/>
        <w:tblLook w:firstColumn="1" w:firstRow="1" w:lastColumn="0" w:lastRow="0" w:noHBand="0" w:noVBand="1" w:val="04A0"/>
        <w:jc w:val="left"/>
        <w:tblInd w:type="dxa" w:w="0"/>
      </w:tblPr>
      <w:tblGrid>
        <w:gridCol w:w="2016"/>
        <w:gridCol w:w="2016"/>
        <w:gridCol w:w="2016"/>
        <w:gridCol w:w="2016"/>
        <w:gridCol w:w="2016"/>
      </w:tblGrid>
      <w:tr>
        <w:trPr>
          <w:tblHeader w:val="true"/>
          <w:cantSplit/>
        </w:trPr>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12+</w:t>
            </w:r>
          </w:p>
        </w:tc>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Maturity</w:t>
            </w:r>
          </w:p>
        </w:tc>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Parent Analysis</w:t>
            </w:r>
          </w:p>
        </w:tc>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Document</w:t>
            </w:r>
          </w:p>
        </w:tc>
        <w:tc>
          <w:tcPr>
            <w:tcW w:type="dxa" w:w="2016"/>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Trainee Notice</w:t>
            </w:r>
          </w:p>
        </w:tc>
      </w:tr>
      <w:tr>
        <w:trPr>
          <w:cantSplit/>
        </w:trPr>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Age threshold</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Participate intelligently</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Involve unless inappropriate</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Attempt/result/reason</w:t>
            </w:r>
          </w:p>
        </w:tc>
        <w:tc>
          <w:tcPr>
            <w:tcW w:type="dxa" w:w="2016"/>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24 hours; immediate if danger</w:t>
            </w:r>
          </w:p>
        </w:tc>
      </w:tr>
    </w:tbl>
    <w:p>
      <w:pPr>
        <w:spacing w:after="0"/>
        <w:widowControl w:val="1"/>
      </w:pPr>
    </w:p>
    <w:p>
      <w:pPr>
        <w:spacing w:before="80" w:after="0"/>
        <w:widowControl w:val="1"/>
      </w:pPr>
      <w:r>
        <w:rPr>
          <w:rFonts w:ascii="Arial" w:hAnsi="Arial" w:eastAsia="Arial"/>
          <w:b/>
          <w:i w:val="0"/>
          <w:color w:val="657487"/>
          <w:sz w:val="15"/>
        </w:rPr>
        <w:t>SOURCE ANCHOR: California Health and Safety Code section 124260, current through August 7, 2026.</w:t>
      </w:r>
      <w:r>
        <w:rPr>
          <w:rFonts w:ascii="Arial" w:hAnsi="Arial" w:eastAsia="Arial"/>
          <w:b w:val="0"/>
          <w:i w:val="0"/>
          <w:color w:val="657487"/>
          <w:sz w:val="15"/>
        </w:rPr>
      </w:r>
    </w:p>
    <w:p>
      <w:pPr>
        <w:widowControl w:val="1"/>
      </w:pPr>
      <w:r>
        <w:br w:type="page"/>
      </w:r>
    </w:p>
    <w:p>
      <w:pPr>
        <w:spacing w:before="0" w:after="80"/>
        <w:pBdr>
          <w:bottom w:val="single" w:sz="12" w:space="4" w:color="159A9C"/>
        </w:pBdr>
        <w:widowControl w:val="1"/>
      </w:pPr>
      <w:r>
        <w:rPr>
          <w:rFonts w:ascii="Arial" w:hAnsi="Arial" w:eastAsia="Arial"/>
          <w:b/>
          <w:color w:val="17325C"/>
          <w:sz w:val="36"/>
        </w:rPr>
        <w:t>5. Child Abuse Reporting Timeline</w:t>
      </w:r>
    </w:p>
    <w:p>
      <w:pPr>
        <w:spacing w:after="160"/>
        <w:widowControl w:val="1"/>
      </w:pPr>
      <w:r>
        <w:rPr>
          <w:rFonts w:ascii="Arial" w:hAnsi="Arial" w:eastAsia="Arial"/>
          <w:b w:val="0"/>
          <w:i/>
          <w:color w:val="657487"/>
          <w:sz w:val="21"/>
        </w:rPr>
        <w:t>The threshold is reasonable suspicion—not proof</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Sequence</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Timing</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Action</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1. Initial report</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Immediately or as soon as practicably possible</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Telephone the agency specified by law.</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2. Written follow-up</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Within 36 hours of receiving the information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Prepare and send, fax, or electronically transmit the written follow-up report.</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AF0F6"/>
            <w:tcMar>
              <w:top w:w="130" w:type="dxa"/>
              <w:start w:w="170" w:type="dxa"/>
              <w:bottom w:w="130" w:type="dxa"/>
              <w:end w:w="170" w:type="dxa"/>
            </w:tcMar>
            <w:tcBorders>
              <w:top w:val="single" w:sz="4" w:color="EAF0F6"/>
              <w:left w:val="single" w:sz="20" w:color="17325C"/>
              <w:bottom w:val="single" w:sz="4" w:color="EAF0F6"/>
              <w:right w:val="single" w:sz="4" w:color="EAF0F6"/>
            </w:tcBorders>
          </w:tcPr>
          <w:p>
            <w:pPr>
              <w:spacing w:after="60"/>
            </w:pPr>
            <w:r>
              <w:rPr>
                <w:rFonts w:ascii="Arial" w:hAnsi="Arial" w:eastAsia="Arial"/>
                <w:b/>
                <w:i w:val="0"/>
                <w:color w:val="17325C"/>
                <w:sz w:val="21"/>
              </w:rPr>
              <w:t>REASONABLE SUSPICION</w:t>
            </w:r>
          </w:p>
          <w:p>
            <w:pPr>
              <w:spacing w:after="0"/>
            </w:pPr>
            <w:r>
              <w:rPr>
                <w:rFonts w:ascii="Arial" w:hAnsi="Arial" w:eastAsia="Arial"/>
                <w:b w:val="0"/>
                <w:i w:val="0"/>
                <w:color w:val="243447"/>
                <w:sz w:val="20"/>
              </w:rPr>
              <w:t>The standard is objective and does not require certainty or a specific medical indication. Any reasonable suspicion is sufficient under the statute.</w:t>
            </w:r>
          </w:p>
        </w:tc>
      </w:tr>
    </w:tbl>
    <w:p>
      <w:pPr>
        <w:spacing w:after="0"/>
        <w:widowControl w:val="1"/>
      </w:pPr>
    </w:p>
    <w:p>
      <w:pPr>
        <w:spacing w:before="80" w:after="80"/>
        <w:widowControl w:val="1"/>
      </w:pPr>
      <w:r>
        <w:rPr>
          <w:rFonts w:ascii="Arial" w:hAnsi="Arial" w:eastAsia="Arial"/>
          <w:b/>
          <w:color w:val="159A9C"/>
          <w:sz w:val="26"/>
        </w:rPr>
        <w:t>High-Yield Boundaries</w:t>
      </w:r>
    </w:p>
    <w:p>
      <w:pPr>
        <w:pStyle w:val="ListBullet"/>
        <w:spacing w:after="60"/>
        <w:ind w:left="259" w:hanging="173"/>
        <w:widowControl w:val="1"/>
      </w:pPr>
      <w:r>
        <w:rPr>
          <w:rFonts w:ascii="Arial" w:hAnsi="Arial" w:eastAsia="Arial"/>
          <w:b w:val="0"/>
          <w:i w:val="0"/>
          <w:color w:val="243447"/>
          <w:sz w:val="21"/>
        </w:rPr>
        <w:t>The reporting duty is individual. A supervisor or administrator may not impede it.</w:t>
      </w:r>
    </w:p>
    <w:p>
      <w:pPr>
        <w:pStyle w:val="ListBullet"/>
        <w:spacing w:after="60"/>
        <w:ind w:left="259" w:hanging="173"/>
        <w:widowControl w:val="1"/>
      </w:pPr>
      <w:r>
        <w:rPr>
          <w:rFonts w:ascii="Arial" w:hAnsi="Arial" w:eastAsia="Arial"/>
          <w:b w:val="0"/>
          <w:i w:val="0"/>
          <w:color w:val="243447"/>
          <w:sz w:val="21"/>
        </w:rPr>
        <w:t>Reporting to a supervisor, employer, coworker, or counselor is not a substitute for the mandated report.</w:t>
      </w:r>
    </w:p>
    <w:p>
      <w:pPr>
        <w:pStyle w:val="ListBullet"/>
        <w:spacing w:after="60"/>
        <w:ind w:left="259" w:hanging="173"/>
        <w:widowControl w:val="1"/>
      </w:pPr>
      <w:r>
        <w:rPr>
          <w:rFonts w:ascii="Arial" w:hAnsi="Arial" w:eastAsia="Arial"/>
          <w:b w:val="0"/>
          <w:i w:val="0"/>
          <w:color w:val="243447"/>
          <w:sz w:val="21"/>
        </w:rPr>
        <w:t>The clinician reports; the clinician does not conduct a collateral investigation before reporting.</w:t>
      </w:r>
    </w:p>
    <w:p>
      <w:pPr>
        <w:pStyle w:val="ListBullet"/>
        <w:spacing w:after="60"/>
        <w:ind w:left="259" w:hanging="173"/>
        <w:widowControl w:val="1"/>
      </w:pPr>
      <w:r>
        <w:rPr>
          <w:rFonts w:ascii="Arial" w:hAnsi="Arial" w:eastAsia="Arial"/>
          <w:b w:val="0"/>
          <w:i w:val="0"/>
          <w:color w:val="243447"/>
          <w:sz w:val="21"/>
        </w:rPr>
        <w:t>A client’s plan to report does not eliminate the mandated reporter’s own duty.</w:t>
      </w:r>
    </w:p>
    <w:p>
      <w:pPr>
        <w:spacing w:before="80" w:after="80"/>
        <w:widowControl w:val="1"/>
      </w:pPr>
      <w:r>
        <w:rPr>
          <w:rFonts w:ascii="Arial" w:hAnsi="Arial" w:eastAsia="Arial"/>
          <w:b/>
          <w:color w:val="159A9C"/>
          <w:sz w:val="26"/>
        </w:rPr>
        <w:t>Rapid Recall</w:t>
      </w:r>
    </w:p>
    <w:tbl>
      <w:tblPr>
        <w:tblW w:type="dxa" w:w="10080"/>
        <w:tblLayout w:type="fixed"/>
        <w:tblLook w:firstColumn="1" w:firstRow="1" w:lastColumn="0" w:lastRow="0" w:noHBand="0" w:noVBand="1" w:val="04A0"/>
        <w:jc w:val="left"/>
        <w:tblInd w:type="dxa" w:w="0"/>
      </w:tblPr>
      <w:tblGrid>
        <w:gridCol w:w="5040"/>
        <w:gridCol w:w="5040"/>
      </w:tblGrid>
      <w:tr>
        <w:trPr>
          <w:tblHeader w:val="true"/>
          <w:cantSplit/>
        </w:trPr>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Trigger Phrase</w:t>
            </w:r>
          </w:p>
        </w:tc>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Complete the Rule</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Reasonably suspects</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____________________________________________</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Initial telephone report</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____________________________________________</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Written follow-up</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____________________________________________</w:t>
            </w:r>
          </w:p>
        </w:tc>
      </w:tr>
    </w:tbl>
    <w:p>
      <w:pPr>
        <w:spacing w:after="0"/>
        <w:widowControl w:val="1"/>
      </w:pPr>
    </w:p>
    <w:p>
      <w:pPr>
        <w:spacing w:before="80" w:after="0"/>
        <w:widowControl w:val="1"/>
      </w:pPr>
      <w:r>
        <w:rPr>
          <w:rFonts w:ascii="Arial" w:hAnsi="Arial" w:eastAsia="Arial"/>
          <w:b/>
          <w:i w:val="0"/>
          <w:color w:val="657487"/>
          <w:sz w:val="15"/>
        </w:rPr>
        <w:t>SOURCE ANCHOR: California Penal Code section 11166, current through August 7, 2026.</w:t>
      </w:r>
      <w:r>
        <w:rPr>
          <w:rFonts w:ascii="Arial" w:hAnsi="Arial" w:eastAsia="Arial"/>
          <w:b w:val="0"/>
          <w:i w:val="0"/>
          <w:color w:val="657487"/>
          <w:sz w:val="15"/>
        </w:rPr>
      </w:r>
    </w:p>
    <w:p>
      <w:pPr>
        <w:widowControl w:val="1"/>
      </w:pPr>
      <w:r>
        <w:br w:type="page"/>
      </w:r>
    </w:p>
    <w:p>
      <w:pPr>
        <w:spacing w:before="0" w:after="80"/>
        <w:pBdr>
          <w:bottom w:val="single" w:sz="12" w:space="4" w:color="159A9C"/>
        </w:pBdr>
        <w:widowControl w:val="1"/>
      </w:pPr>
      <w:r>
        <w:rPr>
          <w:rFonts w:ascii="Arial" w:hAnsi="Arial" w:eastAsia="Arial"/>
          <w:b/>
          <w:color w:val="17325C"/>
          <w:sz w:val="36"/>
        </w:rPr>
        <w:t>6. Elder and Dependent-Adult Reporting Timelines</w:t>
      </w:r>
    </w:p>
    <w:p>
      <w:pPr>
        <w:spacing w:after="160"/>
        <w:widowControl w:val="1"/>
      </w:pPr>
      <w:r>
        <w:rPr>
          <w:rFonts w:ascii="Arial" w:hAnsi="Arial" w:eastAsia="Arial"/>
          <w:b w:val="0"/>
          <w:i/>
          <w:color w:val="657487"/>
          <w:sz w:val="21"/>
        </w:rPr>
        <w:t>Start with the general rule, then identify the setting</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Setting / Trigger</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Initial Report</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Follow-Up</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General outpatient/community rule</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Telephone or confidential internet report immediately or as soon as practicably possible</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If reported by telephone, written or internet report within two working days.</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Long-term-care facility; resident with diagnosed dementia; no serious bodily injury</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Setting-specific pathway</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Written reports to specified agencies within 24 hours.</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Other long-term-care facility incidents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Verbal report to law enforcement immediately/as soon as practicable, no longer than two hours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Written reports to specified agencies within 24 hours.</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State mental hospital or developmental center</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Specialized two-hour pathways may apply</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Follow the facility-specific statute and reporting route.</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SETTING FIRST</w:t>
            </w:r>
          </w:p>
          <w:p>
            <w:pPr>
              <w:spacing w:after="0"/>
            </w:pPr>
            <w:r>
              <w:rPr>
                <w:rFonts w:ascii="Arial" w:hAnsi="Arial" w:eastAsia="Arial"/>
                <w:b w:val="0"/>
                <w:i w:val="0"/>
                <w:color w:val="243447"/>
                <w:sz w:val="20"/>
              </w:rPr>
              <w:t>Do not answer an elder-abuse timing question until you identify where the alleged abuse occurred. The general two-working-day follow-up rule does not replace shorter facility-specific deadlines.</w:t>
            </w:r>
          </w:p>
        </w:tc>
      </w:tr>
    </w:tbl>
    <w:p>
      <w:pPr>
        <w:spacing w:after="0"/>
        <w:widowControl w:val="1"/>
      </w:pPr>
    </w:p>
    <w:p>
      <w:pPr>
        <w:spacing w:before="80" w:after="80"/>
        <w:widowControl w:val="1"/>
      </w:pPr>
      <w:r>
        <w:rPr>
          <w:rFonts w:ascii="Arial" w:hAnsi="Arial" w:eastAsia="Arial"/>
          <w:b/>
          <w:color w:val="159A9C"/>
          <w:sz w:val="26"/>
        </w:rPr>
        <w:t>Exam Trap</w:t>
      </w:r>
    </w:p>
    <w:p>
      <w:pPr>
        <w:pStyle w:val="ListBullet"/>
        <w:spacing w:after="60"/>
        <w:ind w:left="259" w:hanging="173"/>
        <w:widowControl w:val="1"/>
      </w:pPr>
      <w:r>
        <w:rPr>
          <w:rFonts w:ascii="Arial" w:hAnsi="Arial" w:eastAsia="Arial"/>
          <w:b w:val="0"/>
          <w:i w:val="0"/>
          <w:color w:val="243447"/>
          <w:sz w:val="21"/>
        </w:rPr>
        <w:t>Do not reduce the rule to “all elder-abuse reports are due within two working days.” The initial report is immediate/as soon as practicably possible, and some facilities use two-hour and 24-hour deadlines.</w:t>
      </w:r>
    </w:p>
    <w:p>
      <w:pPr>
        <w:spacing w:before="80" w:after="0"/>
        <w:widowControl w:val="1"/>
      </w:pPr>
      <w:r>
        <w:rPr>
          <w:rFonts w:ascii="Arial" w:hAnsi="Arial" w:eastAsia="Arial"/>
          <w:b/>
          <w:i w:val="0"/>
          <w:color w:val="657487"/>
          <w:sz w:val="15"/>
        </w:rPr>
        <w:t>SOURCE ANCHOR: California Welfare and Institutions Code section 15630, current through August 7, 2026.</w:t>
      </w:r>
      <w:r>
        <w:rPr>
          <w:rFonts w:ascii="Arial" w:hAnsi="Arial" w:eastAsia="Arial"/>
          <w:b w:val="0"/>
          <w:i w:val="0"/>
          <w:color w:val="657487"/>
          <w:sz w:val="15"/>
        </w:rPr>
      </w:r>
    </w:p>
    <w:p>
      <w:pPr>
        <w:widowControl w:val="1"/>
      </w:pPr>
      <w:r>
        <w:br w:type="page"/>
      </w:r>
    </w:p>
    <w:p>
      <w:pPr>
        <w:spacing w:before="0" w:after="80"/>
        <w:pBdr>
          <w:bottom w:val="single" w:sz="12" w:space="4" w:color="159A9C"/>
        </w:pBdr>
        <w:widowControl w:val="1"/>
      </w:pPr>
      <w:r>
        <w:rPr>
          <w:rFonts w:ascii="Arial" w:hAnsi="Arial" w:eastAsia="Arial"/>
          <w:b/>
          <w:color w:val="17325C"/>
          <w:sz w:val="36"/>
        </w:rPr>
        <w:t>7. Crisis Durations and Duty-to-Protect Triggers</w:t>
      </w:r>
    </w:p>
    <w:p>
      <w:pPr>
        <w:spacing w:after="160"/>
        <w:widowControl w:val="1"/>
      </w:pPr>
      <w:r>
        <w:rPr>
          <w:rFonts w:ascii="Arial" w:hAnsi="Arial" w:eastAsia="Arial"/>
          <w:b w:val="0"/>
          <w:i/>
          <w:color w:val="657487"/>
          <w:sz w:val="21"/>
        </w:rPr>
        <w:t>Duration rules and threat-analysis rules answer different questions</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Rule</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High-Yield Number / Trigger</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Exam Meaning</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Welfare and Institutions Code section 5150</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Up to 72 hours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Authorized detention for assessment, evaluation, crisis intervention, or placement when statutory criteria and probable cause are met.</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Section 5150 decision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Not limited to imminent harm</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The statute directs the decision-maker to consider the broader statutory framework, not only imminent danger.</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Welfare and Institutions Code section 5250</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Not more than 14 days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Further intensive treatment after 72-hour detention requires additional findings, procedures, and unwillingness/inability to accept voluntary treatment.</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Civil Code section 43.92 duty to protect</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Serious threat of physical violence against a reasonably identifiable victim</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The immunity pathway requires reasonable efforts to communicate the threat to the victim and to law enforcement.</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AF0F6"/>
            <w:tcMar>
              <w:top w:w="130" w:type="dxa"/>
              <w:start w:w="170" w:type="dxa"/>
              <w:bottom w:w="130" w:type="dxa"/>
              <w:end w:w="170" w:type="dxa"/>
            </w:tcMar>
            <w:tcBorders>
              <w:top w:val="single" w:sz="4" w:color="EAF0F6"/>
              <w:left w:val="single" w:sz="20" w:color="17325C"/>
              <w:bottom w:val="single" w:sz="4" w:color="EAF0F6"/>
              <w:right w:val="single" w:sz="4" w:color="EAF0F6"/>
            </w:tcBorders>
          </w:tcPr>
          <w:p>
            <w:pPr>
              <w:spacing w:after="60"/>
            </w:pPr>
            <w:r>
              <w:rPr>
                <w:rFonts w:ascii="Arial" w:hAnsi="Arial" w:eastAsia="Arial"/>
                <w:b/>
                <w:i w:val="0"/>
                <w:color w:val="17325C"/>
                <w:sz w:val="21"/>
              </w:rPr>
              <w:t>NO INVENTED DEADLINE</w:t>
            </w:r>
          </w:p>
          <w:p>
            <w:pPr>
              <w:spacing w:after="0"/>
            </w:pPr>
            <w:r>
              <w:rPr>
                <w:rFonts w:ascii="Arial" w:hAnsi="Arial" w:eastAsia="Arial"/>
                <w:b w:val="0"/>
                <w:i w:val="0"/>
                <w:color w:val="243447"/>
                <w:sz w:val="20"/>
              </w:rPr>
              <w:t>Civil Code section 43.92 does not create a universal “within X hours” exam rule. Focus on the seriousness and specificity of the threat, the identifiable victim, and reasonable protective efforts.</w:t>
            </w:r>
          </w:p>
        </w:tc>
      </w:tr>
    </w:tbl>
    <w:p>
      <w:pPr>
        <w:spacing w:after="0"/>
        <w:widowControl w:val="1"/>
      </w:pPr>
    </w:p>
    <w:p>
      <w:pPr>
        <w:spacing w:before="80" w:after="80"/>
        <w:widowControl w:val="1"/>
      </w:pPr>
      <w:r>
        <w:rPr>
          <w:rFonts w:ascii="Arial" w:hAnsi="Arial" w:eastAsia="Arial"/>
          <w:b/>
          <w:color w:val="159A9C"/>
          <w:sz w:val="26"/>
        </w:rPr>
        <w:t>Sequence Reminder</w:t>
      </w:r>
    </w:p>
    <w:tbl>
      <w:tblPr>
        <w:tblW w:type="dxa" w:w="10080"/>
        <w:tblLayout w:type="fixed"/>
        <w:tblLook w:firstColumn="1" w:firstRow="1" w:lastColumn="0" w:lastRow="0" w:noHBand="0" w:noVBand="1" w:val="04A0"/>
        <w:jc w:val="left"/>
        <w:tblInd w:type="dxa" w:w="0"/>
      </w:tblPr>
      <w:tblGrid>
        <w:gridCol w:w="2520"/>
        <w:gridCol w:w="2520"/>
        <w:gridCol w:w="2520"/>
        <w:gridCol w:w="2520"/>
      </w:tblGrid>
      <w:tr>
        <w:trPr>
          <w:tblHeader w:val="true"/>
          <w:cantSplit/>
        </w:trPr>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Assess</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Protect</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Use Authority</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Document</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Danger, grave disability, facts, means, context</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Use proportionate immediate safety action</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Know who may initiate detention and what criteria apply</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Record facts, consultation, actions, and rationale</w:t>
            </w:r>
          </w:p>
        </w:tc>
      </w:tr>
    </w:tbl>
    <w:p>
      <w:pPr>
        <w:spacing w:after="0"/>
        <w:widowControl w:val="1"/>
      </w:pP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California Welfare and Institutions Code sections 5150 and 5250; California Civil Code section 43.92.</w:t>
      </w:r>
    </w:p>
    <w:p>
      <w:pPr>
        <w:widowControl w:val="1"/>
      </w:pPr>
      <w:r>
        <w:br w:type="page"/>
      </w:r>
    </w:p>
    <w:p>
      <w:pPr>
        <w:spacing w:before="0" w:after="80"/>
        <w:pBdr>
          <w:bottom w:val="single" w:sz="12" w:space="4" w:color="159A9C"/>
        </w:pBdr>
        <w:widowControl w:val="1"/>
      </w:pPr>
      <w:r>
        <w:rPr>
          <w:rFonts w:ascii="Arial" w:hAnsi="Arial" w:eastAsia="Arial"/>
          <w:b/>
          <w:color w:val="17325C"/>
          <w:sz w:val="36"/>
        </w:rPr>
        <w:t>8. Telehealth Frequency Triggers</w:t>
      </w:r>
    </w:p>
    <w:p>
      <w:pPr>
        <w:spacing w:after="160"/>
        <w:widowControl w:val="1"/>
      </w:pPr>
      <w:r>
        <w:rPr>
          <w:rFonts w:ascii="Arial" w:hAnsi="Arial" w:eastAsia="Arial"/>
          <w:b w:val="0"/>
          <w:i/>
          <w:color w:val="657487"/>
          <w:sz w:val="21"/>
        </w:rPr>
        <w:t>Separate initiation duties from each-session duties</w:t>
      </w:r>
    </w:p>
    <w:tbl>
      <w:tblPr>
        <w:tblW w:type="dxa" w:w="10080"/>
        <w:tblLayout w:type="fixed"/>
        <w:tblLook w:firstColumn="1" w:firstRow="1" w:lastColumn="0" w:lastRow="0" w:noHBand="0" w:noVBand="1" w:val="04A0"/>
        <w:jc w:val="left"/>
        <w:tblInd w:type="dxa" w:w="0"/>
      </w:tblPr>
      <w:tblGrid>
        <w:gridCol w:w="5040"/>
        <w:gridCol w:w="5040"/>
      </w:tblGrid>
      <w:tr>
        <w:trPr>
          <w:tblHeader w:val="true"/>
          <w:cantSplit/>
        </w:trPr>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When</w:t>
            </w:r>
          </w:p>
        </w:tc>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Required Action</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Upon initiation of telehealth services</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Obtain and document informed consent; discuss risks and limitations; provide license/registration information; document reasonable efforts to identify relevant local resources, including emergency services.</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At the beginning of each telehealth session</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Verbally obtain and document the client’s full name and address of present location.</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Each time telehealth is provided</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Assess whether the client and the session remain appropriate for telehealth, considering current psychosocial circumstances.</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Each session / ongoing</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Use privacy, confidentiality, security, and safety practices appropriate to the communication medium.</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Client is in another jurisdiction</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Confirm that the California licensee or registrant may lawfully provide services in that jurisdiction and that telehealth is allowed there.</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TRIGGER WORD</w:t>
            </w:r>
          </w:p>
          <w:p>
            <w:pPr>
              <w:spacing w:after="0"/>
            </w:pPr>
            <w:r>
              <w:rPr>
                <w:rFonts w:ascii="Arial" w:hAnsi="Arial" w:eastAsia="Arial"/>
                <w:b w:val="0"/>
                <w:i w:val="0"/>
                <w:color w:val="243447"/>
                <w:sz w:val="20"/>
              </w:rPr>
              <w:t>“Each” is the high-yield word. Intake consent does not replace present-location verification and appropriateness assessment at later sessions.</w:t>
            </w:r>
          </w:p>
        </w:tc>
      </w:tr>
    </w:tbl>
    <w:p>
      <w:pPr>
        <w:spacing w:after="0"/>
        <w:widowControl w:val="1"/>
      </w:pPr>
    </w:p>
    <w:p>
      <w:pPr>
        <w:spacing w:before="80" w:after="80"/>
        <w:widowControl w:val="1"/>
      </w:pPr>
      <w:r>
        <w:rPr>
          <w:rFonts w:ascii="Arial" w:hAnsi="Arial" w:eastAsia="Arial"/>
          <w:b/>
          <w:color w:val="159A9C"/>
          <w:sz w:val="26"/>
        </w:rPr>
        <w:t>Rapid Recall</w:t>
      </w:r>
    </w:p>
    <w:tbl>
      <w:tblPr>
        <w:tblW w:type="dxa" w:w="10080"/>
        <w:tblLayout w:type="fixed"/>
        <w:tblLook w:firstColumn="1" w:firstRow="1" w:lastColumn="0" w:lastRow="0" w:noHBand="0" w:noVBand="1" w:val="04A0"/>
        <w:jc w:val="left"/>
        <w:tblInd w:type="dxa" w:w="0"/>
      </w:tblPr>
      <w:tblGrid>
        <w:gridCol w:w="5040"/>
        <w:gridCol w:w="5040"/>
      </w:tblGrid>
      <w:tr>
        <w:trPr>
          <w:tblHeader w:val="true"/>
          <w:cantSplit/>
        </w:trPr>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Initiation</w:t>
            </w:r>
          </w:p>
        </w:tc>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Each Session</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Consent • risks/limits • credential • local emergency resources</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Full name • present address • appropriateness • privacy/security/safety</w:t>
            </w:r>
          </w:p>
        </w:tc>
      </w:tr>
    </w:tbl>
    <w:p>
      <w:pPr>
        <w:spacing w:after="0"/>
        <w:widowControl w:val="1"/>
      </w:pP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California Code of Regulations, title 16, section 1815.5; BBS Providing Mental Health Services via Telehealth guidance reviewed August 2026.</w:t>
      </w:r>
    </w:p>
    <w:p>
      <w:pPr>
        <w:widowControl w:val="1"/>
      </w:pPr>
      <w:r>
        <w:br w:type="page"/>
      </w:r>
    </w:p>
    <w:p>
      <w:pPr>
        <w:spacing w:before="0" w:after="80"/>
        <w:pBdr>
          <w:bottom w:val="single" w:sz="12" w:space="4" w:color="159A9C"/>
        </w:pBdr>
        <w:widowControl w:val="1"/>
      </w:pPr>
      <w:r>
        <w:rPr>
          <w:rFonts w:ascii="Arial" w:hAnsi="Arial" w:eastAsia="Arial"/>
          <w:b/>
          <w:color w:val="17325C"/>
          <w:sz w:val="36"/>
        </w:rPr>
        <w:t>9. Records: Access, Copies, and Retention</w:t>
      </w:r>
    </w:p>
    <w:p>
      <w:pPr>
        <w:spacing w:after="160"/>
        <w:widowControl w:val="1"/>
      </w:pPr>
      <w:r>
        <w:rPr>
          <w:rFonts w:ascii="Arial" w:hAnsi="Arial" w:eastAsia="Arial"/>
          <w:b w:val="0"/>
          <w:i/>
          <w:color w:val="657487"/>
          <w:sz w:val="21"/>
        </w:rPr>
        <w:t>Different numbers answer different record questions</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Question</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Number</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Rule</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When must inspection be permitted after a valid request?</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Within 5 working days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Subject to statutory exceptions and reasonable conditions.</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When must requested copies be transmitted?</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Within 15 days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Applies to records the patient or representative has a right to inspect, with applicable form, format, and fee rules.</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How long must an LCSW retain an adult client’s health-service records?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Minimum 7 years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Measured from the date therapy is terminated.</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How long must an LCSW retain a minor client’s records?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Minimum 7 years after age 18</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The retention period is measured from the date the client reaches 18.</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AF0F6"/>
            <w:tcMar>
              <w:top w:w="130" w:type="dxa"/>
              <w:start w:w="170" w:type="dxa"/>
              <w:bottom w:w="130" w:type="dxa"/>
              <w:end w:w="170" w:type="dxa"/>
            </w:tcMar>
            <w:tcBorders>
              <w:top w:val="single" w:sz="4" w:color="EAF0F6"/>
              <w:left w:val="single" w:sz="20" w:color="17325C"/>
              <w:bottom w:val="single" w:sz="4" w:color="EAF0F6"/>
              <w:right w:val="single" w:sz="4" w:color="EAF0F6"/>
            </w:tcBorders>
          </w:tcPr>
          <w:p>
            <w:pPr>
              <w:spacing w:after="60"/>
            </w:pPr>
            <w:r>
              <w:rPr>
                <w:rFonts w:ascii="Arial" w:hAnsi="Arial" w:eastAsia="Arial"/>
                <w:b/>
                <w:i w:val="0"/>
                <w:color w:val="17325C"/>
                <w:sz w:val="21"/>
              </w:rPr>
              <w:t>EXAM TRAP</w:t>
            </w:r>
          </w:p>
          <w:p>
            <w:pPr>
              <w:spacing w:after="0"/>
            </w:pPr>
            <w:r>
              <w:rPr>
                <w:rFonts w:ascii="Arial" w:hAnsi="Arial" w:eastAsia="Arial"/>
                <w:b w:val="0"/>
                <w:i w:val="0"/>
                <w:color w:val="243447"/>
                <w:sz w:val="20"/>
              </w:rPr>
              <w:t>Do not use the seven-year retention rule to answer a records-access deadline question. Identify whether the stem asks about inspection, copies, or retention.</w:t>
            </w:r>
          </w:p>
        </w:tc>
      </w:tr>
    </w:tbl>
    <w:p>
      <w:pPr>
        <w:spacing w:after="0"/>
        <w:widowControl w:val="1"/>
      </w:pPr>
    </w:p>
    <w:p>
      <w:pPr>
        <w:spacing w:before="80" w:after="80"/>
        <w:widowControl w:val="1"/>
      </w:pPr>
      <w:r>
        <w:rPr>
          <w:rFonts w:ascii="Arial" w:hAnsi="Arial" w:eastAsia="Arial"/>
          <w:b/>
          <w:color w:val="159A9C"/>
          <w:sz w:val="26"/>
        </w:rPr>
        <w:t>Unpaid Balance Rule</w:t>
      </w:r>
    </w:p>
    <w:p>
      <w:pPr>
        <w:pStyle w:val="ListBullet"/>
        <w:spacing w:after="60"/>
        <w:ind w:left="259" w:hanging="173"/>
        <w:widowControl w:val="1"/>
      </w:pPr>
      <w:r>
        <w:rPr>
          <w:rFonts w:ascii="Arial" w:hAnsi="Arial" w:eastAsia="Arial"/>
          <w:b w:val="0"/>
          <w:i w:val="0"/>
          <w:color w:val="243447"/>
          <w:sz w:val="21"/>
        </w:rPr>
        <w:t>A provider may not withhold patient records or summaries because of an unpaid bill for health-care services.</w:t>
      </w:r>
    </w:p>
    <w:p>
      <w:pPr>
        <w:spacing w:before="80" w:after="0"/>
        <w:widowControl w:val="1"/>
      </w:pPr>
      <w:r>
        <w:rPr>
          <w:rFonts w:ascii="Arial" w:hAnsi="Arial" w:eastAsia="Arial"/>
          <w:b/>
          <w:i w:val="0"/>
          <w:color w:val="657487"/>
          <w:sz w:val="15"/>
        </w:rPr>
        <w:t>SOURCE ANCHOR: California Health and Safety Code section 123110; Business and Professions Code section 4993; BBS Statutes and Regulations effective January 1, 2026; reviewed August 7, 2026.</w:t>
      </w:r>
      <w:r>
        <w:rPr>
          <w:rFonts w:ascii="Arial" w:hAnsi="Arial" w:eastAsia="Arial"/>
          <w:b w:val="0"/>
          <w:i w:val="0"/>
          <w:color w:val="657487"/>
          <w:sz w:val="15"/>
        </w:rPr>
      </w:r>
    </w:p>
    <w:p>
      <w:pPr>
        <w:widowControl w:val="1"/>
      </w:pPr>
      <w:r>
        <w:br w:type="page"/>
      </w:r>
    </w:p>
    <w:p>
      <w:pPr>
        <w:spacing w:before="0" w:after="80"/>
        <w:pBdr>
          <w:bottom w:val="single" w:sz="12" w:space="4" w:color="159A9C"/>
        </w:pBdr>
        <w:widowControl w:val="1"/>
      </w:pPr>
      <w:r>
        <w:rPr>
          <w:rFonts w:ascii="Arial" w:hAnsi="Arial" w:eastAsia="Arial"/>
          <w:b/>
          <w:color w:val="17325C"/>
          <w:sz w:val="36"/>
        </w:rPr>
        <w:t>10. Exam and ASW Pathway Logistics Numbers</w:t>
      </w:r>
    </w:p>
    <w:p>
      <w:pPr>
        <w:spacing w:after="160"/>
        <w:widowControl w:val="1"/>
      </w:pPr>
      <w:r>
        <w:rPr>
          <w:rFonts w:ascii="Arial" w:hAnsi="Arial" w:eastAsia="Arial"/>
          <w:b w:val="0"/>
          <w:i/>
          <w:color w:val="657487"/>
          <w:sz w:val="21"/>
        </w:rPr>
        <w:t>Use the current handbook—not old screenshots or memory</w:t>
      </w:r>
    </w:p>
    <w:tbl>
      <w:tblPr>
        <w:tblW w:type="dxa" w:w="10080"/>
        <w:tblLayout w:type="fixed"/>
        <w:tblLook w:firstColumn="1" w:firstRow="1" w:lastColumn="0" w:lastRow="0" w:noHBand="0" w:noVBand="1" w:val="04A0"/>
        <w:jc w:val="left"/>
        <w:tblInd w:type="dxa" w:w="0"/>
      </w:tblPr>
      <w:tblGrid>
        <w:gridCol w:w="5040"/>
        <w:gridCol w:w="5040"/>
      </w:tblGrid>
      <w:tr>
        <w:trPr>
          <w:tblHeader w:val="true"/>
          <w:cantSplit/>
        </w:trPr>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Task</w:t>
            </w:r>
          </w:p>
        </w:tc>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Current Number / Rule</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Make an examination reservation</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At least 24 hours in advance, subject to availability.</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Recommended scheduling lead time</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Four to six weeks ahead for best choice of location, date, and time.</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Cancel or reschedule without penalty</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At least 48 hours before the examination.</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Arrive at the test center</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At least 30 minutes before the examination begins.</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Identification</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Two current signature IDs; primary must be government-issued, photo-bearing, and signed.</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Possible excused-absence request</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Contact Pearson within 14 days of the examination date and provide supporting documentation.</w:t>
            </w:r>
          </w:p>
        </w:tc>
      </w:tr>
      <w:tr>
        <w:tc>
          <w:tcPr>
            <w:tcW w:type="dxa" w:w="5040"/>
          </w:tcPr>
          <w:p>
            <w:r>
              <w:t>Unsuccessful LCSW Law and Ethics attempt</w:t>
            </w:r>
          </w:p>
        </w:tc>
        <w:tc>
          <w:tcPr>
            <w:tcW w:type="dxa" w:w="5040"/>
          </w:tcPr>
          <w:p>
            <w:r>
              <w:t>Wait at least 90 days before re-testing.</w:t>
            </w:r>
          </w:p>
        </w:tc>
      </w:tr>
      <w:tr>
        <w:tc>
          <w:tcPr>
            <w:tcW w:type="dxa" w:w="5040"/>
          </w:tcPr>
          <w:p>
            <w:r>
              <w:t>ASW registration renewal while Law and Ethics is not yet passed</w:t>
            </w:r>
          </w:p>
        </w:tc>
        <w:tc>
          <w:tcPr>
            <w:tcW w:type="dxa" w:w="5040"/>
          </w:tcPr>
          <w:p>
            <w:r>
              <w:t>Take the California Law and Ethics Exam at least once during each renewal period; passing is required before a subsequent ASW registration.</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NAME MATCH</w:t>
            </w:r>
          </w:p>
          <w:p>
            <w:pPr>
              <w:spacing w:after="0"/>
            </w:pPr>
            <w:r>
              <w:rPr>
                <w:rFonts w:ascii="Arial" w:hAnsi="Arial" w:eastAsia="Arial"/>
                <w:b w:val="0"/>
                <w:i w:val="0"/>
                <w:color w:val="243447"/>
                <w:sz w:val="20"/>
              </w:rPr>
              <w:t>The first and last names on the exam authorization must exactly match the identification presented. A mismatch can result in denial of admission and forfeiture of the exam fee.</w:t>
            </w:r>
          </w:p>
        </w:tc>
      </w:tr>
    </w:tbl>
    <w:p>
      <w:pPr>
        <w:spacing w:after="0"/>
        <w:widowControl w:val="1"/>
      </w:pPr>
    </w:p>
    <w:p>
      <w:pPr>
        <w:spacing w:before="80" w:after="80"/>
        <w:widowControl w:val="1"/>
      </w:pPr>
      <w:r>
        <w:rPr>
          <w:rFonts w:ascii="Arial" w:hAnsi="Arial" w:eastAsia="Arial"/>
          <w:b/>
          <w:color w:val="159A9C"/>
          <w:sz w:val="26"/>
        </w:rPr>
        <w:t>My Logistics Check</w:t>
      </w:r>
    </w:p>
    <w:tbl>
      <w:tblPr>
        <w:tblW w:type="dxa" w:w="10080"/>
        <w:tblLayout w:type="fixed"/>
        <w:tblLook w:firstColumn="1" w:firstRow="1" w:lastColumn="0" w:lastRow="0" w:noHBand="0" w:noVBand="1" w:val="04A0"/>
        <w:jc w:val="left"/>
        <w:tblInd w:type="dxa" w:w="0"/>
      </w:tblPr>
      <w:tblGrid>
        <w:gridCol w:w="5040"/>
        <w:gridCol w:w="5040"/>
      </w:tblGrid>
      <w:tr>
        <w:trPr>
          <w:tblHeader w:val="true"/>
          <w:cantSplit/>
        </w:trPr>
        <w:tc>
          <w:tcPr>
            <w:tcW w:type="dxa" w:w="5040"/>
            <w:shd w:fill="159A9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Review Item</w:t>
            </w:r>
          </w:p>
        </w:tc>
        <w:tc>
          <w:tcPr>
            <w:tcW w:type="dxa" w:w="5040"/>
            <w:shd w:fill="159A9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Review Item</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Reservation confirmed</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Route checked</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Arrival set 30 minutes early</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Primary ID ready</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Secondary ID ready</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8"/>
              </w:rPr>
              <w:t>☐ Name match verified</w:t>
            </w:r>
          </w:p>
        </w:tc>
      </w:tr>
    </w:tbl>
    <w:p>
      <w:pPr>
        <w:spacing w:after="0"/>
        <w:widowControl w:val="1"/>
      </w:pPr>
    </w:p>
    <w:p>
      <w:pPr>
        <w:spacing w:before="80" w:after="0"/>
        <w:widowControl w:val="1"/>
      </w:pPr>
      <w:r>
        <w:rPr>
          <w:rFonts w:ascii="Arial" w:hAnsi="Arial" w:eastAsia="Arial"/>
          <w:b/>
          <w:i w:val="0"/>
          <w:color w:val="657487"/>
          <w:sz w:val="15"/>
        </w:rPr>
        <w:t>SOURCE ANCHOR: Pearson VUE California BBS Candidate Handbook and California BBS LCSW applicant/examination guidance, reviewed August 7, 2026.</w:t>
      </w:r>
      <w:r>
        <w:rPr>
          <w:rFonts w:ascii="Arial" w:hAnsi="Arial" w:eastAsia="Arial"/>
          <w:b w:val="0"/>
          <w:i w:val="0"/>
          <w:color w:val="657487"/>
          <w:sz w:val="15"/>
        </w:rPr>
      </w:r>
    </w:p>
    <w:p>
      <w:pPr>
        <w:widowControl w:val="1"/>
      </w:pPr>
      <w:r>
        <w:br w:type="page"/>
      </w:r>
    </w:p>
    <w:p>
      <w:pPr>
        <w:spacing w:before="0" w:after="80"/>
        <w:pBdr>
          <w:bottom w:val="single" w:sz="12" w:space="4" w:color="159A9C"/>
        </w:pBdr>
        <w:widowControl w:val="1"/>
      </w:pPr>
      <w:r>
        <w:rPr>
          <w:rFonts w:ascii="Arial" w:hAnsi="Arial" w:eastAsia="Arial"/>
          <w:b/>
          <w:color w:val="17325C"/>
          <w:sz w:val="36"/>
        </w:rPr>
        <w:t>11. Trigger-Word Decoder</w:t>
      </w:r>
    </w:p>
    <w:p>
      <w:pPr>
        <w:spacing w:after="160"/>
        <w:widowControl w:val="1"/>
      </w:pPr>
      <w:r>
        <w:rPr>
          <w:rFonts w:ascii="Arial" w:hAnsi="Arial" w:eastAsia="Arial"/>
          <w:b w:val="0"/>
          <w:i/>
          <w:color w:val="657487"/>
          <w:sz w:val="21"/>
        </w:rPr>
        <w:t>Timing language tells you how quickly and in what sequence to act</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Trigger Word or Phrase</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Meaning on the Exam</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Common Error</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Immediately</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Act without avoidable delay once the threshold is met.</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Waiting for the next session or for proof.</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As soon as practicably possible</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Act promptly while recognizing real-world ability to complete the act.</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Treating it as permission for routine delay.</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Within 36 hours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deadline tied to the child-abuse written follow-up.</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Applying it to the initial telephone report.</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Within two working days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General elder/dependent-adult written or internet follow-up after a telephone report.</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Ignoring setting-specific shorter rules.</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At the beginning of each session</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recurring telehealth location/identity requirement.</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Documenting only at intake.</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Up to / not more than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maximum duration, not an automatic full duration.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Assuming the person must remain for the full period.</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Minimum</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The shortest legally required retention period.</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Treating it as a mandatory destruction date.</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Unless inappropriate</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default with a documented exception analysis.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Treating the exception as automatic.</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AF0F6"/>
            <w:tcMar>
              <w:top w:w="130" w:type="dxa"/>
              <w:start w:w="170" w:type="dxa"/>
              <w:bottom w:w="130" w:type="dxa"/>
              <w:end w:w="170" w:type="dxa"/>
            </w:tcMar>
            <w:tcBorders>
              <w:top w:val="single" w:sz="4" w:color="EAF0F6"/>
              <w:left w:val="single" w:sz="20" w:color="17325C"/>
              <w:bottom w:val="single" w:sz="4" w:color="EAF0F6"/>
              <w:right w:val="single" w:sz="4" w:color="EAF0F6"/>
            </w:tcBorders>
          </w:tcPr>
          <w:p>
            <w:pPr>
              <w:spacing w:after="60"/>
            </w:pPr>
            <w:r>
              <w:rPr>
                <w:rFonts w:ascii="Arial" w:hAnsi="Arial" w:eastAsia="Arial"/>
                <w:b/>
                <w:i w:val="0"/>
                <w:color w:val="17325C"/>
                <w:sz w:val="21"/>
              </w:rPr>
              <w:t>LANGUAGE MATTERS</w:t>
            </w:r>
          </w:p>
          <w:p>
            <w:pPr>
              <w:spacing w:after="0"/>
            </w:pPr>
            <w:r>
              <w:rPr>
                <w:rFonts w:ascii="Arial" w:hAnsi="Arial" w:eastAsia="Arial"/>
                <w:b w:val="0"/>
                <w:i w:val="0"/>
                <w:color w:val="243447"/>
                <w:sz w:val="20"/>
              </w:rPr>
              <w:t>Words such as must, may, generally, should, minimum, and up to are not interchangeable. The exam often turns on whether the response preserves the correct level of legal certainty.</w:t>
            </w:r>
          </w:p>
        </w:tc>
      </w:tr>
    </w:tbl>
    <w:p>
      <w:pPr>
        <w:spacing w:after="0"/>
        <w:widowControl w:val="1"/>
      </w:pPr>
    </w:p>
    <w:p>
      <w:pPr>
        <w:spacing w:before="80" w:after="0"/>
        <w:widowControl w:val="1"/>
      </w:pPr>
      <w:r>
        <w:rPr>
          <w:rFonts w:ascii="Arial" w:hAnsi="Arial" w:eastAsia="Arial"/>
          <w:b/>
          <w:i w:val="0"/>
          <w:color w:val="657487"/>
          <w:sz w:val="15"/>
        </w:rPr>
        <w:t>SOURCE ANCHOR: CTA LCSW Law &amp; Ethics Flashcard Study Center Master v1.0 and the current California authorities summarized in this toolkit.</w:t>
      </w:r>
      <w:r>
        <w:rPr>
          <w:rFonts w:ascii="Arial" w:hAnsi="Arial" w:eastAsia="Arial"/>
          <w:b w:val="0"/>
          <w:i w:val="0"/>
          <w:color w:val="657487"/>
          <w:sz w:val="15"/>
        </w:rPr>
      </w:r>
    </w:p>
    <w:p>
      <w:pPr>
        <w:widowControl w:val="1"/>
      </w:pPr>
      <w:r>
        <w:br w:type="page"/>
      </w:r>
    </w:p>
    <w:p>
      <w:pPr>
        <w:spacing w:before="0" w:after="80"/>
        <w:pBdr>
          <w:bottom w:val="single" w:sz="12" w:space="4" w:color="159A9C"/>
        </w:pBdr>
        <w:widowControl w:val="1"/>
      </w:pPr>
      <w:r>
        <w:rPr>
          <w:rFonts w:ascii="Arial" w:hAnsi="Arial" w:eastAsia="Arial"/>
          <w:b/>
          <w:color w:val="17325C"/>
          <w:sz w:val="36"/>
        </w:rPr>
        <w:t>12. Numbers That Are Not Universal Rules</w:t>
      </w:r>
    </w:p>
    <w:p>
      <w:pPr>
        <w:spacing w:after="160"/>
        <w:widowControl w:val="1"/>
      </w:pPr>
      <w:r>
        <w:rPr>
          <w:rFonts w:ascii="Arial" w:hAnsi="Arial" w:eastAsia="Arial"/>
          <w:b w:val="0"/>
          <w:i/>
          <w:color w:val="657487"/>
          <w:sz w:val="21"/>
        </w:rPr>
        <w:t>Reject answer choices that manufacture false precision</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Topic</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Do Not Memorize as Universal</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Use This Reasoning Instead</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Termination notice</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fixed two-, three-, or four-week notice period</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Provide reasonable, clinically appropriate notice and continuity planning based on risk, setting, agreements, and available options.</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Referrals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Exactly three referrals in every termination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Provide appropriate, realistic continuity options; the required number depends on context and governing standards.</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Client gifts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universal dollar threshold</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Assess value, meaning, culture, timing, exploitation risk, objectivity, and therapeutic impact.</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Subpoenas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single automatic release or response formula</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Review authorization, privilege, legal authority, deadlines, objections, and consultation needs.</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Consultation</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fixed number of consultations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Consult when complexity, competence, risk, or uncertainty warrants it; consultation does not transfer responsibility.</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Documentation length</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fixed number of sentences or pages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Document the clinically and legally material facts, reasoning, actions, and follow-up.</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EXAM TRAP</w:t>
            </w:r>
          </w:p>
          <w:p>
            <w:pPr>
              <w:spacing w:after="0"/>
            </w:pPr>
            <w:r>
              <w:rPr>
                <w:rFonts w:ascii="Arial" w:hAnsi="Arial" w:eastAsia="Arial"/>
                <w:b w:val="0"/>
                <w:i w:val="0"/>
                <w:color w:val="243447"/>
                <w:sz w:val="20"/>
              </w:rPr>
              <w:t>An answer can sound practical yet still be wrong because it invents a rigid number. Prefer the option that identifies the governing factors and proportionate action.</w:t>
            </w:r>
          </w:p>
        </w:tc>
      </w:tr>
    </w:tbl>
    <w:p>
      <w:pPr>
        <w:spacing w:after="0"/>
        <w:widowControl w:val="1"/>
      </w:pPr>
    </w:p>
    <w:p>
      <w:pPr>
        <w:spacing w:before="80" w:after="0"/>
        <w:widowControl w:val="1"/>
      </w:pPr>
      <w:r>
        <w:rPr>
          <w:rFonts w:ascii="Arial" w:hAnsi="Arial" w:eastAsia="Arial"/>
          <w:b/>
          <w:i w:val="0"/>
          <w:color w:val="657487"/>
          <w:sz w:val="15"/>
        </w:rPr>
        <w:t xml:space="preserve">SOURCE ANCHOR: </w:t>
      </w:r>
      <w:r>
        <w:rPr>
          <w:rFonts w:ascii="Arial" w:hAnsi="Arial" w:eastAsia="Arial"/>
          <w:b w:val="0"/>
          <w:i w:val="0"/>
          <w:color w:val="657487"/>
          <w:sz w:val="15"/>
        </w:rPr>
        <w:t>CTA High-Yield Law and Ethics Decision Guides; current statutes and Board guidance; corrected boundaries from the draft Audio Case-Studies resource.</w:t>
      </w:r>
    </w:p>
    <w:p>
      <w:pPr>
        <w:widowControl w:val="1"/>
      </w:pPr>
      <w:r>
        <w:br w:type="page"/>
      </w:r>
    </w:p>
    <w:p>
      <w:pPr>
        <w:spacing w:before="0" w:after="80"/>
        <w:pBdr>
          <w:bottom w:val="single" w:sz="12" w:space="4" w:color="159A9C"/>
        </w:pBdr>
        <w:widowControl w:val="1"/>
      </w:pPr>
      <w:r>
        <w:rPr>
          <w:rFonts w:ascii="Arial" w:hAnsi="Arial" w:eastAsia="Arial"/>
          <w:b/>
          <w:color w:val="17325C"/>
          <w:sz w:val="36"/>
        </w:rPr>
        <w:t>13. Timeline Sorting Drill</w:t>
      </w:r>
    </w:p>
    <w:p>
      <w:pPr>
        <w:spacing w:after="160"/>
        <w:widowControl w:val="1"/>
      </w:pPr>
      <w:r>
        <w:rPr>
          <w:rFonts w:ascii="Arial" w:hAnsi="Arial" w:eastAsia="Arial"/>
          <w:b w:val="0"/>
          <w:i/>
          <w:color w:val="657487"/>
          <w:sz w:val="21"/>
        </w:rPr>
        <w:t>Write the rule before checking the answer key</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Scenario</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My Timing / Number</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Why It Applies</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clinician reasonably suspects child neglect during a session.</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An outpatient social worker telephones an elder-abuse report.</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mature 13-year-old seeks self-consented outpatient therapy.</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telehealth client logs in from a different location.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An adult client requests to inspect records.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An adult client requests copies of records.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An LCSW closes an adult client’s file at termination.</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person meets criteria for an initial involuntary detention.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A person requires further intensive treatment after the initial detention.</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________________________________________</w:t>
            </w:r>
          </w:p>
        </w:tc>
      </w:tr>
    </w:tbl>
    <w:p>
      <w:pPr>
        <w:spacing w:after="0"/>
        <w:widowControl w:val="1"/>
      </w:pP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AF0F6"/>
            <w:tcMar>
              <w:top w:w="130" w:type="dxa"/>
              <w:start w:w="170" w:type="dxa"/>
              <w:bottom w:w="130" w:type="dxa"/>
              <w:end w:w="170" w:type="dxa"/>
            </w:tcMar>
            <w:tcBorders>
              <w:top w:val="single" w:sz="4" w:color="EAF0F6"/>
              <w:left w:val="single" w:sz="20" w:color="17325C"/>
              <w:bottom w:val="single" w:sz="4" w:color="EAF0F6"/>
              <w:right w:val="single" w:sz="4" w:color="EAF0F6"/>
            </w:tcBorders>
          </w:tcPr>
          <w:p>
            <w:pPr>
              <w:spacing w:after="60"/>
            </w:pPr>
            <w:r>
              <w:rPr>
                <w:rFonts w:ascii="Arial" w:hAnsi="Arial" w:eastAsia="Arial"/>
                <w:b/>
                <w:i w:val="0"/>
                <w:color w:val="17325C"/>
                <w:sz w:val="21"/>
              </w:rPr>
              <w:t>SCORING</w:t>
            </w:r>
          </w:p>
          <w:p>
            <w:pPr>
              <w:spacing w:after="0"/>
            </w:pPr>
            <w:r>
              <w:rPr>
                <w:rFonts w:ascii="Arial" w:hAnsi="Arial" w:eastAsia="Arial"/>
                <w:b w:val="0"/>
                <w:i w:val="0"/>
                <w:color w:val="243447"/>
                <w:sz w:val="20"/>
              </w:rPr>
              <w:t>Award one point for the correct number or timing phrase and one point for the correct trigger or limitation. A correct number without the correct trigger earns only partial credit.</w:t>
            </w:r>
          </w:p>
        </w:tc>
      </w:tr>
    </w:tbl>
    <w:p>
      <w:pPr>
        <w:spacing w:after="0"/>
        <w:widowControl w:val="1"/>
      </w:pPr>
    </w:p>
    <w:p>
      <w:pPr>
        <w:widowControl w:val="1"/>
      </w:pPr>
      <w:r>
        <w:br w:type="page"/>
      </w:r>
    </w:p>
    <w:p>
      <w:pPr>
        <w:spacing w:before="0" w:after="80"/>
        <w:pBdr>
          <w:bottom w:val="single" w:sz="12" w:space="4" w:color="159A9C"/>
        </w:pBdr>
        <w:widowControl w:val="1"/>
      </w:pPr>
      <w:r>
        <w:rPr>
          <w:rFonts w:ascii="Arial" w:hAnsi="Arial" w:eastAsia="Arial"/>
          <w:b/>
          <w:color w:val="17325C"/>
          <w:sz w:val="36"/>
        </w:rPr>
        <w:t>14. Rapid Self-Test</w:t>
      </w:r>
    </w:p>
    <w:p>
      <w:pPr>
        <w:spacing w:after="160"/>
        <w:widowControl w:val="1"/>
      </w:pPr>
      <w:r>
        <w:rPr>
          <w:rFonts w:ascii="Arial" w:hAnsi="Arial" w:eastAsia="Arial"/>
          <w:b w:val="0"/>
          <w:i/>
          <w:color w:val="657487"/>
          <w:sz w:val="21"/>
        </w:rPr>
        <w:t>Circle or write the best response without using the reference pages</w:t>
      </w:r>
    </w:p>
    <w:p>
      <w:pPr>
        <w:spacing w:after="100"/>
        <w:widowControl w:val="1"/>
      </w:pPr>
      <w:r>
        <w:rPr>
          <w:rFonts w:ascii="Arial" w:hAnsi="Arial" w:eastAsia="Arial"/>
          <w:b w:val="0"/>
          <w:i w:val="0"/>
          <w:color w:val="243447"/>
          <w:sz w:val="19"/>
        </w:rPr>
        <w:t>1. How many total questions are presented on the current LCSW Law and Ethics Examination? __________</w:t>
      </w:r>
    </w:p>
    <w:p>
      <w:pPr>
        <w:spacing w:after="100"/>
        <w:widowControl w:val="1"/>
      </w:pPr>
      <w:r>
        <w:rPr>
          <w:rFonts w:ascii="Arial" w:hAnsi="Arial" w:eastAsia="Arial"/>
          <w:b w:val="0"/>
          <w:i w:val="0"/>
          <w:color w:val="243447"/>
          <w:sz w:val="19"/>
        </w:rPr>
        <w:t>2. How many are scored? __________  How many are unscored pretest questions? __________</w:t>
      </w:r>
    </w:p>
    <w:p>
      <w:pPr>
        <w:spacing w:after="100"/>
        <w:widowControl w:val="1"/>
      </w:pPr>
      <w:r>
        <w:rPr>
          <w:rFonts w:ascii="Arial" w:hAnsi="Arial" w:eastAsia="Arial"/>
          <w:b w:val="0"/>
          <w:i w:val="0"/>
          <w:color w:val="243447"/>
          <w:sz w:val="19"/>
        </w:rPr>
        <w:t>3. How much time is allotted? __________</w:t>
      </w:r>
    </w:p>
    <w:p>
      <w:pPr>
        <w:spacing w:after="100"/>
        <w:widowControl w:val="1"/>
      </w:pPr>
      <w:r>
        <w:rPr>
          <w:rFonts w:ascii="Arial" w:hAnsi="Arial" w:eastAsia="Arial"/>
          <w:b w:val="0"/>
          <w:i w:val="0"/>
          <w:color w:val="243447"/>
          <w:sz w:val="19"/>
        </w:rPr>
        <w:t>4. Which domain is larger: Law or Ethics? __________  What percentage? __________</w:t>
      </w:r>
    </w:p>
    <w:p>
      <w:pPr>
        <w:spacing w:after="100"/>
        <w:widowControl w:val="1"/>
      </w:pPr>
      <w:r>
        <w:rPr>
          <w:rFonts w:ascii="Arial" w:hAnsi="Arial" w:eastAsia="Arial"/>
          <w:b w:val="0"/>
          <w:i w:val="0"/>
          <w:color w:val="243447"/>
          <w:sz w:val="19"/>
        </w:rPr>
        <w:t>5. At what age may a minor potentially self-consent under Health and Safety Code section 124260? __________</w:t>
      </w:r>
    </w:p>
    <w:p>
      <w:pPr>
        <w:spacing w:after="100"/>
        <w:widowControl w:val="1"/>
      </w:pPr>
      <w:r>
        <w:rPr>
          <w:rFonts w:ascii="Arial" w:hAnsi="Arial" w:eastAsia="Arial"/>
          <w:b w:val="0"/>
          <w:i w:val="0"/>
          <w:color w:val="243447"/>
          <w:sz w:val="19"/>
        </w:rPr>
        <w:t>6. When is the child-abuse initial report made? ____________________________________________</w:t>
      </w:r>
    </w:p>
    <w:p>
      <w:pPr>
        <w:spacing w:after="100"/>
        <w:widowControl w:val="1"/>
      </w:pPr>
      <w:r>
        <w:rPr>
          <w:rFonts w:ascii="Arial" w:hAnsi="Arial" w:eastAsia="Arial"/>
          <w:b w:val="0"/>
          <w:i w:val="0"/>
          <w:color w:val="243447"/>
          <w:sz w:val="19"/>
        </w:rPr>
        <w:t>7. When is the child-abuse written follow-up due? __________________________________________</w:t>
      </w:r>
    </w:p>
    <w:p>
      <w:pPr>
        <w:spacing w:after="100"/>
        <w:widowControl w:val="1"/>
      </w:pPr>
      <w:r>
        <w:rPr>
          <w:rFonts w:ascii="Arial" w:hAnsi="Arial" w:eastAsia="Arial"/>
          <w:b w:val="0"/>
          <w:i w:val="0"/>
          <w:color w:val="243447"/>
          <w:sz w:val="19"/>
        </w:rPr>
        <w:t>8. After a telephone elder/dependent-adult report under the general rule, when is follow-up due? __________________</w:t>
      </w:r>
    </w:p>
    <w:p>
      <w:pPr>
        <w:spacing w:after="100"/>
        <w:widowControl w:val="1"/>
      </w:pPr>
      <w:r>
        <w:rPr>
          <w:rFonts w:ascii="Arial" w:hAnsi="Arial" w:eastAsia="Arial"/>
          <w:b w:val="0"/>
          <w:i w:val="0"/>
          <w:color w:val="243447"/>
          <w:sz w:val="19"/>
        </w:rPr>
        <w:t>9. What are the maximum durations associated with sections 5150 and 5250? ______________________________</w:t>
      </w:r>
    </w:p>
    <w:p>
      <w:pPr>
        <w:spacing w:after="100"/>
        <w:widowControl w:val="1"/>
      </w:pPr>
      <w:r>
        <w:rPr>
          <w:rFonts w:ascii="Arial" w:hAnsi="Arial" w:eastAsia="Arial"/>
          <w:b w:val="0"/>
          <w:i w:val="0"/>
          <w:color w:val="243447"/>
          <w:sz w:val="19"/>
        </w:rPr>
        <w:t>10. What information must be obtained at the beginning of each telehealth session? __________________________</w:t>
      </w:r>
    </w:p>
    <w:p>
      <w:pPr>
        <w:spacing w:after="100"/>
        <w:widowControl w:val="1"/>
      </w:pPr>
      <w:r>
        <w:rPr>
          <w:rFonts w:ascii="Arial" w:hAnsi="Arial" w:eastAsia="Arial"/>
          <w:b w:val="0"/>
          <w:i w:val="0"/>
          <w:color w:val="243447"/>
          <w:sz w:val="19"/>
        </w:rPr>
        <w:t>11. How soon must inspection of records generally be permitted? __________________</w:t>
      </w:r>
    </w:p>
    <w:p>
      <w:pPr>
        <w:spacing w:after="100"/>
        <w:widowControl w:val="1"/>
      </w:pPr>
      <w:r>
        <w:rPr>
          <w:rFonts w:ascii="Arial" w:hAnsi="Arial" w:eastAsia="Arial"/>
          <w:b w:val="0"/>
          <w:i w:val="0"/>
          <w:color w:val="243447"/>
          <w:sz w:val="19"/>
        </w:rPr>
        <w:t>12. How soon must copies generally be transmitted? __________________</w:t>
      </w:r>
    </w:p>
    <w:p>
      <w:pPr>
        <w:spacing w:after="100"/>
        <w:widowControl w:val="1"/>
      </w:pPr>
      <w:r>
        <w:rPr>
          <w:rFonts w:ascii="Arial" w:hAnsi="Arial" w:eastAsia="Arial"/>
          <w:b w:val="0"/>
          <w:i w:val="0"/>
          <w:color w:val="243447"/>
          <w:sz w:val="19"/>
        </w:rPr>
        <w:t>13. What is the minimum adult LCSW record-retention period? __________________</w:t>
      </w:r>
    </w:p>
    <w:p>
      <w:pPr>
        <w:spacing w:after="100"/>
        <w:widowControl w:val="1"/>
      </w:pPr>
      <w:r>
        <w:rPr>
          <w:rFonts w:ascii="Arial" w:hAnsi="Arial" w:eastAsia="Arial"/>
          <w:b w:val="0"/>
          <w:i w:val="0"/>
          <w:color w:val="243447"/>
          <w:sz w:val="19"/>
        </w:rPr>
        <w:t>14. Is “three referrals” a universal California termination rule?  Yes / No</w:t>
      </w:r>
    </w:p>
    <w:p>
      <w:pPr>
        <w:spacing w:after="100"/>
        <w:widowControl w:val="1"/>
      </w:pPr>
      <w:r>
        <w:rPr>
          <w:rFonts w:ascii="Arial" w:hAnsi="Arial" w:eastAsia="Arial"/>
          <w:b w:val="0"/>
          <w:i w:val="0"/>
          <w:color w:val="243447"/>
          <w:sz w:val="19"/>
        </w:rPr>
        <w:t>15. Is there a universal dollar limit for accepting a client gift?  Yes / No</w:t>
      </w:r>
    </w:p>
    <w:tbl>
      <w:tblPr>
        <w:tblW w:type="dxa" w:w="10080"/>
        <w:tblLayout w:type="fixed"/>
        <w:tblLook w:firstColumn="1" w:firstRow="1" w:lastColumn="0" w:lastRow="0" w:noHBand="0" w:noVBand="1" w:val="04A0"/>
        <w:jc w:val="left"/>
        <w:tblInd w:type="dxa" w:w="0"/>
      </w:tblPr>
      <w:tblGrid>
        <w:gridCol w:w="10080"/>
      </w:tblGrid>
      <w:tr>
        <w:trPr>
          <w:cantSplit/>
          <w:tblHeader/>
        </w:trPr>
        <w:tc>
          <w:tcPr>
            <w:tcW w:type="dxa" w:w="10080"/>
            <w:shd w:fill="E8F6F6"/>
            <w:tcMar>
              <w:top w:w="130" w:type="dxa"/>
              <w:start w:w="170" w:type="dxa"/>
              <w:bottom w:w="130" w:type="dxa"/>
              <w:end w:w="170" w:type="dxa"/>
            </w:tcMar>
            <w:tcBorders>
              <w:top w:val="single" w:sz="4" w:color="E8F6F6"/>
              <w:left w:val="single" w:sz="20" w:color="159A9C"/>
              <w:bottom w:val="single" w:sz="4" w:color="E8F6F6"/>
              <w:right w:val="single" w:sz="4" w:color="E8F6F6"/>
            </w:tcBorders>
          </w:tcPr>
          <w:p>
            <w:pPr>
              <w:spacing w:after="60"/>
            </w:pPr>
            <w:r>
              <w:rPr>
                <w:rFonts w:ascii="Arial" w:hAnsi="Arial" w:eastAsia="Arial"/>
                <w:b/>
                <w:i w:val="0"/>
                <w:color w:val="17325C"/>
                <w:sz w:val="21"/>
              </w:rPr>
              <w:t>READINESS STANDARD</w:t>
            </w:r>
          </w:p>
          <w:p>
            <w:pPr>
              <w:spacing w:after="0"/>
            </w:pPr>
            <w:r>
              <w:rPr>
                <w:rFonts w:ascii="Arial" w:hAnsi="Arial" w:eastAsia="Arial"/>
                <w:b w:val="0"/>
                <w:i w:val="0"/>
                <w:color w:val="243447"/>
                <w:sz w:val="20"/>
              </w:rPr>
              <w:t>Do not count a guessed answer as mastered. Mark it for remediation even if the number happened to be correct.</w:t>
            </w:r>
          </w:p>
        </w:tc>
      </w:tr>
    </w:tbl>
    <w:p>
      <w:pPr>
        <w:spacing w:after="0"/>
        <w:widowControl w:val="1"/>
      </w:pPr>
    </w:p>
    <w:p>
      <w:pPr>
        <w:widowControl w:val="1"/>
      </w:pPr>
      <w:r>
        <w:br w:type="page"/>
      </w:r>
    </w:p>
    <w:p>
      <w:pPr>
        <w:spacing w:before="0" w:after="80"/>
        <w:pBdr>
          <w:bottom w:val="single" w:sz="12" w:space="4" w:color="159A9C"/>
        </w:pBdr>
        <w:widowControl w:val="1"/>
      </w:pPr>
      <w:r>
        <w:rPr>
          <w:rFonts w:ascii="Arial" w:hAnsi="Arial" w:eastAsia="Arial"/>
          <w:b/>
          <w:color w:val="17325C"/>
          <w:sz w:val="36"/>
        </w:rPr>
        <w:t>15. Answer Key and Correction Rules</w:t>
      </w:r>
    </w:p>
    <w:p>
      <w:pPr>
        <w:spacing w:after="160"/>
        <w:widowControl w:val="1"/>
      </w:pPr>
      <w:r>
        <w:rPr>
          <w:rFonts w:ascii="Arial" w:hAnsi="Arial" w:eastAsia="Arial"/>
          <w:b w:val="0"/>
          <w:i/>
          <w:color w:val="657487"/>
          <w:sz w:val="21"/>
        </w:rPr>
        <w:t>Explain the trigger—not only the number</w:t>
      </w:r>
    </w:p>
    <w:tbl>
      <w:tblPr>
        <w:tblW w:type="dxa" w:w="10080"/>
        <w:tblLayout w:type="fixed"/>
        <w:tblLook w:firstColumn="1" w:firstRow="1" w:lastColumn="0" w:lastRow="0" w:noHBand="0" w:noVBand="1" w:val="04A0"/>
        <w:jc w:val="left"/>
        <w:tblInd w:type="dxa" w:w="0"/>
      </w:tblPr>
      <w:tblGrid>
        <w:gridCol w:w="3360"/>
        <w:gridCol w:w="3360"/>
        <w:gridCol w:w="3360"/>
      </w:tblGrid>
      <w:tr>
        <w:trPr>
          <w:tblHeader w:val="true"/>
          <w:cantSplit/>
        </w:trPr>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Item</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Answer</w:t>
            </w:r>
          </w:p>
        </w:tc>
        <w:tc>
          <w:tcPr>
            <w:tcW w:type="dxa" w:w="336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Correction Rule</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75</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Current format presents 50 scored plus 25 unscored pretest items.</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2</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50 scored; 25 pretest</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Pretest items are mixed throughout and not identified.</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3</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90 minutes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Average across 75 items is 72 seconds per item.</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4</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Ethics, 56%</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Law is 44%. Ethics Section 2B is the single largest section at 24%.</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5</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12 or older</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Also requires maturity to participate intelligently and parent-involvement analysis.</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6</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Immediately or as soon as practicably possible</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Telephone report after reasonable suspicion threshold is met.</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7</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Within 36 hours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Written follow-up after receiving the information.</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8</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Within two working days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General rule after telephone report; setting-specific shorter rules may apply.</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9</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Up to 72 hours; not more than 14 days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Maximum durations, not guaranteed full stays.</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10</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Full name and address of present location</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Obtain and document at the beginning of each telehealth session.</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11</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Within five working days</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Subject to statutory exceptions.</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12</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Within 15 days</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For requested copies the patient has a right to inspect.</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13</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Minimum seven years from termination</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Minor records: minimum seven years after the client reaches 18.</w:t>
            </w:r>
          </w:p>
        </w:tc>
      </w:tr>
      <w:tr>
        <w:trPr>
          <w:cantSplit/>
        </w:trPr>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14</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No</w:t>
            </w:r>
          </w:p>
        </w:tc>
        <w:tc>
          <w:tcPr>
            <w:tcW w:type="dxa" w:w="336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Reasonable notice and continuity planning are contextual.</w:t>
            </w:r>
          </w:p>
        </w:tc>
      </w:tr>
      <w:tr>
        <w:trPr>
          <w:cantSplit/>
        </w:trPr>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15</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No</w:t>
            </w:r>
          </w:p>
        </w:tc>
        <w:tc>
          <w:tcPr>
            <w:tcW w:type="dxa" w:w="336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Assess clinical meaning, value, culture, timing, exploitation, and objectivity.</w:t>
            </w:r>
          </w:p>
        </w:tc>
      </w:tr>
    </w:tbl>
    <w:p>
      <w:pPr>
        <w:spacing w:after="0"/>
        <w:widowControl w:val="1"/>
      </w:pPr>
    </w:p>
    <w:p>
      <w:pPr>
        <w:spacing w:before="80" w:after="80"/>
        <w:widowControl w:val="1"/>
      </w:pPr>
      <w:r>
        <w:rPr>
          <w:rFonts w:ascii="Arial" w:hAnsi="Arial" w:eastAsia="Arial"/>
          <w:b/>
          <w:color w:val="159A9C"/>
          <w:sz w:val="26"/>
        </w:rPr>
        <w:t>My Remediation Commitments</w:t>
      </w:r>
    </w:p>
    <w:tbl>
      <w:tblPr>
        <w:tblW w:type="dxa" w:w="10080"/>
        <w:tblLayout w:type="fixed"/>
        <w:tblLook w:firstColumn="1" w:firstRow="1" w:lastColumn="0" w:lastRow="0" w:noHBand="0" w:noVBand="1" w:val="04A0"/>
        <w:jc w:val="left"/>
        <w:tblInd w:type="dxa" w:w="0"/>
      </w:tblPr>
      <w:tblGrid>
        <w:gridCol w:w="2520"/>
        <w:gridCol w:w="2520"/>
        <w:gridCol w:w="2520"/>
        <w:gridCol w:w="2520"/>
      </w:tblGrid>
      <w:tr>
        <w:trPr>
          <w:tblHeader w:val="true"/>
          <w:cantSplit/>
        </w:trPr>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Missed / Guessed Item</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Workbook or Toolkit Page</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Correction Rule in My Own Words</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Date Rechecked</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w:t>
            </w:r>
          </w:p>
        </w:tc>
      </w:tr>
      <w:tr>
        <w:trPr>
          <w:cantSplit/>
        </w:trPr>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w:t>
            </w:r>
          </w:p>
        </w:tc>
      </w:tr>
      <w:tr>
        <w:trPr>
          <w:cantSplit/>
        </w:trPr>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__________________________________</w:t>
            </w:r>
          </w:p>
        </w:tc>
        <w:tc>
          <w:tcPr>
            <w:tcW w:type="dxa" w:w="252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6"/>
              </w:rPr>
              <w:t>________</w:t>
            </w:r>
          </w:p>
        </w:tc>
      </w:tr>
    </w:tbl>
    <w:p>
      <w:pPr>
        <w:spacing w:after="0"/>
        <w:widowControl w:val="1"/>
      </w:pPr>
    </w:p>
    <w:p>
      <w:pPr>
        <w:spacing w:before="0" w:after="80"/>
        <w:pBdr>
          <w:bottom w:val="single" w:sz="12" w:space="4" w:color="159A9C"/>
        </w:pBdr>
        <w:widowControl w:val="1"/>
      </w:pPr>
      <w:r>
        <w:rPr>
          <w:rFonts w:ascii="Arial" w:hAnsi="Arial" w:eastAsia="Arial"/>
          <w:b/>
          <w:color w:val="17325C"/>
          <w:sz w:val="36"/>
        </w:rPr>
        <w:t>Sources, Currency, and Update Log</w:t>
      </w:r>
    </w:p>
    <w:p>
      <w:pPr>
        <w:spacing w:after="160"/>
        <w:widowControl w:val="1"/>
      </w:pPr>
      <w:r>
        <w:rPr>
          <w:rFonts w:ascii="Arial" w:hAnsi="Arial" w:eastAsia="Arial"/>
          <w:b w:val="0"/>
          <w:i/>
          <w:color w:val="657487"/>
          <w:sz w:val="21"/>
        </w:rPr>
        <w:t>Primary authorities reviewed for Version 1.0</w:t>
      </w:r>
    </w:p>
    <w:tbl>
      <w:tblPr>
        <w:tblW w:type="dxa" w:w="10080"/>
        <w:tblLayout w:type="fixed"/>
        <w:tblLook w:firstColumn="1" w:firstRow="1" w:lastColumn="0" w:lastRow="0" w:noHBand="0" w:noVBand="1" w:val="04A0"/>
        <w:jc w:val="left"/>
        <w:tblInd w:type="dxa" w:w="0"/>
      </w:tblPr>
      <w:tblGrid>
        <w:gridCol w:w="5040"/>
        <w:gridCol w:w="5040"/>
      </w:tblGrid>
      <w:tr>
        <w:trPr>
          <w:tblHeader w:val="true"/>
          <w:cantSplit/>
        </w:trPr>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Source</w:t>
            </w:r>
          </w:p>
        </w:tc>
        <w:tc>
          <w:tcPr>
            <w:tcW w:type="dxa" w:w="504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Use in This Toolkit</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Pearson VUE</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Pearson VUE California BBS Candidate Handbook; current LCSW Law and Ethics Examination Outline and BBS LCSW applicant guidance reviewed August 7, 2026.</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BBS</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Board of Behavioral Sciences, Statutes and Regulations, effective January 1, 2026.</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HSC § 124260</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Minor self-consent, maturity, parent involvement, documentation, and trainee/intern supervisor notification.</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PEN § 11166</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Child-abuse reasonable-suspicion threshold; immediate telephone report and 36-hour written follow-up.</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WIC § 15630</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Elder/dependent-adult reporting thresholds, general timeline, and setting-specific pathways.</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WIC §§ 5150, 5250</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Initial detention up to 72 hours and further intensive treatment not more than 14 days.</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CIV § 43.92</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Duty-to-protect trigger and reasonable-efforts immunity pathway.</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16 CCR § 1815.5 / BBS guidance</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Telehealth initiation and each-session requirements.</w:t>
            </w:r>
          </w:p>
        </w:tc>
      </w:tr>
      <w:tr>
        <w:trPr>
          <w:cantSplit/>
        </w:trPr>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HSC § 123110</w:t>
            </w:r>
          </w:p>
        </w:tc>
        <w:tc>
          <w:tcPr>
            <w:tcW w:type="dxa" w:w="504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Patient inspection within five working days and copies within 15 days, subject to statutory exceptions.</w:t>
            </w:r>
          </w:p>
        </w:tc>
      </w:tr>
      <w:tr>
        <w:trPr>
          <w:cantSplit/>
        </w:trPr>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California BPC § 4993</w:t>
            </w:r>
          </w:p>
        </w:tc>
        <w:tc>
          <w:tcPr>
            <w:tcW w:type="dxa" w:w="5040"/>
            <w:shd w:fill="F3F5F7"/>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5"/>
              </w:rPr>
              <w:t>LCSW record retention: adults and minors.</w:t>
            </w:r>
          </w:p>
        </w:tc>
      </w:tr>
    </w:tbl>
    <w:p>
      <w:pPr>
        <w:spacing w:after="0"/>
        <w:widowControl w:val="1"/>
      </w:pPr>
    </w:p>
    <w:p>
      <w:pPr>
        <w:spacing w:before="80" w:after="80"/>
        <w:widowControl w:val="1"/>
      </w:pPr>
      <w:r>
        <w:rPr>
          <w:rFonts w:ascii="Arial" w:hAnsi="Arial" w:eastAsia="Arial"/>
          <w:b/>
          <w:color w:val="159A9C"/>
          <w:sz w:val="26"/>
        </w:rPr>
        <w:t>Document Control</w:t>
      </w:r>
    </w:p>
    <w:tbl>
      <w:tblPr>
        <w:tblW w:type="dxa" w:w="10080"/>
        <w:tblLayout w:type="fixed"/>
        <w:tblLook w:firstColumn="1" w:firstRow="1" w:lastColumn="0" w:lastRow="0" w:noHBand="0" w:noVBand="1" w:val="04A0"/>
        <w:jc w:val="left"/>
        <w:tblInd w:type="dxa" w:w="0"/>
      </w:tblPr>
      <w:tblGrid>
        <w:gridCol w:w="2520"/>
        <w:gridCol w:w="2520"/>
        <w:gridCol w:w="2520"/>
        <w:gridCol w:w="2520"/>
      </w:tblGrid>
      <w:tr>
        <w:trPr>
          <w:tblHeader w:val="true"/>
          <w:cantSplit/>
        </w:trPr>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Version</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Date</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Status</w:t>
            </w:r>
          </w:p>
        </w:tc>
        <w:tc>
          <w:tcPr>
            <w:tcW w:type="dxa" w:w="2520"/>
            <w:shd w:fill="17325C"/>
            <w:vAlign w:val="center"/>
            <w:tcMar>
              <w:top w:w="90" w:type="dxa"/>
              <w:start w:w="90" w:type="dxa"/>
              <w:bottom w:w="90" w:type="dxa"/>
              <w:end w:w="90" w:type="dxa"/>
            </w:tcMar>
            <w:tcBorders>
              <w:top w:val="single" w:sz="5" w:color="FFFFFF"/>
              <w:left w:val="single" w:sz="5" w:color="FFFFFF"/>
              <w:bottom w:val="single" w:sz="5" w:color="FFFFFF"/>
              <w:right w:val="single" w:sz="5" w:color="FFFFFF"/>
            </w:tcBorders>
          </w:tcPr>
          <w:p>
            <w:pPr>
              <w:jc w:val="center"/>
            </w:pPr>
            <w:r>
              <w:rPr>
                <w:rFonts w:ascii="Arial" w:hAnsi="Arial" w:eastAsia="Arial"/>
                <w:b/>
                <w:i w:val="0"/>
                <w:color w:val="FFFFFF"/>
                <w:sz w:val="18"/>
              </w:rPr>
              <w:t>Description</w:t>
            </w:r>
          </w:p>
        </w:tc>
      </w:tr>
      <w:tr>
        <w:trPr>
          <w:cantSplit/>
        </w:trPr>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1.0</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August 7, 2026</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pPr>
              <w:spacing w:after="0"/>
            </w:pPr>
            <w:r>
              <w:rPr>
                <w:rFonts w:ascii="Arial" w:hAnsi="Arial" w:eastAsia="Arial"/>
                <w:b w:val="0"/>
                <w:i w:val="0"/>
                <w:color w:val="243447"/>
                <w:sz w:val="17"/>
              </w:rPr>
              <w:t>LCSW/ASW Learner Resource</w:t>
            </w:r>
          </w:p>
        </w:tc>
        <w:tc>
          <w:tcPr>
            <w:tcW w:type="dxa" w:w="2520"/>
            <w:tcMar>
              <w:top w:w="80" w:type="dxa"/>
              <w:start w:w="90" w:type="dxa"/>
              <w:bottom w:w="80" w:type="dxa"/>
              <w:end w:w="90" w:type="dxa"/>
            </w:tcMar>
            <w:tcBorders>
              <w:top w:val="single" w:sz="4" w:color="D8E0E8"/>
              <w:left w:val="single" w:sz="4" w:color="D8E0E8"/>
              <w:bottom w:val="single" w:sz="4" w:color="D8E0E8"/>
              <w:right w:val="single" w:sz="4" w:color="D8E0E8"/>
            </w:tcBorders>
          </w:tcPr>
          <w:p>
            <w:r>
              <w:t>Initial LCSW/ASW release: profession identity, official LCSW blueprint, BPC §4993 retention, ASW pathway numbers, and current-source review synchronized in Stage 5C2. Recheck whenever official candidate materials, BBS law-change notices, or cited law/regulations change.</w:t>
            </w:r>
          </w:p>
        </w:tc>
      </w:tr>
    </w:tbl>
    <w:p>
      <w:pPr>
        <w:spacing w:after="0"/>
        <w:widowControl w:val="1"/>
      </w:pPr>
    </w:p>
    <w:p>
      <w:pPr>
        <w:spacing w:after="0"/>
        <w:widowControl w:val="1"/>
      </w:pPr>
    </w:p>
    <w:sectPr w:rsidR="00FC693F" w:rsidRPr="0006063C" w:rsidSect="00034616">
      <w:footerReference w:type="default" r:id="rId9"/>
      <w:headerReference w:type="default" r:id="rId11"/>
      <w:headerReference w:type="first" r:id="rId12"/>
      <w:footerReference w:type="first" r:id="rId13"/>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657487"/>
        <w:sz w:val="16"/>
      </w:rPr>
      <w:t xml:space="preserve">CTA California Law &amp; Ethics Exam Preparation Program  |  Numbers, Timelines &amp; Trigger Words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2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59A9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32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2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High-Yield Numbers, Timelines &amp; Trigger Words Toolkit v1.0</dc:title>
  <dc:subject>LCSW/ASW California Law &amp; Ethics Exam Preparation</dc:subject>
  <dc:creator>Clinical Training and Supervision Academy</dc:creator>
  <cp:keywords>LCSW, ASW, California Law and Ethics, exam preparation, CTA-EP-002</cp:keywords>
  <dc:description>Stage 5C2 LCSW/ASW learner toolkit regeneration; exam preparation only; no CE credit.</dc:description>
  <cp:lastModifiedBy/>
  <cp:revision>1</cp:revision>
  <dcterms:created xsi:type="dcterms:W3CDTF">2013-12-23T23:15:00Z</dcterms:created>
  <dcterms:modified xsi:type="dcterms:W3CDTF">2026-08-03T00:51:58Z</dcterms:modified>
  <cp:category/>
  <cp:version>1.1</cp:version>
</cp:coreProperties>
</file>