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drawing>
          <wp:inline xmlns:a="http://schemas.openxmlformats.org/drawingml/2006/main" xmlns:pic="http://schemas.openxmlformats.org/drawingml/2006/picture">
            <wp:extent cx="5212080" cy="1177582"/>
            <wp:docPr id="1" name="Picture 1" descr="Image: image1.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12080" cy="1177582"/>
                    </a:xfrm>
                    <a:prstGeom prst="rect"/>
                  </pic:spPr>
                </pic:pic>
              </a:graphicData>
            </a:graphic>
          </wp:inline>
        </w:drawing>
      </w:r>
    </w:p>
    <w:p>
      <w:pPr>
        <w:pStyle w:val="CTATitle"/>
        <w:jc w:val="center"/>
      </w:pPr>
      <w:r>
        <w:rPr>
          <w:rFonts w:ascii="Lato" w:hAnsi="Lato" w:eastAsia="Lato"/>
          <w:b/>
          <w:i w:val="0"/>
          <w:color w:val="0B2447"/>
          <w:sz w:val="48"/>
        </w:rPr>
        <w:t>LCSW Law &amp; Ethics Study Guide</w:t>
      </w:r>
    </w:p>
    <w:p>
      <w:pPr>
        <w:pStyle w:val="CTASubtitle"/>
        <w:jc w:val="center"/>
      </w:pPr>
      <w:r>
        <w:rPr>
          <w:rFonts w:ascii="Lato" w:hAnsi="Lato" w:eastAsia="Lato"/>
          <w:b/>
          <w:i w:val="0"/>
          <w:color w:val="0AA6A6"/>
          <w:sz w:val="32"/>
        </w:rPr>
        <w:t>Workbook 2: Telehealth Law &amp; Ethics | LCSW Candidate Edition</w:t>
      </w:r>
    </w:p>
    <w:p>
      <w:pPr>
        <w:spacing w:before="200"/>
        <w:jc w:val="center"/>
      </w:pPr>
      <w:r>
        <w:rPr>
          <w:rFonts w:ascii="Lato" w:hAnsi="Lato" w:eastAsia="Lato"/>
          <w:b/>
          <w:i w:val="0"/>
          <w:color w:val="384250"/>
          <w:sz w:val="40"/>
        </w:rPr>
        <w:t>CTA LCSW California Law &amp; Ethics Exam Preparation Program</w:t>
      </w:r>
    </w:p>
    <w:p>
      <w:pPr>
        <w:jc w:val="center"/>
      </w:pPr>
      <w:r>
        <w:rPr>
          <w:rFonts w:ascii="Lato" w:hAnsi="Lato" w:eastAsia="Lato"/>
          <w:b/>
          <w:i w:val="0"/>
          <w:color w:val="0B2447"/>
          <w:sz w:val="26"/>
        </w:rPr>
        <w:t>LCSW Candidate Edition v1.0</w:t>
      </w:r>
    </w:p>
    <w:p>
      <w:pPr>
        <w:spacing w:before="280"/>
        <w:jc w:val="center"/>
      </w:pPr>
      <w:r>
        <w:rPr>
          <w:rFonts w:ascii="Lato" w:hAnsi="Lato" w:eastAsia="Lato"/>
          <w:b w:val="0"/>
          <w:i w:val="0"/>
          <w:color w:val="384250"/>
          <w:sz w:val="21"/>
        </w:rPr>
        <w:t>Source Review: August 6, 2026</w:t>
      </w:r>
    </w:p>
    <w:p>
      <w:pPr>
        <w:spacing w:before="1900"/>
        <w:jc w:val="center"/>
      </w:pPr>
      <w:r>
        <w:rPr>
          <w:rFonts w:ascii="Lato" w:hAnsi="Lato" w:eastAsia="Lato"/>
          <w:b/>
          <w:i w:val="0"/>
          <w:color w:val="0B2447"/>
          <w:sz w:val="22"/>
        </w:rPr>
        <w:t>Clinical Training and Supervision Academy</w:t>
      </w:r>
    </w:p>
    <w:p>
      <w:pPr>
        <w:jc w:val="center"/>
      </w:pPr>
      <w:r>
        <w:rPr>
          <w:rFonts w:ascii="Lato" w:hAnsi="Lato" w:eastAsia="Lato"/>
          <w:b/>
          <w:i w:val="0"/>
          <w:color w:val="0AA6A6"/>
          <w:sz w:val="21"/>
        </w:rPr>
        <w:t>Exam Preparation Only | No CE Credit or CE Certificate</w:t>
      </w:r>
    </w:p>
    <w:p>
      <w:pPr>
        <w:jc w:val="center"/>
      </w:pPr>
      <w:r>
        <w:rPr>
          <w:rFonts w:ascii="Lato" w:hAnsi="Lato" w:eastAsia="Lato"/>
          <w:b w:val="0"/>
          <w:i w:val="0"/>
          <w:color w:val="384250"/>
          <w:sz w:val="20"/>
        </w:rPr>
      </w:r>
    </w:p>
    <w:p>
      <w:r>
        <w:br w:type="page"/>
      </w:r>
    </w:p>
    <w:p>
      <w:pPr>
        <w:pStyle w:val="CTAHeading1"/>
      </w:pPr>
      <w:r>
        <w:t>Publication Notice</w:t>
      </w:r>
    </w:p>
    <w:p>
      <w:pPr>
        <w:pStyle w:val="CTABody"/>
      </w:pPr>
      <w:r>
        <w:t>This publication is designed exclusively for California LCSW Law and Ethics Examination preparation. It is not a continuing-education course and provides no CE credit or CE certificate. It summarizes legal and ethical concepts but does not provide legal advice or replace consultation regarding a specific case.</w:t>
      </w:r>
    </w:p>
    <w:p>
      <w:pPr>
        <w:pStyle w:val="CTABody"/>
      </w:pPr>
      <w:r>
        <w:t>CTA is not affiliated with, sponsored by, or endorsed by the California Board of Behavioral Sciences or Pearson VUE. This workbook does not guarantee passage or determine examination eligibility.</w:t>
      </w:r>
    </w:p>
    <w:p>
      <w:pPr>
        <w:pStyle w:val="CTASmall"/>
      </w:pPr>
      <w:r>
        <w:t>© 2026 Clinical Training and Supervision Academy. Personal use by enrolled purchasers only. No sharing, resale, public posting, or commercial distribution.</w:t>
      </w:r>
    </w:p>
    <w:tbl>
      <w:tblPr>
        <w:tblW w:type="dxa" w:w="9960"/>
        <w:tblInd w:type="dxa" w:w="120"/>
        <w:jc w:val="center"/>
        <w:tblLook w:val="04A0" w:firstRow="1" w:lastRow="0" w:firstColumn="1" w:lastColumn="0" w:noHBand="0" w:noVBand="1"/>
        <w:tblLayout w:type="fixed"/>
      </w:tblPr>
      <w:tblGrid>
        <w:gridCol w:w="9960"/>
      </w:tblGrid>
      <w:tr w:rsidR="00464BCB" w14:paraId="07B9E6DD" w14:textId="77777777">
        <w:trPr>
          <w:jc w:val="center"/>
          <w:cantSplit w:val="1"/>
          <w:tblHeader w:val="1"/>
        </w:trPr>
        <w:tc>
          <w:tcPr>
            <w:tcW w:w="9960" w:type="dxa"/>
            <w:shd w:val="clear" w:color="auto" w:fill="EEF3F8"/>
            <w:tcMar>
              <w:top w:w="130" w:type="dxa"/>
              <w:left w:w="150" w:type="dxa"/>
              <w:bottom w:w="130" w:type="dxa"/>
              <w:right w:w="150" w:type="dxa"/>
            </w:tcMar>
          </w:tcPr>
          <w:p w14:paraId="510F8431" w14:textId="77777777" w:rsidR="00464BCB" w:rsidRDefault="00000000">
            <w:r>
              <w:rPr>
                <w:rFonts w:ascii="Montserrat" w:eastAsia="Montserrat" w:hAnsi="Montserrat"/>
                <w:b/>
                <w:color w:val="0B2447"/>
                <w:sz w:val="22"/>
              </w:rPr>
              <w:t>Accuracy Date</w:t>
            </w:r>
          </w:p>
          <w:p w14:paraId="5B4F2E8E" w14:textId="77777777" w:rsidR="00464BCB" w:rsidRDefault="00000000">
            <w:r>
              <w:rPr>
                <w:color w:val="111827"/>
              </w:rPr>
              <w:t>The legal and regulatory content was reviewed through August 6, 2026. California statutes, regulations, Board guidance, and examination outlines may change. Re-audit before future publication or use.</w:t>
            </w:r>
          </w:p>
        </w:tc>
      </w:tr>
    </w:tbl>
    <w:p>
      <w:pPr>
        <w:pStyle w:val="CTABody"/>
      </w:pPr>
      <w:r>
        <w:t>Workbook Structure</w:t>
      </w:r>
    </w:p>
    <w:p>
      <w:pPr>
        <w:pStyle w:val="CTABullet"/>
      </w:pPr>
      <w:r>
        <w:t>Chapters 1-6 provide the substantive instructional content.</w:t>
      </w:r>
    </w:p>
    <w:p>
      <w:pPr>
        <w:pStyle w:val="CTABullet"/>
      </w:pPr>
      <w:r>
        <w:t>Chapters 7-9 are rapid-review chapters and do not have separate question banks.</w:t>
      </w:r>
    </w:p>
    <w:p>
      <w:pPr>
        <w:pStyle w:val="CTABullet"/>
      </w:pPr>
      <w:r>
        <w:t>The standalone question bank contains 102 questions aligned to Chapters 1-6.</w:t>
      </w:r>
    </w:p>
    <w:p>
      <w:r/>
      <w:r>
        <w:br/>
      </w:r>
    </w:p>
    <w:p>
      <w:pPr>
        <w:pStyle w:val="CTAHeading1"/>
      </w:pPr>
      <w:r>
        <w:rPr>
          <w:rFonts w:ascii="Lato" w:hAnsi="Lato" w:eastAsia="Lato"/>
          <w:b/>
          <w:i w:val="0"/>
          <w:color w:val="0B2447"/>
          <w:sz w:val="32"/>
        </w:rPr>
        <w:t>Table of Contents</w:t>
      </w:r>
    </w:p>
    <w:tbl>
      <w:tblPr>
        <w:tblW w:type="dxa" w:w="9960"/>
        <w:tblInd w:type="dxa" w:w="120"/>
        <w:tblStyle w:val="TableGrid"/>
        <w:jc w:val="center"/>
        <w:tblLook w:val="04A0" w:firstRow="1" w:lastRow="0" w:firstColumn="1" w:lastColumn="0" w:noHBand="0" w:noVBand="1"/>
        <w:tblLayout w:type="fixed"/>
      </w:tblPr>
      <w:tblGrid>
        <w:gridCol w:w="8400"/>
        <w:gridCol w:w="1560"/>
      </w:tblGrid>
      <w:tr w:rsidR="00464BCB" w14:paraId="11B7E2FC" w14:textId="77777777">
        <w:trPr>
          <w:jc w:val="center"/>
          <w:cantSplit w:val="1"/>
          <w:tblHeader w:val="1"/>
        </w:trPr>
        <w:tc>
          <w:tcPr>
            <w:tcW w:w="8400" w:type="dxa"/>
            <w:shd w:val="clear" w:color="auto" w:fill="0B2447"/>
            <w:tcMar>
              <w:top w:w="35" w:type="dxa"/>
              <w:left w:w="90" w:type="dxa"/>
              <w:bottom w:w="35" w:type="dxa"/>
              <w:right w:w="90" w:type="dxa"/>
            </w:tcMar>
          </w:tcPr>
          <w:p w14:paraId="5C4AD0C1" w14:textId="77777777" w:rsidR="00464BCB" w:rsidRDefault="00000000">
            <w:pPr>
              <w:spacing w:before="0" w:after="0" w:line="240" w:lineRule="auto"/>
            </w:pPr>
            <w:r>
              <w:rPr>
                <w:rFonts w:ascii="Montserrat" w:hAnsi="Montserrat"/>
                <w:b/>
                <w:color w:val="FFFFFF"/>
                <w:sz w:val="19"/>
              </w:rPr>
              <w:t>Section / Chapter</w:t>
            </w:r>
          </w:p>
        </w:tc>
        <w:tc>
          <w:tcPr>
            <w:tcW w:w="1560" w:type="dxa"/>
            <w:shd w:val="clear" w:color="auto" w:fill="0B2447"/>
            <w:tcMar>
              <w:top w:w="35" w:type="dxa"/>
              <w:left w:w="90" w:type="dxa"/>
              <w:bottom w:w="35" w:type="dxa"/>
              <w:right w:w="90" w:type="dxa"/>
            </w:tcMar>
          </w:tcPr>
          <w:p w14:paraId="3D3768AF" w14:textId="77777777" w:rsidR="00464BCB" w:rsidRDefault="00000000">
            <w:pPr>
              <w:spacing w:before="0" w:after="0" w:line="240" w:lineRule="auto"/>
            </w:pPr>
            <w:r>
              <w:rPr>
                <w:rFonts w:ascii="Montserrat" w:hAnsi="Montserrat"/>
                <w:b/>
                <w:color w:val="FFFFFF"/>
                <w:sz w:val="19"/>
              </w:rPr>
              <w:t>Page</w:t>
            </w:r>
          </w:p>
        </w:tc>
      </w:tr>
      <w:tr w:rsidR="00464BCB" w14:paraId="6FA8F926" w14:textId="77777777">
        <w:trPr>
          <w:jc w:val="center"/>
          <w:cantSplit w:val="1"/>
        </w:trPr>
        <w:tc>
          <w:tcPr>
            <w:tcW w:w="8400" w:type="dxa"/>
            <w:shd w:val="clear" w:color="auto" w:fill="E7F6F6"/>
            <w:tcMar>
              <w:top w:w="35" w:type="dxa"/>
              <w:left w:w="90" w:type="dxa"/>
              <w:bottom w:w="35" w:type="dxa"/>
              <w:right w:w="90" w:type="dxa"/>
            </w:tcMar>
          </w:tcPr>
          <w:p w14:paraId="568B961E" w14:textId="77777777" w:rsidR="00464BCB" w:rsidRDefault="00000000">
            <w:pPr>
              <w:spacing w:before="0" w:after="0" w:line="240" w:lineRule="auto"/>
            </w:pPr>
            <w:r>
              <w:rPr>
                <w:b/>
                <w:color w:val="0B2447"/>
                <w:sz w:val="18"/>
              </w:rPr>
              <w:t>SECTION I — TELEHEALTH FOUNDATIONS</w:t>
            </w:r>
          </w:p>
        </w:tc>
        <w:tc>
          <w:tcPr>
            <w:tcW w:w="1560" w:type="dxa"/>
            <w:shd w:val="clear" w:color="auto" w:fill="E7F6F6"/>
            <w:tcMar>
              <w:top w:w="35" w:type="dxa"/>
              <w:left w:w="90" w:type="dxa"/>
              <w:bottom w:w="35" w:type="dxa"/>
              <w:right w:w="90" w:type="dxa"/>
            </w:tcMar>
          </w:tcPr>
          <w:p>
            <w:r>
              <w:t>4</w:t>
            </w:r>
          </w:p>
        </w:tc>
      </w:tr>
      <w:tr w:rsidR="00464BCB" w14:paraId="4E4F6532" w14:textId="77777777">
        <w:trPr>
          <w:jc w:val="center"/>
          <w:cantSplit w:val="1"/>
        </w:trPr>
        <w:tc>
          <w:tcPr>
            <w:tcW w:w="8400" w:type="dxa"/>
            <w:tcMar>
              <w:top w:w="35" w:type="dxa"/>
              <w:left w:w="90" w:type="dxa"/>
              <w:bottom w:w="35" w:type="dxa"/>
              <w:right w:w="90" w:type="dxa"/>
            </w:tcMar>
          </w:tcPr>
          <w:p w14:paraId="406B0E81" w14:textId="77777777" w:rsidR="00464BCB" w:rsidRDefault="00000000">
            <w:pPr>
              <w:spacing w:before="0" w:after="0" w:line="240" w:lineRule="auto"/>
            </w:pPr>
            <w:r>
              <w:rPr>
                <w:sz w:val="18"/>
              </w:rPr>
              <w:t>Chapter 1: Telehealth Foundations</w:t>
            </w:r>
          </w:p>
        </w:tc>
        <w:tc>
          <w:tcPr>
            <w:tcW w:w="1560" w:type="dxa"/>
            <w:tcMar>
              <w:top w:w="35" w:type="dxa"/>
              <w:left w:w="90" w:type="dxa"/>
              <w:bottom w:w="35" w:type="dxa"/>
              <w:right w:w="90" w:type="dxa"/>
            </w:tcMar>
          </w:tcPr>
          <w:p>
            <w:r>
              <w:t>5</w:t>
            </w:r>
          </w:p>
        </w:tc>
      </w:tr>
      <w:tr w:rsidR="00464BCB" w14:paraId="3BF11373" w14:textId="77777777">
        <w:trPr>
          <w:jc w:val="center"/>
          <w:cantSplit w:val="1"/>
        </w:trPr>
        <w:tc>
          <w:tcPr>
            <w:tcW w:w="8400" w:type="dxa"/>
            <w:tcMar>
              <w:top w:w="35" w:type="dxa"/>
              <w:left w:w="90" w:type="dxa"/>
              <w:bottom w:w="35" w:type="dxa"/>
              <w:right w:w="90" w:type="dxa"/>
            </w:tcMar>
          </w:tcPr>
          <w:p w14:paraId="56EA1C55" w14:textId="77777777" w:rsidR="00464BCB" w:rsidRDefault="00000000">
            <w:pPr>
              <w:spacing w:before="0" w:after="0" w:line="240" w:lineRule="auto"/>
            </w:pPr>
            <w:r>
              <w:rPr>
                <w:sz w:val="18"/>
              </w:rPr>
              <w:t>Chapter 2: Telehealth Informed Consent</w:t>
            </w:r>
          </w:p>
        </w:tc>
        <w:tc>
          <w:tcPr>
            <w:tcW w:w="1560" w:type="dxa"/>
            <w:tcMar>
              <w:top w:w="35" w:type="dxa"/>
              <w:left w:w="90" w:type="dxa"/>
              <w:bottom w:w="35" w:type="dxa"/>
              <w:right w:w="90" w:type="dxa"/>
            </w:tcMar>
          </w:tcPr>
          <w:p>
            <w:r>
              <w:t>11</w:t>
            </w:r>
          </w:p>
        </w:tc>
      </w:tr>
      <w:tr w:rsidR="00464BCB" w14:paraId="77A6DEAE" w14:textId="77777777">
        <w:trPr>
          <w:jc w:val="center"/>
          <w:cantSplit w:val="1"/>
        </w:trPr>
        <w:tc>
          <w:tcPr>
            <w:tcW w:w="8400" w:type="dxa"/>
            <w:tcMar>
              <w:top w:w="35" w:type="dxa"/>
              <w:left w:w="90" w:type="dxa"/>
              <w:bottom w:w="35" w:type="dxa"/>
              <w:right w:w="90" w:type="dxa"/>
            </w:tcMar>
          </w:tcPr>
          <w:p w14:paraId="2A840503" w14:textId="77777777" w:rsidR="00464BCB" w:rsidRDefault="00000000">
            <w:pPr>
              <w:spacing w:before="0" w:after="0" w:line="240" w:lineRule="auto"/>
            </w:pPr>
            <w:r>
              <w:rPr>
                <w:sz w:val="18"/>
              </w:rPr>
              <w:t>Chapter 3: Telehealth Privacy and Security</w:t>
            </w:r>
          </w:p>
        </w:tc>
        <w:tc>
          <w:tcPr>
            <w:tcW w:w="1560" w:type="dxa"/>
            <w:tcMar>
              <w:top w:w="35" w:type="dxa"/>
              <w:left w:w="90" w:type="dxa"/>
              <w:bottom w:w="35" w:type="dxa"/>
              <w:right w:w="90" w:type="dxa"/>
            </w:tcMar>
          </w:tcPr>
          <w:p>
            <w:r>
              <w:t>17</w:t>
            </w:r>
          </w:p>
        </w:tc>
      </w:tr>
      <w:tr w:rsidR="00464BCB" w14:paraId="253220CD" w14:textId="77777777">
        <w:trPr>
          <w:jc w:val="center"/>
          <w:cantSplit w:val="1"/>
        </w:trPr>
        <w:tc>
          <w:tcPr>
            <w:tcW w:w="8400" w:type="dxa"/>
            <w:tcMar>
              <w:top w:w="35" w:type="dxa"/>
              <w:left w:w="90" w:type="dxa"/>
              <w:bottom w:w="35" w:type="dxa"/>
              <w:right w:w="90" w:type="dxa"/>
            </w:tcMar>
          </w:tcPr>
          <w:p w14:paraId="57B9B165" w14:textId="77777777" w:rsidR="00464BCB" w:rsidRDefault="00000000">
            <w:pPr>
              <w:spacing w:before="0" w:after="0" w:line="240" w:lineRule="auto"/>
            </w:pPr>
            <w:r>
              <w:rPr>
                <w:sz w:val="18"/>
              </w:rPr>
              <w:t>SECTION II — TECHNOLOGY AND ELECTRONIC PRACTICE</w:t>
            </w:r>
          </w:p>
        </w:tc>
        <w:tc>
          <w:tcPr>
            <w:tcW w:w="1560" w:type="dxa"/>
            <w:tcMar>
              <w:top w:w="35" w:type="dxa"/>
              <w:left w:w="90" w:type="dxa"/>
              <w:bottom w:w="35" w:type="dxa"/>
              <w:right w:w="90" w:type="dxa"/>
            </w:tcMar>
          </w:tcPr>
          <w:p>
            <w:r>
              <w:t>24</w:t>
            </w:r>
          </w:p>
        </w:tc>
      </w:tr>
      <w:tr w:rsidR="00464BCB" w14:paraId="25C47D26" w14:textId="77777777">
        <w:trPr>
          <w:jc w:val="center"/>
          <w:cantSplit w:val="1"/>
        </w:trPr>
        <w:tc>
          <w:tcPr>
            <w:tcW w:w="8400" w:type="dxa"/>
            <w:shd w:val="clear" w:color="auto" w:fill="E7F6F6"/>
            <w:tcMar>
              <w:top w:w="35" w:type="dxa"/>
              <w:left w:w="90" w:type="dxa"/>
              <w:bottom w:w="35" w:type="dxa"/>
              <w:right w:w="90" w:type="dxa"/>
            </w:tcMar>
          </w:tcPr>
          <w:p w14:paraId="0F2124FA" w14:textId="77777777" w:rsidR="00464BCB" w:rsidRDefault="00000000">
            <w:pPr>
              <w:spacing w:before="0" w:after="0" w:line="240" w:lineRule="auto"/>
            </w:pPr>
            <w:r>
              <w:rPr>
                <w:b/>
                <w:color w:val="0B2447"/>
                <w:sz w:val="18"/>
              </w:rPr>
              <w:t>Chapter 4: Technology, Electronic Communication, and Professional Responsibilities</w:t>
            </w:r>
          </w:p>
        </w:tc>
        <w:tc>
          <w:tcPr>
            <w:tcW w:w="1560" w:type="dxa"/>
            <w:shd w:val="clear" w:color="auto" w:fill="E7F6F6"/>
            <w:tcMar>
              <w:top w:w="35" w:type="dxa"/>
              <w:left w:w="90" w:type="dxa"/>
              <w:bottom w:w="35" w:type="dxa"/>
              <w:right w:w="90" w:type="dxa"/>
            </w:tcMar>
          </w:tcPr>
          <w:p>
            <w:r>
              <w:t>25</w:t>
            </w:r>
          </w:p>
        </w:tc>
      </w:tr>
      <w:tr w:rsidR="00464BCB" w14:paraId="6B4FC3CB" w14:textId="77777777">
        <w:trPr>
          <w:jc w:val="center"/>
          <w:cantSplit w:val="1"/>
        </w:trPr>
        <w:tc>
          <w:tcPr>
            <w:tcW w:w="8400" w:type="dxa"/>
            <w:tcMar>
              <w:top w:w="35" w:type="dxa"/>
              <w:left w:w="90" w:type="dxa"/>
              <w:bottom w:w="35" w:type="dxa"/>
              <w:right w:w="90" w:type="dxa"/>
            </w:tcMar>
          </w:tcPr>
          <w:p w14:paraId="7E01F311" w14:textId="77777777" w:rsidR="00464BCB" w:rsidRDefault="00000000">
            <w:pPr>
              <w:spacing w:before="0" w:after="0" w:line="240" w:lineRule="auto"/>
            </w:pPr>
            <w:r>
              <w:rPr>
                <w:sz w:val="18"/>
              </w:rPr>
              <w:t>Chapter 5: Social Media, Boundaries, and Digital Ethics</w:t>
            </w:r>
          </w:p>
        </w:tc>
        <w:tc>
          <w:tcPr>
            <w:tcW w:w="1560" w:type="dxa"/>
            <w:tcMar>
              <w:top w:w="35" w:type="dxa"/>
              <w:left w:w="90" w:type="dxa"/>
              <w:bottom w:w="35" w:type="dxa"/>
              <w:right w:w="90" w:type="dxa"/>
            </w:tcMar>
          </w:tcPr>
          <w:p>
            <w:r>
              <w:t>33</w:t>
            </w:r>
          </w:p>
        </w:tc>
      </w:tr>
      <w:tr w:rsidR="00464BCB" w14:paraId="34E37101" w14:textId="77777777">
        <w:trPr>
          <w:jc w:val="center"/>
          <w:cantSplit w:val="1"/>
        </w:trPr>
        <w:tc>
          <w:tcPr>
            <w:tcW w:w="8400" w:type="dxa"/>
            <w:tcMar>
              <w:top w:w="35" w:type="dxa"/>
              <w:left w:w="90" w:type="dxa"/>
              <w:bottom w:w="35" w:type="dxa"/>
              <w:right w:w="90" w:type="dxa"/>
            </w:tcMar>
          </w:tcPr>
          <w:p w14:paraId="6E17366F" w14:textId="77777777" w:rsidR="00464BCB" w:rsidRDefault="00000000">
            <w:pPr>
              <w:spacing w:before="0" w:after="0" w:line="240" w:lineRule="auto"/>
            </w:pPr>
            <w:r>
              <w:rPr>
                <w:sz w:val="18"/>
              </w:rPr>
              <w:t>Chapter 6: Technology Risk Management and Compliance</w:t>
            </w:r>
          </w:p>
        </w:tc>
        <w:tc>
          <w:tcPr>
            <w:tcW w:w="1560" w:type="dxa"/>
            <w:tcMar>
              <w:top w:w="35" w:type="dxa"/>
              <w:left w:w="90" w:type="dxa"/>
              <w:bottom w:w="35" w:type="dxa"/>
              <w:right w:w="90" w:type="dxa"/>
            </w:tcMar>
          </w:tcPr>
          <w:p>
            <w:r>
              <w:t>41</w:t>
            </w:r>
          </w:p>
        </w:tc>
      </w:tr>
      <w:tr w:rsidR="00464BCB" w14:paraId="5AD00ECC" w14:textId="77777777">
        <w:trPr>
          <w:jc w:val="center"/>
          <w:cantSplit w:val="1"/>
        </w:trPr>
        <w:tc>
          <w:tcPr>
            <w:tcW w:w="8400" w:type="dxa"/>
            <w:tcMar>
              <w:top w:w="35" w:type="dxa"/>
              <w:left w:w="90" w:type="dxa"/>
              <w:bottom w:w="35" w:type="dxa"/>
              <w:right w:w="90" w:type="dxa"/>
            </w:tcMar>
          </w:tcPr>
          <w:p w14:paraId="1472F05C" w14:textId="77777777" w:rsidR="00464BCB" w:rsidRDefault="00000000">
            <w:pPr>
              <w:spacing w:before="0" w:after="0" w:line="240" w:lineRule="auto"/>
            </w:pPr>
            <w:r>
              <w:rPr>
                <w:sz w:val="18"/>
              </w:rPr>
              <w:t>SECTION III — RAPID REVIEW</w:t>
            </w:r>
          </w:p>
        </w:tc>
        <w:tc>
          <w:tcPr>
            <w:tcW w:w="1560" w:type="dxa"/>
            <w:tcMar>
              <w:top w:w="35" w:type="dxa"/>
              <w:left w:w="90" w:type="dxa"/>
              <w:bottom w:w="35" w:type="dxa"/>
              <w:right w:w="90" w:type="dxa"/>
            </w:tcMar>
          </w:tcPr>
          <w:p>
            <w:r>
              <w:t>49</w:t>
            </w:r>
          </w:p>
        </w:tc>
      </w:tr>
      <w:tr w:rsidR="00464BCB" w14:paraId="151EBF2B" w14:textId="77777777">
        <w:trPr>
          <w:jc w:val="center"/>
          <w:cantSplit w:val="1"/>
        </w:trPr>
        <w:tc>
          <w:tcPr>
            <w:tcW w:w="8400" w:type="dxa"/>
            <w:shd w:val="clear" w:color="auto" w:fill="E7F6F6"/>
            <w:tcMar>
              <w:top w:w="35" w:type="dxa"/>
              <w:left w:w="90" w:type="dxa"/>
              <w:bottom w:w="35" w:type="dxa"/>
              <w:right w:w="90" w:type="dxa"/>
            </w:tcMar>
          </w:tcPr>
          <w:p w14:paraId="7AD47F8C" w14:textId="77777777" w:rsidR="00464BCB" w:rsidRDefault="00000000">
            <w:pPr>
              <w:spacing w:before="0" w:after="0" w:line="240" w:lineRule="auto"/>
            </w:pPr>
            <w:r>
              <w:rPr>
                <w:b/>
                <w:color w:val="0B2447"/>
                <w:sz w:val="18"/>
              </w:rPr>
              <w:t>Chapter 7: Common Telehealth &amp; Technology Exam Traps</w:t>
            </w:r>
          </w:p>
        </w:tc>
        <w:tc>
          <w:tcPr>
            <w:tcW w:w="1560" w:type="dxa"/>
            <w:shd w:val="clear" w:color="auto" w:fill="E7F6F6"/>
            <w:tcMar>
              <w:top w:w="35" w:type="dxa"/>
              <w:left w:w="90" w:type="dxa"/>
              <w:bottom w:w="35" w:type="dxa"/>
              <w:right w:w="90" w:type="dxa"/>
            </w:tcMar>
          </w:tcPr>
          <w:p>
            <w:r>
              <w:t>50</w:t>
            </w:r>
          </w:p>
        </w:tc>
      </w:tr>
      <w:tr w:rsidR="00464BCB" w14:paraId="1CE859F7" w14:textId="77777777">
        <w:trPr>
          <w:jc w:val="center"/>
          <w:cantSplit w:val="1"/>
        </w:trPr>
        <w:tc>
          <w:tcPr>
            <w:tcW w:w="8400" w:type="dxa"/>
            <w:tcMar>
              <w:top w:w="35" w:type="dxa"/>
              <w:left w:w="90" w:type="dxa"/>
              <w:bottom w:w="35" w:type="dxa"/>
              <w:right w:w="90" w:type="dxa"/>
            </w:tcMar>
          </w:tcPr>
          <w:p w14:paraId="579896DB" w14:textId="77777777" w:rsidR="00464BCB" w:rsidRDefault="00000000">
            <w:pPr>
              <w:spacing w:before="0" w:after="0" w:line="240" w:lineRule="auto"/>
            </w:pPr>
            <w:r>
              <w:rPr>
                <w:sz w:val="18"/>
              </w:rPr>
              <w:t>Chapter 8: Top Telehealth &amp; Technology Concepts You Must Know</w:t>
            </w:r>
          </w:p>
        </w:tc>
        <w:tc>
          <w:tcPr>
            <w:tcW w:w="1560" w:type="dxa"/>
            <w:tcMar>
              <w:top w:w="35" w:type="dxa"/>
              <w:left w:w="90" w:type="dxa"/>
              <w:bottom w:w="35" w:type="dxa"/>
              <w:right w:w="90" w:type="dxa"/>
            </w:tcMar>
          </w:tcPr>
          <w:p>
            <w:r>
              <w:t>55</w:t>
            </w:r>
          </w:p>
        </w:tc>
      </w:tr>
      <w:tr w:rsidR="00464BCB" w14:paraId="0A33CCB9" w14:textId="77777777">
        <w:trPr>
          <w:jc w:val="center"/>
          <w:cantSplit w:val="1"/>
        </w:trPr>
        <w:tc>
          <w:tcPr>
            <w:tcW w:w="8400" w:type="dxa"/>
            <w:tcMar>
              <w:top w:w="35" w:type="dxa"/>
              <w:left w:w="90" w:type="dxa"/>
              <w:bottom w:w="35" w:type="dxa"/>
              <w:right w:w="90" w:type="dxa"/>
            </w:tcMar>
          </w:tcPr>
          <w:p w14:paraId="18D02409" w14:textId="77777777" w:rsidR="00464BCB" w:rsidRDefault="00000000">
            <w:pPr>
              <w:spacing w:before="0" w:after="0" w:line="240" w:lineRule="auto"/>
            </w:pPr>
            <w:r>
              <w:rPr>
                <w:sz w:val="18"/>
              </w:rPr>
              <w:t>Chapter 9: Telehealth &amp; Technology Memory Aids and Quick Review Charts</w:t>
            </w:r>
          </w:p>
        </w:tc>
        <w:tc>
          <w:tcPr>
            <w:tcW w:w="1560" w:type="dxa"/>
            <w:tcMar>
              <w:top w:w="35" w:type="dxa"/>
              <w:left w:w="90" w:type="dxa"/>
              <w:bottom w:w="35" w:type="dxa"/>
              <w:right w:w="90" w:type="dxa"/>
            </w:tcMar>
          </w:tcPr>
          <w:p>
            <w:r>
              <w:t>61</w:t>
            </w:r>
          </w:p>
        </w:tc>
      </w:tr>
      <w:tr w:rsidR="00464BCB" w14:paraId="4EFB4A52" w14:textId="77777777">
        <w:trPr>
          <w:jc w:val="center"/>
          <w:cantSplit w:val="1"/>
        </w:trPr>
        <w:tc>
          <w:tcPr>
            <w:tcW w:w="8400" w:type="dxa"/>
            <w:tcMar>
              <w:top w:w="35" w:type="dxa"/>
              <w:left w:w="90" w:type="dxa"/>
              <w:bottom w:w="35" w:type="dxa"/>
              <w:right w:w="90" w:type="dxa"/>
            </w:tcMar>
          </w:tcPr>
          <w:p w14:paraId="0041811F" w14:textId="77777777" w:rsidR="00464BCB" w:rsidRDefault="00000000">
            <w:pPr>
              <w:spacing w:before="0" w:after="0" w:line="240" w:lineRule="auto"/>
            </w:pPr>
            <w:r>
              <w:rPr>
                <w:sz w:val="18"/>
              </w:rPr>
              <w:t>Authorities and References</w:t>
            </w:r>
          </w:p>
        </w:tc>
        <w:tc>
          <w:tcPr>
            <w:tcW w:w="1560" w:type="dxa"/>
            <w:tcMar>
              <w:top w:w="35" w:type="dxa"/>
              <w:left w:w="90" w:type="dxa"/>
              <w:bottom w:w="35" w:type="dxa"/>
              <w:right w:w="90" w:type="dxa"/>
            </w:tcMar>
          </w:tcPr>
          <w:p>
            <w:r>
              <w:t>73</w:t>
            </w:r>
          </w:p>
        </w:tc>
      </w:tr>
    </w:tbl>
    <w:p>
      <w:pPr>
        <w:pStyle w:val="CTAHeading1"/>
        <w:pageBreakBefore/>
      </w:pPr>
      <w:r>
        <w:rPr>
          <w:rFonts w:ascii="Lato" w:hAnsi="Lato" w:eastAsia="Lato"/>
          <w:b/>
          <w:i w:val="0"/>
          <w:color w:val="0B2447"/>
          <w:sz w:val="32"/>
        </w:rPr>
        <w:t>How to Use This Workbook</w:t>
      </w:r>
    </w:p>
    <w:p>
      <w:pPr>
        <w:pStyle w:val="CTABody"/>
      </w:pPr>
      <w:r>
        <w:rPr>
          <w:rFonts w:ascii="Lato" w:hAnsi="Lato" w:eastAsia="Lato"/>
          <w:b w:val="0"/>
          <w:i w:val="0"/>
        </w:rPr>
        <w:t>Read Chapters 1-6 in sequence to build the legal and clinical framework for California telehealth practice. Use Chapters 7-9 after the core material to identify common examination traps, reinforce high-yield concepts, and complete final review.</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r>
              <w:rPr>
                <w:rFonts w:ascii="Lato" w:hAnsi="Lato" w:eastAsia="Lato"/>
                <w:b/>
                <w:i w:val="0"/>
                <w:color w:val="0B2447"/>
                <w:sz w:val="22"/>
              </w:rPr>
              <w:t>Accuracy and Educational Notice</w:t>
            </w:r>
          </w:p>
          <w:p>
            <w:r>
              <w:rPr>
                <w:rFonts w:ascii="Lato" w:hAnsi="Lato" w:eastAsia="Lato"/>
                <w:b w:val="0"/>
                <w:i w:val="0"/>
                <w:sz w:val="20"/>
              </w:rPr>
              <w:t>This LCSW Candidate Edition reflects the chapter-by-chapter legal and professional review completed through August 6, 2026. It is an exam-preparation resource for LCSW and ASW candidates only, provides no CE credit or CE certificate, and does not replace individualized legal advice, current Board guidance, or consultation regarding a specific case.</w:t>
            </w:r>
          </w:p>
        </w:tc>
      </w:tr>
    </w:tbl>
    <w:p>
      <w:r>
        <w:br w:type="page"/>
      </w:r>
    </w:p>
    <w:p>
      <w:pPr>
        <w:spacing w:before="2100"/>
        <w:jc w:val="center"/>
      </w:pPr>
      <w:r>
        <w:rPr>
          <w:rFonts w:ascii="Lato" w:hAnsi="Lato" w:eastAsia="Lato"/>
          <w:b/>
          <w:i w:val="0"/>
          <w:color w:val="0AA6A6"/>
          <w:sz w:val="28"/>
        </w:rPr>
        <w:t>SECTION I</w:t>
      </w:r>
    </w:p>
    <w:p>
      <w:pPr>
        <w:pStyle w:val="CTATitle"/>
        <w:jc w:val="center"/>
      </w:pPr>
      <w:r>
        <w:rPr>
          <w:rFonts w:ascii="Lato" w:hAnsi="Lato" w:eastAsia="Lato"/>
          <w:b/>
          <w:i w:val="0"/>
          <w:color w:val="0B2447"/>
          <w:sz w:val="44"/>
        </w:rPr>
        <w:t>Telehealth Foundations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6" w:color="0B2447"/>
              <w:left w:val="single" w:sz="6" w:color="0B2447"/>
              <w:bottom w:val="single" w:sz="6" w:color="0B2447"/>
              <w:right w:val="single" w:sz="6" w:color="0B2447"/>
            </w:tcBorders>
          </w:tcPr>
          <w:p>
            <w:pPr>
              <w:jc w:val="center"/>
            </w:pPr>
            <w:r>
              <w:rPr>
                <w:rFonts w:ascii="Lato" w:hAnsi="Lato" w:eastAsia="Lato"/>
                <w:b/>
                <w:i w:val="0"/>
                <w:color w:val="384250"/>
                <w:sz w:val="21"/>
              </w:rPr>
              <w:t>Chapter 1: Telehealth Foundations</w:t>
            </w:r>
          </w:p>
          <w:p>
            <w:pPr>
              <w:jc w:val="center"/>
            </w:pPr>
            <w:r>
              <w:rPr>
                <w:rFonts w:ascii="Lato" w:hAnsi="Lato" w:eastAsia="Lato"/>
                <w:b/>
                <w:i w:val="0"/>
                <w:color w:val="384250"/>
                <w:sz w:val="21"/>
              </w:rPr>
              <w:t>Chapter 2: Telehealth Informed Consent</w:t>
            </w:r>
          </w:p>
          <w:p>
            <w:pPr>
              <w:jc w:val="center"/>
            </w:pPr>
            <w:r>
              <w:rPr>
                <w:rFonts w:ascii="Lato" w:hAnsi="Lato" w:eastAsia="Lato"/>
                <w:b/>
                <w:i w:val="0"/>
                <w:color w:val="384250"/>
                <w:sz w:val="21"/>
              </w:rPr>
              <w:t>Chapter 3: Telehealth Privacy and Security</w:t>
            </w:r>
          </w:p>
        </w:tc>
      </w:tr>
    </w:tbl>
    <w:p>
      <w:r>
        <w:br w:type="page"/>
      </w:r>
    </w:p>
    <w:p>
      <w:pPr>
        <w:pStyle w:val="CTAHeading1"/>
        <w:keepNext/>
      </w:pPr>
      <w:r>
        <w:rPr>
          <w:rFonts w:ascii="Lato" w:hAnsi="Lato" w:eastAsia="Lato"/>
          <w:b/>
          <w:i w:val="0"/>
          <w:color w:val="0B2447"/>
          <w:sz w:val="32"/>
        </w:rPr>
        <w:t>Chapter 1: Telehealth Foundations</w:t>
      </w:r>
    </w:p>
    <w:p>
      <w:pPr>
        <w:pStyle w:val="CTAHeading2"/>
        <w:keepNext/>
      </w:pPr>
      <w:r>
        <w:rPr>
          <w:rFonts w:ascii="Lato" w:hAnsi="Lato" w:eastAsia="Lato"/>
          <w:b/>
          <w:i w:val="0"/>
          <w:color w:val="0B2447"/>
          <w:sz w:val="26"/>
        </w:rPr>
        <w:t>Learning Objectives</w:t>
      </w:r>
    </w:p>
    <w:p>
      <w:pPr>
        <w:pStyle w:val="CTABullet"/>
      </w:pPr>
      <w:r>
        <w:rPr>
          <w:rFonts w:ascii="Lato" w:hAnsi="Lato" w:eastAsia="Lato"/>
          <w:sz w:val="21"/>
        </w:rPr>
        <w:t>• Define telehealth under California law and distinguish synchronous from asynchronous delivery.</w:t>
      </w:r>
    </w:p>
    <w:p>
      <w:pPr>
        <w:pStyle w:val="CTABullet"/>
      </w:pPr>
      <w:r>
        <w:rPr>
          <w:rFonts w:ascii="Lato" w:hAnsi="Lato" w:eastAsia="Lato"/>
          <w:sz w:val="21"/>
        </w:rPr>
        <w:t>• Explain how California scope-of-practice, professional-responsibility, and BBS standards apply to telehealth.</w:t>
      </w:r>
    </w:p>
    <w:p>
      <w:pPr>
        <w:pStyle w:val="CTABullet"/>
      </w:pPr>
      <w:r>
        <w:rPr>
          <w:rFonts w:ascii="Lato" w:hAnsi="Lato" w:eastAsia="Lato"/>
          <w:sz w:val="21"/>
        </w:rPr>
        <w:t>• Determine the jurisdictional issue by identifying the client's present physical location.</w:t>
      </w:r>
    </w:p>
    <w:p>
      <w:pPr>
        <w:pStyle w:val="CTABullet"/>
      </w:pPr>
      <w:r>
        <w:rPr>
          <w:rFonts w:ascii="Lato" w:hAnsi="Lato" w:eastAsia="Lato"/>
          <w:sz w:val="21"/>
        </w:rPr>
        <w:t>• Apply the requirements that arise when telehealth is initiated and each time a telehealth session occurs.</w:t>
      </w:r>
    </w:p>
    <w:p>
      <w:pPr>
        <w:pStyle w:val="CTABullet"/>
      </w:pPr>
      <w:r>
        <w:rPr>
          <w:rFonts w:ascii="Lato" w:hAnsi="Lato" w:eastAsia="Lato"/>
          <w:sz w:val="21"/>
        </w:rPr>
        <w:t>• Evaluate whether telehealth remains clinically appropriate for the client and the specific session.</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California LCSW telehealth questions are rarely testing technology alone. They usually test whether the therapist recognizes the legal authority to practice, verifies where the client is physically located, follows the required telehealth procedures, and uses clinical judgment rather than convenience.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Big Idea</w:t>
            </w:r>
          </w:p>
          <w:p>
            <w:pPr>
              <w:spacing w:before="0" w:after="0" w:line="259" w:lineRule="auto"/>
            </w:pPr>
            <w:r>
              <w:rPr>
                <w:rFonts w:ascii="Lato" w:hAnsi="Lato" w:eastAsia="Lato"/>
                <w:b w:val="0"/>
                <w:i w:val="0"/>
                <w:sz w:val="21"/>
              </w:rPr>
              <w:t>Telehealth is a mode of delivering care - not a separate scope of practice. The therapist must be legally authorized to serve the client where the client is physically located and must reassess location and appropriateness each time telehealth is provided.</w:t>
            </w:r>
          </w:p>
        </w:tc>
      </w:tr>
    </w:tbl>
    <w:p>
      <w:pPr>
        <w:spacing w:after="0"/>
      </w:pPr>
    </w:p>
    <w:p>
      <w:pPr>
        <w:pStyle w:val="CTAHeading2"/>
        <w:keepNext/>
      </w:pPr>
      <w:r>
        <w:rPr>
          <w:rFonts w:ascii="Lato" w:hAnsi="Lato" w:eastAsia="Lato"/>
          <w:b/>
          <w:i w:val="0"/>
          <w:color w:val="0B2447"/>
          <w:sz w:val="26"/>
        </w:rPr>
        <w:t>1. What Is Telehealth?</w:t>
      </w:r>
    </w:p>
    <w:p>
      <w:pPr>
        <w:pStyle w:val="CTABody"/>
      </w:pPr>
      <w:r>
        <w:rPr>
          <w:rFonts w:ascii="Lato" w:hAnsi="Lato" w:eastAsia="Lato"/>
          <w:b w:val="0"/>
          <w:i w:val="0"/>
        </w:rPr>
        <w:t>California law defines telehealth as a mode of delivering health care and public health through information and communication technologies. It may support diagnosis, consultation, treatment, education, care management, and self-management. The definition includes both synchronous interactions and asynchronous store-and-forward transfers. (Cal. Bus. &amp; Prof. Code, section 2290.5.)</w:t>
      </w:r>
    </w:p>
    <w:p>
      <w:pPr>
        <w:pStyle w:val="CTAHeading3"/>
        <w:keepNext/>
      </w:pPr>
      <w:r>
        <w:rPr>
          <w:rFonts w:ascii="Lato" w:hAnsi="Lato" w:eastAsia="Lato"/>
          <w:b/>
          <w:i w:val="0"/>
          <w:color w:val="384250"/>
          <w:sz w:val="23"/>
        </w:rPr>
        <w:t>Two Common Modes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9"/>
              </w:rPr>
              <w:t>Mode</w:t>
            </w:r>
          </w:p>
        </w:tc>
        <w:tc>
          <w:tcPr>
            <w:tcW w:type="dxa" w:w="3320"/>
            <w:shd w:fill="0B2447"/>
          </w:tcPr>
          <w:p>
            <w:pPr>
              <w:jc w:val="center"/>
            </w:pPr>
            <w:r>
              <w:rPr>
                <w:rFonts w:ascii="Lato" w:hAnsi="Lato" w:eastAsia="Lato"/>
                <w:b/>
                <w:i w:val="0"/>
                <w:color w:val="FFFFFF"/>
                <w:sz w:val="19"/>
              </w:rPr>
              <w:t>Meaning</w:t>
            </w:r>
          </w:p>
        </w:tc>
        <w:tc>
          <w:tcPr>
            <w:tcW w:type="dxa" w:w="3320"/>
            <w:shd w:fill="0B2447"/>
          </w:tcPr>
          <w:p>
            <w:pPr>
              <w:jc w:val="center"/>
            </w:pPr>
            <w:r>
              <w:rPr>
                <w:rFonts w:ascii="Lato" w:hAnsi="Lato" w:eastAsia="Lato"/>
                <w:b/>
                <w:i w:val="0"/>
                <w:color w:val="FFFFFF"/>
                <w:sz w:val="19"/>
              </w:rPr>
              <w:t>Mental-Health Example</w:t>
            </w:r>
          </w:p>
        </w:tc>
      </w:tr>
      <w:tr>
        <w:trPr>
          <w:cantSplit w:val="1"/>
        </w:trPr>
        <w:tc>
          <w:tcPr>
            <w:tcW w:type="dxa" w:w="3320"/>
            <w:shd w:fill="EEF3F8"/>
          </w:tcPr>
          <w:p>
            <w:pPr>
              <w:spacing w:before="0" w:after="0" w:line="259" w:lineRule="auto"/>
            </w:pPr>
            <w:r>
              <w:rPr>
                <w:rFonts w:ascii="Lato" w:hAnsi="Lato" w:eastAsia="Lato"/>
                <w:b/>
                <w:i w:val="0"/>
                <w:color w:val="0B2447"/>
                <w:sz w:val="18"/>
              </w:rPr>
              <w:t>Synchronous</w:t>
            </w:r>
          </w:p>
        </w:tc>
        <w:tc>
          <w:tcPr>
            <w:tcW w:type="dxa" w:w="3320"/>
          </w:tcPr>
          <w:p>
            <w:pPr>
              <w:spacing w:before="0" w:after="0" w:line="259" w:lineRule="auto"/>
            </w:pPr>
            <w:r>
              <w:rPr>
                <w:rFonts w:ascii="Lato" w:hAnsi="Lato" w:eastAsia="Lato"/>
                <w:b w:val="0"/>
                <w:i w:val="0"/>
                <w:color w:val="111827"/>
                <w:sz w:val="18"/>
              </w:rPr>
              <w:t>Real-time interaction between client and provider.</w:t>
            </w:r>
          </w:p>
        </w:tc>
        <w:tc>
          <w:tcPr>
            <w:tcW w:type="dxa" w:w="3320"/>
          </w:tcPr>
          <w:p>
            <w:pPr>
              <w:spacing w:before="0" w:after="0" w:line="259" w:lineRule="auto"/>
            </w:pPr>
            <w:r>
              <w:rPr>
                <w:rFonts w:ascii="Lato" w:hAnsi="Lato" w:eastAsia="Lato"/>
                <w:b w:val="0"/>
                <w:i w:val="0"/>
                <w:color w:val="111827"/>
                <w:sz w:val="18"/>
              </w:rPr>
              <w:t>Live video or telephone psychotherapy when clinically appropriate.</w:t>
            </w:r>
          </w:p>
        </w:tc>
      </w:tr>
      <w:tr>
        <w:trPr>
          <w:cantSplit w:val="1"/>
        </w:trPr>
        <w:tc>
          <w:tcPr>
            <w:tcW w:type="dxa" w:w="3320"/>
            <w:shd w:fill="EEF3F8"/>
          </w:tcPr>
          <w:p>
            <w:pPr>
              <w:spacing w:before="0" w:after="0" w:line="259" w:lineRule="auto"/>
            </w:pPr>
            <w:r>
              <w:rPr>
                <w:rFonts w:ascii="Lato" w:hAnsi="Lato" w:eastAsia="Lato"/>
                <w:b/>
                <w:i w:val="0"/>
                <w:color w:val="0B2447"/>
                <w:sz w:val="18"/>
              </w:rPr>
              <w:t>Asynchronous</w:t>
            </w:r>
          </w:p>
        </w:tc>
        <w:tc>
          <w:tcPr>
            <w:tcW w:type="dxa" w:w="3320"/>
          </w:tcPr>
          <w:p>
            <w:pPr>
              <w:spacing w:before="0" w:after="0" w:line="259" w:lineRule="auto"/>
            </w:pPr>
            <w:r>
              <w:rPr>
                <w:rFonts w:ascii="Lato" w:hAnsi="Lato" w:eastAsia="Lato"/>
                <w:b w:val="0"/>
                <w:i w:val="0"/>
                <w:color w:val="111827"/>
                <w:sz w:val="18"/>
              </w:rPr>
              <w:t>Information is transmitted for later review rather than exchanged in real time.</w:t>
            </w:r>
          </w:p>
        </w:tc>
        <w:tc>
          <w:tcPr>
            <w:tcW w:type="dxa" w:w="3320"/>
          </w:tcPr>
          <w:p>
            <w:pPr>
              <w:spacing w:before="0" w:after="0" w:line="259" w:lineRule="auto"/>
            </w:pPr>
            <w:r>
              <w:rPr>
                <w:rFonts w:ascii="Lato" w:hAnsi="Lato" w:eastAsia="Lato"/>
                <w:b w:val="0"/>
                <w:i w:val="0"/>
                <w:color w:val="111827"/>
                <w:sz w:val="18"/>
              </w:rPr>
              <w:t>A client sends information through a secure system for later clinical review; the transmission itself is not automatically a psychotherapy session.</w:t>
            </w:r>
          </w:p>
        </w:tc>
      </w:tr>
    </w:tbl>
    <w:p>
      <w:pPr>
        <w:pStyle w:val="CTASmall"/>
      </w:pPr>
      <w:r>
        <w:rPr>
          <w:rFonts w:ascii="Lato" w:hAnsi="Lato" w:eastAsia="Lato"/>
          <w:b w:val="0"/>
          <w:i/>
          <w:color w:val="384250"/>
          <w:sz w:val="19"/>
        </w:rPr>
        <w:t>Exam reminder: Telehealth is broader than live video, but not every electronic administrative message is a telehealth treatment service.</w:t>
      </w:r>
    </w:p>
    <w:p>
      <w:pPr>
        <w:pStyle w:val="CTAHeading2"/>
        <w:keepNext/>
      </w:pPr>
      <w:r>
        <w:rPr>
          <w:rFonts w:ascii="Lato" w:hAnsi="Lato" w:eastAsia="Lato"/>
          <w:b/>
          <w:i w:val="0"/>
          <w:color w:val="0B2447"/>
          <w:sz w:val="26"/>
        </w:rPr>
        <w:t>2. Same Professional Standards - Additional Telehealth Procedures</w:t>
      </w:r>
    </w:p>
    <w:p>
      <w:pPr>
        <w:pStyle w:val="CTABody"/>
      </w:pPr>
      <w:r>
        <w:rPr>
          <w:rFonts w:ascii="Lato" w:hAnsi="Lato" w:eastAsia="Lato"/>
          <w:b w:val="0"/>
          <w:i w:val="0"/>
        </w:rPr>
        <w:t>Telehealth does not create a separate or expanded scope of practice. California law expressly states that telehealth does not authorize a provider to deliver services in a setting or manner that is otherwise unlawful. Confidentiality, access-to-records, professional-responsibility, unprofessional-conduct, and standards-of-practice rules continue to apply. (Cal. Bus. &amp; Prof. Code, section 2290.5(e)-(g).)</w:t>
      </w:r>
    </w:p>
    <w:p>
      <w:pPr>
        <w:pStyle w:val="CTABullet"/>
      </w:pPr>
      <w:r>
        <w:rPr>
          <w:rFonts w:ascii="Lato" w:hAnsi="Lato" w:eastAsia="Lato"/>
          <w:sz w:val="21"/>
        </w:rPr>
        <w:t>• A therapist may not use telehealth to perform services outside the therapist's legal scope of practice.</w:t>
      </w:r>
    </w:p>
    <w:p>
      <w:pPr>
        <w:pStyle w:val="CTABullet"/>
      </w:pPr>
      <w:r>
        <w:rPr>
          <w:rFonts w:ascii="Lato" w:hAnsi="Lato" w:eastAsia="Lato"/>
          <w:sz w:val="21"/>
        </w:rPr>
        <w:t>• Licensure alone does not establish competence with every platform, population, intervention, or risk situation.</w:t>
      </w:r>
    </w:p>
    <w:p>
      <w:pPr>
        <w:pStyle w:val="CTABullet"/>
      </w:pPr>
      <w:r>
        <w:rPr>
          <w:rFonts w:ascii="Lato" w:hAnsi="Lato" w:eastAsia="Lato"/>
          <w:sz w:val="21"/>
        </w:rPr>
        <w:t>• BBS jurisdiction applies to psychotherapy delivered by telehealth just as it applies to in-person psychotherapy.</w:t>
      </w:r>
    </w:p>
    <w:p>
      <w:pPr>
        <w:pStyle w:val="CTABullet"/>
      </w:pPr>
      <w:r>
        <w:rPr>
          <w:rFonts w:ascii="Lato" w:hAnsi="Lato" w:eastAsia="Lato"/>
          <w:sz w:val="21"/>
        </w:rPr>
        <w:t>• Telehealth may require additional procedures even though the underlying professional standards remain in force.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High-Yield Rule</w:t>
            </w:r>
          </w:p>
          <w:p>
            <w:pPr>
              <w:spacing w:before="0" w:after="0" w:line="259" w:lineRule="auto"/>
            </w:pPr>
            <w:r>
              <w:rPr>
                <w:rFonts w:ascii="Lato" w:hAnsi="Lato" w:eastAsia="Lato"/>
                <w:b w:val="0"/>
                <w:i w:val="0"/>
                <w:sz w:val="21"/>
              </w:rPr>
              <w:t>Different setting. Same professional standards. Additional telehealth procedures.</w:t>
            </w:r>
          </w:p>
        </w:tc>
      </w:tr>
    </w:tbl>
    <w:p>
      <w:pPr>
        <w:spacing w:after="0"/>
      </w:pPr>
    </w:p>
    <w:p>
      <w:pPr>
        <w:pStyle w:val="CTAHeading2"/>
        <w:keepNext/>
      </w:pPr>
      <w:r>
        <w:rPr>
          <w:rFonts w:ascii="Lato" w:hAnsi="Lato" w:eastAsia="Lato"/>
          <w:b/>
          <w:i w:val="0"/>
          <w:color w:val="0B2447"/>
          <w:sz w:val="26"/>
        </w:rPr>
        <w:t>3. Jurisdiction Follows the Client's Present Physical Location</w:t>
      </w:r>
    </w:p>
    <w:p>
      <w:pPr>
        <w:pStyle w:val="CTABody"/>
      </w:pPr>
      <w:r>
        <w:rPr>
          <w:rFonts w:ascii="Lato" w:hAnsi="Lato" w:eastAsia="Lato"/>
          <w:b w:val="0"/>
          <w:i w:val="0"/>
        </w:rPr>
        <w:t>The most important jurisdiction question is not where the client lives permanently or where the therapist's office is located. It is where the client is physically located when the service is delivered.</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Situation</w:t>
            </w:r>
          </w:p>
        </w:tc>
        <w:tc>
          <w:tcPr>
            <w:tcW w:type="dxa" w:w="3320"/>
            <w:shd w:fill="0B2447"/>
          </w:tcPr>
          <w:p>
            <w:pPr>
              <w:jc w:val="center"/>
            </w:pPr>
            <w:r>
              <w:rPr>
                <w:rFonts w:ascii="Lato" w:hAnsi="Lato" w:eastAsia="Lato"/>
                <w:b/>
                <w:i w:val="0"/>
                <w:color w:val="FFFFFF"/>
                <w:sz w:val="18"/>
              </w:rPr>
              <w:t>California Rule</w:t>
            </w:r>
          </w:p>
        </w:tc>
        <w:tc>
          <w:tcPr>
            <w:tcW w:type="dxa" w:w="3320"/>
            <w:shd w:fill="0B2447"/>
          </w:tcPr>
          <w:p>
            <w:pPr>
              <w:jc w:val="center"/>
            </w:pPr>
            <w:r>
              <w:rPr>
                <w:rFonts w:ascii="Lato" w:hAnsi="Lato" w:eastAsia="Lato"/>
                <w:b/>
                <w:i w:val="0"/>
                <w:color w:val="FFFFFF"/>
                <w:sz w:val="18"/>
              </w:rPr>
              <w:t>Exam Focus</w:t>
            </w:r>
          </w:p>
        </w:tc>
      </w:tr>
      <w:tr>
        <w:trPr>
          <w:cantSplit w:val="1"/>
        </w:trPr>
        <w:tc>
          <w:tcPr>
            <w:tcW w:type="dxa" w:w="3320"/>
            <w:shd w:fill="EEF3F8"/>
          </w:tcPr>
          <w:p>
            <w:pPr>
              <w:spacing w:before="0" w:after="0" w:line="259" w:lineRule="auto"/>
            </w:pPr>
            <w:r>
              <w:rPr>
                <w:rFonts w:ascii="Lato" w:hAnsi="Lato" w:eastAsia="Lato"/>
                <w:b/>
                <w:i w:val="0"/>
                <w:color w:val="0B2447"/>
                <w:sz w:val="18"/>
              </w:rPr>
              <w:t>Client is physically in California</w:t>
            </w:r>
          </w:p>
        </w:tc>
        <w:tc>
          <w:tcPr>
            <w:tcW w:type="dxa" w:w="3320"/>
          </w:tcPr>
          <w:p>
            <w:r>
              <w:t>A person providing clinical social work services to a client physically located in California generally must hold a current and active California LCSW license or ASW registration unless a specific statutory exemption or supervised student/intern provision applies.</w:t>
            </w:r>
          </w:p>
        </w:tc>
        <w:tc>
          <w:tcPr>
            <w:tcW w:type="dxa" w:w="3320"/>
          </w:tcPr>
          <w:p>
            <w:pPr>
              <w:spacing w:before="0" w:after="0" w:line="259" w:lineRule="auto"/>
            </w:pPr>
            <w:r>
              <w:rPr>
                <w:rFonts w:ascii="Lato" w:hAnsi="Lato" w:eastAsia="Lato"/>
                <w:b w:val="0"/>
                <w:i w:val="0"/>
                <w:color w:val="111827"/>
                <w:sz w:val="18"/>
              </w:rPr>
              <w:t>Client location triggers California authority.</w:t>
            </w:r>
          </w:p>
        </w:tc>
      </w:tr>
      <w:tr>
        <w:trPr>
          <w:cantSplit w:val="1"/>
        </w:trPr>
        <w:tc>
          <w:tcPr>
            <w:tcW w:type="dxa" w:w="3320"/>
            <w:shd w:fill="EEF3F8"/>
          </w:tcPr>
          <w:p>
            <w:pPr>
              <w:spacing w:before="0" w:after="0" w:line="259" w:lineRule="auto"/>
            </w:pPr>
            <w:r>
              <w:rPr>
                <w:rFonts w:ascii="Lato" w:hAnsi="Lato" w:eastAsia="Lato"/>
                <w:b/>
                <w:i w:val="0"/>
                <w:color w:val="0B2447"/>
                <w:sz w:val="18"/>
              </w:rPr>
              <w:t>California LCSW or registered ASW serves a client in another jurisdiction</w:t>
            </w:r>
          </w:p>
        </w:tc>
        <w:tc>
          <w:tcPr>
            <w:tcW w:type="dxa" w:w="3320"/>
          </w:tcPr>
          <w:p>
            <w:pPr>
              <w:spacing w:before="0" w:after="0" w:line="259" w:lineRule="auto"/>
            </w:pPr>
            <w:r>
              <w:rPr>
                <w:rFonts w:ascii="Lato" w:hAnsi="Lato" w:eastAsia="Lato"/>
                <w:b w:val="0"/>
                <w:i w:val="0"/>
                <w:color w:val="111827"/>
                <w:sz w:val="18"/>
              </w:rPr>
              <w:t>The therapist must meet that jurisdiction's requirements to lawfully provide services there, and that jurisdiction must permit telehealth.</w:t>
            </w:r>
          </w:p>
        </w:tc>
        <w:tc>
          <w:tcPr>
            <w:tcW w:type="dxa" w:w="3320"/>
          </w:tcPr>
          <w:p>
            <w:pPr>
              <w:spacing w:before="0" w:after="0" w:line="259" w:lineRule="auto"/>
            </w:pPr>
            <w:r>
              <w:rPr>
                <w:rFonts w:ascii="Lato" w:hAnsi="Lato" w:eastAsia="Lato"/>
                <w:b w:val="0"/>
                <w:i w:val="0"/>
                <w:color w:val="111827"/>
                <w:sz w:val="18"/>
              </w:rPr>
              <w:t>A California credential is not nationwide authority.</w:t>
            </w:r>
          </w:p>
        </w:tc>
      </w:tr>
      <w:tr>
        <w:trPr>
          <w:cantSplit w:val="1"/>
        </w:trPr>
        <w:tc>
          <w:tcPr>
            <w:tcW w:type="dxa" w:w="3320"/>
            <w:shd w:fill="EEF3F8"/>
          </w:tcPr>
          <w:p>
            <w:pPr>
              <w:spacing w:before="0" w:after="0" w:line="259" w:lineRule="auto"/>
            </w:pPr>
            <w:r>
              <w:rPr>
                <w:rFonts w:ascii="Lato" w:hAnsi="Lato" w:eastAsia="Lato"/>
                <w:b/>
                <w:i w:val="0"/>
                <w:color w:val="0B2447"/>
                <w:sz w:val="18"/>
              </w:rPr>
              <w:t>California LCSW is temporarily outside California while client is in California</w:t>
            </w:r>
          </w:p>
        </w:tc>
        <w:tc>
          <w:tcPr>
            <w:tcW w:type="dxa" w:w="3320"/>
          </w:tcPr>
          <w:p>
            <w:pPr>
              <w:spacing w:before="0" w:after="0" w:line="259" w:lineRule="auto"/>
            </w:pPr>
            <w:r>
              <w:rPr>
                <w:rFonts w:ascii="Lato" w:hAnsi="Lato" w:eastAsia="Lato"/>
                <w:b w:val="0"/>
                <w:i w:val="0"/>
                <w:color w:val="111827"/>
                <w:sz w:val="18"/>
              </w:rPr>
              <w:t>From the BBS perspective, the clinical social worker may generally provide telehealth if the California LCSW license or ASW registration is current and active, the case is appropriate, and section 1815.5 is followed. ASWs also require supervisor permission and continuing compliance with all California employment, setting, registration, and supervision requirements.</w:t>
            </w:r>
          </w:p>
        </w:tc>
        <w:tc>
          <w:tcPr>
            <w:tcW w:type="dxa" w:w="3320"/>
          </w:tcPr>
          <w:p>
            <w:pPr>
              <w:spacing w:before="0" w:after="0" w:line="259" w:lineRule="auto"/>
            </w:pPr>
            <w:r>
              <w:rPr>
                <w:rFonts w:ascii="Lato" w:hAnsi="Lato" w:eastAsia="Lato"/>
                <w:b w:val="0"/>
                <w:i w:val="0"/>
                <w:color w:val="111827"/>
                <w:sz w:val="18"/>
              </w:rPr>
              <w:t>Therapist travel does not erase California duties.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r>
              <w:t>Narrow Exception: Temporary Practice Allowance</w:t>
              <w:br/>
              <w:t>A qualifying independently licensed out-of-state clinical social worker may apply for one temporary-practice allowance per calendar year, valid for no more than 30 consecutive days, to continue services with an established client who is temporarily in California. The clinician must submit the required information and signed statement, receive the BBS allowance before providing services, and satisfy every condition in Business and Professions Code section 4996.16.1. The allowance does not apply to ASWs and remains in effect only until January 1, 2030, unless the Legislature extends or replaces it.</w:t>
            </w:r>
          </w:p>
        </w:tc>
      </w:tr>
    </w:tbl>
    <w:p>
      <w:pPr>
        <w:spacing w:after="0"/>
      </w:pPr>
    </w:p>
    <w:p>
      <w:pPr>
        <w:pStyle w:val="CTAHeading2"/>
        <w:keepNext/>
      </w:pPr>
      <w:r>
        <w:rPr>
          <w:rFonts w:ascii="Lato" w:hAnsi="Lato" w:eastAsia="Lato"/>
          <w:b/>
          <w:i w:val="0"/>
          <w:color w:val="0B2447"/>
          <w:sz w:val="26"/>
        </w:rPr>
        <w:t>4. Requirements When Telehealth Is Initiated</w:t>
      </w:r>
    </w:p>
    <w:p>
      <w:pPr>
        <w:pStyle w:val="CTABody"/>
      </w:pPr>
      <w:r>
        <w:rPr>
          <w:rFonts w:ascii="Lato" w:hAnsi="Lato" w:eastAsia="Lato"/>
          <w:b w:val="0"/>
          <w:i w:val="0"/>
        </w:rPr>
        <w:t>When telehealth services begin with a client in California, an LCSW or registered ASW must complete the following foundational steps. Chapter 2 examines informed consent in greater depth.</w:t>
      </w:r>
    </w:p>
    <w:p>
      <w:pPr>
        <w:pStyle w:val="CTABullet"/>
      </w:pPr>
      <w:r>
        <w:rPr>
          <w:rFonts w:ascii="Lato" w:hAnsi="Lato" w:eastAsia="Lato"/>
          <w:sz w:val="21"/>
        </w:rPr>
        <w:t>• Obtain verbal or written consent to use telehealth and document the consent.</w:t>
      </w:r>
    </w:p>
    <w:p>
      <w:pPr>
        <w:pStyle w:val="CTABullet"/>
      </w:pPr>
      <w:r>
        <w:rPr>
          <w:rFonts w:ascii="Lato" w:hAnsi="Lato" w:eastAsia="Lato"/>
          <w:sz w:val="21"/>
        </w:rPr>
        <w:t>• Inform the client of the potential risks and limitations of telehealth treatment.</w:t>
      </w:r>
    </w:p>
    <w:p>
      <w:pPr>
        <w:pStyle w:val="CTABullet"/>
      </w:pPr>
      <w:r>
        <w:rPr>
          <w:rFonts w:ascii="Lato" w:hAnsi="Lato" w:eastAsia="Lato"/>
          <w:sz w:val="21"/>
        </w:rPr>
        <w:t>• Provide the therapist's license or registration number and the type of license or registration.</w:t>
      </w:r>
    </w:p>
    <w:p>
      <w:pPr>
        <w:pStyle w:val="CTABullet"/>
      </w:pPr>
      <w:r>
        <w:rPr>
          <w:rFonts w:ascii="Lato" w:hAnsi="Lato" w:eastAsia="Lato"/>
          <w:sz w:val="21"/>
        </w:rPr>
        <w:t>• Document reasonable efforts to identify relevant resources, including emergency services, in the client's geographic area.</w:t>
      </w:r>
    </w:p>
    <w:p>
      <w:pPr>
        <w:pStyle w:val="CTASmall"/>
      </w:pPr>
      <w:r>
        <w:rPr>
          <w:rFonts w:ascii="Lato" w:hAnsi="Lato" w:eastAsia="Lato"/>
          <w:b w:val="0"/>
          <w:i/>
          <w:color w:val="384250"/>
          <w:sz w:val="19"/>
        </w:rPr>
        <w:t>Authority: 16 CCR section 1815.5(c); Cal. Bus. &amp; Prof. Code section 2290.5(b).</w:t>
      </w:r>
    </w:p>
    <w:p>
      <w:pPr>
        <w:pStyle w:val="CTAHeading2"/>
        <w:keepNext/>
      </w:pPr>
      <w:r>
        <w:rPr>
          <w:rFonts w:ascii="Lato" w:hAnsi="Lato" w:eastAsia="Lato"/>
          <w:b/>
          <w:i w:val="0"/>
          <w:color w:val="0B2447"/>
          <w:sz w:val="26"/>
        </w:rPr>
        <w:t>5. Requirements Each Time Telehealth Is Provided</w:t>
      </w:r>
    </w:p>
    <w:p>
      <w:pPr>
        <w:pStyle w:val="CTABody"/>
      </w:pPr>
      <w:r>
        <w:rPr>
          <w:rFonts w:ascii="Lato" w:hAnsi="Lato" w:eastAsia="Lato"/>
          <w:b w:val="0"/>
          <w:i w:val="0"/>
        </w:rPr>
        <w:t>Each telehealth session has its own required opening sequence. These are not optional preparation ideas.</w:t>
      </w:r>
    </w:p>
    <w:p>
      <w:pPr>
        <w:pStyle w:val="CTABody"/>
      </w:pPr>
      <w:r>
        <w:rPr>
          <w:rFonts w:ascii="Lato" w:hAnsi="Lato" w:eastAsia="Lato"/>
          <w:b/>
          <w:i w:val="0"/>
          <w:color w:val="0B2447"/>
        </w:rPr>
        <w:t xml:space="preserve">Identify and locate: </w:t>
      </w:r>
      <w:r>
        <w:rPr>
          <w:rFonts w:ascii="Lato" w:hAnsi="Lato" w:eastAsia="Lato"/>
          <w:b w:val="0"/>
          <w:i w:val="0"/>
        </w:rPr>
        <w:t>Verbally obtain and document the client's full name and address of the client's present location at the beginning of the session.</w:t>
      </w:r>
    </w:p>
    <w:p>
      <w:pPr>
        <w:pStyle w:val="CTABody"/>
      </w:pPr>
      <w:r>
        <w:rPr>
          <w:rFonts w:ascii="Lato" w:hAnsi="Lato" w:eastAsia="Lato"/>
          <w:b/>
          <w:i w:val="0"/>
          <w:color w:val="0B2447"/>
        </w:rPr>
        <w:t xml:space="preserve">Assess appropriateness: </w:t>
      </w:r>
      <w:r>
        <w:rPr>
          <w:rFonts w:ascii="Lato" w:hAnsi="Lato" w:eastAsia="Lato"/>
          <w:b w:val="0"/>
          <w:i w:val="0"/>
        </w:rPr>
        <w:t>Assess whether the client and the specific session are appropriate for telehealth, including consideration of the client's psychosocial situation.</w:t>
      </w:r>
    </w:p>
    <w:p>
      <w:pPr>
        <w:pStyle w:val="CTABody"/>
      </w:pPr>
      <w:r>
        <w:rPr>
          <w:rFonts w:ascii="Lato" w:hAnsi="Lato" w:eastAsia="Lato"/>
          <w:b/>
          <w:i w:val="0"/>
          <w:color w:val="0B2447"/>
        </w:rPr>
        <w:t xml:space="preserve">Protect information: </w:t>
      </w:r>
      <w:r>
        <w:rPr>
          <w:rFonts w:ascii="Lato" w:hAnsi="Lato" w:eastAsia="Lato"/>
          <w:b w:val="0"/>
          <w:i w:val="0"/>
        </w:rPr>
        <w:t>Comply with applicable federal and California privacy, confidentiality, and security requirements, including the Confidentiality of Medical Information Act and applicable HIPAA security standards.</w:t>
      </w:r>
    </w:p>
    <w:p>
      <w:pPr>
        <w:pStyle w:val="CTASmall"/>
      </w:pPr>
      <w:r>
        <w:rPr>
          <w:rFonts w:ascii="Lato" w:hAnsi="Lato" w:eastAsia="Lato"/>
          <w:b w:val="0"/>
          <w:i/>
          <w:color w:val="384250"/>
          <w:sz w:val="19"/>
        </w:rPr>
        <w:t>Authority: 16 CCR section 1815.5(d).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Exam Pearl</w:t>
            </w:r>
          </w:p>
          <w:p>
            <w:pPr>
              <w:spacing w:before="0" w:after="0" w:line="259" w:lineRule="auto"/>
            </w:pPr>
            <w:r>
              <w:rPr>
                <w:rFonts w:ascii="Lato" w:hAnsi="Lato" w:eastAsia="Lato"/>
                <w:b w:val="0"/>
                <w:i w:val="0"/>
                <w:sz w:val="21"/>
              </w:rPr>
              <w:t>A home address in the chart is not a substitute for the client's present address. The client may be at work, in a hotel, in another state, or at an undisclosed location.</w:t>
            </w:r>
          </w:p>
        </w:tc>
      </w:tr>
    </w:tbl>
    <w:p>
      <w:pPr>
        <w:spacing w:after="0"/>
      </w:pPr>
    </w:p>
    <w:p>
      <w:pPr>
        <w:pStyle w:val="CTAHeading2"/>
        <w:keepNext/>
      </w:pPr>
      <w:r>
        <w:rPr>
          <w:rFonts w:ascii="Lato" w:hAnsi="Lato" w:eastAsia="Lato"/>
          <w:b/>
          <w:i w:val="0"/>
          <w:color w:val="0B2447"/>
          <w:sz w:val="26"/>
        </w:rPr>
        <w:t>6. Telehealth Appropriateness Is an Ongoing Clinical Decision</w:t>
      </w:r>
    </w:p>
    <w:p>
      <w:pPr>
        <w:pStyle w:val="CTABody"/>
      </w:pPr>
      <w:r>
        <w:rPr>
          <w:rFonts w:ascii="Lato" w:hAnsi="Lato" w:eastAsia="Lato"/>
          <w:b w:val="0"/>
          <w:i w:val="0"/>
        </w:rPr>
        <w:t>A therapist should not treat the initial decision to use telehealth as permanent. California regulations require an appropriateness assessment each time telehealth is provided. The therapist should consider the client and the session, not merely whether the technology connects.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9"/>
              </w:rPr>
              <w:t>Consider</w:t>
            </w:r>
          </w:p>
        </w:tc>
        <w:tc>
          <w:tcPr>
            <w:tcW w:type="dxa" w:w="4980"/>
            <w:shd w:fill="0B2447"/>
          </w:tcPr>
          <w:p>
            <w:pPr>
              <w:jc w:val="center"/>
            </w:pPr>
            <w:r>
              <w:rPr>
                <w:rFonts w:ascii="Lato" w:hAnsi="Lato" w:eastAsia="Lato"/>
                <w:b/>
                <w:i w:val="0"/>
                <w:color w:val="FFFFFF"/>
                <w:sz w:val="19"/>
              </w:rPr>
              <w:t>Questions to Ask</w:t>
            </w:r>
          </w:p>
        </w:tc>
      </w:tr>
      <w:tr>
        <w:trPr>
          <w:cantSplit w:val="1"/>
        </w:trPr>
        <w:tc>
          <w:tcPr>
            <w:tcW w:type="dxa" w:w="4980"/>
            <w:shd w:fill="EEF3F8"/>
          </w:tcPr>
          <w:p>
            <w:pPr>
              <w:spacing w:before="0" w:after="0" w:line="259" w:lineRule="auto"/>
            </w:pPr>
            <w:r>
              <w:rPr>
                <w:rFonts w:ascii="Lato" w:hAnsi="Lato" w:eastAsia="Lato"/>
                <w:b/>
                <w:i w:val="0"/>
                <w:color w:val="0B2447"/>
                <w:sz w:val="18"/>
              </w:rPr>
              <w:t>Clinical needs</w:t>
            </w:r>
          </w:p>
        </w:tc>
        <w:tc>
          <w:tcPr>
            <w:tcW w:type="dxa" w:w="4980"/>
          </w:tcPr>
          <w:p>
            <w:pPr>
              <w:spacing w:before="0" w:after="0" w:line="259" w:lineRule="auto"/>
            </w:pPr>
            <w:r>
              <w:rPr>
                <w:rFonts w:ascii="Lato" w:hAnsi="Lato" w:eastAsia="Lato"/>
                <w:b w:val="0"/>
                <w:i w:val="0"/>
                <w:color w:val="111827"/>
                <w:sz w:val="18"/>
              </w:rPr>
              <w:t>Can assessment and treatment be conducted safely and effectively in this format today?</w:t>
            </w:r>
          </w:p>
        </w:tc>
      </w:tr>
      <w:tr>
        <w:trPr>
          <w:cantSplit w:val="1"/>
        </w:trPr>
        <w:tc>
          <w:tcPr>
            <w:tcW w:type="dxa" w:w="4980"/>
            <w:shd w:fill="EEF3F8"/>
          </w:tcPr>
          <w:p>
            <w:pPr>
              <w:spacing w:before="0" w:after="0" w:line="259" w:lineRule="auto"/>
            </w:pPr>
            <w:r>
              <w:rPr>
                <w:rFonts w:ascii="Lato" w:hAnsi="Lato" w:eastAsia="Lato"/>
                <w:b/>
                <w:i w:val="0"/>
                <w:color w:val="0B2447"/>
                <w:sz w:val="18"/>
              </w:rPr>
              <w:t>Psychosocial situation</w:t>
            </w:r>
          </w:p>
        </w:tc>
        <w:tc>
          <w:tcPr>
            <w:tcW w:type="dxa" w:w="4980"/>
          </w:tcPr>
          <w:p>
            <w:pPr>
              <w:spacing w:before="0" w:after="0" w:line="259" w:lineRule="auto"/>
            </w:pPr>
            <w:r>
              <w:rPr>
                <w:rFonts w:ascii="Lato" w:hAnsi="Lato" w:eastAsia="Lato"/>
                <w:b w:val="0"/>
                <w:i w:val="0"/>
                <w:color w:val="111827"/>
                <w:sz w:val="18"/>
              </w:rPr>
              <w:t>Do risk level, symptoms, intoxication, coercion, housing, family dynamics, or environmental conditions affect appropriateness?</w:t>
            </w:r>
          </w:p>
        </w:tc>
      </w:tr>
      <w:tr>
        <w:trPr>
          <w:cantSplit w:val="1"/>
        </w:trPr>
        <w:tc>
          <w:tcPr>
            <w:tcW w:type="dxa" w:w="4980"/>
            <w:shd w:fill="EEF3F8"/>
          </w:tcPr>
          <w:p>
            <w:pPr>
              <w:spacing w:before="0" w:after="0" w:line="259" w:lineRule="auto"/>
            </w:pPr>
            <w:r>
              <w:rPr>
                <w:rFonts w:ascii="Lato" w:hAnsi="Lato" w:eastAsia="Lato"/>
                <w:b/>
                <w:i w:val="0"/>
                <w:color w:val="0B2447"/>
                <w:sz w:val="18"/>
              </w:rPr>
              <w:t>Communication</w:t>
            </w:r>
          </w:p>
        </w:tc>
        <w:tc>
          <w:tcPr>
            <w:tcW w:type="dxa" w:w="4980"/>
          </w:tcPr>
          <w:p>
            <w:pPr>
              <w:spacing w:before="0" w:after="0" w:line="259" w:lineRule="auto"/>
            </w:pPr>
            <w:r>
              <w:rPr>
                <w:rFonts w:ascii="Lato" w:hAnsi="Lato" w:eastAsia="Lato"/>
                <w:b w:val="0"/>
                <w:i w:val="0"/>
                <w:color w:val="111827"/>
                <w:sz w:val="18"/>
              </w:rPr>
              <w:t>Can the therapist adequately observe, hear, understand, and respond to the client?</w:t>
            </w:r>
          </w:p>
        </w:tc>
      </w:tr>
      <w:tr>
        <w:trPr>
          <w:cantSplit w:val="1"/>
        </w:trPr>
        <w:tc>
          <w:tcPr>
            <w:tcW w:type="dxa" w:w="4980"/>
            <w:shd w:fill="EEF3F8"/>
          </w:tcPr>
          <w:p>
            <w:pPr>
              <w:spacing w:before="0" w:after="0" w:line="259" w:lineRule="auto"/>
            </w:pPr>
            <w:r>
              <w:rPr>
                <w:rFonts w:ascii="Lato" w:hAnsi="Lato" w:eastAsia="Lato"/>
                <w:b/>
                <w:i w:val="0"/>
                <w:color w:val="0B2447"/>
                <w:sz w:val="18"/>
              </w:rPr>
              <w:t>Privacy and environment</w:t>
            </w:r>
          </w:p>
        </w:tc>
        <w:tc>
          <w:tcPr>
            <w:tcW w:type="dxa" w:w="4980"/>
          </w:tcPr>
          <w:p>
            <w:pPr>
              <w:spacing w:before="0" w:after="0" w:line="259" w:lineRule="auto"/>
            </w:pPr>
            <w:r>
              <w:rPr>
                <w:rFonts w:ascii="Lato" w:hAnsi="Lato" w:eastAsia="Lato"/>
                <w:b w:val="0"/>
                <w:i w:val="0"/>
                <w:color w:val="111827"/>
                <w:sz w:val="18"/>
              </w:rPr>
              <w:t>Can the session proceed with reasonable privacy and without unsafe third-party interference?</w:t>
            </w:r>
          </w:p>
        </w:tc>
      </w:tr>
      <w:tr>
        <w:trPr>
          <w:cantSplit w:val="1"/>
        </w:trPr>
        <w:tc>
          <w:tcPr>
            <w:tcW w:type="dxa" w:w="4980"/>
            <w:shd w:fill="EEF3F8"/>
          </w:tcPr>
          <w:p>
            <w:pPr>
              <w:spacing w:before="0" w:after="0" w:line="259" w:lineRule="auto"/>
            </w:pPr>
            <w:r>
              <w:rPr>
                <w:rFonts w:ascii="Lato" w:hAnsi="Lato" w:eastAsia="Lato"/>
                <w:b/>
                <w:i w:val="0"/>
                <w:color w:val="0B2447"/>
                <w:sz w:val="18"/>
              </w:rPr>
              <w:t>Technology and access</w:t>
            </w:r>
          </w:p>
        </w:tc>
        <w:tc>
          <w:tcPr>
            <w:tcW w:type="dxa" w:w="4980"/>
          </w:tcPr>
          <w:p>
            <w:pPr>
              <w:spacing w:before="0" w:after="0" w:line="259" w:lineRule="auto"/>
            </w:pPr>
            <w:r>
              <w:rPr>
                <w:rFonts w:ascii="Lato" w:hAnsi="Lato" w:eastAsia="Lato"/>
                <w:b w:val="0"/>
                <w:i w:val="0"/>
                <w:color w:val="111827"/>
                <w:sz w:val="18"/>
              </w:rPr>
              <w:t>Is the method sufficiently reliable and accessible for the client's needs?</w:t>
            </w:r>
          </w:p>
        </w:tc>
      </w:tr>
      <w:tr>
        <w:trPr>
          <w:cantSplit w:val="1"/>
        </w:trPr>
        <w:tc>
          <w:tcPr>
            <w:tcW w:type="dxa" w:w="4980"/>
            <w:shd w:fill="EEF3F8"/>
          </w:tcPr>
          <w:p>
            <w:pPr>
              <w:spacing w:before="0" w:after="0" w:line="259" w:lineRule="auto"/>
            </w:pPr>
            <w:r>
              <w:rPr>
                <w:rFonts w:ascii="Lato" w:hAnsi="Lato" w:eastAsia="Lato"/>
                <w:b/>
                <w:i w:val="0"/>
                <w:color w:val="0B2447"/>
                <w:sz w:val="18"/>
              </w:rPr>
              <w:t>Emergency response</w:t>
            </w:r>
          </w:p>
        </w:tc>
        <w:tc>
          <w:tcPr>
            <w:tcW w:type="dxa" w:w="4980"/>
          </w:tcPr>
          <w:p>
            <w:pPr>
              <w:spacing w:before="0" w:after="0" w:line="259" w:lineRule="auto"/>
            </w:pPr>
            <w:r>
              <w:rPr>
                <w:rFonts w:ascii="Lato" w:hAnsi="Lato" w:eastAsia="Lato"/>
                <w:b w:val="0"/>
                <w:i w:val="0"/>
                <w:color w:val="111827"/>
                <w:sz w:val="18"/>
              </w:rPr>
              <w:t>Is the client's current location known, and are relevant local resources available?</w:t>
            </w:r>
          </w:p>
        </w:tc>
      </w:tr>
      <w:tr>
        <w:trPr>
          <w:cantSplit w:val="1"/>
        </w:trPr>
        <w:tc>
          <w:tcPr>
            <w:tcW w:type="dxa" w:w="4980"/>
            <w:shd w:fill="EEF3F8"/>
          </w:tcPr>
          <w:p>
            <w:pPr>
              <w:spacing w:before="0" w:after="0" w:line="259" w:lineRule="auto"/>
            </w:pPr>
            <w:r>
              <w:rPr>
                <w:rFonts w:ascii="Lato" w:hAnsi="Lato" w:eastAsia="Lato"/>
                <w:b/>
                <w:i w:val="0"/>
                <w:color w:val="0B2447"/>
                <w:sz w:val="18"/>
              </w:rPr>
              <w:t>Client preference and alternatives</w:t>
            </w:r>
          </w:p>
        </w:tc>
        <w:tc>
          <w:tcPr>
            <w:tcW w:type="dxa" w:w="4980"/>
          </w:tcPr>
          <w:p>
            <w:pPr>
              <w:spacing w:before="0" w:after="0" w:line="259" w:lineRule="auto"/>
            </w:pPr>
            <w:r>
              <w:rPr>
                <w:rFonts w:ascii="Lato" w:hAnsi="Lato" w:eastAsia="Lato"/>
                <w:b w:val="0"/>
                <w:i w:val="0"/>
                <w:color w:val="111827"/>
                <w:sz w:val="18"/>
              </w:rPr>
              <w:t>Does telehealth remain acceptable, and should in-person or another lawful option be considered?</w:t>
            </w:r>
          </w:p>
        </w:tc>
      </w:tr>
    </w:tbl>
    <w:p>
      <w:pPr>
        <w:pStyle w:val="CTAHeading2"/>
        <w:keepNext/>
      </w:pPr>
      <w:r>
        <w:rPr>
          <w:rFonts w:ascii="Lato" w:hAnsi="Lato" w:eastAsia="Lato"/>
          <w:b/>
          <w:i w:val="0"/>
          <w:color w:val="0B2447"/>
          <w:sz w:val="26"/>
        </w:rPr>
        <w:t>7. Benefits and Limitations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9"/>
              </w:rPr>
              <w:t>Potential Benefits</w:t>
            </w:r>
          </w:p>
        </w:tc>
        <w:tc>
          <w:tcPr>
            <w:tcW w:type="dxa" w:w="4980"/>
            <w:shd w:fill="0B2447"/>
          </w:tcPr>
          <w:p>
            <w:pPr>
              <w:jc w:val="center"/>
            </w:pPr>
            <w:r>
              <w:rPr>
                <w:rFonts w:ascii="Lato" w:hAnsi="Lato" w:eastAsia="Lato"/>
                <w:b/>
                <w:i w:val="0"/>
                <w:color w:val="FFFFFF"/>
                <w:sz w:val="19"/>
              </w:rPr>
              <w:t>Potential Limitations</w:t>
            </w:r>
          </w:p>
        </w:tc>
      </w:tr>
      <w:tr>
        <w:trPr>
          <w:cantSplit w:val="1"/>
        </w:trPr>
        <w:tc>
          <w:tcPr>
            <w:tcW w:type="dxa" w:w="4980"/>
          </w:tcPr>
          <w:p>
            <w:pPr>
              <w:spacing w:before="0" w:after="0" w:line="259" w:lineRule="auto"/>
            </w:pPr>
            <w:r>
              <w:rPr>
                <w:rFonts w:ascii="Lato" w:hAnsi="Lato" w:eastAsia="Lato"/>
                <w:b w:val="0"/>
                <w:i w:val="0"/>
                <w:sz w:val="18"/>
              </w:rPr>
              <w:t>Reduces transportation and geographic barriers</w:t>
            </w:r>
          </w:p>
        </w:tc>
        <w:tc>
          <w:tcPr>
            <w:tcW w:type="dxa" w:w="4980"/>
          </w:tcPr>
          <w:p>
            <w:pPr>
              <w:spacing w:before="0" w:after="0" w:line="259" w:lineRule="auto"/>
            </w:pPr>
            <w:r>
              <w:rPr>
                <w:rFonts w:ascii="Lato" w:hAnsi="Lato" w:eastAsia="Lato"/>
                <w:b w:val="0"/>
                <w:i w:val="0"/>
                <w:sz w:val="18"/>
              </w:rPr>
              <w:t>Connection failure or poor audio/video may impair communication</w:t>
            </w:r>
          </w:p>
        </w:tc>
      </w:tr>
      <w:tr>
        <w:trPr>
          <w:cantSplit w:val="1"/>
        </w:trPr>
        <w:tc>
          <w:tcPr>
            <w:tcW w:type="dxa" w:w="4980"/>
          </w:tcPr>
          <w:p>
            <w:pPr>
              <w:spacing w:before="0" w:after="0" w:line="259" w:lineRule="auto"/>
            </w:pPr>
            <w:r>
              <w:rPr>
                <w:rFonts w:ascii="Lato" w:hAnsi="Lato" w:eastAsia="Lato"/>
                <w:b w:val="0"/>
                <w:i w:val="0"/>
                <w:sz w:val="18"/>
              </w:rPr>
              <w:t>Supports continuity of care</w:t>
            </w:r>
          </w:p>
        </w:tc>
        <w:tc>
          <w:tcPr>
            <w:tcW w:type="dxa" w:w="4980"/>
          </w:tcPr>
          <w:p>
            <w:pPr>
              <w:spacing w:before="0" w:after="0" w:line="259" w:lineRule="auto"/>
            </w:pPr>
            <w:r>
              <w:rPr>
                <w:rFonts w:ascii="Lato" w:hAnsi="Lato" w:eastAsia="Lato"/>
                <w:b w:val="0"/>
                <w:i w:val="0"/>
                <w:sz w:val="18"/>
              </w:rPr>
              <w:t>The client's environment may reduce privacy or safety</w:t>
            </w:r>
          </w:p>
        </w:tc>
      </w:tr>
      <w:tr>
        <w:trPr>
          <w:cantSplit w:val="1"/>
        </w:trPr>
        <w:tc>
          <w:tcPr>
            <w:tcW w:type="dxa" w:w="4980"/>
          </w:tcPr>
          <w:p>
            <w:pPr>
              <w:spacing w:before="0" w:after="0" w:line="259" w:lineRule="auto"/>
            </w:pPr>
            <w:r>
              <w:rPr>
                <w:rFonts w:ascii="Lato" w:hAnsi="Lato" w:eastAsia="Lato"/>
                <w:b w:val="0"/>
                <w:i w:val="0"/>
                <w:sz w:val="18"/>
              </w:rPr>
              <w:t>May improve access for rural, disabled, medically vulnerable, or underserved clients</w:t>
            </w:r>
          </w:p>
        </w:tc>
        <w:tc>
          <w:tcPr>
            <w:tcW w:type="dxa" w:w="4980"/>
          </w:tcPr>
          <w:p>
            <w:pPr>
              <w:spacing w:before="0" w:after="0" w:line="259" w:lineRule="auto"/>
            </w:pPr>
            <w:r>
              <w:rPr>
                <w:rFonts w:ascii="Lato" w:hAnsi="Lato" w:eastAsia="Lato"/>
                <w:b w:val="0"/>
                <w:i w:val="0"/>
                <w:sz w:val="18"/>
              </w:rPr>
              <w:t>Some symptoms, assessments, interventions, or emergencies may require in-person or local support</w:t>
            </w:r>
          </w:p>
        </w:tc>
      </w:tr>
      <w:tr>
        <w:trPr>
          <w:cantSplit w:val="1"/>
        </w:trPr>
        <w:tc>
          <w:tcPr>
            <w:tcW w:type="dxa" w:w="4980"/>
          </w:tcPr>
          <w:p>
            <w:pPr>
              <w:spacing w:before="0" w:after="0" w:line="259" w:lineRule="auto"/>
            </w:pPr>
            <w:r>
              <w:rPr>
                <w:rFonts w:ascii="Lato" w:hAnsi="Lato" w:eastAsia="Lato"/>
                <w:b w:val="0"/>
                <w:i w:val="0"/>
                <w:sz w:val="18"/>
              </w:rPr>
              <w:t>May increase scheduling flexibility</w:t>
            </w:r>
          </w:p>
        </w:tc>
        <w:tc>
          <w:tcPr>
            <w:tcW w:type="dxa" w:w="4980"/>
          </w:tcPr>
          <w:p>
            <w:pPr>
              <w:spacing w:before="0" w:after="0" w:line="259" w:lineRule="auto"/>
            </w:pPr>
            <w:r>
              <w:rPr>
                <w:rFonts w:ascii="Lato" w:hAnsi="Lato" w:eastAsia="Lato"/>
                <w:b w:val="0"/>
                <w:i w:val="0"/>
                <w:sz w:val="18"/>
              </w:rPr>
              <w:t>Digital access, language, sensory, cognitive, or technology barriers may reduce effectiveness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Clinical Takeaway</w:t>
            </w:r>
          </w:p>
          <w:p>
            <w:pPr>
              <w:spacing w:before="0" w:after="0" w:line="259" w:lineRule="auto"/>
            </w:pPr>
            <w:r>
              <w:rPr>
                <w:rFonts w:ascii="Lato" w:hAnsi="Lato" w:eastAsia="Lato"/>
                <w:b w:val="0"/>
                <w:i w:val="0"/>
                <w:sz w:val="21"/>
              </w:rPr>
              <w:t>Convenience and access matter, but neither overrides legal authority, competence, safety, or clinical appropriateness.</w:t>
            </w:r>
          </w:p>
        </w:tc>
      </w:tr>
    </w:tbl>
    <w:p>
      <w:pPr>
        <w:spacing w:after="0"/>
      </w:pPr>
    </w:p>
    <w:p>
      <w:pPr>
        <w:pStyle w:val="CTAHeading2"/>
        <w:keepNext/>
      </w:pPr>
      <w:r>
        <w:rPr>
          <w:rFonts w:ascii="Lato" w:hAnsi="Lato" w:eastAsia="Lato"/>
          <w:b/>
          <w:i w:val="0"/>
          <w:color w:val="0B2447"/>
          <w:sz w:val="26"/>
        </w:rPr>
        <w:t>8. Legal Requirements vs. Clinical Best Practices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California Legal/BBS Requirement</w:t>
            </w:r>
          </w:p>
        </w:tc>
        <w:tc>
          <w:tcPr>
            <w:tcW w:type="dxa" w:w="4980"/>
            <w:shd w:fill="0B2447"/>
          </w:tcPr>
          <w:p>
            <w:pPr>
              <w:jc w:val="center"/>
            </w:pPr>
            <w:r>
              <w:rPr>
                <w:rFonts w:ascii="Lato" w:hAnsi="Lato" w:eastAsia="Lato"/>
                <w:b/>
                <w:i w:val="0"/>
                <w:color w:val="FFFFFF"/>
                <w:sz w:val="18"/>
              </w:rPr>
              <w:t>Clinical or Risk-Management Practice</w:t>
            </w:r>
          </w:p>
        </w:tc>
      </w:tr>
      <w:tr>
        <w:trPr>
          <w:cantSplit w:val="1"/>
        </w:trPr>
        <w:tc>
          <w:tcPr>
            <w:tcW w:type="dxa" w:w="4980"/>
          </w:tcPr>
          <w:p>
            <w:pPr>
              <w:spacing w:before="0" w:after="0" w:line="259" w:lineRule="auto"/>
            </w:pPr>
            <w:r>
              <w:rPr>
                <w:rFonts w:ascii="Lato" w:hAnsi="Lato" w:eastAsia="Lato"/>
                <w:b w:val="0"/>
                <w:i w:val="0"/>
                <w:sz w:val="18"/>
              </w:rPr>
              <w:t>Use a current and active California license/registration when serving a client physically in California, unless a lawful exception applies.</w:t>
            </w:r>
          </w:p>
        </w:tc>
        <w:tc>
          <w:tcPr>
            <w:tcW w:type="dxa" w:w="4980"/>
          </w:tcPr>
          <w:p>
            <w:pPr>
              <w:spacing w:before="0" w:after="0" w:line="259" w:lineRule="auto"/>
            </w:pPr>
            <w:r>
              <w:rPr>
                <w:rFonts w:ascii="Lato" w:hAnsi="Lato" w:eastAsia="Lato"/>
                <w:b w:val="0"/>
                <w:i w:val="0"/>
                <w:sz w:val="18"/>
              </w:rPr>
              <w:t>Evaluate whether the selected modality and platform are suitable for the client's needs and accessibility.</w:t>
            </w:r>
          </w:p>
        </w:tc>
      </w:tr>
      <w:tr>
        <w:trPr>
          <w:cantSplit w:val="1"/>
        </w:trPr>
        <w:tc>
          <w:tcPr>
            <w:tcW w:type="dxa" w:w="4980"/>
          </w:tcPr>
          <w:p>
            <w:pPr>
              <w:spacing w:before="0" w:after="0" w:line="259" w:lineRule="auto"/>
            </w:pPr>
            <w:r>
              <w:rPr>
                <w:rFonts w:ascii="Lato" w:hAnsi="Lato" w:eastAsia="Lato"/>
                <w:b w:val="0"/>
                <w:i w:val="0"/>
                <w:sz w:val="18"/>
              </w:rPr>
              <w:t>At initiation, obtain/document telehealth consent and provide required disclosures.</w:t>
            </w:r>
          </w:p>
        </w:tc>
        <w:tc>
          <w:tcPr>
            <w:tcW w:type="dxa" w:w="4980"/>
          </w:tcPr>
          <w:p>
            <w:pPr>
              <w:spacing w:before="0" w:after="0" w:line="259" w:lineRule="auto"/>
            </w:pPr>
            <w:r>
              <w:rPr>
                <w:rFonts w:ascii="Lato" w:hAnsi="Lato" w:eastAsia="Lato"/>
                <w:b w:val="0"/>
                <w:i w:val="0"/>
                <w:sz w:val="18"/>
              </w:rPr>
              <w:t>Develop clear backup communication and continuity plans.</w:t>
            </w:r>
          </w:p>
        </w:tc>
      </w:tr>
      <w:tr>
        <w:trPr>
          <w:cantSplit w:val="1"/>
        </w:trPr>
        <w:tc>
          <w:tcPr>
            <w:tcW w:type="dxa" w:w="4980"/>
          </w:tcPr>
          <w:p>
            <w:pPr>
              <w:spacing w:before="0" w:after="0" w:line="259" w:lineRule="auto"/>
            </w:pPr>
            <w:r>
              <w:rPr>
                <w:rFonts w:ascii="Lato" w:hAnsi="Lato" w:eastAsia="Lato"/>
                <w:b w:val="0"/>
                <w:i w:val="0"/>
                <w:sz w:val="18"/>
              </w:rPr>
              <w:t>At each session, verbally obtain/document full name and present address.</w:t>
            </w:r>
          </w:p>
        </w:tc>
        <w:tc>
          <w:tcPr>
            <w:tcW w:type="dxa" w:w="4980"/>
          </w:tcPr>
          <w:p>
            <w:pPr>
              <w:spacing w:before="0" w:after="0" w:line="259" w:lineRule="auto"/>
            </w:pPr>
            <w:r>
              <w:rPr>
                <w:rFonts w:ascii="Lato" w:hAnsi="Lato" w:eastAsia="Lato"/>
                <w:b w:val="0"/>
                <w:i w:val="0"/>
                <w:sz w:val="18"/>
              </w:rPr>
              <w:t>Ask whether anyone else is present and whether the client can speak freely.</w:t>
            </w:r>
          </w:p>
        </w:tc>
      </w:tr>
      <w:tr>
        <w:trPr>
          <w:cantSplit w:val="1"/>
        </w:trPr>
        <w:tc>
          <w:tcPr>
            <w:tcW w:type="dxa" w:w="4980"/>
          </w:tcPr>
          <w:p>
            <w:pPr>
              <w:spacing w:before="0" w:after="0" w:line="259" w:lineRule="auto"/>
            </w:pPr>
            <w:r>
              <w:rPr>
                <w:rFonts w:ascii="Lato" w:hAnsi="Lato" w:eastAsia="Lato"/>
                <w:b w:val="0"/>
                <w:i w:val="0"/>
                <w:sz w:val="18"/>
              </w:rPr>
              <w:t>At each session, assess telehealth appropriateness.</w:t>
            </w:r>
          </w:p>
        </w:tc>
        <w:tc>
          <w:tcPr>
            <w:tcW w:type="dxa" w:w="4980"/>
          </w:tcPr>
          <w:p>
            <w:pPr>
              <w:spacing w:before="0" w:after="0" w:line="259" w:lineRule="auto"/>
            </w:pPr>
            <w:r>
              <w:rPr>
                <w:rFonts w:ascii="Lato" w:hAnsi="Lato" w:eastAsia="Lato"/>
                <w:b w:val="0"/>
                <w:i w:val="0"/>
                <w:sz w:val="18"/>
              </w:rPr>
              <w:t>Consult, modify the plan, or transition services when effectiveness or safety is uncertain.</w:t>
            </w:r>
          </w:p>
        </w:tc>
      </w:tr>
      <w:tr>
        <w:trPr>
          <w:cantSplit w:val="1"/>
        </w:trPr>
        <w:tc>
          <w:tcPr>
            <w:tcW w:type="dxa" w:w="4980"/>
          </w:tcPr>
          <w:p>
            <w:pPr>
              <w:spacing w:before="0" w:after="0" w:line="259" w:lineRule="auto"/>
            </w:pPr>
            <w:r>
              <w:rPr>
                <w:rFonts w:ascii="Lato" w:hAnsi="Lato" w:eastAsia="Lato"/>
                <w:b w:val="0"/>
                <w:i w:val="0"/>
                <w:sz w:val="18"/>
              </w:rPr>
              <w:t>Comply with applicable privacy, confidentiality, and security laws.</w:t>
            </w:r>
          </w:p>
        </w:tc>
        <w:tc>
          <w:tcPr>
            <w:tcW w:type="dxa" w:w="4980"/>
          </w:tcPr>
          <w:p>
            <w:pPr>
              <w:spacing w:before="0" w:after="0" w:line="259" w:lineRule="auto"/>
            </w:pPr>
            <w:r>
              <w:rPr>
                <w:rFonts w:ascii="Lato" w:hAnsi="Lato" w:eastAsia="Lato"/>
                <w:b w:val="0"/>
                <w:i w:val="0"/>
                <w:sz w:val="18"/>
              </w:rPr>
              <w:t>Use policies, training, and platform safeguards that reduce foreseeable risks.</w:t>
            </w:r>
          </w:p>
        </w:tc>
      </w:tr>
    </w:tbl>
    <w:p>
      <w:pPr>
        <w:pStyle w:val="CTAHeading2"/>
        <w:keepNext/>
      </w:pPr>
      <w:r>
        <w:rPr>
          <w:rFonts w:ascii="Lato" w:hAnsi="Lato" w:eastAsia="Lato"/>
          <w:b/>
          <w:i w:val="0"/>
          <w:color w:val="0B2447"/>
          <w:sz w:val="26"/>
        </w:rPr>
        <w:t>What Do I Do First?</w:t>
      </w:r>
    </w:p>
    <w:p>
      <w:pPr>
        <w:pStyle w:val="CTABody"/>
      </w:pPr>
      <w:r>
        <w:rPr>
          <w:rFonts w:ascii="Lato" w:hAnsi="Lato" w:eastAsia="Lato"/>
          <w:b/>
          <w:i w:val="0"/>
          <w:color w:val="0B2447"/>
        </w:rPr>
        <w:t xml:space="preserve">Step 1 - Before accepting or continuing across state lines: </w:t>
      </w:r>
      <w:r>
        <w:rPr>
          <w:rFonts w:ascii="Lato" w:hAnsi="Lato" w:eastAsia="Lato"/>
          <w:b w:val="0"/>
          <w:i w:val="0"/>
        </w:rPr>
        <w:t>Identify the client's present physical location and determine whether you are legally authorized to practice there.</w:t>
      </w:r>
    </w:p>
    <w:p>
      <w:pPr>
        <w:pStyle w:val="CTABody"/>
      </w:pPr>
      <w:r>
        <w:rPr>
          <w:rFonts w:ascii="Lato" w:hAnsi="Lato" w:eastAsia="Lato"/>
          <w:b/>
          <w:i w:val="0"/>
          <w:color w:val="0B2447"/>
        </w:rPr>
        <w:t xml:space="preserve">Step 2 - When initiating telehealth: </w:t>
      </w:r>
      <w:r>
        <w:rPr>
          <w:rFonts w:ascii="Lato" w:hAnsi="Lato" w:eastAsia="Lato"/>
          <w:b w:val="0"/>
          <w:i w:val="0"/>
        </w:rPr>
        <w:t>Complete and document the required consent, risks/limitations, credential disclosure, and local-resource steps.</w:t>
      </w:r>
    </w:p>
    <w:p>
      <w:pPr>
        <w:pStyle w:val="CTABody"/>
      </w:pPr>
      <w:r>
        <w:rPr>
          <w:rFonts w:ascii="Lato" w:hAnsi="Lato" w:eastAsia="Lato"/>
          <w:b/>
          <w:i w:val="0"/>
          <w:color w:val="0B2447"/>
        </w:rPr>
        <w:t xml:space="preserve">Step 3 - At the start of every session: </w:t>
      </w:r>
      <w:r>
        <w:rPr>
          <w:rFonts w:ascii="Lato" w:hAnsi="Lato" w:eastAsia="Lato"/>
          <w:b w:val="0"/>
          <w:i w:val="0"/>
        </w:rPr>
        <w:t>Verbally obtain and document the client's full name and present address.</w:t>
      </w:r>
    </w:p>
    <w:p>
      <w:pPr>
        <w:pStyle w:val="CTABody"/>
      </w:pPr>
      <w:r>
        <w:rPr>
          <w:rFonts w:ascii="Lato" w:hAnsi="Lato" w:eastAsia="Lato"/>
          <w:b/>
          <w:i w:val="0"/>
          <w:color w:val="0B2447"/>
        </w:rPr>
        <w:t xml:space="preserve">Step 4 - Before proceeding clinically: </w:t>
      </w:r>
      <w:r>
        <w:rPr>
          <w:rFonts w:ascii="Lato" w:hAnsi="Lato" w:eastAsia="Lato"/>
          <w:b w:val="0"/>
          <w:i w:val="0"/>
        </w:rPr>
        <w:t>Assess whether the client and this session remain appropriate for telehealth.</w:t>
      </w:r>
    </w:p>
    <w:p>
      <w:pPr>
        <w:pStyle w:val="CTABody"/>
      </w:pPr>
      <w:r>
        <w:rPr>
          <w:rFonts w:ascii="Lato" w:hAnsi="Lato" w:eastAsia="Lato"/>
          <w:b/>
          <w:i w:val="0"/>
          <w:color w:val="0B2447"/>
        </w:rPr>
        <w:t xml:space="preserve">Step 5 - If a problem appears: </w:t>
      </w:r>
      <w:r>
        <w:rPr>
          <w:rFonts w:ascii="Lato" w:hAnsi="Lato" w:eastAsia="Lato"/>
          <w:b w:val="0"/>
          <w:i w:val="0"/>
        </w:rPr>
        <w:t>Protect immediate safety, address the specific risk, document relevant action, and consult when needed.</w:t>
      </w:r>
    </w:p>
    <w:p>
      <w:pPr>
        <w:pStyle w:val="CTAHeading2"/>
        <w:keepNext/>
      </w:pPr>
      <w:r>
        <w:rPr>
          <w:rFonts w:ascii="Lato" w:hAnsi="Lato" w:eastAsia="Lato"/>
          <w:b/>
          <w:i w:val="0"/>
          <w:color w:val="0B2447"/>
          <w:sz w:val="26"/>
        </w:rPr>
        <w:t>Clinical Application</w:t>
      </w:r>
    </w:p>
    <w:p>
      <w:pPr>
        <w:pStyle w:val="CTAHeading3"/>
        <w:keepNext/>
      </w:pPr>
      <w:r>
        <w:rPr>
          <w:rFonts w:ascii="Lato" w:hAnsi="Lato" w:eastAsia="Lato"/>
          <w:b/>
          <w:i w:val="0"/>
          <w:color w:val="384250"/>
          <w:sz w:val="23"/>
        </w:rPr>
        <w:t>Scenario: The Client Is No Longer in California</w:t>
      </w:r>
    </w:p>
    <w:p>
      <w:pPr>
        <w:pStyle w:val="CTABody"/>
      </w:pPr>
      <w:r>
        <w:rPr>
          <w:rFonts w:ascii="Lato" w:hAnsi="Lato" w:eastAsia="Lato"/>
          <w:b w:val="0"/>
          <w:i w:val="0"/>
        </w:rPr>
        <w:t>A California LCSW begins a scheduled video session with an established client. The client says, 'I moved to Nevada last week, but I want to keep seeing you.' The therapist is licensed only in California.</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therapist should not assume that an established relationship or a California license authorizes continued practice. The client's present physical location is Nevada. Before providing psychotherapy, the therapist must determine whether Nevada law permits the therapist to practice there and whether all applicable requirements can be met. If not, the therapist should use clinically appropriate transition and continuity-of-care planning.</w:t>
      </w:r>
    </w:p>
    <w:p>
      <w:pPr>
        <w:pStyle w:val="CTAHeading3"/>
        <w:keepNext/>
      </w:pPr>
      <w:r>
        <w:rPr>
          <w:rFonts w:ascii="Lato" w:hAnsi="Lato" w:eastAsia="Lato"/>
          <w:b/>
          <w:i w:val="0"/>
          <w:color w:val="384250"/>
          <w:sz w:val="23"/>
        </w:rPr>
        <w:t>What Is Being Tested?</w:t>
      </w:r>
    </w:p>
    <w:p>
      <w:pPr>
        <w:pStyle w:val="CTABullet"/>
      </w:pPr>
      <w:r>
        <w:rPr>
          <w:rFonts w:ascii="Lato" w:hAnsi="Lato" w:eastAsia="Lato"/>
          <w:sz w:val="21"/>
        </w:rPr>
        <w:t>• Client location</w:t>
      </w:r>
    </w:p>
    <w:p>
      <w:pPr>
        <w:pStyle w:val="CTABullet"/>
      </w:pPr>
      <w:r>
        <w:rPr>
          <w:rFonts w:ascii="Lato" w:hAnsi="Lato" w:eastAsia="Lato"/>
          <w:sz w:val="21"/>
        </w:rPr>
        <w:t>• Interstate jurisdiction</w:t>
      </w:r>
    </w:p>
    <w:p>
      <w:pPr>
        <w:pStyle w:val="CTABullet"/>
      </w:pPr>
      <w:r>
        <w:rPr>
          <w:rFonts w:ascii="Lato" w:hAnsi="Lato" w:eastAsia="Lato"/>
          <w:sz w:val="21"/>
        </w:rPr>
        <w:t>• Legal authority before convenience</w:t>
      </w:r>
    </w:p>
    <w:p>
      <w:pPr>
        <w:pStyle w:val="CTABullet"/>
      </w:pPr>
      <w:r>
        <w:rPr>
          <w:rFonts w:ascii="Lato" w:hAnsi="Lato" w:eastAsia="Lato"/>
          <w:sz w:val="21"/>
        </w:rPr>
        <w:t>• Continuity of care without unauthorized practice</w:t>
      </w:r>
    </w:p>
    <w:p>
      <w:pPr>
        <w:pStyle w:val="CTAHeading2"/>
        <w:keepNext/>
      </w:pPr>
      <w:r>
        <w:rPr>
          <w:rFonts w:ascii="Lato" w:hAnsi="Lato" w:eastAsia="Lato"/>
          <w:b/>
          <w:i w:val="0"/>
          <w:color w:val="0B2447"/>
          <w:sz w:val="26"/>
        </w:rPr>
        <w:t>Common Exam Traps</w:t>
      </w:r>
    </w:p>
    <w:p>
      <w:pPr>
        <w:pStyle w:val="CTABody"/>
      </w:pPr>
      <w:r>
        <w:rPr>
          <w:rFonts w:ascii="Lato" w:hAnsi="Lato" w:eastAsia="Lato"/>
          <w:b/>
          <w:i w:val="0"/>
          <w:color w:val="9B1C1C"/>
        </w:rPr>
        <w:t xml:space="preserve">Trap 1: 'The client lives in California, so California law always controls.' </w:t>
      </w:r>
      <w:r>
        <w:rPr>
          <w:rFonts w:ascii="Lato" w:hAnsi="Lato" w:eastAsia="Lato"/>
          <w:b w:val="0"/>
          <w:i w:val="0"/>
        </w:rPr>
        <w:t>The relevant location is where the client is physically located during the service.</w:t>
      </w:r>
    </w:p>
    <w:p>
      <w:pPr>
        <w:pStyle w:val="CTABody"/>
      </w:pPr>
      <w:r>
        <w:rPr>
          <w:rFonts w:ascii="Lato" w:hAnsi="Lato" w:eastAsia="Lato"/>
          <w:b/>
          <w:i w:val="0"/>
          <w:color w:val="9B1C1C"/>
        </w:rPr>
        <w:t xml:space="preserve">Trap 2: 'A California license allows nationwide telehealth.' </w:t>
      </w:r>
      <w:r>
        <w:rPr>
          <w:rFonts w:ascii="Lato" w:hAnsi="Lato" w:eastAsia="Lato"/>
          <w:b w:val="0"/>
          <w:i w:val="0"/>
        </w:rPr>
        <w:t>A California credential does not automatically authorize practice in another jurisdiction.</w:t>
      </w:r>
    </w:p>
    <w:p>
      <w:pPr>
        <w:pStyle w:val="CTABody"/>
      </w:pPr>
      <w:r>
        <w:rPr>
          <w:rFonts w:ascii="Lato" w:hAnsi="Lato" w:eastAsia="Lato"/>
          <w:b/>
          <w:i w:val="0"/>
          <w:color w:val="9B1C1C"/>
        </w:rPr>
        <w:t xml:space="preserve">Trap 3: 'Telehealth follows the therapist's location.' </w:t>
      </w:r>
      <w:r>
        <w:rPr>
          <w:rFonts w:ascii="Lato" w:hAnsi="Lato" w:eastAsia="Lato"/>
          <w:b w:val="0"/>
          <w:i w:val="0"/>
        </w:rPr>
        <w:t>The client's location is central; the therapist's location may also create issues, but it does not replace the client-location analysis.</w:t>
      </w:r>
    </w:p>
    <w:p>
      <w:pPr>
        <w:pStyle w:val="CTABody"/>
      </w:pPr>
      <w:r>
        <w:rPr>
          <w:rFonts w:ascii="Lato" w:hAnsi="Lato" w:eastAsia="Lato"/>
          <w:b/>
          <w:i w:val="0"/>
          <w:color w:val="9B1C1C"/>
        </w:rPr>
        <w:t xml:space="preserve">Trap 4: 'The intake location is enough for future sessions.' </w:t>
      </w:r>
      <w:r>
        <w:rPr>
          <w:rFonts w:ascii="Lato" w:hAnsi="Lato" w:eastAsia="Lato"/>
          <w:b w:val="0"/>
          <w:i w:val="0"/>
        </w:rPr>
        <w:t>The client's full name and present address must be obtained verbally and documented at the beginning of each session.</w:t>
      </w:r>
    </w:p>
    <w:p>
      <w:pPr>
        <w:pStyle w:val="CTABody"/>
      </w:pPr>
      <w:r>
        <w:rPr>
          <w:rFonts w:ascii="Lato" w:hAnsi="Lato" w:eastAsia="Lato"/>
          <w:b/>
          <w:i w:val="0"/>
          <w:color w:val="9B1C1C"/>
        </w:rPr>
        <w:t xml:space="preserve">Trap 5: 'Once telehealth is appropriate, it stays appropriate.' </w:t>
      </w:r>
      <w:r>
        <w:rPr>
          <w:rFonts w:ascii="Lato" w:hAnsi="Lato" w:eastAsia="Lato"/>
          <w:b w:val="0"/>
          <w:i w:val="0"/>
        </w:rPr>
        <w:t>Appropriateness must be reassessed each time telehealth is provided.</w:t>
      </w:r>
    </w:p>
    <w:p>
      <w:pPr>
        <w:pStyle w:val="CTABody"/>
      </w:pPr>
      <w:r>
        <w:rPr>
          <w:rFonts w:ascii="Lato" w:hAnsi="Lato" w:eastAsia="Lato"/>
          <w:b/>
          <w:i w:val="0"/>
          <w:color w:val="9B1C1C"/>
        </w:rPr>
        <w:t xml:space="preserve">Trap 6: 'Same ethics means telehealth is procedurally identical to in-person care.' </w:t>
      </w:r>
      <w:r>
        <w:rPr>
          <w:rFonts w:ascii="Lato" w:hAnsi="Lato" w:eastAsia="Lato"/>
          <w:b w:val="0"/>
          <w:i w:val="0"/>
        </w:rPr>
        <w:t>The same professional standards apply, but telehealth adds specific procedures.</w:t>
      </w:r>
    </w:p>
    <w:p>
      <w:pPr>
        <w:pStyle w:val="CTABody"/>
      </w:pPr>
      <w:r>
        <w:rPr>
          <w:rFonts w:ascii="Lato" w:hAnsi="Lato" w:eastAsia="Lato"/>
          <w:b/>
          <w:i w:val="0"/>
          <w:color w:val="9B1C1C"/>
        </w:rPr>
        <w:t xml:space="preserve">Trap 7: 'A signed form cures every problem.' </w:t>
      </w:r>
      <w:r>
        <w:rPr>
          <w:rFonts w:ascii="Lato" w:hAnsi="Lato" w:eastAsia="Lato"/>
          <w:b w:val="0"/>
          <w:i w:val="0"/>
        </w:rPr>
        <w:t>A signature does not replace legal authority, required disclosures, location verification, ongoing assessment, or sound clinical judgment.</w:t>
      </w:r>
    </w:p>
    <w:p>
      <w:pPr>
        <w:pStyle w:val="CTAHeading2"/>
        <w:keepNext/>
      </w:pPr>
      <w:r>
        <w:rPr>
          <w:rFonts w:ascii="Lato" w:hAnsi="Lato" w:eastAsia="Lato"/>
          <w:b/>
          <w:i w:val="0"/>
          <w:color w:val="0B2447"/>
          <w:sz w:val="26"/>
        </w:rPr>
        <w:t>Exam Strategy</w:t>
      </w:r>
    </w:p>
    <w:p>
      <w:pPr>
        <w:pStyle w:val="CTABody"/>
      </w:pPr>
      <w:r>
        <w:rPr>
          <w:rFonts w:ascii="Lato" w:hAnsi="Lato" w:eastAsia="Lato"/>
          <w:b w:val="0"/>
          <w:i w:val="0"/>
        </w:rPr>
        <w:t>When a question includes telehealth, use this order:</w:t>
      </w:r>
    </w:p>
    <w:p>
      <w:pPr>
        <w:pStyle w:val="CTANumber"/>
      </w:pPr>
      <w:r>
        <w:rPr>
          <w:rFonts w:ascii="Lato" w:hAnsi="Lato" w:eastAsia="Lato"/>
          <w:sz w:val="21"/>
        </w:rPr>
        <w:t>1. LOCATION - Where is the client physically located now?</w:t>
      </w:r>
    </w:p>
    <w:p>
      <w:pPr>
        <w:pStyle w:val="CTANumber"/>
      </w:pPr>
      <w:r>
        <w:rPr>
          <w:rFonts w:ascii="Lato" w:hAnsi="Lato" w:eastAsia="Lato"/>
          <w:sz w:val="21"/>
        </w:rPr>
        <w:t>2. AUTHORITY - Is the therapist legally authorized to practice there?</w:t>
      </w:r>
    </w:p>
    <w:p>
      <w:pPr>
        <w:pStyle w:val="CTANumber"/>
      </w:pPr>
      <w:r>
        <w:rPr>
          <w:rFonts w:ascii="Lato" w:hAnsi="Lato" w:eastAsia="Lato"/>
          <w:sz w:val="21"/>
        </w:rPr>
        <w:t>3. IDENTIFY - Were the client's full name and present address obtained and documented?</w:t>
      </w:r>
    </w:p>
    <w:p>
      <w:pPr>
        <w:pStyle w:val="CTANumber"/>
      </w:pPr>
      <w:r>
        <w:rPr>
          <w:rFonts w:ascii="Lato" w:hAnsi="Lato" w:eastAsia="Lato"/>
          <w:sz w:val="21"/>
        </w:rPr>
        <w:t>4. ASSESS - Is the client and this specific session appropriate for telehealth?</w:t>
      </w:r>
    </w:p>
    <w:p>
      <w:pPr>
        <w:pStyle w:val="CTANumber"/>
      </w:pPr>
      <w:r>
        <w:rPr>
          <w:rFonts w:ascii="Lato" w:hAnsi="Lato" w:eastAsia="Lato"/>
          <w:sz w:val="21"/>
        </w:rPr>
        <w:t>5. PROTECT - What response best protects safety, confidentiality, continuity, and client welfare?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Aid</w:t>
            </w:r>
          </w:p>
          <w:p>
            <w:pPr>
              <w:spacing w:before="0" w:after="0" w:line="259" w:lineRule="auto"/>
            </w:pPr>
            <w:r>
              <w:rPr>
                <w:rFonts w:ascii="Lato" w:hAnsi="Lato" w:eastAsia="Lato"/>
                <w:b w:val="0"/>
                <w:i w:val="0"/>
                <w:sz w:val="21"/>
              </w:rPr>
              <w:t>LOCATION -&gt; AUTHORITY -&gt; IDENTIFY -&gt; ASSESS -&gt; PROTECT</w:t>
            </w:r>
          </w:p>
        </w:tc>
      </w:tr>
    </w:tbl>
    <w:p>
      <w:pPr>
        <w:spacing w:after="0"/>
      </w:pPr>
    </w:p>
    <w:p>
      <w:pPr>
        <w:pStyle w:val="CTAHeading2"/>
        <w:keepNext/>
      </w:pPr>
      <w:r>
        <w:rPr>
          <w:rFonts w:ascii="Lato" w:hAnsi="Lato" w:eastAsia="Lato"/>
          <w:b/>
          <w:i w:val="0"/>
          <w:color w:val="0B2447"/>
          <w:sz w:val="26"/>
        </w:rPr>
        <w:t>Chapter Snapshot</w:t>
      </w:r>
    </w:p>
    <w:p>
      <w:pPr>
        <w:pStyle w:val="CTABullet"/>
      </w:pPr>
      <w:r>
        <w:rPr>
          <w:rFonts w:ascii="Lato" w:hAnsi="Lato" w:eastAsia="Lato"/>
          <w:sz w:val="21"/>
        </w:rPr>
        <w:t>• Telehealth is a mode of health-care delivery that may be synchronous or asynchronous.</w:t>
      </w:r>
    </w:p>
    <w:p>
      <w:pPr>
        <w:pStyle w:val="CTABullet"/>
      </w:pPr>
      <w:r>
        <w:rPr>
          <w:rFonts w:ascii="Lato" w:hAnsi="Lato" w:eastAsia="Lato"/>
          <w:sz w:val="21"/>
        </w:rPr>
        <w:t>• Telehealth does not expand scope of practice or reduce professional standards.</w:t>
      </w:r>
    </w:p>
    <w:p>
      <w:pPr>
        <w:pStyle w:val="CTABullet"/>
      </w:pPr>
      <w:r>
        <w:rPr>
          <w:rFonts w:ascii="Lato" w:hAnsi="Lato" w:eastAsia="Lato"/>
          <w:sz w:val="21"/>
        </w:rPr>
        <w:t>• The client's present physical location drives the jurisdiction analysis.</w:t>
      </w:r>
    </w:p>
    <w:p>
      <w:pPr>
        <w:pStyle w:val="CTABullet"/>
      </w:pPr>
      <w:r>
        <w:rPr>
          <w:rFonts w:ascii="Lato" w:hAnsi="Lato" w:eastAsia="Lato"/>
          <w:sz w:val="21"/>
        </w:rPr>
        <w:t>• A client in California generally requires a current and active California BBS license or registration, unless a lawful exception applies.</w:t>
      </w:r>
    </w:p>
    <w:p>
      <w:pPr>
        <w:pStyle w:val="CTABullet"/>
      </w:pPr>
      <w:r>
        <w:rPr>
          <w:rFonts w:ascii="Lato" w:hAnsi="Lato" w:eastAsia="Lato"/>
          <w:sz w:val="21"/>
        </w:rPr>
        <w:t>• A California therapist serving a client in another jurisdiction must meet that jurisdiction's legal requirements.</w:t>
      </w:r>
    </w:p>
    <w:p>
      <w:pPr>
        <w:pStyle w:val="CTABullet"/>
      </w:pPr>
      <w:r>
        <w:rPr>
          <w:rFonts w:ascii="Lato" w:hAnsi="Lato" w:eastAsia="Lato"/>
          <w:sz w:val="21"/>
        </w:rPr>
        <w:t>• At the beginning of every telehealth session, obtain and document the client's full name and present address.</w:t>
      </w:r>
    </w:p>
    <w:p>
      <w:pPr>
        <w:pStyle w:val="CTABullet"/>
      </w:pPr>
      <w:r>
        <w:rPr>
          <w:rFonts w:ascii="Lato" w:hAnsi="Lato" w:eastAsia="Lato"/>
          <w:sz w:val="21"/>
        </w:rPr>
        <w:t>• Assess the client and the specific session for telehealth appropriateness each time.</w:t>
      </w:r>
    </w:p>
    <w:p>
      <w:pPr>
        <w:pStyle w:val="CTABullet"/>
      </w:pPr>
      <w:r>
        <w:rPr>
          <w:rFonts w:ascii="Lato" w:hAnsi="Lato" w:eastAsia="Lato"/>
          <w:sz w:val="21"/>
        </w:rPr>
        <w:t>• Benefits such as access and continuity must be balanced against clinical, safety, privacy, and technology limitations.</w:t>
      </w:r>
    </w:p>
    <w:p>
      <w:r>
        <w:br w:type="page"/>
      </w:r>
    </w:p>
    <w:p>
      <w:pPr>
        <w:pStyle w:val="CTAHeading1"/>
        <w:keepNext/>
      </w:pPr>
      <w:r>
        <w:rPr>
          <w:rFonts w:ascii="Lato" w:hAnsi="Lato" w:eastAsia="Lato"/>
          <w:b/>
          <w:i w:val="0"/>
          <w:color w:val="0B2447"/>
          <w:sz w:val="32"/>
        </w:rPr>
        <w:t>Chapter 2: Telehealth Informed Consent</w:t>
      </w:r>
    </w:p>
    <w:p>
      <w:pPr>
        <w:pStyle w:val="CTAHeading2"/>
        <w:keepNext/>
      </w:pPr>
      <w:r>
        <w:rPr>
          <w:rFonts w:ascii="Lato" w:hAnsi="Lato" w:eastAsia="Lato"/>
          <w:b/>
          <w:i w:val="0"/>
          <w:color w:val="0B2447"/>
          <w:sz w:val="26"/>
        </w:rPr>
        <w:t>Learning Objectives</w:t>
      </w:r>
    </w:p>
    <w:p>
      <w:pPr>
        <w:pStyle w:val="CTABullet"/>
      </w:pPr>
      <w:r>
        <w:rPr>
          <w:rFonts w:ascii="Lato" w:hAnsi="Lato" w:eastAsia="Lato"/>
          <w:b w:val="0"/>
          <w:i w:val="0"/>
        </w:rPr>
        <w:t>Identify the form, timing, and documentation requirements for California telehealth consent.</w:t>
      </w:r>
    </w:p>
    <w:p>
      <w:pPr>
        <w:pStyle w:val="CTABullet"/>
      </w:pPr>
      <w:r>
        <w:rPr>
          <w:rFonts w:ascii="Lato" w:hAnsi="Lato" w:eastAsia="Lato"/>
          <w:b w:val="0"/>
          <w:i w:val="0"/>
        </w:rPr>
        <w:t>Distinguish the explicit BBS telehealth-initiation requirements from additional clinical risk-management practices.</w:t>
      </w:r>
    </w:p>
    <w:p>
      <w:pPr>
        <w:pStyle w:val="CTABullet"/>
      </w:pPr>
      <w:r>
        <w:rPr>
          <w:rFonts w:ascii="Lato" w:hAnsi="Lato" w:eastAsia="Lato"/>
          <w:b w:val="0"/>
          <w:i w:val="0"/>
        </w:rPr>
        <w:t>Explain why a signed general treatment form does not cure missing telehealth information or undocumented consent.</w:t>
      </w:r>
    </w:p>
    <w:p>
      <w:pPr>
        <w:pStyle w:val="CTABullet"/>
      </w:pPr>
      <w:r>
        <w:rPr>
          <w:rFonts w:ascii="Lato" w:hAnsi="Lato" w:eastAsia="Lato"/>
          <w:b w:val="0"/>
          <w:i w:val="0"/>
        </w:rPr>
        <w:t>Determine when telehealth consent should be revisited because services, risks, or client understanding have materially changed.</w:t>
      </w:r>
    </w:p>
    <w:p>
      <w:pPr>
        <w:pStyle w:val="CTABullet"/>
      </w:pPr>
      <w:r>
        <w:rPr>
          <w:rFonts w:ascii="Lato" w:hAnsi="Lato" w:eastAsia="Lato"/>
          <w:b w:val="0"/>
          <w:i w:val="0"/>
        </w:rPr>
        <w:t>Differentiate consent to use telehealth from consent to record a confidential session.</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Telehealth informed-consent questions often look deceptively simple. The strongest answer usually turns on a precise distinction: What does California law expressly require when telehealth begins, what must be documented, and what additional discussion is needed to support meaningful and safe participation?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pPr>
            <w:r>
              <w:rPr>
                <w:rFonts w:ascii="Lato" w:hAnsi="Lato" w:eastAsia="Lato"/>
                <w:b w:val="0"/>
                <w:i w:val="0"/>
                <w:sz w:val="20"/>
              </w:rPr>
              <w:t>California does not require a special signed telehealth form. It requires that the client be informed about the use of telehealth, consent verbally or in writing, and have that consent documented. BBS rules add specific initiation duties that cannot be replaced by a generic signature.</w:t>
            </w:r>
          </w:p>
        </w:tc>
      </w:tr>
    </w:tbl>
    <w:p>
      <w:pPr>
        <w:spacing w:after="0"/>
      </w:pPr>
    </w:p>
    <w:p>
      <w:pPr>
        <w:pStyle w:val="CTAHeading2"/>
        <w:keepNext/>
      </w:pPr>
      <w:r>
        <w:rPr>
          <w:rFonts w:ascii="Lato" w:hAnsi="Lato" w:eastAsia="Lato"/>
          <w:b/>
          <w:i w:val="0"/>
          <w:color w:val="0B2447"/>
          <w:sz w:val="26"/>
        </w:rPr>
        <w:t>1. The California Consent Rule</w:t>
      </w:r>
    </w:p>
    <w:p>
      <w:pPr>
        <w:pStyle w:val="CTABody"/>
      </w:pPr>
      <w:r>
        <w:rPr>
          <w:rFonts w:ascii="Lato" w:hAnsi="Lato" w:eastAsia="Lato"/>
          <w:b w:val="0"/>
          <w:i w:val="0"/>
        </w:rPr>
        <w:t>Before health care is delivered by telehealth, the health care provider initiating telehealth must inform the patient about its use and obtain the patient's verbal or written consent to telehealth as an acceptable mode of delivering services. The consent must be documented. Failure to comply constitutes unprofessional conduct. (Cal. Bus. &amp; Prof. Code, section 2290.5(b), (d).)</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Question</w:t>
            </w:r>
          </w:p>
        </w:tc>
        <w:tc>
          <w:tcPr>
            <w:tcW w:type="dxa" w:w="4980"/>
            <w:shd w:fill="0B2447"/>
          </w:tcPr>
          <w:p>
            <w:pPr>
              <w:jc w:val="center"/>
            </w:pPr>
            <w:r>
              <w:rPr>
                <w:rFonts w:ascii="Lato" w:hAnsi="Lato" w:eastAsia="Lato"/>
                <w:b/>
                <w:i w:val="0"/>
                <w:color w:val="FFFFFF"/>
                <w:sz w:val="18"/>
              </w:rPr>
              <w:t>California Answer</w:t>
            </w:r>
          </w:p>
        </w:tc>
      </w:tr>
      <w:tr>
        <w:trPr>
          <w:cantSplit w:val="1"/>
        </w:trPr>
        <w:tc>
          <w:tcPr>
            <w:tcW w:type="dxa" w:w="4980"/>
            <w:shd w:fill="EEF3F8"/>
            <w:vAlign w:val="top"/>
          </w:tcPr>
          <w:p>
            <w:pPr>
              <w:spacing w:after="0"/>
            </w:pPr>
            <w:r>
              <w:rPr>
                <w:rFonts w:ascii="Lato" w:hAnsi="Lato" w:eastAsia="Lato"/>
                <w:b/>
                <w:i w:val="0"/>
                <w:color w:val="0B2447"/>
                <w:sz w:val="18"/>
              </w:rPr>
              <w:t>Must consent be written?</w:t>
            </w:r>
          </w:p>
        </w:tc>
        <w:tc>
          <w:tcPr>
            <w:tcW w:type="dxa" w:w="4980"/>
            <w:vAlign w:val="top"/>
          </w:tcPr>
          <w:p>
            <w:pPr>
              <w:spacing w:after="0"/>
            </w:pPr>
            <w:r>
              <w:rPr>
                <w:rFonts w:ascii="Lato" w:hAnsi="Lato" w:eastAsia="Lato"/>
                <w:b w:val="0"/>
                <w:i w:val="0"/>
                <w:color w:val="111827"/>
                <w:sz w:val="18"/>
              </w:rPr>
              <w:t>No. California permits verbal or written consent.</w:t>
            </w:r>
          </w:p>
        </w:tc>
      </w:tr>
      <w:tr>
        <w:trPr>
          <w:cantSplit w:val="1"/>
        </w:trPr>
        <w:tc>
          <w:tcPr>
            <w:tcW w:type="dxa" w:w="4980"/>
            <w:shd w:fill="EEF3F8"/>
            <w:vAlign w:val="top"/>
          </w:tcPr>
          <w:p>
            <w:pPr>
              <w:spacing w:after="0"/>
            </w:pPr>
            <w:r>
              <w:rPr>
                <w:rFonts w:ascii="Lato" w:hAnsi="Lato" w:eastAsia="Lato"/>
                <w:b/>
                <w:i w:val="0"/>
                <w:color w:val="0B2447"/>
                <w:sz w:val="18"/>
              </w:rPr>
              <w:t>Must the consent be documented?</w:t>
            </w:r>
          </w:p>
        </w:tc>
        <w:tc>
          <w:tcPr>
            <w:tcW w:type="dxa" w:w="4980"/>
            <w:vAlign w:val="top"/>
          </w:tcPr>
          <w:p>
            <w:pPr>
              <w:spacing w:after="0"/>
            </w:pPr>
            <w:r>
              <w:rPr>
                <w:rFonts w:ascii="Lato" w:hAnsi="Lato" w:eastAsia="Lato"/>
                <w:b w:val="0"/>
                <w:i w:val="0"/>
                <w:color w:val="111827"/>
                <w:sz w:val="18"/>
              </w:rPr>
              <w:t>Yes. The record should show that telehealth consent was obtained.</w:t>
            </w:r>
          </w:p>
        </w:tc>
      </w:tr>
      <w:tr>
        <w:trPr>
          <w:cantSplit w:val="1"/>
        </w:trPr>
        <w:tc>
          <w:tcPr>
            <w:tcW w:type="dxa" w:w="4980"/>
            <w:shd w:fill="EEF3F8"/>
            <w:vAlign w:val="top"/>
          </w:tcPr>
          <w:p>
            <w:pPr>
              <w:spacing w:after="0"/>
            </w:pPr>
            <w:r>
              <w:rPr>
                <w:rFonts w:ascii="Lato" w:hAnsi="Lato" w:eastAsia="Lato"/>
                <w:b/>
                <w:i w:val="0"/>
                <w:color w:val="0B2447"/>
                <w:sz w:val="18"/>
              </w:rPr>
              <w:t>Must there be a separate telehealth form?</w:t>
            </w:r>
          </w:p>
        </w:tc>
        <w:tc>
          <w:tcPr>
            <w:tcW w:type="dxa" w:w="4980"/>
            <w:vAlign w:val="top"/>
          </w:tcPr>
          <w:p>
            <w:pPr>
              <w:spacing w:after="0"/>
            </w:pPr>
            <w:r>
              <w:rPr>
                <w:rFonts w:ascii="Lato" w:hAnsi="Lato" w:eastAsia="Lato"/>
                <w:b w:val="0"/>
                <w:i w:val="0"/>
                <w:color w:val="111827"/>
                <w:sz w:val="18"/>
              </w:rPr>
              <w:t>No separate standalone form is specified. A broader form may be used if it actually informs the client about telehealth, obtains consent, and the consent is documented.</w:t>
            </w:r>
          </w:p>
        </w:tc>
      </w:tr>
      <w:tr>
        <w:trPr>
          <w:cantSplit w:val="1"/>
        </w:trPr>
        <w:tc>
          <w:tcPr>
            <w:tcW w:type="dxa" w:w="4980"/>
            <w:shd w:fill="EEF3F8"/>
            <w:vAlign w:val="top"/>
          </w:tcPr>
          <w:p>
            <w:pPr>
              <w:spacing w:after="0"/>
            </w:pPr>
            <w:r>
              <w:rPr>
                <w:rFonts w:ascii="Lato" w:hAnsi="Lato" w:eastAsia="Lato"/>
                <w:b/>
                <w:i w:val="0"/>
                <w:color w:val="0B2447"/>
                <w:sz w:val="18"/>
              </w:rPr>
              <w:t>Is consent required again at every session?</w:t>
            </w:r>
          </w:p>
        </w:tc>
        <w:tc>
          <w:tcPr>
            <w:tcW w:type="dxa" w:w="4980"/>
            <w:vAlign w:val="top"/>
          </w:tcPr>
          <w:p>
            <w:pPr>
              <w:spacing w:after="0"/>
            </w:pPr>
            <w:r>
              <w:rPr>
                <w:rFonts w:ascii="Lato" w:hAnsi="Lato" w:eastAsia="Lato"/>
                <w:b w:val="0"/>
                <w:i w:val="0"/>
                <w:color w:val="111827"/>
                <w:sz w:val="18"/>
              </w:rPr>
              <w:t>Not under section 2290.5 or section 1815.5. Each-session location, appropriateness, and privacy/security duties are separate requirements.</w:t>
            </w:r>
          </w:p>
        </w:tc>
      </w:tr>
      <w:tr>
        <w:trPr>
          <w:cantSplit w:val="1"/>
        </w:trPr>
        <w:tc>
          <w:tcPr>
            <w:tcW w:type="dxa" w:w="4980"/>
            <w:shd w:fill="EEF3F8"/>
            <w:vAlign w:val="top"/>
          </w:tcPr>
          <w:p>
            <w:pPr>
              <w:spacing w:after="0"/>
            </w:pPr>
            <w:r>
              <w:rPr>
                <w:rFonts w:ascii="Lato" w:hAnsi="Lato" w:eastAsia="Lato"/>
                <w:b/>
                <w:i w:val="0"/>
                <w:color w:val="0B2447"/>
                <w:sz w:val="18"/>
              </w:rPr>
              <w:t>Can a signature replace the required discussion?</w:t>
            </w:r>
          </w:p>
        </w:tc>
        <w:tc>
          <w:tcPr>
            <w:tcW w:type="dxa" w:w="4980"/>
            <w:vAlign w:val="top"/>
          </w:tcPr>
          <w:p>
            <w:pPr>
              <w:spacing w:after="0"/>
            </w:pPr>
            <w:r>
              <w:rPr>
                <w:rFonts w:ascii="Lato" w:hAnsi="Lato" w:eastAsia="Lato"/>
                <w:b w:val="0"/>
                <w:i w:val="0"/>
                <w:color w:val="111827"/>
                <w:sz w:val="18"/>
              </w:rPr>
              <w:t>No. A signature does not establish that the client was informed about telehealth or that required BBS information was provided.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pPr>
            <w:r>
              <w:rPr>
                <w:rFonts w:ascii="Lato" w:hAnsi="Lato" w:eastAsia="Lato"/>
                <w:b w:val="0"/>
                <w:i w:val="0"/>
                <w:sz w:val="20"/>
              </w:rPr>
              <w:t>Verbal or written consent is legally acceptable. Undocumented consent is not.</w:t>
            </w:r>
          </w:p>
        </w:tc>
      </w:tr>
    </w:tbl>
    <w:p>
      <w:pPr>
        <w:spacing w:after="0"/>
      </w:pPr>
    </w:p>
    <w:p>
      <w:pPr>
        <w:pStyle w:val="CTAHeading2"/>
        <w:keepNext/>
      </w:pPr>
      <w:r>
        <w:rPr>
          <w:rFonts w:ascii="Lato" w:hAnsi="Lato" w:eastAsia="Lato"/>
          <w:b/>
          <w:i w:val="0"/>
          <w:color w:val="0B2447"/>
          <w:sz w:val="26"/>
        </w:rPr>
        <w:t>2. What BBS Requires When Telehealth Is Initiated</w:t>
      </w:r>
    </w:p>
    <w:p>
      <w:pPr>
        <w:pStyle w:val="CTABody"/>
      </w:pPr>
      <w:r>
        <w:rPr>
          <w:rFonts w:ascii="Lato" w:hAnsi="Lato" w:eastAsia="Lato"/>
          <w:b w:val="0"/>
          <w:i w:val="0"/>
        </w:rPr>
        <w:t>For LCSWs and registered ASWs, telehealth initiation involves more than asking, “Is video okay?” The therapist must complete four distinct steps.</w:t>
      </w:r>
    </w:p>
    <w:p>
      <w:pPr>
        <w:pStyle w:val="CTABody"/>
      </w:pPr>
      <w:r>
        <w:rPr>
          <w:rFonts w:ascii="Lato" w:hAnsi="Lato" w:eastAsia="Lato"/>
          <w:b/>
          <w:i w:val="0"/>
          <w:color w:val="0B2447"/>
        </w:rPr>
        <w:t xml:space="preserve">1. Obtain and document telehealth consent: </w:t>
      </w:r>
      <w:r>
        <w:rPr>
          <w:rFonts w:ascii="Lato" w:hAnsi="Lato" w:eastAsia="Lato"/>
          <w:b w:val="0"/>
          <w:i w:val="0"/>
        </w:rPr>
        <w:t>The consent must be consistent with Business and Professions Code section 2290.5.</w:t>
      </w:r>
    </w:p>
    <w:p>
      <w:pPr>
        <w:pStyle w:val="CTABody"/>
      </w:pPr>
      <w:r>
        <w:rPr>
          <w:rFonts w:ascii="Lato" w:hAnsi="Lato" w:eastAsia="Lato"/>
          <w:b/>
          <w:i w:val="0"/>
          <w:color w:val="0B2447"/>
        </w:rPr>
        <w:t xml:space="preserve">2. Explain potential risks and limitations: </w:t>
      </w:r>
      <w:r>
        <w:rPr>
          <w:rFonts w:ascii="Lato" w:hAnsi="Lato" w:eastAsia="Lato"/>
          <w:b w:val="0"/>
          <w:i w:val="0"/>
        </w:rPr>
        <w:t>The discussion should be accurate and relevant to the proposed mode of treatment.</w:t>
      </w:r>
    </w:p>
    <w:p>
      <w:pPr>
        <w:pStyle w:val="CTABody"/>
      </w:pPr>
      <w:r>
        <w:rPr>
          <w:rFonts w:ascii="Lato" w:hAnsi="Lato" w:eastAsia="Lato"/>
          <w:b/>
          <w:i w:val="0"/>
          <w:color w:val="0B2447"/>
        </w:rPr>
        <w:t xml:space="preserve">3. Provide credential information: </w:t>
      </w:r>
      <w:r>
        <w:rPr>
          <w:rFonts w:ascii="Lato" w:hAnsi="Lato" w:eastAsia="Lato"/>
          <w:b w:val="0"/>
          <w:i w:val="0"/>
        </w:rPr>
        <w:t>Give the client the therapist's license or registration type and number.</w:t>
      </w:r>
    </w:p>
    <w:p>
      <w:pPr>
        <w:pStyle w:val="CTABody"/>
      </w:pPr>
      <w:r>
        <w:rPr>
          <w:rFonts w:ascii="Lato" w:hAnsi="Lato" w:eastAsia="Lato"/>
          <w:b/>
          <w:i w:val="0"/>
          <w:color w:val="0B2447"/>
        </w:rPr>
        <w:t xml:space="preserve">4. Identify relevant local resources: </w:t>
      </w:r>
      <w:r>
        <w:rPr>
          <w:rFonts w:ascii="Lato" w:hAnsi="Lato" w:eastAsia="Lato"/>
          <w:b w:val="0"/>
          <w:i w:val="0"/>
        </w:rPr>
        <w:t>Document reasonable efforts to ascertain contact information for relevant resources, including emergency services, in the client's geographic area.</w:t>
      </w:r>
    </w:p>
    <w:p>
      <w:pPr>
        <w:pStyle w:val="CTASmall"/>
      </w:pPr>
      <w:r>
        <w:rPr>
          <w:rFonts w:ascii="Lato" w:hAnsi="Lato" w:eastAsia="Lato"/>
          <w:b w:val="0"/>
          <w:i/>
          <w:color w:val="384250"/>
          <w:sz w:val="18"/>
        </w:rPr>
        <w:t>Authority: 16 CCR section 1815.5(c).</w:t>
      </w:r>
    </w:p>
    <w:p>
      <w:pPr>
        <w:pStyle w:val="CTAHeading2"/>
        <w:keepNext/>
      </w:pPr>
      <w:r>
        <w:rPr>
          <w:rFonts w:ascii="Lato" w:hAnsi="Lato" w:eastAsia="Lato"/>
          <w:b/>
          <w:i w:val="0"/>
          <w:color w:val="0B2447"/>
          <w:sz w:val="26"/>
        </w:rPr>
        <w:t>3. Risks and Limitations: What Should Be Explained?</w:t>
      </w:r>
    </w:p>
    <w:p>
      <w:pPr>
        <w:pStyle w:val="CTABody"/>
      </w:pPr>
      <w:r>
        <w:rPr>
          <w:rFonts w:ascii="Lato" w:hAnsi="Lato" w:eastAsia="Lato"/>
          <w:b w:val="0"/>
          <w:i w:val="0"/>
        </w:rPr>
        <w:t>The regulation does not provide a fixed script. The therapist should explain risks and limitations that are reasonably relevant to the service, client, technology, and setting. The content should be accurate rather than alarmist and tailored rather than generic.</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Potential Topic</w:t>
            </w:r>
          </w:p>
        </w:tc>
        <w:tc>
          <w:tcPr>
            <w:tcW w:type="dxa" w:w="4980"/>
            <w:shd w:fill="0B2447"/>
          </w:tcPr>
          <w:p>
            <w:pPr>
              <w:jc w:val="center"/>
            </w:pPr>
            <w:r>
              <w:rPr>
                <w:rFonts w:ascii="Lato" w:hAnsi="Lato" w:eastAsia="Lato"/>
                <w:b/>
                <w:i w:val="0"/>
                <w:color w:val="FFFFFF"/>
                <w:sz w:val="18"/>
              </w:rPr>
              <w:t>Why It May Matter</w:t>
            </w:r>
          </w:p>
        </w:tc>
      </w:tr>
      <w:tr>
        <w:trPr>
          <w:cantSplit w:val="1"/>
        </w:trPr>
        <w:tc>
          <w:tcPr>
            <w:tcW w:type="dxa" w:w="4980"/>
            <w:shd w:fill="EEF3F8"/>
            <w:vAlign w:val="top"/>
          </w:tcPr>
          <w:p>
            <w:pPr>
              <w:spacing w:after="0"/>
            </w:pPr>
            <w:r>
              <w:rPr>
                <w:rFonts w:ascii="Lato" w:hAnsi="Lato" w:eastAsia="Lato"/>
                <w:b/>
                <w:i w:val="0"/>
                <w:color w:val="0B2447"/>
                <w:sz w:val="18"/>
              </w:rPr>
              <w:t>Technology disruption</w:t>
            </w:r>
          </w:p>
        </w:tc>
        <w:tc>
          <w:tcPr>
            <w:tcW w:type="dxa" w:w="4980"/>
            <w:vAlign w:val="top"/>
          </w:tcPr>
          <w:p>
            <w:pPr>
              <w:spacing w:after="0"/>
            </w:pPr>
            <w:r>
              <w:rPr>
                <w:rFonts w:ascii="Lato" w:hAnsi="Lato" w:eastAsia="Lato"/>
                <w:b w:val="0"/>
                <w:i w:val="0"/>
                <w:color w:val="111827"/>
                <w:sz w:val="18"/>
              </w:rPr>
              <w:t>Audio, video, internet, device, or platform failures may interrupt assessment or treatment.</w:t>
            </w:r>
          </w:p>
        </w:tc>
      </w:tr>
      <w:tr>
        <w:trPr>
          <w:cantSplit w:val="1"/>
        </w:trPr>
        <w:tc>
          <w:tcPr>
            <w:tcW w:type="dxa" w:w="4980"/>
            <w:shd w:fill="EEF3F8"/>
            <w:vAlign w:val="top"/>
          </w:tcPr>
          <w:p>
            <w:pPr>
              <w:spacing w:after="0"/>
            </w:pPr>
            <w:r>
              <w:rPr>
                <w:rFonts w:ascii="Lato" w:hAnsi="Lato" w:eastAsia="Lato"/>
                <w:b/>
                <w:i w:val="0"/>
                <w:color w:val="0B2447"/>
                <w:sz w:val="18"/>
              </w:rPr>
              <w:t>Privacy limitations</w:t>
            </w:r>
          </w:p>
        </w:tc>
        <w:tc>
          <w:tcPr>
            <w:tcW w:type="dxa" w:w="4980"/>
            <w:vAlign w:val="top"/>
          </w:tcPr>
          <w:p>
            <w:pPr>
              <w:spacing w:after="0"/>
            </w:pPr>
            <w:r>
              <w:rPr>
                <w:rFonts w:ascii="Lato" w:hAnsi="Lato" w:eastAsia="Lato"/>
                <w:b w:val="0"/>
                <w:i w:val="0"/>
                <w:color w:val="111827"/>
                <w:sz w:val="18"/>
              </w:rPr>
              <w:t>Other people, shared devices, visible notifications, or an unsuitable environment may affect confidentiality.</w:t>
            </w:r>
          </w:p>
        </w:tc>
      </w:tr>
      <w:tr>
        <w:trPr>
          <w:cantSplit w:val="1"/>
        </w:trPr>
        <w:tc>
          <w:tcPr>
            <w:tcW w:type="dxa" w:w="4980"/>
            <w:shd w:fill="EEF3F8"/>
            <w:vAlign w:val="top"/>
          </w:tcPr>
          <w:p>
            <w:pPr>
              <w:spacing w:after="0"/>
            </w:pPr>
            <w:r>
              <w:rPr>
                <w:rFonts w:ascii="Lato" w:hAnsi="Lato" w:eastAsia="Lato"/>
                <w:b/>
                <w:i w:val="0"/>
                <w:color w:val="0B2447"/>
                <w:sz w:val="18"/>
              </w:rPr>
              <w:t>Communication limitations</w:t>
            </w:r>
          </w:p>
        </w:tc>
        <w:tc>
          <w:tcPr>
            <w:tcW w:type="dxa" w:w="4980"/>
            <w:vAlign w:val="top"/>
          </w:tcPr>
          <w:p>
            <w:pPr>
              <w:spacing w:after="0"/>
            </w:pPr>
            <w:r>
              <w:rPr>
                <w:rFonts w:ascii="Lato" w:hAnsi="Lato" w:eastAsia="Lato"/>
                <w:b w:val="0"/>
                <w:i w:val="0"/>
                <w:color w:val="111827"/>
                <w:sz w:val="18"/>
              </w:rPr>
              <w:t>Nonverbal information, sensory cues, or the ability to intervene may differ from in-person care.</w:t>
            </w:r>
          </w:p>
        </w:tc>
      </w:tr>
      <w:tr>
        <w:trPr>
          <w:cantSplit w:val="1"/>
        </w:trPr>
        <w:tc>
          <w:tcPr>
            <w:tcW w:type="dxa" w:w="4980"/>
            <w:shd w:fill="EEF3F8"/>
            <w:vAlign w:val="top"/>
          </w:tcPr>
          <w:p>
            <w:pPr>
              <w:spacing w:after="0"/>
            </w:pPr>
            <w:r>
              <w:rPr>
                <w:rFonts w:ascii="Lato" w:hAnsi="Lato" w:eastAsia="Lato"/>
                <w:b/>
                <w:i w:val="0"/>
                <w:color w:val="0B2447"/>
                <w:sz w:val="18"/>
              </w:rPr>
              <w:t>Clinical limitations</w:t>
            </w:r>
          </w:p>
        </w:tc>
        <w:tc>
          <w:tcPr>
            <w:tcW w:type="dxa" w:w="4980"/>
            <w:vAlign w:val="top"/>
          </w:tcPr>
          <w:p>
            <w:pPr>
              <w:spacing w:after="0"/>
            </w:pPr>
            <w:r>
              <w:rPr>
                <w:rFonts w:ascii="Lato" w:hAnsi="Lato" w:eastAsia="Lato"/>
                <w:b w:val="0"/>
                <w:i w:val="0"/>
                <w:color w:val="111827"/>
                <w:sz w:val="18"/>
              </w:rPr>
              <w:t>Some symptoms, assessments, interventions, or risk situations may not be well suited to the proposed telehealth format.</w:t>
            </w:r>
          </w:p>
        </w:tc>
      </w:tr>
      <w:tr>
        <w:trPr>
          <w:cantSplit w:val="1"/>
        </w:trPr>
        <w:tc>
          <w:tcPr>
            <w:tcW w:type="dxa" w:w="4980"/>
            <w:shd w:fill="EEF3F8"/>
            <w:vAlign w:val="top"/>
          </w:tcPr>
          <w:p>
            <w:pPr>
              <w:spacing w:after="0"/>
            </w:pPr>
            <w:r>
              <w:rPr>
                <w:rFonts w:ascii="Lato" w:hAnsi="Lato" w:eastAsia="Lato"/>
                <w:b/>
                <w:i w:val="0"/>
                <w:color w:val="0B2447"/>
                <w:sz w:val="18"/>
              </w:rPr>
              <w:t>Security limitations</w:t>
            </w:r>
          </w:p>
        </w:tc>
        <w:tc>
          <w:tcPr>
            <w:tcW w:type="dxa" w:w="4980"/>
            <w:vAlign w:val="top"/>
          </w:tcPr>
          <w:p>
            <w:pPr>
              <w:spacing w:after="0"/>
            </w:pPr>
            <w:r>
              <w:rPr>
                <w:rFonts w:ascii="Lato" w:hAnsi="Lato" w:eastAsia="Lato"/>
                <w:b w:val="0"/>
                <w:i w:val="0"/>
                <w:color w:val="111827"/>
                <w:sz w:val="18"/>
              </w:rPr>
              <w:t>Electronic transmission and storage may create risks that require lawful safeguards and realistic disclosure.</w:t>
            </w:r>
          </w:p>
        </w:tc>
      </w:tr>
      <w:tr>
        <w:trPr>
          <w:cantSplit w:val="1"/>
        </w:trPr>
        <w:tc>
          <w:tcPr>
            <w:tcW w:type="dxa" w:w="4980"/>
            <w:shd w:fill="EEF3F8"/>
            <w:vAlign w:val="top"/>
          </w:tcPr>
          <w:p>
            <w:pPr>
              <w:spacing w:after="0"/>
            </w:pPr>
            <w:r>
              <w:rPr>
                <w:rFonts w:ascii="Lato" w:hAnsi="Lato" w:eastAsia="Lato"/>
                <w:b/>
                <w:i w:val="0"/>
                <w:color w:val="0B2447"/>
                <w:sz w:val="18"/>
              </w:rPr>
              <w:t>Emergency-response limitations</w:t>
            </w:r>
          </w:p>
        </w:tc>
        <w:tc>
          <w:tcPr>
            <w:tcW w:type="dxa" w:w="4980"/>
            <w:vAlign w:val="top"/>
          </w:tcPr>
          <w:p>
            <w:pPr>
              <w:spacing w:after="0"/>
            </w:pPr>
            <w:r>
              <w:rPr>
                <w:rFonts w:ascii="Lato" w:hAnsi="Lato" w:eastAsia="Lato"/>
                <w:b w:val="0"/>
                <w:i w:val="0"/>
                <w:color w:val="111827"/>
                <w:sz w:val="18"/>
              </w:rPr>
              <w:t>Distance may affect how quickly or effectively the therapist can coordinate local help.</w:t>
            </w:r>
          </w:p>
        </w:tc>
      </w:tr>
    </w:tbl>
    <w:p>
      <w:pPr>
        <w:pStyle w:val="CTASmall"/>
      </w:pPr>
      <w:r>
        <w:rPr>
          <w:rFonts w:ascii="Lato" w:hAnsi="Lato" w:eastAsia="Lato"/>
          <w:b w:val="0"/>
          <w:i/>
          <w:color w:val="384250"/>
          <w:sz w:val="18"/>
        </w:rPr>
        <w:t>The legal requirement is to inform the client of potential risks and limitations. California law does not mandate a single universal checklist for every client.</w:t>
      </w:r>
    </w:p>
    <w:p>
      <w:pPr>
        <w:pStyle w:val="CTAHeading2"/>
        <w:keepNext/>
      </w:pPr>
      <w:r>
        <w:rPr>
          <w:rFonts w:ascii="Lato" w:hAnsi="Lato" w:eastAsia="Lato"/>
          <w:b/>
          <w:i w:val="0"/>
          <w:color w:val="0B2447"/>
          <w:sz w:val="26"/>
        </w:rPr>
        <w:t>4. Legal Requirements vs. Recommended Discussion</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Express California/BBS Requirement</w:t>
            </w:r>
          </w:p>
        </w:tc>
        <w:tc>
          <w:tcPr>
            <w:tcW w:type="dxa" w:w="4980"/>
            <w:shd w:fill="0B2447"/>
          </w:tcPr>
          <w:p>
            <w:pPr>
              <w:jc w:val="center"/>
            </w:pPr>
            <w:r>
              <w:rPr>
                <w:rFonts w:ascii="Lato" w:hAnsi="Lato" w:eastAsia="Lato"/>
                <w:b/>
                <w:i w:val="0"/>
                <w:color w:val="FFFFFF"/>
                <w:sz w:val="18"/>
              </w:rPr>
              <w:t>Additional Clinical or Risk-Management Practice</w:t>
            </w:r>
          </w:p>
        </w:tc>
      </w:tr>
      <w:tr>
        <w:trPr>
          <w:cantSplit w:val="1"/>
        </w:trPr>
        <w:tc>
          <w:tcPr>
            <w:tcW w:type="dxa" w:w="4980"/>
            <w:shd w:fill="EEF3F8"/>
            <w:vAlign w:val="top"/>
          </w:tcPr>
          <w:p>
            <w:pPr>
              <w:spacing w:after="0"/>
            </w:pPr>
            <w:r>
              <w:rPr>
                <w:rFonts w:ascii="Lato" w:hAnsi="Lato" w:eastAsia="Lato"/>
                <w:b/>
                <w:i w:val="0"/>
                <w:color w:val="0B2447"/>
                <w:sz w:val="18"/>
              </w:rPr>
              <w:t>Inform the client about the use of telehealth and obtain/document verbal or written consent.</w:t>
            </w:r>
          </w:p>
        </w:tc>
        <w:tc>
          <w:tcPr>
            <w:tcW w:type="dxa" w:w="4980"/>
            <w:vAlign w:val="top"/>
          </w:tcPr>
          <w:p>
            <w:pPr>
              <w:spacing w:after="0"/>
            </w:pPr>
            <w:r>
              <w:rPr>
                <w:rFonts w:ascii="Lato" w:hAnsi="Lato" w:eastAsia="Lato"/>
                <w:b w:val="0"/>
                <w:i w:val="0"/>
                <w:color w:val="111827"/>
                <w:sz w:val="18"/>
              </w:rPr>
              <w:t>Explain how sessions will work, communication expectations, and practical responsibilities.</w:t>
            </w:r>
          </w:p>
        </w:tc>
      </w:tr>
      <w:tr>
        <w:trPr>
          <w:cantSplit w:val="1"/>
        </w:trPr>
        <w:tc>
          <w:tcPr>
            <w:tcW w:type="dxa" w:w="4980"/>
            <w:shd w:fill="EEF3F8"/>
            <w:vAlign w:val="top"/>
          </w:tcPr>
          <w:p>
            <w:pPr>
              <w:spacing w:after="0"/>
            </w:pPr>
            <w:r>
              <w:rPr>
                <w:rFonts w:ascii="Lato" w:hAnsi="Lato" w:eastAsia="Lato"/>
                <w:b/>
                <w:i w:val="0"/>
                <w:color w:val="0B2447"/>
                <w:sz w:val="18"/>
              </w:rPr>
              <w:t>Inform the client of potential risks and limitations.</w:t>
            </w:r>
          </w:p>
        </w:tc>
        <w:tc>
          <w:tcPr>
            <w:tcW w:type="dxa" w:w="4980"/>
            <w:vAlign w:val="top"/>
          </w:tcPr>
          <w:p>
            <w:pPr>
              <w:spacing w:after="0"/>
            </w:pPr>
            <w:r>
              <w:rPr>
                <w:rFonts w:ascii="Lato" w:hAnsi="Lato" w:eastAsia="Lato"/>
                <w:b w:val="0"/>
                <w:i w:val="0"/>
                <w:color w:val="111827"/>
                <w:sz w:val="18"/>
              </w:rPr>
              <w:t>Discuss foreseeable technology failures, environmental privacy, and backup procedures tailored to the case.</w:t>
            </w:r>
          </w:p>
        </w:tc>
      </w:tr>
      <w:tr>
        <w:trPr>
          <w:cantSplit w:val="1"/>
        </w:trPr>
        <w:tc>
          <w:tcPr>
            <w:tcW w:type="dxa" w:w="4980"/>
            <w:shd w:fill="EEF3F8"/>
            <w:vAlign w:val="top"/>
          </w:tcPr>
          <w:p>
            <w:pPr>
              <w:spacing w:after="0"/>
            </w:pPr>
            <w:r>
              <w:rPr>
                <w:rFonts w:ascii="Lato" w:hAnsi="Lato" w:eastAsia="Lato"/>
                <w:b/>
                <w:i w:val="0"/>
                <w:color w:val="0B2447"/>
                <w:sz w:val="18"/>
              </w:rPr>
              <w:t>Provide license/registration type and number.</w:t>
            </w:r>
          </w:p>
        </w:tc>
        <w:tc>
          <w:tcPr>
            <w:tcW w:type="dxa" w:w="4980"/>
            <w:vAlign w:val="top"/>
          </w:tcPr>
          <w:p>
            <w:pPr>
              <w:spacing w:after="0"/>
            </w:pPr>
            <w:r>
              <w:rPr>
                <w:rFonts w:ascii="Lato" w:hAnsi="Lato" w:eastAsia="Lato"/>
                <w:b w:val="0"/>
                <w:i w:val="0"/>
                <w:color w:val="111827"/>
                <w:sz w:val="18"/>
              </w:rPr>
              <w:t>Explain how the client can verify the credential or contact the practice.</w:t>
            </w:r>
          </w:p>
        </w:tc>
      </w:tr>
      <w:tr>
        <w:trPr>
          <w:cantSplit w:val="1"/>
        </w:trPr>
        <w:tc>
          <w:tcPr>
            <w:tcW w:type="dxa" w:w="4980"/>
            <w:shd w:fill="EEF3F8"/>
            <w:vAlign w:val="top"/>
          </w:tcPr>
          <w:p>
            <w:pPr>
              <w:spacing w:after="0"/>
            </w:pPr>
            <w:r>
              <w:rPr>
                <w:rFonts w:ascii="Lato" w:hAnsi="Lato" w:eastAsia="Lato"/>
                <w:b/>
                <w:i w:val="0"/>
                <w:color w:val="0B2447"/>
                <w:sz w:val="18"/>
              </w:rPr>
              <w:t>Document reasonable efforts to identify relevant local resources, including emergency services.</w:t>
            </w:r>
          </w:p>
        </w:tc>
        <w:tc>
          <w:tcPr>
            <w:tcW w:type="dxa" w:w="4980"/>
            <w:vAlign w:val="top"/>
          </w:tcPr>
          <w:p>
            <w:pPr>
              <w:spacing w:after="0"/>
            </w:pPr>
            <w:r>
              <w:rPr>
                <w:rFonts w:ascii="Lato" w:hAnsi="Lato" w:eastAsia="Lato"/>
                <w:b w:val="0"/>
                <w:i w:val="0"/>
                <w:color w:val="111827"/>
                <w:sz w:val="18"/>
              </w:rPr>
              <w:t>Obtain an emergency contact when clinically appropriate and establish crisis and disconnection procedures.</w:t>
            </w:r>
          </w:p>
        </w:tc>
      </w:tr>
      <w:tr>
        <w:trPr>
          <w:cantSplit w:val="1"/>
        </w:trPr>
        <w:tc>
          <w:tcPr>
            <w:tcW w:type="dxa" w:w="4980"/>
            <w:shd w:fill="EEF3F8"/>
            <w:vAlign w:val="top"/>
          </w:tcPr>
          <w:p>
            <w:pPr>
              <w:spacing w:after="0"/>
            </w:pPr>
            <w:r>
              <w:rPr>
                <w:rFonts w:ascii="Lato" w:hAnsi="Lato" w:eastAsia="Lato"/>
                <w:b/>
                <w:i w:val="0"/>
                <w:color w:val="0B2447"/>
                <w:sz w:val="18"/>
              </w:rPr>
              <w:t>Consent to telehealth does not preclude in-person care.</w:t>
            </w:r>
          </w:p>
        </w:tc>
        <w:tc>
          <w:tcPr>
            <w:tcW w:type="dxa" w:w="4980"/>
            <w:vAlign w:val="top"/>
          </w:tcPr>
          <w:p>
            <w:pPr>
              <w:spacing w:after="0"/>
            </w:pPr>
            <w:r>
              <w:rPr>
                <w:rFonts w:ascii="Lato" w:hAnsi="Lato" w:eastAsia="Lato"/>
                <w:b w:val="0"/>
                <w:i w:val="0"/>
                <w:color w:val="111827"/>
                <w:sz w:val="18"/>
              </w:rPr>
              <w:t>Discuss available alternatives, limitations in the therapist's setting, referral options, and client preference.</w:t>
            </w:r>
          </w:p>
        </w:tc>
      </w:tr>
      <w:tr>
        <w:trPr>
          <w:cantSplit w:val="1"/>
        </w:trPr>
        <w:tc>
          <w:tcPr>
            <w:tcW w:type="dxa" w:w="4980"/>
            <w:shd w:fill="EEF3F8"/>
            <w:vAlign w:val="top"/>
          </w:tcPr>
          <w:p>
            <w:pPr>
              <w:spacing w:after="0"/>
            </w:pPr>
            <w:r>
              <w:rPr>
                <w:rFonts w:ascii="Lato" w:hAnsi="Lato" w:eastAsia="Lato"/>
                <w:b/>
                <w:i w:val="0"/>
                <w:color w:val="0B2447"/>
                <w:sz w:val="18"/>
              </w:rPr>
              <w:t>Document the telehealth consent.</w:t>
            </w:r>
          </w:p>
        </w:tc>
        <w:tc>
          <w:tcPr>
            <w:tcW w:type="dxa" w:w="4980"/>
            <w:vAlign w:val="top"/>
          </w:tcPr>
          <w:p>
            <w:pPr>
              <w:spacing w:after="0"/>
            </w:pPr>
            <w:r>
              <w:rPr>
                <w:rFonts w:ascii="Lato" w:hAnsi="Lato" w:eastAsia="Lato"/>
                <w:b w:val="0"/>
                <w:i w:val="0"/>
                <w:color w:val="111827"/>
                <w:sz w:val="18"/>
              </w:rPr>
              <w:t>Document material follow-up discussions, changed risks, client questions, refusal, and agreed modifications.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pPr>
            <w:r>
              <w:rPr>
                <w:rFonts w:ascii="Lato" w:hAnsi="Lato" w:eastAsia="Lato"/>
                <w:b w:val="0"/>
                <w:i w:val="0"/>
                <w:sz w:val="20"/>
              </w:rPr>
              <w:t>Do not call every good telehealth practice a statutory consent requirement. California exams reward precise identification of the law while still protecting client welfare.</w:t>
            </w:r>
          </w:p>
        </w:tc>
      </w:tr>
    </w:tbl>
    <w:p>
      <w:pPr>
        <w:spacing w:after="0"/>
      </w:pPr>
    </w:p>
    <w:p>
      <w:pPr>
        <w:pStyle w:val="CTAHeading2"/>
        <w:keepNext/>
      </w:pPr>
      <w:r>
        <w:rPr>
          <w:rFonts w:ascii="Lato" w:hAnsi="Lato" w:eastAsia="Lato"/>
          <w:b/>
          <w:i w:val="0"/>
          <w:color w:val="0B2447"/>
          <w:sz w:val="26"/>
        </w:rPr>
        <w:t>5. A Signed Form Is Not the Same as Informed Consent</w:t>
      </w:r>
    </w:p>
    <w:p>
      <w:pPr>
        <w:pStyle w:val="CTABody"/>
      </w:pPr>
      <w:r>
        <w:rPr>
          <w:rFonts w:ascii="Lato" w:hAnsi="Lato" w:eastAsia="Lato"/>
          <w:b w:val="0"/>
          <w:i w:val="0"/>
        </w:rPr>
        <w:t>A signed form can support documentation, but it is not conclusive proof that the client was adequately informed. A therapist who obtains a signature but omits telehealth risks and limitations, credential information, or local-resource preparation has not completed the BBS initiation requirements.</w:t>
      </w:r>
    </w:p>
    <w:p>
      <w:pPr>
        <w:pStyle w:val="CTABullet"/>
      </w:pPr>
      <w:r>
        <w:rPr>
          <w:rFonts w:ascii="Lato" w:hAnsi="Lato" w:eastAsia="Lato"/>
          <w:b w:val="0"/>
          <w:i w:val="0"/>
        </w:rPr>
        <w:t>The form does not mention telehealth.</w:t>
      </w:r>
    </w:p>
    <w:p>
      <w:pPr>
        <w:pStyle w:val="CTABullet"/>
      </w:pPr>
      <w:r>
        <w:rPr>
          <w:rFonts w:ascii="Lato" w:hAnsi="Lato" w:eastAsia="Lato"/>
          <w:b w:val="0"/>
          <w:i w:val="0"/>
        </w:rPr>
        <w:t>The client cannot understand the language or format.</w:t>
      </w:r>
    </w:p>
    <w:p>
      <w:pPr>
        <w:pStyle w:val="CTABullet"/>
      </w:pPr>
      <w:r>
        <w:rPr>
          <w:rFonts w:ascii="Lato" w:hAnsi="Lato" w:eastAsia="Lato"/>
          <w:b w:val="0"/>
          <w:i w:val="0"/>
        </w:rPr>
        <w:t>The therapist cannot answer basic questions about how telehealth will work.</w:t>
      </w:r>
    </w:p>
    <w:p>
      <w:pPr>
        <w:pStyle w:val="CTABullet"/>
      </w:pPr>
      <w:r>
        <w:rPr>
          <w:rFonts w:ascii="Lato" w:hAnsi="Lato" w:eastAsia="Lato"/>
          <w:b w:val="0"/>
          <w:i w:val="0"/>
        </w:rPr>
        <w:t>Material risks are intentionally withheld to prevent the client from declining.</w:t>
      </w:r>
    </w:p>
    <w:p>
      <w:pPr>
        <w:pStyle w:val="CTABullet"/>
      </w:pPr>
      <w:r>
        <w:rPr>
          <w:rFonts w:ascii="Lato" w:hAnsi="Lato" w:eastAsia="Lato"/>
          <w:b w:val="0"/>
          <w:i w:val="0"/>
        </w:rPr>
        <w:t>The record contains a signature but no indication that the telehealth consent or required disclosures occurred.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Remember</w:t>
            </w:r>
          </w:p>
          <w:p>
            <w:pPr>
              <w:spacing w:after="0"/>
            </w:pPr>
            <w:r>
              <w:rPr>
                <w:rFonts w:ascii="Lato" w:hAnsi="Lato" w:eastAsia="Lato"/>
                <w:b w:val="0"/>
                <w:i w:val="0"/>
                <w:sz w:val="20"/>
              </w:rPr>
              <w:t>Paperwork documents a process. It does not replace the process.</w:t>
            </w:r>
          </w:p>
        </w:tc>
      </w:tr>
    </w:tbl>
    <w:p>
      <w:pPr>
        <w:spacing w:after="0"/>
      </w:pPr>
    </w:p>
    <w:p>
      <w:pPr>
        <w:pStyle w:val="CTAHeading2"/>
        <w:keepNext/>
      </w:pPr>
      <w:r>
        <w:rPr>
          <w:rFonts w:ascii="Lato" w:hAnsi="Lato" w:eastAsia="Lato"/>
          <w:b/>
          <w:i w:val="0"/>
          <w:color w:val="0B2447"/>
          <w:sz w:val="26"/>
        </w:rPr>
        <w:t>6. Consent Does Not Eliminate In-Person Care</w:t>
      </w:r>
    </w:p>
    <w:p>
      <w:pPr>
        <w:pStyle w:val="CTABody"/>
      </w:pPr>
      <w:r>
        <w:rPr>
          <w:rFonts w:ascii="Lato" w:hAnsi="Lato" w:eastAsia="Lato"/>
          <w:b w:val="0"/>
          <w:i w:val="0"/>
        </w:rPr>
        <w:t>California law states that agreeing to telehealth does not preclude a patient from receiving in-person services during a course of care. This does not mean every therapist must personally offer an in-person appointment. It means telehealth consent is not a blanket waiver of in-person care, and client requests or clinical needs should be evaluated honestly.</w:t>
      </w:r>
    </w:p>
    <w:p>
      <w:pPr>
        <w:pStyle w:val="CTABody"/>
      </w:pPr>
      <w:r>
        <w:rPr>
          <w:rFonts w:ascii="Lato" w:hAnsi="Lato" w:eastAsia="Lato"/>
          <w:b w:val="0"/>
          <w:i w:val="0"/>
        </w:rPr>
        <w:t>When a client prefers in-person care, the therapist should explore the concern, determine what options are actually available, and avoid coercing the client into telehealth. Depending on the circumstances, the response may involve an in-person appointment, a hybrid plan, referral, or another lawful and clinically appropriate arrangement.</w:t>
      </w:r>
    </w:p>
    <w:p>
      <w:pPr>
        <w:pStyle w:val="CTAHeading2"/>
        <w:keepNext/>
      </w:pPr>
      <w:r>
        <w:rPr>
          <w:rFonts w:ascii="Lato" w:hAnsi="Lato" w:eastAsia="Lato"/>
          <w:b/>
          <w:i w:val="0"/>
          <w:color w:val="0B2447"/>
          <w:sz w:val="26"/>
        </w:rPr>
        <w:t>7. When Should Telehealth Consent Be Revisited?</w:t>
      </w:r>
    </w:p>
    <w:p>
      <w:pPr>
        <w:pStyle w:val="CTABody"/>
      </w:pPr>
      <w:r>
        <w:rPr>
          <w:rFonts w:ascii="Lato" w:hAnsi="Lato" w:eastAsia="Lato"/>
          <w:b w:val="0"/>
          <w:i w:val="0"/>
        </w:rPr>
        <w:t>California's telehealth statutes do not require a new telehealth consent at every session. However, informed consent is a continuing clinical process. The therapist should revisit the discussion when a material change could affect the client's understanding or decision.</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Trigger</w:t>
            </w:r>
          </w:p>
        </w:tc>
        <w:tc>
          <w:tcPr>
            <w:tcW w:type="dxa" w:w="4980"/>
            <w:shd w:fill="0B2447"/>
          </w:tcPr>
          <w:p>
            <w:pPr>
              <w:jc w:val="center"/>
            </w:pPr>
            <w:r>
              <w:rPr>
                <w:rFonts w:ascii="Lato" w:hAnsi="Lato" w:eastAsia="Lato"/>
                <w:b/>
                <w:i w:val="0"/>
                <w:color w:val="FFFFFF"/>
                <w:sz w:val="18"/>
              </w:rPr>
              <w:t>Appropriate Response</w:t>
            </w:r>
          </w:p>
        </w:tc>
      </w:tr>
      <w:tr>
        <w:trPr>
          <w:cantSplit w:val="1"/>
        </w:trPr>
        <w:tc>
          <w:tcPr>
            <w:tcW w:type="dxa" w:w="4980"/>
            <w:shd w:fill="EEF3F8"/>
            <w:vAlign w:val="top"/>
          </w:tcPr>
          <w:p>
            <w:pPr>
              <w:spacing w:after="0"/>
            </w:pPr>
            <w:r>
              <w:rPr>
                <w:rFonts w:ascii="Lato" w:hAnsi="Lato" w:eastAsia="Lato"/>
                <w:b/>
                <w:i w:val="0"/>
                <w:color w:val="0B2447"/>
                <w:sz w:val="18"/>
              </w:rPr>
              <w:t>Transition from in-person treatment to telehealth</w:t>
            </w:r>
          </w:p>
        </w:tc>
        <w:tc>
          <w:tcPr>
            <w:tcW w:type="dxa" w:w="4980"/>
            <w:vAlign w:val="top"/>
          </w:tcPr>
          <w:p>
            <w:pPr>
              <w:spacing w:after="0"/>
            </w:pPr>
            <w:r>
              <w:rPr>
                <w:rFonts w:ascii="Lato" w:hAnsi="Lato" w:eastAsia="Lato"/>
                <w:b w:val="0"/>
                <w:i w:val="0"/>
                <w:color w:val="111827"/>
                <w:sz w:val="18"/>
              </w:rPr>
              <w:t>Treat this as telehealth initiation: inform, obtain/document consent, and complete the BBS initiation requirements.</w:t>
            </w:r>
          </w:p>
        </w:tc>
      </w:tr>
      <w:tr>
        <w:trPr>
          <w:cantSplit w:val="1"/>
        </w:trPr>
        <w:tc>
          <w:tcPr>
            <w:tcW w:type="dxa" w:w="4980"/>
            <w:shd w:fill="EEF3F8"/>
            <w:vAlign w:val="top"/>
          </w:tcPr>
          <w:p>
            <w:pPr>
              <w:spacing w:after="0"/>
            </w:pPr>
            <w:r>
              <w:rPr>
                <w:rFonts w:ascii="Lato" w:hAnsi="Lato" w:eastAsia="Lato"/>
                <w:b/>
                <w:i w:val="0"/>
                <w:color w:val="0B2447"/>
                <w:sz w:val="18"/>
              </w:rPr>
              <w:t>Major change in platform or communication method</w:t>
            </w:r>
          </w:p>
        </w:tc>
        <w:tc>
          <w:tcPr>
            <w:tcW w:type="dxa" w:w="4980"/>
            <w:vAlign w:val="top"/>
          </w:tcPr>
          <w:p>
            <w:pPr>
              <w:spacing w:after="0"/>
            </w:pPr>
            <w:r>
              <w:rPr>
                <w:rFonts w:ascii="Lato" w:hAnsi="Lato" w:eastAsia="Lato"/>
                <w:b w:val="0"/>
                <w:i w:val="0"/>
                <w:color w:val="111827"/>
                <w:sz w:val="18"/>
              </w:rPr>
              <w:t>Explain new material risks or limitations and document the updated discussion when relevant.</w:t>
            </w:r>
          </w:p>
        </w:tc>
      </w:tr>
      <w:tr>
        <w:trPr>
          <w:cantSplit w:val="1"/>
        </w:trPr>
        <w:tc>
          <w:tcPr>
            <w:tcW w:type="dxa" w:w="4980"/>
            <w:shd w:fill="EEF3F8"/>
            <w:vAlign w:val="top"/>
          </w:tcPr>
          <w:p>
            <w:pPr>
              <w:spacing w:after="0"/>
            </w:pPr>
            <w:r>
              <w:rPr>
                <w:rFonts w:ascii="Lato" w:hAnsi="Lato" w:eastAsia="Lato"/>
                <w:b/>
                <w:i w:val="0"/>
                <w:color w:val="0B2447"/>
                <w:sz w:val="18"/>
              </w:rPr>
              <w:t>Client expresses misunderstanding or concern</w:t>
            </w:r>
          </w:p>
        </w:tc>
        <w:tc>
          <w:tcPr>
            <w:tcW w:type="dxa" w:w="4980"/>
            <w:vAlign w:val="top"/>
          </w:tcPr>
          <w:p>
            <w:pPr>
              <w:spacing w:after="0"/>
            </w:pPr>
            <w:r>
              <w:rPr>
                <w:rFonts w:ascii="Lato" w:hAnsi="Lato" w:eastAsia="Lato"/>
                <w:b w:val="0"/>
                <w:i w:val="0"/>
                <w:color w:val="111827"/>
                <w:sz w:val="18"/>
              </w:rPr>
              <w:t>Clarify the information, answer questions, assess willingness, and document the discussion.</w:t>
            </w:r>
          </w:p>
        </w:tc>
      </w:tr>
      <w:tr>
        <w:trPr>
          <w:cantSplit w:val="1"/>
        </w:trPr>
        <w:tc>
          <w:tcPr>
            <w:tcW w:type="dxa" w:w="4980"/>
            <w:shd w:fill="EEF3F8"/>
            <w:vAlign w:val="top"/>
          </w:tcPr>
          <w:p>
            <w:pPr>
              <w:spacing w:after="0"/>
            </w:pPr>
            <w:r>
              <w:rPr>
                <w:rFonts w:ascii="Lato" w:hAnsi="Lato" w:eastAsia="Lato"/>
                <w:b/>
                <w:i w:val="0"/>
                <w:color w:val="0B2447"/>
                <w:sz w:val="18"/>
              </w:rPr>
              <w:t>Clinical circumstances make telehealth less suitable</w:t>
            </w:r>
          </w:p>
        </w:tc>
        <w:tc>
          <w:tcPr>
            <w:tcW w:type="dxa" w:w="4980"/>
            <w:vAlign w:val="top"/>
          </w:tcPr>
          <w:p>
            <w:pPr>
              <w:spacing w:after="0"/>
            </w:pPr>
            <w:r>
              <w:rPr>
                <w:rFonts w:ascii="Lato" w:hAnsi="Lato" w:eastAsia="Lato"/>
                <w:b w:val="0"/>
                <w:i w:val="0"/>
                <w:color w:val="111827"/>
                <w:sz w:val="18"/>
              </w:rPr>
              <w:t>Reassess the modality and discuss reasonable options; do not rely on old consent.</w:t>
            </w:r>
          </w:p>
        </w:tc>
      </w:tr>
      <w:tr>
        <w:trPr>
          <w:cantSplit w:val="1"/>
        </w:trPr>
        <w:tc>
          <w:tcPr>
            <w:tcW w:type="dxa" w:w="4980"/>
            <w:shd w:fill="EEF3F8"/>
            <w:vAlign w:val="top"/>
          </w:tcPr>
          <w:p>
            <w:pPr>
              <w:spacing w:after="0"/>
            </w:pPr>
            <w:r>
              <w:rPr>
                <w:rFonts w:ascii="Lato" w:hAnsi="Lato" w:eastAsia="Lato"/>
                <w:b/>
                <w:i w:val="0"/>
                <w:color w:val="0B2447"/>
                <w:sz w:val="18"/>
              </w:rPr>
              <w:t>Minor administrative change with no material effect</w:t>
            </w:r>
          </w:p>
        </w:tc>
        <w:tc>
          <w:tcPr>
            <w:tcW w:type="dxa" w:w="4980"/>
            <w:vAlign w:val="top"/>
          </w:tcPr>
          <w:p>
            <w:pPr>
              <w:spacing w:after="0"/>
            </w:pPr>
            <w:r>
              <w:rPr>
                <w:rFonts w:ascii="Lato" w:hAnsi="Lato" w:eastAsia="Lato"/>
                <w:b w:val="0"/>
                <w:i w:val="0"/>
                <w:color w:val="111827"/>
                <w:sz w:val="18"/>
              </w:rPr>
              <w:t>A new formal telehealth consent is not automatically required, though ordinary documentation may still be appropriate.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Distinction</w:t>
            </w:r>
          </w:p>
          <w:p>
            <w:pPr>
              <w:spacing w:after="0"/>
            </w:pPr>
            <w:r>
              <w:rPr>
                <w:rFonts w:ascii="Lato" w:hAnsi="Lato" w:eastAsia="Lato"/>
                <w:b w:val="0"/>
                <w:i w:val="0"/>
                <w:sz w:val="20"/>
              </w:rPr>
              <w:t>No automatic re-consent every session. Revisit consent when the client, service, risks, or understanding materially changes.</w:t>
            </w:r>
          </w:p>
        </w:tc>
      </w:tr>
    </w:tbl>
    <w:p>
      <w:pPr>
        <w:spacing w:after="0"/>
      </w:pPr>
    </w:p>
    <w:p>
      <w:pPr>
        <w:pStyle w:val="CTAHeading2"/>
        <w:keepNext/>
      </w:pPr>
      <w:r>
        <w:rPr>
          <w:rFonts w:ascii="Lato" w:hAnsi="Lato" w:eastAsia="Lato"/>
          <w:b/>
          <w:i w:val="0"/>
          <w:color w:val="0B2447"/>
          <w:sz w:val="26"/>
        </w:rPr>
        <w:t>8. Telehealth Consent Is Not Recording Consent</w:t>
      </w:r>
    </w:p>
    <w:p>
      <w:pPr>
        <w:pStyle w:val="CTABody"/>
      </w:pPr>
      <w:r>
        <w:rPr>
          <w:rFonts w:ascii="Lato" w:hAnsi="Lato" w:eastAsia="Lato"/>
          <w:b w:val="0"/>
          <w:i w:val="0"/>
        </w:rPr>
        <w:t>A client's agreement to receive telehealth does not automatically authorize the therapist, client, platform, or another person to record the session. California Penal Code section 632 generally prohibits intentionally recording a confidential communication without the consent of all parties. Recording should therefore be treated as a separate consent and privacy issue.</w:t>
      </w:r>
    </w:p>
    <w:p>
      <w:pPr>
        <w:pStyle w:val="CTABullet"/>
      </w:pPr>
      <w:r>
        <w:rPr>
          <w:rFonts w:ascii="Lato" w:hAnsi="Lato" w:eastAsia="Lato"/>
          <w:b w:val="0"/>
          <w:i w:val="0"/>
        </w:rPr>
        <w:t>Do not assume a platform's recording feature may be used because telehealth consent was signed.</w:t>
      </w:r>
    </w:p>
    <w:p>
      <w:pPr>
        <w:pStyle w:val="CTABullet"/>
      </w:pPr>
      <w:r>
        <w:rPr>
          <w:rFonts w:ascii="Lato" w:hAnsi="Lato" w:eastAsia="Lato"/>
          <w:b w:val="0"/>
          <w:i w:val="0"/>
        </w:rPr>
        <w:t>Address who may record, for what purpose, how the recording will be protected, and whether recording is permitted at all.</w:t>
      </w:r>
    </w:p>
    <w:p>
      <w:pPr>
        <w:pStyle w:val="CTABullet"/>
      </w:pPr>
      <w:r>
        <w:rPr>
          <w:rFonts w:ascii="Lato" w:hAnsi="Lato" w:eastAsia="Lato"/>
          <w:b w:val="0"/>
          <w:i w:val="0"/>
        </w:rPr>
        <w:t>If an undisclosed recording is discovered, respond to the confidentiality, legal, clinical, and documentation issues rather than treating it as ordinary telehealth use.</w:t>
      </w:r>
    </w:p>
    <w:p>
      <w:pPr>
        <w:pStyle w:val="CTAHeading2"/>
        <w:keepNext/>
      </w:pPr>
      <w:r>
        <w:rPr>
          <w:rFonts w:ascii="Lato" w:hAnsi="Lato" w:eastAsia="Lato"/>
          <w:b/>
          <w:i w:val="0"/>
          <w:color w:val="0B2447"/>
          <w:sz w:val="26"/>
        </w:rPr>
        <w:t>9. Documentation Checklist</w:t>
      </w:r>
    </w:p>
    <w:p>
      <w:pPr>
        <w:pStyle w:val="CTABody"/>
      </w:pPr>
      <w:r>
        <w:rPr>
          <w:rFonts w:ascii="Lato" w:hAnsi="Lato" w:eastAsia="Lato"/>
          <w:b w:val="0"/>
          <w:i w:val="0"/>
        </w:rPr>
        <w:t>The clinical record should make the legally required telehealth process visible. Depending on the case, document:</w:t>
      </w:r>
    </w:p>
    <w:p>
      <w:pPr>
        <w:pStyle w:val="CTABullet"/>
      </w:pPr>
      <w:r>
        <w:rPr>
          <w:rFonts w:ascii="Lato" w:hAnsi="Lato" w:eastAsia="Lato"/>
          <w:b w:val="0"/>
          <w:i w:val="0"/>
        </w:rPr>
        <w:t>That the client was informed about the use of telehealth.</w:t>
      </w:r>
    </w:p>
    <w:p>
      <w:pPr>
        <w:pStyle w:val="CTABullet"/>
      </w:pPr>
      <w:r>
        <w:rPr>
          <w:rFonts w:ascii="Lato" w:hAnsi="Lato" w:eastAsia="Lato"/>
          <w:b w:val="0"/>
          <w:i w:val="0"/>
        </w:rPr>
        <w:t>Whether consent was verbal or written and the date it was obtained.</w:t>
      </w:r>
    </w:p>
    <w:p>
      <w:pPr>
        <w:pStyle w:val="CTABullet"/>
      </w:pPr>
      <w:r>
        <w:rPr>
          <w:rFonts w:ascii="Lato" w:hAnsi="Lato" w:eastAsia="Lato"/>
          <w:b w:val="0"/>
          <w:i w:val="0"/>
        </w:rPr>
        <w:t>The potential risks and limitations discussed.</w:t>
      </w:r>
    </w:p>
    <w:p>
      <w:pPr>
        <w:pStyle w:val="CTABullet"/>
      </w:pPr>
      <w:r>
        <w:rPr>
          <w:rFonts w:ascii="Lato" w:hAnsi="Lato" w:eastAsia="Lato"/>
          <w:b w:val="0"/>
          <w:i w:val="0"/>
        </w:rPr>
        <w:t>The credential type and number provided to the client.</w:t>
      </w:r>
    </w:p>
    <w:p>
      <w:pPr>
        <w:pStyle w:val="CTABullet"/>
      </w:pPr>
      <w:r>
        <w:rPr>
          <w:rFonts w:ascii="Lato" w:hAnsi="Lato" w:eastAsia="Lato"/>
          <w:b w:val="0"/>
          <w:i w:val="0"/>
        </w:rPr>
        <w:t>Reasonable efforts to identify relevant resources, including emergency services, in the client's geographic area.</w:t>
      </w:r>
    </w:p>
    <w:p>
      <w:pPr>
        <w:pStyle w:val="CTABullet"/>
      </w:pPr>
      <w:r>
        <w:rPr>
          <w:rFonts w:ascii="Lato" w:hAnsi="Lato" w:eastAsia="Lato"/>
          <w:b w:val="0"/>
          <w:i w:val="0"/>
        </w:rPr>
        <w:t>Material client questions, concerns, refusal, changes, or updated discussions.</w:t>
      </w:r>
    </w:p>
    <w:p>
      <w:pPr>
        <w:pStyle w:val="CTABullet"/>
      </w:pPr>
      <w:r>
        <w:rPr>
          <w:rFonts w:ascii="Lato" w:hAnsi="Lato" w:eastAsia="Lato"/>
          <w:b w:val="0"/>
          <w:i w:val="0"/>
        </w:rPr>
        <w:t>Any separate recording consent or decision regarding recording, when applicable.</w:t>
      </w:r>
    </w:p>
    <w:p>
      <w:pPr>
        <w:pStyle w:val="CTASmall"/>
      </w:pPr>
      <w:r>
        <w:rPr>
          <w:rFonts w:ascii="Lato" w:hAnsi="Lato" w:eastAsia="Lato"/>
          <w:b w:val="0"/>
          <w:i/>
          <w:color w:val="384250"/>
          <w:sz w:val="18"/>
        </w:rPr>
        <w:t>The chapter 1 each-session requirements - full name, present address, appropriateness, and privacy/security compliance - should also be documented as required, but they are not substitutes for the initiation consent process.</w:t>
      </w:r>
    </w:p>
    <w:p>
      <w:pPr>
        <w:pStyle w:val="CTAHeading2"/>
        <w:keepNext/>
      </w:pPr>
      <w:r>
        <w:rPr>
          <w:rFonts w:ascii="Lato" w:hAnsi="Lato" w:eastAsia="Lato"/>
          <w:b/>
          <w:i w:val="0"/>
          <w:color w:val="0B2447"/>
          <w:sz w:val="26"/>
        </w:rPr>
        <w:t>What Do I Do First?</w:t>
      </w:r>
    </w:p>
    <w:p>
      <w:pPr>
        <w:pStyle w:val="CTANumber"/>
      </w:pPr>
      <w:r>
        <w:rPr>
          <w:rFonts w:ascii="Lato" w:hAnsi="Lato" w:eastAsia="Lato"/>
          <w:b w:val="0"/>
          <w:i w:val="0"/>
        </w:rPr>
        <w:t>Determine whether telehealth is being initiated or materially changed.</w:t>
      </w:r>
    </w:p>
    <w:p>
      <w:pPr>
        <w:pStyle w:val="CTANumber"/>
      </w:pPr>
      <w:r>
        <w:rPr>
          <w:rFonts w:ascii="Lato" w:hAnsi="Lato" w:eastAsia="Lato"/>
          <w:b w:val="0"/>
          <w:i w:val="0"/>
        </w:rPr>
        <w:t>Inform the client about telehealth and obtain verbal or written consent before delivery.</w:t>
      </w:r>
    </w:p>
    <w:p>
      <w:pPr>
        <w:pStyle w:val="CTANumber"/>
      </w:pPr>
      <w:r>
        <w:rPr>
          <w:rFonts w:ascii="Lato" w:hAnsi="Lato" w:eastAsia="Lato"/>
          <w:b w:val="0"/>
          <w:i w:val="0"/>
        </w:rPr>
        <w:t>Document the consent and provide the BBS-required initiation information.</w:t>
      </w:r>
    </w:p>
    <w:p>
      <w:pPr>
        <w:pStyle w:val="CTANumber"/>
      </w:pPr>
      <w:r>
        <w:rPr>
          <w:rFonts w:ascii="Lato" w:hAnsi="Lato" w:eastAsia="Lato"/>
          <w:b w:val="0"/>
          <w:i w:val="0"/>
        </w:rPr>
        <w:t>Address questions and confirm that participation is voluntary and clinically appropriate.</w:t>
      </w:r>
    </w:p>
    <w:p>
      <w:pPr>
        <w:pStyle w:val="CTANumber"/>
      </w:pPr>
      <w:r>
        <w:rPr>
          <w:rFonts w:ascii="Lato" w:hAnsi="Lato" w:eastAsia="Lato"/>
          <w:b w:val="0"/>
          <w:i w:val="0"/>
        </w:rPr>
        <w:t>Revisit and document the discussion if material risks, services, or client understanding later change.</w:t>
      </w:r>
    </w:p>
    <w:p>
      <w:pPr>
        <w:pStyle w:val="CTAHeading2"/>
        <w:keepNext/>
      </w:pPr>
      <w:r>
        <w:rPr>
          <w:rFonts w:ascii="Lato" w:hAnsi="Lato" w:eastAsia="Lato"/>
          <w:b/>
          <w:i w:val="0"/>
          <w:color w:val="0B2447"/>
          <w:sz w:val="26"/>
        </w:rPr>
        <w:t>Clinical Application</w:t>
      </w:r>
    </w:p>
    <w:p>
      <w:pPr>
        <w:pStyle w:val="CTAHeading3"/>
        <w:keepNext/>
      </w:pPr>
      <w:r>
        <w:rPr>
          <w:rFonts w:ascii="Lato" w:hAnsi="Lato" w:eastAsia="Lato"/>
          <w:b/>
          <w:i w:val="0"/>
          <w:color w:val="384250"/>
          <w:sz w:val="23"/>
        </w:rPr>
        <w:t>Scenario: The Generic Signature</w:t>
      </w:r>
    </w:p>
    <w:p>
      <w:pPr>
        <w:pStyle w:val="CTABody"/>
      </w:pPr>
      <w:r>
        <w:rPr>
          <w:rFonts w:ascii="Lato" w:hAnsi="Lato" w:eastAsia="Lato"/>
          <w:b w:val="0"/>
          <w:i w:val="0"/>
        </w:rPr>
        <w:t>A therapist who has provided in-person treatment for six months begins video sessions. The client signs the practice's standard treatment form, which does not mention telehealth. The therapist does not discuss risks or limitations, does not provide the license number, and has not identified local emergency resources. The client later says, “I thought video sessions were exactly the same as office visits.”</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transition to video is the initiation of telehealth. The therapist should have informed the client about the use of telehealth, obtained verbal or written consent, documented it, discussed potential risks and limitations, provided the credential type and number, and documented reasonable efforts to identify relevant resources in the client's geographic area. The generic signature does not cure the missing process. The therapist should now provide the missing information, address the misunderstanding, assess whether the client wishes to continue, and document the corrective discussion.</w:t>
      </w:r>
    </w:p>
    <w:p>
      <w:pPr>
        <w:pStyle w:val="CTAHeading3"/>
        <w:keepNext/>
      </w:pPr>
      <w:r>
        <w:rPr>
          <w:rFonts w:ascii="Lato" w:hAnsi="Lato" w:eastAsia="Lato"/>
          <w:b/>
          <w:i w:val="0"/>
          <w:color w:val="384250"/>
          <w:sz w:val="23"/>
        </w:rPr>
        <w:t>What Is Being Tested?</w:t>
      </w:r>
    </w:p>
    <w:p>
      <w:pPr>
        <w:pStyle w:val="CTABullet"/>
      </w:pPr>
      <w:r>
        <w:rPr>
          <w:rFonts w:ascii="Lato" w:hAnsi="Lato" w:eastAsia="Lato"/>
          <w:b w:val="0"/>
          <w:i w:val="0"/>
        </w:rPr>
        <w:t>Telehealth initiation after in-person treatment</w:t>
      </w:r>
    </w:p>
    <w:p>
      <w:pPr>
        <w:pStyle w:val="CTABullet"/>
      </w:pPr>
      <w:r>
        <w:rPr>
          <w:rFonts w:ascii="Lato" w:hAnsi="Lato" w:eastAsia="Lato"/>
          <w:b w:val="0"/>
          <w:i w:val="0"/>
        </w:rPr>
        <w:t>Verbal or written consent and documentation</w:t>
      </w:r>
    </w:p>
    <w:p>
      <w:pPr>
        <w:pStyle w:val="CTABullet"/>
      </w:pPr>
      <w:r>
        <w:rPr>
          <w:rFonts w:ascii="Lato" w:hAnsi="Lato" w:eastAsia="Lato"/>
          <w:b w:val="0"/>
          <w:i w:val="0"/>
        </w:rPr>
        <w:t>BBS-required disclosures</w:t>
      </w:r>
    </w:p>
    <w:p>
      <w:pPr>
        <w:pStyle w:val="CTABullet"/>
      </w:pPr>
      <w:r>
        <w:rPr>
          <w:rFonts w:ascii="Lato" w:hAnsi="Lato" w:eastAsia="Lato"/>
          <w:b w:val="0"/>
          <w:i w:val="0"/>
        </w:rPr>
        <w:t>Meaningful understanding</w:t>
      </w:r>
    </w:p>
    <w:p>
      <w:pPr>
        <w:pStyle w:val="CTABullet"/>
      </w:pPr>
      <w:r>
        <w:rPr>
          <w:rFonts w:ascii="Lato" w:hAnsi="Lato" w:eastAsia="Lato"/>
          <w:b w:val="0"/>
          <w:i w:val="0"/>
        </w:rPr>
        <w:t>Corrective action without assuming a signature is enough</w:t>
      </w:r>
    </w:p>
    <w:p>
      <w:pPr>
        <w:pStyle w:val="CTAHeading2"/>
        <w:keepNext/>
      </w:pPr>
      <w:r>
        <w:rPr>
          <w:rFonts w:ascii="Lato" w:hAnsi="Lato" w:eastAsia="Lato"/>
          <w:b/>
          <w:i w:val="0"/>
          <w:color w:val="0B2447"/>
          <w:sz w:val="26"/>
        </w:rPr>
        <w:t>Common Exam Traps</w:t>
      </w:r>
    </w:p>
    <w:p>
      <w:pPr>
        <w:pStyle w:val="CTABody"/>
      </w:pPr>
      <w:r>
        <w:rPr>
          <w:rFonts w:ascii="Lato" w:hAnsi="Lato" w:eastAsia="Lato"/>
          <w:b/>
          <w:i w:val="0"/>
          <w:color w:val="9B1C1C"/>
        </w:rPr>
        <w:t xml:space="preserve">Trap 1: “Telehealth consent must always be written.” </w:t>
      </w:r>
      <w:r>
        <w:rPr>
          <w:rFonts w:ascii="Lato" w:hAnsi="Lato" w:eastAsia="Lato"/>
          <w:b w:val="0"/>
          <w:i w:val="0"/>
        </w:rPr>
        <w:t>California permits verbal or written consent, but the consent must be documented.</w:t>
      </w:r>
    </w:p>
    <w:p>
      <w:pPr>
        <w:pStyle w:val="CTABody"/>
      </w:pPr>
      <w:r>
        <w:rPr>
          <w:rFonts w:ascii="Lato" w:hAnsi="Lato" w:eastAsia="Lato"/>
          <w:b/>
          <w:i w:val="0"/>
          <w:color w:val="9B1C1C"/>
        </w:rPr>
        <w:t xml:space="preserve">Trap 2: “A separate telehealth form is mandatory.” </w:t>
      </w:r>
      <w:r>
        <w:rPr>
          <w:rFonts w:ascii="Lato" w:hAnsi="Lato" w:eastAsia="Lato"/>
          <w:b w:val="0"/>
          <w:i w:val="0"/>
        </w:rPr>
        <w:t>The law requires informed consent and documentation, not a particular form.</w:t>
      </w:r>
    </w:p>
    <w:p>
      <w:pPr>
        <w:pStyle w:val="CTABody"/>
      </w:pPr>
      <w:r>
        <w:rPr>
          <w:rFonts w:ascii="Lato" w:hAnsi="Lato" w:eastAsia="Lato"/>
          <w:b/>
          <w:i w:val="0"/>
          <w:color w:val="9B1C1C"/>
        </w:rPr>
        <w:t xml:space="preserve">Trap 3: “A signed general form is automatically sufficient.” </w:t>
      </w:r>
      <w:r>
        <w:rPr>
          <w:rFonts w:ascii="Lato" w:hAnsi="Lato" w:eastAsia="Lato"/>
          <w:b w:val="0"/>
          <w:i w:val="0"/>
        </w:rPr>
        <w:t>The form must actually address telehealth, and the BBS initiation requirements still must be completed.</w:t>
      </w:r>
    </w:p>
    <w:p>
      <w:pPr>
        <w:pStyle w:val="CTABody"/>
      </w:pPr>
      <w:r>
        <w:rPr>
          <w:rFonts w:ascii="Lato" w:hAnsi="Lato" w:eastAsia="Lato"/>
          <w:b/>
          <w:i w:val="0"/>
          <w:color w:val="9B1C1C"/>
        </w:rPr>
        <w:t xml:space="preserve">Trap 4: “Emergency procedures are the exact statutory consent language.” </w:t>
      </w:r>
      <w:r>
        <w:rPr>
          <w:rFonts w:ascii="Lato" w:hAnsi="Lato" w:eastAsia="Lato"/>
          <w:b w:val="0"/>
          <w:i w:val="0"/>
        </w:rPr>
        <w:t>The regulation expressly requires documented efforts to identify relevant local resources; detailed emergency planning is a strong clinical practice but should not be mislabeled.</w:t>
      </w:r>
    </w:p>
    <w:p>
      <w:pPr>
        <w:pStyle w:val="CTABody"/>
      </w:pPr>
      <w:r>
        <w:rPr>
          <w:rFonts w:ascii="Lato" w:hAnsi="Lato" w:eastAsia="Lato"/>
          <w:b/>
          <w:i w:val="0"/>
          <w:color w:val="9B1C1C"/>
        </w:rPr>
        <w:t xml:space="preserve">Trap 5: “Telehealth consent must be renewed every session.” </w:t>
      </w:r>
      <w:r>
        <w:rPr>
          <w:rFonts w:ascii="Lato" w:hAnsi="Lato" w:eastAsia="Lato"/>
          <w:b w:val="0"/>
          <w:i w:val="0"/>
        </w:rPr>
        <w:t>Each-session duties exist, but re-consent is not automatically required every time.</w:t>
      </w:r>
    </w:p>
    <w:p>
      <w:pPr>
        <w:pStyle w:val="CTABody"/>
      </w:pPr>
      <w:r>
        <w:rPr>
          <w:rFonts w:ascii="Lato" w:hAnsi="Lato" w:eastAsia="Lato"/>
          <w:b/>
          <w:i w:val="0"/>
          <w:color w:val="9B1C1C"/>
        </w:rPr>
        <w:t xml:space="preserve">Trap 6: “Consent to telehealth is consent to recording.” </w:t>
      </w:r>
      <w:r>
        <w:rPr>
          <w:rFonts w:ascii="Lato" w:hAnsi="Lato" w:eastAsia="Lato"/>
          <w:b w:val="0"/>
          <w:i w:val="0"/>
        </w:rPr>
        <w:t>Recording is a separate all-parties consent issue for confidential communications.</w:t>
      </w:r>
    </w:p>
    <w:p>
      <w:pPr>
        <w:pStyle w:val="CTABody"/>
      </w:pPr>
      <w:r>
        <w:rPr>
          <w:rFonts w:ascii="Lato" w:hAnsi="Lato" w:eastAsia="Lato"/>
          <w:b/>
          <w:i w:val="0"/>
          <w:color w:val="9B1C1C"/>
        </w:rPr>
        <w:t xml:space="preserve">Trap 7: “Once the client consents, telehealth must continue.” </w:t>
      </w:r>
      <w:r>
        <w:rPr>
          <w:rFonts w:ascii="Lato" w:hAnsi="Lato" w:eastAsia="Lato"/>
          <w:b w:val="0"/>
          <w:i w:val="0"/>
        </w:rPr>
        <w:t>Consent does not preclude in-person care, and appropriateness must still be assessed.</w:t>
      </w:r>
    </w:p>
    <w:p>
      <w:pPr>
        <w:pStyle w:val="CTABody"/>
      </w:pPr>
      <w:r>
        <w:rPr>
          <w:rFonts w:ascii="Lato" w:hAnsi="Lato" w:eastAsia="Lato"/>
          <w:b/>
          <w:i w:val="0"/>
          <w:color w:val="9B1C1C"/>
        </w:rPr>
        <w:t xml:space="preserve">Trap 8: “The therapist can omit risks if the client might decline.” </w:t>
      </w:r>
      <w:r>
        <w:rPr>
          <w:rFonts w:ascii="Lato" w:hAnsi="Lato" w:eastAsia="Lato"/>
          <w:b w:val="0"/>
          <w:i w:val="0"/>
        </w:rPr>
        <w:t>Withholding material risks undermines informed decision-making and the BBS requirement to disclose potential risks and limitations.</w:t>
      </w:r>
    </w:p>
    <w:p>
      <w:pPr>
        <w:pStyle w:val="CTAHeading2"/>
        <w:keepNext/>
      </w:pPr>
      <w:r>
        <w:rPr>
          <w:rFonts w:ascii="Lato" w:hAnsi="Lato" w:eastAsia="Lato"/>
          <w:b/>
          <w:i w:val="0"/>
          <w:color w:val="0B2447"/>
          <w:sz w:val="26"/>
        </w:rPr>
        <w:t>Exam Strategy</w:t>
      </w:r>
    </w:p>
    <w:p>
      <w:pPr>
        <w:pStyle w:val="CTABody"/>
      </w:pPr>
      <w:r>
        <w:rPr>
          <w:rFonts w:ascii="Lato" w:hAnsi="Lato" w:eastAsia="Lato"/>
          <w:b w:val="0"/>
          <w:i w:val="0"/>
        </w:rPr>
        <w:t>When a telehealth informed-consent question appears, ask:</w:t>
      </w:r>
    </w:p>
    <w:p>
      <w:pPr>
        <w:pStyle w:val="CTANumber"/>
      </w:pPr>
      <w:r>
        <w:rPr>
          <w:rFonts w:ascii="Lato" w:hAnsi="Lato" w:eastAsia="Lato"/>
          <w:b w:val="0"/>
          <w:i w:val="0"/>
        </w:rPr>
        <w:t>TIMING - Was telehealth about to begin or materially change?</w:t>
      </w:r>
    </w:p>
    <w:p>
      <w:pPr>
        <w:pStyle w:val="CTANumber"/>
      </w:pPr>
      <w:r>
        <w:rPr>
          <w:rFonts w:ascii="Lato" w:hAnsi="Lato" w:eastAsia="Lato"/>
          <w:b w:val="0"/>
          <w:i w:val="0"/>
        </w:rPr>
        <w:t>CONSENT - Was the client informed, and was verbal or written consent obtained?</w:t>
      </w:r>
    </w:p>
    <w:p>
      <w:pPr>
        <w:pStyle w:val="CTANumber"/>
      </w:pPr>
      <w:r>
        <w:rPr>
          <w:rFonts w:ascii="Lato" w:hAnsi="Lato" w:eastAsia="Lato"/>
          <w:b w:val="0"/>
          <w:i w:val="0"/>
        </w:rPr>
        <w:t>DOCUMENTATION - Does the record show the consent?</w:t>
      </w:r>
    </w:p>
    <w:p>
      <w:pPr>
        <w:pStyle w:val="CTANumber"/>
      </w:pPr>
      <w:r>
        <w:rPr>
          <w:rFonts w:ascii="Lato" w:hAnsi="Lato" w:eastAsia="Lato"/>
          <w:b w:val="0"/>
          <w:i w:val="0"/>
        </w:rPr>
        <w:t>BBS ADDITIONS - Were risks/limitations, credential information, and local resources addressed?</w:t>
      </w:r>
    </w:p>
    <w:p>
      <w:pPr>
        <w:pStyle w:val="CTANumber"/>
      </w:pPr>
      <w:r>
        <w:rPr>
          <w:rFonts w:ascii="Lato" w:hAnsi="Lato" w:eastAsia="Lato"/>
          <w:b w:val="0"/>
          <w:i w:val="0"/>
        </w:rPr>
        <w:t>UNDERSTANDING - Does the client understand enough to make a voluntary decision?</w:t>
      </w:r>
    </w:p>
    <w:p>
      <w:pPr>
        <w:pStyle w:val="CTANumber"/>
      </w:pPr>
      <w:r>
        <w:rPr>
          <w:rFonts w:ascii="Lato" w:hAnsi="Lato" w:eastAsia="Lato"/>
          <w:b w:val="0"/>
          <w:i w:val="0"/>
        </w:rPr>
        <w:t>SEPARATE ISSUES - Is the question actually about each-session location, recording, privacy, or clinical appropriateness?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pPr>
            <w:r>
              <w:rPr>
                <w:rFonts w:ascii="Lato" w:hAnsi="Lato" w:eastAsia="Lato"/>
                <w:b w:val="0"/>
                <w:i w:val="0"/>
                <w:sz w:val="20"/>
              </w:rPr>
              <w:t>INFORM -&gt; CONSENT -&gt; DOCUMENT -&gt; DISCLOSE -&gt; PREPARE</w:t>
            </w:r>
          </w:p>
        </w:tc>
      </w:tr>
    </w:tbl>
    <w:p>
      <w:pPr>
        <w:spacing w:after="0"/>
      </w:pPr>
    </w:p>
    <w:p>
      <w:pPr>
        <w:pStyle w:val="CTAHeading2"/>
        <w:keepNext/>
      </w:pPr>
      <w:r>
        <w:rPr>
          <w:rFonts w:ascii="Lato" w:hAnsi="Lato" w:eastAsia="Lato"/>
          <w:b/>
          <w:i w:val="0"/>
          <w:color w:val="0B2447"/>
          <w:sz w:val="26"/>
        </w:rPr>
        <w:t>Chapter Snapshot</w:t>
      </w:r>
    </w:p>
    <w:p>
      <w:pPr>
        <w:pStyle w:val="CTABullet"/>
      </w:pPr>
      <w:r>
        <w:rPr>
          <w:rFonts w:ascii="Lato" w:hAnsi="Lato" w:eastAsia="Lato"/>
          <w:b w:val="0"/>
          <w:i w:val="0"/>
        </w:rPr>
        <w:t>California telehealth consent may be verbal or written, but it must be documented.</w:t>
      </w:r>
    </w:p>
    <w:p>
      <w:pPr>
        <w:pStyle w:val="CTABullet"/>
      </w:pPr>
      <w:r>
        <w:rPr>
          <w:rFonts w:ascii="Lato" w:hAnsi="Lato" w:eastAsia="Lato"/>
          <w:b w:val="0"/>
          <w:i w:val="0"/>
        </w:rPr>
        <w:t>The provider initiating telehealth must inform the client about its use before delivery.</w:t>
      </w:r>
    </w:p>
    <w:p>
      <w:pPr>
        <w:pStyle w:val="CTABullet"/>
      </w:pPr>
      <w:r>
        <w:rPr>
          <w:rFonts w:ascii="Lato" w:hAnsi="Lato" w:eastAsia="Lato"/>
          <w:b w:val="0"/>
          <w:i w:val="0"/>
        </w:rPr>
        <w:t>BBS initiation requirements include potential risks and limitations, credential type and number, and documented efforts to identify relevant local resources including emergency services.</w:t>
      </w:r>
    </w:p>
    <w:p>
      <w:pPr>
        <w:pStyle w:val="CTABullet"/>
      </w:pPr>
      <w:r>
        <w:rPr>
          <w:rFonts w:ascii="Lato" w:hAnsi="Lato" w:eastAsia="Lato"/>
          <w:b w:val="0"/>
          <w:i w:val="0"/>
        </w:rPr>
        <w:t>A separate signed telehealth form is not required, and a generic signature is not automatically sufficient.</w:t>
      </w:r>
    </w:p>
    <w:p>
      <w:pPr>
        <w:pStyle w:val="CTABullet"/>
      </w:pPr>
      <w:r>
        <w:rPr>
          <w:rFonts w:ascii="Lato" w:hAnsi="Lato" w:eastAsia="Lato"/>
          <w:b w:val="0"/>
          <w:i w:val="0"/>
        </w:rPr>
        <w:t>Telehealth consent does not preclude in-person care during the course of treatment.</w:t>
      </w:r>
    </w:p>
    <w:p>
      <w:pPr>
        <w:pStyle w:val="CTABullet"/>
      </w:pPr>
      <w:r>
        <w:rPr>
          <w:rFonts w:ascii="Lato" w:hAnsi="Lato" w:eastAsia="Lato"/>
          <w:b w:val="0"/>
          <w:i w:val="0"/>
        </w:rPr>
        <w:t>The law does not require new telehealth consent at every session; material changes or misunderstanding should prompt renewed discussion and documentation.</w:t>
      </w:r>
    </w:p>
    <w:p>
      <w:pPr>
        <w:pStyle w:val="CTABullet"/>
      </w:pPr>
      <w:r>
        <w:rPr>
          <w:rFonts w:ascii="Lato" w:hAnsi="Lato" w:eastAsia="Lato"/>
          <w:b w:val="0"/>
          <w:i w:val="0"/>
        </w:rPr>
        <w:t>Consent to telehealth is not consent to record a confidential session.</w:t>
      </w:r>
    </w:p>
    <w:p>
      <w:pPr>
        <w:pStyle w:val="CTABullet"/>
      </w:pPr>
      <w:r>
        <w:rPr>
          <w:rFonts w:ascii="Lato" w:hAnsi="Lato" w:eastAsia="Lato"/>
          <w:b w:val="0"/>
          <w:i w:val="0"/>
        </w:rPr>
        <w:t>Precise legal analysis should be combined with client understanding, voluntariness, and clinical judgment.</w:t>
      </w:r>
    </w:p>
    <w:p>
      <w:r>
        <w:br w:type="page"/>
      </w:r>
    </w:p>
    <w:p>
      <w:pPr>
        <w:pStyle w:val="CTAHeading1"/>
        <w:keepNext/>
      </w:pPr>
      <w:r>
        <w:rPr>
          <w:rFonts w:ascii="Lato" w:hAnsi="Lato" w:eastAsia="Lato"/>
          <w:b/>
          <w:i w:val="0"/>
          <w:color w:val="0B2447"/>
          <w:sz w:val="32"/>
        </w:rPr>
        <w:t>Chapter 3: Telehealth Privacy and Security</w:t>
      </w:r>
    </w:p>
    <w:p>
      <w:pPr>
        <w:pStyle w:val="CTAHeading2"/>
        <w:keepNext/>
      </w:pPr>
      <w:r>
        <w:rPr>
          <w:rFonts w:ascii="Lato" w:hAnsi="Lato" w:eastAsia="Lato"/>
          <w:b/>
          <w:i w:val="0"/>
          <w:color w:val="0B2447"/>
          <w:sz w:val="26"/>
        </w:rPr>
        <w:t>Learning Objectives</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privacy, confidentiality, and security in telehealth practice.</w:t>
      </w:r>
    </w:p>
    <w:p>
      <w:pPr>
        <w:pStyle w:val="CTABody"/>
        <w:spacing w:after="60"/>
        <w:ind w:left="403" w:hanging="259"/>
      </w:pPr>
      <w:r>
        <w:rPr>
          <w:rFonts w:ascii="Lato" w:hAnsi="Lato" w:eastAsia="Lato"/>
          <w:b/>
          <w:i w:val="0"/>
          <w:color w:val="0AA6A6"/>
        </w:rPr>
        <w:t xml:space="preserve">• </w:t>
      </w:r>
      <w:r>
        <w:rPr>
          <w:rFonts w:ascii="Lato" w:hAnsi="Lato" w:eastAsia="Lato"/>
          <w:b w:val="0"/>
          <w:i w:val="0"/>
        </w:rPr>
        <w:t>Identify the California BBS telehealth privacy and security requirements and the roles of the CMIA and HIPAA security standards.</w:t>
      </w:r>
    </w:p>
    <w:p>
      <w:pPr>
        <w:pStyle w:val="CTABody"/>
        <w:spacing w:after="60"/>
        <w:ind w:left="403" w:hanging="259"/>
      </w:pPr>
      <w:r>
        <w:rPr>
          <w:rFonts w:ascii="Lato" w:hAnsi="Lato" w:eastAsia="Lato"/>
          <w:b/>
          <w:i w:val="0"/>
          <w:color w:val="0AA6A6"/>
        </w:rPr>
        <w:t xml:space="preserve">• </w:t>
      </w:r>
      <w:r>
        <w:rPr>
          <w:rFonts w:ascii="Lato" w:hAnsi="Lato" w:eastAsia="Lato"/>
          <w:b w:val="0"/>
          <w:i w:val="0"/>
        </w:rPr>
        <w:t>Evaluate environmental risks in both the therapist’s and the client’s locations.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Assess platform, device, vendor, access-control, recording, and storage risks without relying on marketing labels.</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a legally and clinically appropriate response to a suspected privacy or security incident.</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A telehealth session can use strong encryption and still be overheard through an open door. It can occur in a private room and still expose information through a shared device, automatic transcription, weak password, or compromised account. California exam questions often test whether the therapist looks beyond the video screen and identifies the actual source of risk.</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line="254" w:lineRule="auto"/>
            </w:pPr>
            <w:r>
              <w:rPr>
                <w:rFonts w:ascii="Lato" w:hAnsi="Lato" w:eastAsia="Lato"/>
                <w:b w:val="0"/>
                <w:i w:val="0"/>
                <w:sz w:val="20"/>
              </w:rPr>
              <w:t>A secure platform is only one part of privacy protection. Telehealth confidentiality depends on the therapist’s environment, the client’s environment, the technology, the people with access, and the therapist’s response when something changes.</w:t>
            </w:r>
          </w:p>
        </w:tc>
      </w:tr>
    </w:tbl>
    <w:p>
      <w:pPr>
        <w:pStyle w:val="CTAHeading2"/>
        <w:keepNext/>
      </w:pPr>
      <w:r>
        <w:rPr>
          <w:rFonts w:ascii="Lato" w:hAnsi="Lato" w:eastAsia="Lato"/>
          <w:b/>
          <w:i w:val="0"/>
          <w:color w:val="0B2447"/>
          <w:sz w:val="26"/>
        </w:rPr>
        <w:t>1. Privacy, Confidentiality, and Security Are Related - but Different</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Concept</w:t>
            </w:r>
          </w:p>
        </w:tc>
        <w:tc>
          <w:tcPr>
            <w:tcW w:type="dxa" w:w="3320"/>
            <w:shd w:fill="0B2447"/>
          </w:tcPr>
          <w:p>
            <w:pPr>
              <w:jc w:val="center"/>
            </w:pPr>
            <w:r>
              <w:rPr>
                <w:rFonts w:ascii="Lato" w:hAnsi="Lato" w:eastAsia="Lato"/>
                <w:b/>
                <w:i w:val="0"/>
                <w:color w:val="FFFFFF"/>
                <w:sz w:val="18"/>
              </w:rPr>
              <w:t>Meaning</w:t>
            </w:r>
          </w:p>
        </w:tc>
        <w:tc>
          <w:tcPr>
            <w:tcW w:type="dxa" w:w="3320"/>
            <w:shd w:fill="0B2447"/>
          </w:tcPr>
          <w:p>
            <w:pPr>
              <w:jc w:val="center"/>
            </w:pPr>
            <w:r>
              <w:rPr>
                <w:rFonts w:ascii="Lato" w:hAnsi="Lato" w:eastAsia="Lato"/>
                <w:b/>
                <w:i w:val="0"/>
                <w:color w:val="FFFFFF"/>
                <w:sz w:val="18"/>
              </w:rPr>
              <w:t>Telehealth Example</w:t>
            </w:r>
          </w:p>
        </w:tc>
      </w:tr>
      <w:tr>
        <w:trPr>
          <w:cantSplit w:val="1"/>
        </w:trPr>
        <w:tc>
          <w:tcPr>
            <w:tcW w:type="dxa" w:w="3320"/>
            <w:shd w:fill="EEF3F8"/>
            <w:vAlign w:val="top"/>
          </w:tcPr>
          <w:p>
            <w:pPr>
              <w:spacing w:after="0" w:line="245" w:lineRule="auto"/>
            </w:pPr>
            <w:r>
              <w:rPr>
                <w:rFonts w:ascii="Lato" w:hAnsi="Lato" w:eastAsia="Lato"/>
                <w:b/>
                <w:i w:val="0"/>
                <w:color w:val="0B2447"/>
                <w:sz w:val="17"/>
              </w:rPr>
              <w:t>Privacy</w:t>
            </w:r>
          </w:p>
        </w:tc>
        <w:tc>
          <w:tcPr>
            <w:tcW w:type="dxa" w:w="3320"/>
            <w:vAlign w:val="top"/>
          </w:tcPr>
          <w:p>
            <w:pPr>
              <w:spacing w:after="0" w:line="245" w:lineRule="auto"/>
            </w:pPr>
            <w:r>
              <w:rPr>
                <w:rFonts w:ascii="Lato" w:hAnsi="Lato" w:eastAsia="Lato"/>
                <w:b w:val="0"/>
                <w:i w:val="0"/>
                <w:color w:val="111827"/>
                <w:sz w:val="17"/>
              </w:rPr>
              <w:t>The client’s ability to control who can see, hear, or observe the session and personal information.</w:t>
            </w:r>
          </w:p>
        </w:tc>
        <w:tc>
          <w:tcPr>
            <w:tcW w:type="dxa" w:w="3320"/>
            <w:vAlign w:val="top"/>
          </w:tcPr>
          <w:p>
            <w:pPr>
              <w:spacing w:after="0" w:line="245" w:lineRule="auto"/>
            </w:pPr>
            <w:r>
              <w:rPr>
                <w:rFonts w:ascii="Lato" w:hAnsi="Lato" w:eastAsia="Lato"/>
                <w:b w:val="0"/>
                <w:i w:val="0"/>
                <w:color w:val="111827"/>
                <w:sz w:val="17"/>
              </w:rPr>
              <w:t>A roommate cannot overhear the client, and the therapist’s screen is not visible to others.</w:t>
            </w:r>
          </w:p>
        </w:tc>
      </w:tr>
      <w:tr>
        <w:trPr>
          <w:cantSplit w:val="1"/>
        </w:trPr>
        <w:tc>
          <w:tcPr>
            <w:tcW w:type="dxa" w:w="3320"/>
            <w:shd w:fill="EEF3F8"/>
            <w:vAlign w:val="top"/>
          </w:tcPr>
          <w:p>
            <w:pPr>
              <w:spacing w:after="0" w:line="245" w:lineRule="auto"/>
            </w:pPr>
            <w:r>
              <w:rPr>
                <w:rFonts w:ascii="Lato" w:hAnsi="Lato" w:eastAsia="Lato"/>
                <w:b/>
                <w:i w:val="0"/>
                <w:color w:val="0B2447"/>
                <w:sz w:val="17"/>
              </w:rPr>
              <w:t>Confidentiality</w:t>
            </w:r>
          </w:p>
        </w:tc>
        <w:tc>
          <w:tcPr>
            <w:tcW w:type="dxa" w:w="3320"/>
            <w:vAlign w:val="top"/>
          </w:tcPr>
          <w:p>
            <w:pPr>
              <w:spacing w:after="0" w:line="245" w:lineRule="auto"/>
            </w:pPr>
            <w:r>
              <w:rPr>
                <w:rFonts w:ascii="Lato" w:hAnsi="Lato" w:eastAsia="Lato"/>
                <w:b w:val="0"/>
                <w:i w:val="0"/>
                <w:color w:val="111827"/>
                <w:sz w:val="17"/>
              </w:rPr>
              <w:t>The therapist’s legal and professional duty to limit uses and disclosures of client information.</w:t>
            </w:r>
          </w:p>
        </w:tc>
        <w:tc>
          <w:tcPr>
            <w:tcW w:type="dxa" w:w="3320"/>
            <w:vAlign w:val="top"/>
          </w:tcPr>
          <w:p>
            <w:pPr>
              <w:spacing w:after="0" w:line="245" w:lineRule="auto"/>
            </w:pPr>
            <w:r>
              <w:rPr>
                <w:rFonts w:ascii="Lato" w:hAnsi="Lato" w:eastAsia="Lato"/>
                <w:b w:val="0"/>
                <w:i w:val="0"/>
                <w:color w:val="111827"/>
                <w:sz w:val="17"/>
              </w:rPr>
              <w:t>The therapist does not confirm the treatment relationship or share session content without authorization or another lawful basis.</w:t>
            </w:r>
          </w:p>
        </w:tc>
      </w:tr>
      <w:tr>
        <w:trPr>
          <w:cantSplit w:val="1"/>
        </w:trPr>
        <w:tc>
          <w:tcPr>
            <w:tcW w:type="dxa" w:w="3320"/>
            <w:shd w:fill="EEF3F8"/>
            <w:vAlign w:val="top"/>
          </w:tcPr>
          <w:p>
            <w:pPr>
              <w:spacing w:after="0" w:line="245" w:lineRule="auto"/>
            </w:pPr>
            <w:r>
              <w:rPr>
                <w:rFonts w:ascii="Lato" w:hAnsi="Lato" w:eastAsia="Lato"/>
                <w:b/>
                <w:i w:val="0"/>
                <w:color w:val="0B2447"/>
                <w:sz w:val="17"/>
              </w:rPr>
              <w:t>Security</w:t>
            </w:r>
          </w:p>
        </w:tc>
        <w:tc>
          <w:tcPr>
            <w:tcW w:type="dxa" w:w="3320"/>
            <w:vAlign w:val="top"/>
          </w:tcPr>
          <w:p>
            <w:pPr>
              <w:spacing w:after="0" w:line="245" w:lineRule="auto"/>
            </w:pPr>
            <w:r>
              <w:rPr>
                <w:rFonts w:ascii="Lato" w:hAnsi="Lato" w:eastAsia="Lato"/>
                <w:b w:val="0"/>
                <w:i w:val="0"/>
                <w:color w:val="111827"/>
                <w:sz w:val="17"/>
              </w:rPr>
              <w:t>Administrative, physical, and technical safeguards that protect electronic information from unauthorized access, alteration, loss, or unavailability.</w:t>
            </w:r>
          </w:p>
        </w:tc>
        <w:tc>
          <w:tcPr>
            <w:tcW w:type="dxa" w:w="3320"/>
            <w:vAlign w:val="top"/>
          </w:tcPr>
          <w:p>
            <w:pPr>
              <w:spacing w:after="0" w:line="245" w:lineRule="auto"/>
            </w:pPr>
            <w:r>
              <w:rPr>
                <w:rFonts w:ascii="Lato" w:hAnsi="Lato" w:eastAsia="Lato"/>
                <w:b w:val="0"/>
                <w:i w:val="0"/>
                <w:color w:val="111827"/>
                <w:sz w:val="17"/>
              </w:rPr>
              <w:t>Unique credentials, access controls, updates, encryption when appropriate, backups, and incident-response procedures protect electronic records and communications.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Security Memory Aid</w:t>
            </w:r>
          </w:p>
          <w:p>
            <w:pPr>
              <w:spacing w:after="0" w:line="254" w:lineRule="auto"/>
            </w:pPr>
            <w:r>
              <w:rPr>
                <w:rFonts w:ascii="Lato" w:hAnsi="Lato" w:eastAsia="Lato"/>
                <w:b w:val="0"/>
                <w:i w:val="0"/>
                <w:sz w:val="20"/>
              </w:rPr>
              <w:t>Confidentiality = prevent unauthorized viewing or disclosure. Integrity = prevent improper alteration or destruction. Availability = keep information accessible to authorized users when needed.</w:t>
            </w:r>
          </w:p>
        </w:tc>
      </w:tr>
    </w:tbl>
    <w:p>
      <w:pPr>
        <w:pStyle w:val="CTAHeading2"/>
        <w:keepNext/>
      </w:pPr>
      <w:r>
        <w:rPr>
          <w:rFonts w:ascii="Lato" w:hAnsi="Lato" w:eastAsia="Lato"/>
          <w:b/>
          <w:i w:val="0"/>
          <w:color w:val="0B2447"/>
          <w:sz w:val="26"/>
        </w:rPr>
        <w:t>2. California Telehealth Privacy and Security Law</w:t>
      </w:r>
    </w:p>
    <w:p>
      <w:pPr>
        <w:pStyle w:val="CTABody"/>
      </w:pPr>
      <w:r>
        <w:rPr>
          <w:rFonts w:ascii="Lato" w:hAnsi="Lato" w:eastAsia="Lato"/>
          <w:b w:val="0"/>
          <w:i w:val="0"/>
        </w:rPr>
        <w:t>California Business and Professions Code section 2290.5 provides that all laws governing confidentiality and patient access to medical information apply to telehealth interactions. It also provides that the same professional-responsibility, unprofessional-conduct, and standards-of-practice rules apply during telehealth.</w:t>
      </w:r>
    </w:p>
    <w:p>
      <w:pPr>
        <w:pStyle w:val="CTABody"/>
      </w:pPr>
      <w:r>
        <w:rPr>
          <w:rFonts w:ascii="Lato" w:hAnsi="Lato" w:eastAsia="Lato"/>
          <w:b w:val="0"/>
          <w:i w:val="0"/>
        </w:rPr>
        <w:t>California Code of Regulations, title 16, section 1815.5(d)(3), goes further. Each time an LCSW or registered ASW provides telehealth, the therapist must comply with all applicable federal and state privacy, confidentiality, and security laws governing client medical information or protected health information. The regulation specifically identifies:</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California Confidentiality of Medical Information Act (CMIA) with respect to client medical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HIPAA security standards in 45 CFR sections 164.302 through 164.318 with respect to client protected health information (PHI).</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Telehealth does not create a privacy exception. California’s BBS rule expressly connects telehealth practice to the CMIA and HIPAA security standards.</w:t>
            </w:r>
          </w:p>
        </w:tc>
      </w:tr>
    </w:tbl>
    <w:p>
      <w:pPr>
        <w:pStyle w:val="CTAHeading2"/>
        <w:keepNext/>
      </w:pPr>
      <w:r>
        <w:rPr>
          <w:rFonts w:ascii="Lato" w:hAnsi="Lato" w:eastAsia="Lato"/>
          <w:b/>
          <w:i w:val="0"/>
          <w:color w:val="0B2447"/>
          <w:sz w:val="26"/>
        </w:rPr>
        <w:t>3. CMIA and HIPAA: Do Not Treat Them as Identical</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Framework</w:t>
            </w:r>
          </w:p>
        </w:tc>
        <w:tc>
          <w:tcPr>
            <w:tcW w:type="dxa" w:w="3320"/>
            <w:shd w:fill="0B2447"/>
          </w:tcPr>
          <w:p>
            <w:pPr>
              <w:jc w:val="center"/>
            </w:pPr>
            <w:r>
              <w:rPr>
                <w:rFonts w:ascii="Lato" w:hAnsi="Lato" w:eastAsia="Lato"/>
                <w:b/>
                <w:i w:val="0"/>
                <w:color w:val="FFFFFF"/>
                <w:sz w:val="18"/>
              </w:rPr>
              <w:t>What It Does</w:t>
            </w:r>
          </w:p>
        </w:tc>
        <w:tc>
          <w:tcPr>
            <w:tcW w:type="dxa" w:w="3320"/>
            <w:shd w:fill="0B2447"/>
          </w:tcPr>
          <w:p>
            <w:pPr>
              <w:jc w:val="center"/>
            </w:pPr>
            <w:r>
              <w:rPr>
                <w:rFonts w:ascii="Lato" w:hAnsi="Lato" w:eastAsia="Lato"/>
                <w:b/>
                <w:i w:val="0"/>
                <w:color w:val="FFFFFF"/>
                <w:sz w:val="18"/>
              </w:rPr>
              <w:t>Exam Point</w:t>
            </w:r>
          </w:p>
        </w:tc>
      </w:tr>
      <w:tr>
        <w:trPr>
          <w:cantSplit w:val="1"/>
        </w:trPr>
        <w:tc>
          <w:tcPr>
            <w:tcW w:type="dxa" w:w="3320"/>
            <w:shd w:fill="EEF3F8"/>
            <w:vAlign w:val="top"/>
          </w:tcPr>
          <w:p>
            <w:pPr>
              <w:spacing w:after="0" w:line="245" w:lineRule="auto"/>
            </w:pPr>
            <w:r>
              <w:rPr>
                <w:rFonts w:ascii="Lato" w:hAnsi="Lato" w:eastAsia="Lato"/>
                <w:b/>
                <w:i w:val="0"/>
                <w:color w:val="0B2447"/>
                <w:sz w:val="17"/>
              </w:rPr>
              <w:t>CMIA</w:t>
            </w:r>
          </w:p>
        </w:tc>
        <w:tc>
          <w:tcPr>
            <w:tcW w:type="dxa" w:w="3320"/>
            <w:vAlign w:val="top"/>
          </w:tcPr>
          <w:p>
            <w:pPr>
              <w:spacing w:after="0" w:line="245" w:lineRule="auto"/>
            </w:pPr>
            <w:r>
              <w:rPr>
                <w:rFonts w:ascii="Lato" w:hAnsi="Lato" w:eastAsia="Lato"/>
                <w:b w:val="0"/>
                <w:i w:val="0"/>
                <w:color w:val="111827"/>
                <w:sz w:val="17"/>
              </w:rPr>
              <w:t>California law governing the confidentiality, use, disclosure, maintenance, storage, and handling of medical information by covered health-care participants.</w:t>
            </w:r>
          </w:p>
        </w:tc>
        <w:tc>
          <w:tcPr>
            <w:tcW w:type="dxa" w:w="3320"/>
            <w:vAlign w:val="top"/>
          </w:tcPr>
          <w:p>
            <w:pPr>
              <w:spacing w:after="0" w:line="245" w:lineRule="auto"/>
            </w:pPr>
            <w:r>
              <w:rPr>
                <w:rFonts w:ascii="Lato" w:hAnsi="Lato" w:eastAsia="Lato"/>
                <w:b w:val="0"/>
                <w:i w:val="0"/>
                <w:color w:val="111827"/>
                <w:sz w:val="17"/>
              </w:rPr>
              <w:t>California therapists should not assume that being outside federal HIPAA coverage eliminates California confidentiality duties.</w:t>
            </w:r>
          </w:p>
        </w:tc>
      </w:tr>
      <w:tr>
        <w:trPr>
          <w:cantSplit w:val="1"/>
        </w:trPr>
        <w:tc>
          <w:tcPr>
            <w:tcW w:type="dxa" w:w="3320"/>
            <w:shd w:fill="EEF3F8"/>
            <w:vAlign w:val="top"/>
          </w:tcPr>
          <w:p>
            <w:pPr>
              <w:spacing w:after="0" w:line="245" w:lineRule="auto"/>
            </w:pPr>
            <w:r>
              <w:rPr>
                <w:rFonts w:ascii="Lato" w:hAnsi="Lato" w:eastAsia="Lato"/>
                <w:b/>
                <w:i w:val="0"/>
                <w:color w:val="0B2447"/>
                <w:sz w:val="17"/>
              </w:rPr>
              <w:t>Federal HIPAA</w:t>
            </w:r>
          </w:p>
        </w:tc>
        <w:tc>
          <w:tcPr>
            <w:tcW w:type="dxa" w:w="3320"/>
            <w:vAlign w:val="top"/>
          </w:tcPr>
          <w:p>
            <w:pPr>
              <w:spacing w:after="0" w:line="245" w:lineRule="auto"/>
            </w:pPr>
            <w:r>
              <w:rPr>
                <w:rFonts w:ascii="Lato" w:hAnsi="Lato" w:eastAsia="Lato"/>
                <w:b w:val="0"/>
                <w:i w:val="0"/>
                <w:color w:val="111827"/>
                <w:sz w:val="17"/>
              </w:rPr>
              <w:t>Federal rules that directly regulate covered entities and business associates. A health-care provider’s covered-entity status generally depends on conducting specified standard electronic transactions.</w:t>
            </w:r>
          </w:p>
        </w:tc>
        <w:tc>
          <w:tcPr>
            <w:tcW w:type="dxa" w:w="3320"/>
            <w:vAlign w:val="top"/>
          </w:tcPr>
          <w:p>
            <w:pPr>
              <w:spacing w:after="0" w:line="245" w:lineRule="auto"/>
            </w:pPr>
            <w:r>
              <w:rPr>
                <w:rFonts w:ascii="Lato" w:hAnsi="Lato" w:eastAsia="Lato"/>
                <w:b w:val="0"/>
                <w:i w:val="0"/>
                <w:color w:val="111827"/>
                <w:sz w:val="17"/>
              </w:rPr>
              <w:t>Not every therapist is automatically a federal HIPAA covered entity merely because the therapist is licensed.</w:t>
            </w:r>
          </w:p>
        </w:tc>
      </w:tr>
      <w:tr>
        <w:trPr>
          <w:cantSplit w:val="1"/>
        </w:trPr>
        <w:tc>
          <w:tcPr>
            <w:tcW w:type="dxa" w:w="3320"/>
            <w:shd w:fill="EEF3F8"/>
            <w:vAlign w:val="top"/>
          </w:tcPr>
          <w:p>
            <w:pPr>
              <w:spacing w:after="0" w:line="245" w:lineRule="auto"/>
            </w:pPr>
            <w:r>
              <w:rPr>
                <w:rFonts w:ascii="Lato" w:hAnsi="Lato" w:eastAsia="Lato"/>
                <w:b/>
                <w:i w:val="0"/>
                <w:color w:val="0B2447"/>
                <w:sz w:val="17"/>
              </w:rPr>
              <w:t>BBS telehealth regulation</w:t>
            </w:r>
          </w:p>
        </w:tc>
        <w:tc>
          <w:tcPr>
            <w:tcW w:type="dxa" w:w="3320"/>
            <w:vAlign w:val="top"/>
          </w:tcPr>
          <w:p>
            <w:pPr>
              <w:spacing w:after="0" w:line="245" w:lineRule="auto"/>
            </w:pPr>
            <w:r>
              <w:rPr>
                <w:rFonts w:ascii="Lato" w:hAnsi="Lato" w:eastAsia="Lato"/>
                <w:b w:val="0"/>
                <w:i w:val="0"/>
                <w:color w:val="111827"/>
                <w:sz w:val="17"/>
              </w:rPr>
              <w:t>Section 1815.5(d)(3) expressly references both the CMIA and HIPAA security standards when LCSWs and registered ASWs provide telehealth.</w:t>
            </w:r>
          </w:p>
        </w:tc>
        <w:tc>
          <w:tcPr>
            <w:tcW w:type="dxa" w:w="3320"/>
            <w:vAlign w:val="top"/>
          </w:tcPr>
          <w:p>
            <w:pPr>
              <w:spacing w:after="0" w:line="245" w:lineRule="auto"/>
            </w:pPr>
            <w:r>
              <w:rPr>
                <w:rFonts w:ascii="Lato" w:hAnsi="Lato" w:eastAsia="Lato"/>
                <w:b w:val="0"/>
                <w:i w:val="0"/>
                <w:color w:val="111827"/>
                <w:sz w:val="17"/>
              </w:rPr>
              <w:t>For the California exam, analyze both the therapist’s federal status and the independent duties imposed through California law and BBS regulation.</w:t>
            </w:r>
          </w:p>
        </w:tc>
      </w:tr>
    </w:tbl>
    <w:p>
      <w:pPr>
        <w:pStyle w:val="CTASmall"/>
      </w:pPr>
      <w:r>
        <w:rPr>
          <w:rFonts w:ascii="Lato" w:hAnsi="Lato" w:eastAsia="Lato"/>
          <w:b w:val="0"/>
          <w:i/>
          <w:color w:val="384250"/>
          <w:sz w:val="18"/>
        </w:rPr>
        <w:t>Do not answer a California exam question by saying, “HIPAA does not apply, so no security duty exists.” That ignores the CMIA, professional confidentiality duties, and the BBS telehealth regulation.</w:t>
      </w:r>
    </w:p>
    <w:p>
      <w:pPr>
        <w:pStyle w:val="CTAHeading2"/>
        <w:keepNext/>
      </w:pPr>
      <w:r>
        <w:rPr>
          <w:rFonts w:ascii="Lato" w:hAnsi="Lato" w:eastAsia="Lato"/>
          <w:b/>
          <w:i w:val="0"/>
          <w:color w:val="0B2447"/>
          <w:sz w:val="26"/>
        </w:rPr>
        <w:t>4. “HIPAA-Compliant Platform” Is Not the End of the Analysis</w:t>
      </w:r>
    </w:p>
    <w:p>
      <w:pPr>
        <w:pStyle w:val="CTABody"/>
      </w:pPr>
      <w:r>
        <w:rPr>
          <w:rFonts w:ascii="Lato" w:hAnsi="Lato" w:eastAsia="Lato"/>
          <w:b w:val="0"/>
          <w:i w:val="0"/>
        </w:rPr>
        <w:t>HHS does not certify, endorse, or recommend specific products as “HIPAA compliant.” A vendor’s marketing statement is not a substitute for the therapist’s own legal and security analysis.</w:t>
      </w:r>
    </w:p>
    <w:p>
      <w:pPr>
        <w:pStyle w:val="CTABody"/>
      </w:pPr>
      <w:r>
        <w:rPr>
          <w:rFonts w:ascii="Lato" w:hAnsi="Lato" w:eastAsia="Lato"/>
          <w:b w:val="0"/>
          <w:i w:val="0"/>
        </w:rPr>
        <w:t>When evaluating a telehealth platform or related service, consider:</w:t>
      </w:r>
    </w:p>
    <w:p>
      <w:pPr>
        <w:pStyle w:val="CTABody"/>
        <w:spacing w:after="60"/>
        <w:ind w:left="403" w:hanging="259"/>
      </w:pPr>
      <w:r>
        <w:rPr>
          <w:rFonts w:ascii="Lato" w:hAnsi="Lato" w:eastAsia="Lato"/>
          <w:b/>
          <w:i w:val="0"/>
          <w:color w:val="0AA6A6"/>
        </w:rPr>
        <w:t xml:space="preserve">• </w:t>
      </w:r>
      <w:r>
        <w:rPr>
          <w:rFonts w:ascii="Lato" w:hAnsi="Lato" w:eastAsia="Lato"/>
          <w:b w:val="0"/>
          <w:i w:val="0"/>
        </w:rPr>
        <w:t>What information the vendor creates, receives, maintains, stores, records, or transmits.</w:t>
      </w:r>
    </w:p>
    <w:p>
      <w:pPr>
        <w:pStyle w:val="CTABody"/>
        <w:spacing w:after="60"/>
        <w:ind w:left="403" w:hanging="259"/>
      </w:pPr>
      <w:r>
        <w:rPr>
          <w:rFonts w:ascii="Lato" w:hAnsi="Lato" w:eastAsia="Lato"/>
          <w:b/>
          <w:i w:val="0"/>
          <w:color w:val="0AA6A6"/>
        </w:rPr>
        <w:t xml:space="preserve">• </w:t>
      </w:r>
      <w:r>
        <w:rPr>
          <w:rFonts w:ascii="Lato" w:hAnsi="Lato" w:eastAsia="Lato"/>
          <w:b w:val="0"/>
          <w:i w:val="0"/>
        </w:rPr>
        <w:t>Whether the vendor uses client information for analytics, product development, advertising, artificial intelligence, transcription, or other secondary purposes.</w:t>
      </w:r>
    </w:p>
    <w:p>
      <w:pPr>
        <w:pStyle w:val="CTABody"/>
        <w:spacing w:after="60"/>
        <w:ind w:left="403" w:hanging="259"/>
      </w:pPr>
      <w:r>
        <w:rPr>
          <w:rFonts w:ascii="Lato" w:hAnsi="Lato" w:eastAsia="Lato"/>
          <w:b/>
          <w:i w:val="0"/>
          <w:color w:val="0AA6A6"/>
        </w:rPr>
        <w:t xml:space="preserve">• </w:t>
      </w:r>
      <w:r>
        <w:rPr>
          <w:rFonts w:ascii="Lato" w:hAnsi="Lato" w:eastAsia="Lato"/>
          <w:b w:val="0"/>
          <w:i w:val="0"/>
        </w:rPr>
        <w:t>Access controls, unique user identification, authentication, session links, waiting-room or lock functions, audit information, encryption, updates, backup, and recovery.</w:t>
      </w:r>
    </w:p>
    <w:p>
      <w:pPr>
        <w:pStyle w:val="CTABody"/>
        <w:spacing w:after="60"/>
        <w:ind w:left="403" w:hanging="259"/>
      </w:pPr>
      <w:r>
        <w:rPr>
          <w:rFonts w:ascii="Lato" w:hAnsi="Lato" w:eastAsia="Lato"/>
          <w:b/>
          <w:i w:val="0"/>
          <w:color w:val="0AA6A6"/>
        </w:rPr>
        <w:t xml:space="preserve">• </w:t>
      </w:r>
      <w:r>
        <w:rPr>
          <w:rFonts w:ascii="Lato" w:hAnsi="Lato" w:eastAsia="Lato"/>
          <w:b w:val="0"/>
          <w:i w:val="0"/>
        </w:rPr>
        <w:t>Whether the therapist can disable recording, transcription, captions, chat retention, cloud storage, or other unnecessary features.</w:t>
      </w:r>
    </w:p>
    <w:p>
      <w:pPr>
        <w:pStyle w:val="CTABody"/>
        <w:spacing w:after="60"/>
        <w:ind w:left="403" w:hanging="259"/>
      </w:pPr>
      <w:r>
        <w:rPr>
          <w:rFonts w:ascii="Lato" w:hAnsi="Lato" w:eastAsia="Lato"/>
          <w:b/>
          <w:i w:val="0"/>
          <w:color w:val="0AA6A6"/>
        </w:rPr>
        <w:t xml:space="preserve">• </w:t>
      </w:r>
      <w:r>
        <w:rPr>
          <w:rFonts w:ascii="Lato" w:hAnsi="Lato" w:eastAsia="Lato"/>
          <w:b w:val="0"/>
          <w:i w:val="0"/>
        </w:rPr>
        <w:t>Whether the vendor will enter a business associate agreement when required and whether the agreement matches the actual service.</w:t>
      </w:r>
    </w:p>
    <w:p>
      <w:pPr>
        <w:pStyle w:val="CTABody"/>
        <w:spacing w:after="60"/>
        <w:ind w:left="403" w:hanging="259"/>
      </w:pPr>
      <w:r>
        <w:rPr>
          <w:rFonts w:ascii="Lato" w:hAnsi="Lato" w:eastAsia="Lato"/>
          <w:b/>
          <w:i w:val="0"/>
          <w:color w:val="0AA6A6"/>
        </w:rPr>
        <w:t xml:space="preserve">• </w:t>
      </w:r>
      <w:r>
        <w:rPr>
          <w:rFonts w:ascii="Lato" w:hAnsi="Lato" w:eastAsia="Lato"/>
          <w:b w:val="0"/>
          <w:i w:val="0"/>
        </w:rPr>
        <w:t>Whether the therapist has assessed risks to confidentiality, integrity, and availability rather than relying solely on convenience or popularity.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Trap</w:t>
            </w:r>
          </w:p>
          <w:p>
            <w:pPr>
              <w:spacing w:after="0" w:line="254" w:lineRule="auto"/>
            </w:pPr>
            <w:r>
              <w:rPr>
                <w:rFonts w:ascii="Lato" w:hAnsi="Lato" w:eastAsia="Lato"/>
                <w:b w:val="0"/>
                <w:i w:val="0"/>
                <w:sz w:val="20"/>
              </w:rPr>
              <w:t>A BAA does not prove that every feature, workflow, device, account, and user practice is secure. It is one compliance component when a business-associate relationship exists.</w:t>
            </w:r>
          </w:p>
        </w:tc>
      </w:tr>
    </w:tbl>
    <w:p>
      <w:pPr>
        <w:pStyle w:val="CTAHeading2"/>
        <w:keepNext/>
      </w:pPr>
      <w:r>
        <w:rPr>
          <w:rFonts w:ascii="Lato" w:hAnsi="Lato" w:eastAsia="Lato"/>
          <w:b/>
          <w:i w:val="0"/>
          <w:color w:val="0B2447"/>
          <w:sz w:val="26"/>
        </w:rPr>
        <w:t>5. When Is a Business Associate Agreement Relevant?</w:t>
      </w:r>
    </w:p>
    <w:p>
      <w:pPr>
        <w:pStyle w:val="CTABody"/>
      </w:pPr>
      <w:r>
        <w:rPr>
          <w:rFonts w:ascii="Lato" w:hAnsi="Lato" w:eastAsia="Lato"/>
          <w:b w:val="0"/>
          <w:i w:val="0"/>
        </w:rPr>
        <w:t>Under federal HIPAA, a covered entity generally needs a business associate agreement when a vendor creates, receives, maintains, or transmits PHI on the covered entity’s behalf as a business associate. Cloud storage may create business-associate status even when the vendor cannot decrypt the data. Some transmission-only services with merely transient access may fall within the narrow conduit exception.</w:t>
      </w:r>
    </w:p>
    <w:p>
      <w:pPr>
        <w:pStyle w:val="CTABody"/>
      </w:pPr>
      <w:r>
        <w:rPr>
          <w:rFonts w:ascii="Lato" w:hAnsi="Lato" w:eastAsia="Lato"/>
          <w:b w:val="0"/>
          <w:i w:val="0"/>
        </w:rPr>
        <w:t>A therapist should not use either of these shortcuts:</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vendor signed a BAA, so everything is compliant.”</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information is encrypted, so no BAA or risk analysis is needed.”</w:t>
      </w:r>
    </w:p>
    <w:p>
      <w:pPr>
        <w:pStyle w:val="CTABody"/>
      </w:pPr>
      <w:r>
        <w:rPr>
          <w:rFonts w:ascii="Lato" w:hAnsi="Lato" w:eastAsia="Lato"/>
          <w:b w:val="0"/>
          <w:i w:val="0"/>
        </w:rPr>
        <w:t>The correct approach is to determine the therapist’s regulatory status, the vendor’s actual function, the information involved, the contract requirements, and the safeguards needed for the specific workflow.</w:t>
      </w:r>
    </w:p>
    <w:p>
      <w:pPr>
        <w:pStyle w:val="CTAHeading2"/>
        <w:keepNext/>
      </w:pPr>
      <w:r>
        <w:rPr>
          <w:rFonts w:ascii="Lato" w:hAnsi="Lato" w:eastAsia="Lato"/>
          <w:b/>
          <w:i w:val="0"/>
          <w:color w:val="0B2447"/>
          <w:sz w:val="26"/>
        </w:rPr>
        <w:t>6. The Therapist’s Environment</w:t>
      </w:r>
    </w:p>
    <w:p>
      <w:pPr>
        <w:pStyle w:val="CTABody"/>
      </w:pPr>
      <w:r>
        <w:rPr>
          <w:rFonts w:ascii="Lato" w:hAnsi="Lato" w:eastAsia="Lato"/>
          <w:b w:val="0"/>
          <w:i w:val="0"/>
        </w:rPr>
        <w:t>The therapist remains responsible for preventing avoidable disclosures from the therapist’s side of the session. A home office is not automatically private merely because the therapist is alone when the session begins.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Potential Risk</w:t>
            </w:r>
          </w:p>
        </w:tc>
        <w:tc>
          <w:tcPr>
            <w:tcW w:type="dxa" w:w="4980"/>
            <w:shd w:fill="0B2447"/>
          </w:tcPr>
          <w:p>
            <w:pPr>
              <w:jc w:val="center"/>
            </w:pPr>
            <w:r>
              <w:rPr>
                <w:rFonts w:ascii="Lato" w:hAnsi="Lato" w:eastAsia="Lato"/>
                <w:b/>
                <w:i w:val="0"/>
                <w:color w:val="FFFFFF"/>
                <w:sz w:val="18"/>
              </w:rPr>
              <w:t>Reasonable Safeguard</w:t>
            </w:r>
          </w:p>
        </w:tc>
      </w:tr>
      <w:tr>
        <w:trPr>
          <w:cantSplit w:val="1"/>
        </w:trPr>
        <w:tc>
          <w:tcPr>
            <w:tcW w:type="dxa" w:w="4980"/>
            <w:shd w:fill="EEF3F8"/>
            <w:vAlign w:val="top"/>
          </w:tcPr>
          <w:p>
            <w:pPr>
              <w:spacing w:after="0" w:line="245" w:lineRule="auto"/>
            </w:pPr>
            <w:r>
              <w:rPr>
                <w:rFonts w:ascii="Lato" w:hAnsi="Lato" w:eastAsia="Lato"/>
                <w:b/>
                <w:i w:val="0"/>
                <w:color w:val="0B2447"/>
                <w:sz w:val="17"/>
              </w:rPr>
              <w:t>Family, roommates, coworkers, or visitors can hear the session.</w:t>
            </w:r>
          </w:p>
        </w:tc>
        <w:tc>
          <w:tcPr>
            <w:tcW w:type="dxa" w:w="4980"/>
            <w:vAlign w:val="top"/>
          </w:tcPr>
          <w:p>
            <w:pPr>
              <w:spacing w:after="0" w:line="245" w:lineRule="auto"/>
            </w:pPr>
            <w:r>
              <w:rPr>
                <w:rFonts w:ascii="Lato" w:hAnsi="Lato" w:eastAsia="Lato"/>
                <w:b w:val="0"/>
                <w:i w:val="0"/>
                <w:color w:val="111827"/>
                <w:sz w:val="17"/>
              </w:rPr>
              <w:t>Use a private location, close the door, control access, use headphones when appropriate, and avoid speakerphone.</w:t>
            </w:r>
          </w:p>
        </w:tc>
      </w:tr>
      <w:tr>
        <w:trPr>
          <w:cantSplit w:val="1"/>
        </w:trPr>
        <w:tc>
          <w:tcPr>
            <w:tcW w:type="dxa" w:w="4980"/>
            <w:shd w:fill="EEF3F8"/>
            <w:vAlign w:val="top"/>
          </w:tcPr>
          <w:p>
            <w:pPr>
              <w:spacing w:after="0" w:line="245" w:lineRule="auto"/>
            </w:pPr>
            <w:r>
              <w:rPr>
                <w:rFonts w:ascii="Lato" w:hAnsi="Lato" w:eastAsia="Lato"/>
                <w:b/>
                <w:i w:val="0"/>
                <w:color w:val="0B2447"/>
                <w:sz w:val="17"/>
              </w:rPr>
              <w:t>Another person can see the screen, client name, messages, or records.</w:t>
            </w:r>
          </w:p>
        </w:tc>
        <w:tc>
          <w:tcPr>
            <w:tcW w:type="dxa" w:w="4980"/>
            <w:vAlign w:val="top"/>
          </w:tcPr>
          <w:p>
            <w:pPr>
              <w:spacing w:after="0" w:line="245" w:lineRule="auto"/>
            </w:pPr>
            <w:r>
              <w:rPr>
                <w:rFonts w:ascii="Lato" w:hAnsi="Lato" w:eastAsia="Lato"/>
                <w:b w:val="0"/>
                <w:i w:val="0"/>
                <w:color w:val="111827"/>
                <w:sz w:val="17"/>
              </w:rPr>
              <w:t>Position the screen carefully, use privacy controls, close unrelated windows, and lock the device when unattended.</w:t>
            </w:r>
          </w:p>
        </w:tc>
      </w:tr>
      <w:tr>
        <w:trPr>
          <w:cantSplit w:val="1"/>
        </w:trPr>
        <w:tc>
          <w:tcPr>
            <w:tcW w:type="dxa" w:w="4980"/>
            <w:shd w:fill="EEF3F8"/>
            <w:vAlign w:val="top"/>
          </w:tcPr>
          <w:p>
            <w:pPr>
              <w:spacing w:after="0" w:line="245" w:lineRule="auto"/>
            </w:pPr>
            <w:r>
              <w:rPr>
                <w:rFonts w:ascii="Lato" w:hAnsi="Lato" w:eastAsia="Lato"/>
                <w:b/>
                <w:i w:val="0"/>
                <w:color w:val="0B2447"/>
                <w:sz w:val="17"/>
              </w:rPr>
              <w:t>Smart speakers, security cameras, virtual assistants, or ambient AI tools may listen or record.</w:t>
            </w:r>
          </w:p>
        </w:tc>
        <w:tc>
          <w:tcPr>
            <w:tcW w:type="dxa" w:w="4980"/>
            <w:vAlign w:val="top"/>
          </w:tcPr>
          <w:p>
            <w:pPr>
              <w:spacing w:after="0" w:line="245" w:lineRule="auto"/>
            </w:pPr>
            <w:r>
              <w:rPr>
                <w:rFonts w:ascii="Lato" w:hAnsi="Lato" w:eastAsia="Lato"/>
                <w:b w:val="0"/>
                <w:i w:val="0"/>
                <w:color w:val="111827"/>
                <w:sz w:val="17"/>
              </w:rPr>
              <w:t>Disable or remove unnecessary listening or recording devices before the session.</w:t>
            </w:r>
          </w:p>
        </w:tc>
      </w:tr>
      <w:tr>
        <w:trPr>
          <w:cantSplit w:val="1"/>
        </w:trPr>
        <w:tc>
          <w:tcPr>
            <w:tcW w:type="dxa" w:w="4980"/>
            <w:shd w:fill="EEF3F8"/>
            <w:vAlign w:val="top"/>
          </w:tcPr>
          <w:p>
            <w:pPr>
              <w:spacing w:after="0" w:line="245" w:lineRule="auto"/>
            </w:pPr>
            <w:r>
              <w:rPr>
                <w:rFonts w:ascii="Lato" w:hAnsi="Lato" w:eastAsia="Lato"/>
                <w:b/>
                <w:i w:val="0"/>
                <w:color w:val="0B2447"/>
                <w:sz w:val="17"/>
              </w:rPr>
              <w:t>Shared accounts or devices allow unauthorized access.</w:t>
            </w:r>
          </w:p>
        </w:tc>
        <w:tc>
          <w:tcPr>
            <w:tcW w:type="dxa" w:w="4980"/>
            <w:vAlign w:val="top"/>
          </w:tcPr>
          <w:p>
            <w:pPr>
              <w:spacing w:after="0" w:line="245" w:lineRule="auto"/>
            </w:pPr>
            <w:r>
              <w:rPr>
                <w:rFonts w:ascii="Lato" w:hAnsi="Lato" w:eastAsia="Lato"/>
                <w:b w:val="0"/>
                <w:i w:val="0"/>
                <w:color w:val="111827"/>
                <w:sz w:val="17"/>
              </w:rPr>
              <w:t>Use individual credentials, strong unique passwords, multi-factor authentication when appropriate, and separate professional accounts.</w:t>
            </w:r>
          </w:p>
        </w:tc>
      </w:tr>
      <w:tr>
        <w:trPr>
          <w:cantSplit w:val="1"/>
        </w:trPr>
        <w:tc>
          <w:tcPr>
            <w:tcW w:type="dxa" w:w="4980"/>
            <w:shd w:fill="EEF3F8"/>
            <w:vAlign w:val="top"/>
          </w:tcPr>
          <w:p>
            <w:pPr>
              <w:spacing w:after="0" w:line="245" w:lineRule="auto"/>
            </w:pPr>
            <w:r>
              <w:rPr>
                <w:rFonts w:ascii="Lato" w:hAnsi="Lato" w:eastAsia="Lato"/>
                <w:b/>
                <w:i w:val="0"/>
                <w:color w:val="0B2447"/>
                <w:sz w:val="17"/>
              </w:rPr>
              <w:t>Notifications reveal client information.</w:t>
            </w:r>
          </w:p>
        </w:tc>
        <w:tc>
          <w:tcPr>
            <w:tcW w:type="dxa" w:w="4980"/>
            <w:vAlign w:val="top"/>
          </w:tcPr>
          <w:p>
            <w:pPr>
              <w:spacing w:after="0" w:line="245" w:lineRule="auto"/>
            </w:pPr>
            <w:r>
              <w:rPr>
                <w:rFonts w:ascii="Lato" w:hAnsi="Lato" w:eastAsia="Lato"/>
                <w:b w:val="0"/>
                <w:i w:val="0"/>
                <w:color w:val="111827"/>
                <w:sz w:val="17"/>
              </w:rPr>
              <w:t>Limit on-screen notifications and avoid placing identifying information in unnecessary alerts.</w:t>
            </w:r>
          </w:p>
        </w:tc>
      </w:tr>
      <w:tr>
        <w:trPr>
          <w:cantSplit w:val="1"/>
        </w:trPr>
        <w:tc>
          <w:tcPr>
            <w:tcW w:type="dxa" w:w="4980"/>
            <w:shd w:fill="EEF3F8"/>
            <w:vAlign w:val="top"/>
          </w:tcPr>
          <w:p>
            <w:pPr>
              <w:spacing w:after="0" w:line="245" w:lineRule="auto"/>
            </w:pPr>
            <w:r>
              <w:rPr>
                <w:rFonts w:ascii="Lato" w:hAnsi="Lato" w:eastAsia="Lato"/>
                <w:b/>
                <w:i w:val="0"/>
                <w:color w:val="0B2447"/>
                <w:sz w:val="17"/>
              </w:rPr>
              <w:t>The therapist uses an employer or public network without understanding monitoring.</w:t>
            </w:r>
          </w:p>
        </w:tc>
        <w:tc>
          <w:tcPr>
            <w:tcW w:type="dxa" w:w="4980"/>
            <w:vAlign w:val="top"/>
          </w:tcPr>
          <w:p>
            <w:pPr>
              <w:spacing w:after="0" w:line="245" w:lineRule="auto"/>
            </w:pPr>
            <w:r>
              <w:rPr>
                <w:rFonts w:ascii="Lato" w:hAnsi="Lato" w:eastAsia="Lato"/>
                <w:b w:val="0"/>
                <w:i w:val="0"/>
                <w:color w:val="111827"/>
                <w:sz w:val="17"/>
              </w:rPr>
              <w:t>Use an authorized system and evaluate network, device, and organizational security requirements.</w:t>
            </w:r>
          </w:p>
        </w:tc>
      </w:tr>
    </w:tbl>
    <w:p>
      <w:pPr>
        <w:pStyle w:val="CTAHeading2"/>
        <w:keepNext/>
      </w:pPr>
      <w:r>
        <w:rPr>
          <w:rFonts w:ascii="Lato" w:hAnsi="Lato" w:eastAsia="Lato"/>
          <w:b/>
          <w:i w:val="0"/>
          <w:color w:val="0B2447"/>
          <w:sz w:val="26"/>
        </w:rPr>
        <w:t>7. The Client’s Environment</w:t>
      </w:r>
    </w:p>
    <w:p>
      <w:pPr>
        <w:pStyle w:val="CTABody"/>
      </w:pPr>
      <w:r>
        <w:rPr>
          <w:rFonts w:ascii="Lato" w:hAnsi="Lato" w:eastAsia="Lato"/>
          <w:b w:val="0"/>
          <w:i w:val="0"/>
        </w:rPr>
        <w:t>The therapist cannot completely control the client’s setting, but the therapist should discuss foreseeable risks and assess whether the session can proceed appropriately. A client’s lack of ideal privacy may reflect housing limitations, disability, caregiving demands, work conditions, coercion, or safety concerns - not simply carelessness.</w:t>
      </w:r>
    </w:p>
    <w:p>
      <w:pPr>
        <w:pStyle w:val="CTABody"/>
        <w:spacing w:after="60"/>
        <w:ind w:left="403" w:hanging="259"/>
      </w:pPr>
      <w:r>
        <w:rPr>
          <w:rFonts w:ascii="Lato" w:hAnsi="Lato" w:eastAsia="Lato"/>
          <w:b/>
          <w:i w:val="0"/>
          <w:color w:val="0AA6A6"/>
        </w:rPr>
        <w:t xml:space="preserve">• </w:t>
      </w:r>
      <w:r>
        <w:rPr>
          <w:rFonts w:ascii="Lato" w:hAnsi="Lato" w:eastAsia="Lato"/>
          <w:b w:val="0"/>
          <w:i w:val="0"/>
        </w:rPr>
        <w:t>Ask whether the client can speak freely and whether anyone else is present or likely to enter.</w:t>
      </w:r>
    </w:p>
    <w:p>
      <w:pPr>
        <w:pStyle w:val="CTABody"/>
        <w:spacing w:after="60"/>
        <w:ind w:left="403" w:hanging="259"/>
      </w:pPr>
      <w:r>
        <w:rPr>
          <w:rFonts w:ascii="Lato" w:hAnsi="Lato" w:eastAsia="Lato"/>
          <w:b/>
          <w:i w:val="0"/>
          <w:color w:val="0AA6A6"/>
        </w:rPr>
        <w:t xml:space="preserve">• </w:t>
      </w:r>
      <w:r>
        <w:rPr>
          <w:rFonts w:ascii="Lato" w:hAnsi="Lato" w:eastAsia="Lato"/>
          <w:b w:val="0"/>
          <w:i w:val="0"/>
        </w:rPr>
        <w:t>Encourage a private location when reasonably available, headphones, careful screen positioning, and avoidance of speakerphone.</w:t>
      </w:r>
    </w:p>
    <w:p>
      <w:pPr>
        <w:pStyle w:val="CTABody"/>
        <w:spacing w:after="60"/>
        <w:ind w:left="403" w:hanging="259"/>
      </w:pPr>
      <w:r>
        <w:rPr>
          <w:rFonts w:ascii="Lato" w:hAnsi="Lato" w:eastAsia="Lato"/>
          <w:b/>
          <w:i w:val="0"/>
          <w:color w:val="0AA6A6"/>
        </w:rPr>
        <w:t xml:space="preserve">• </w:t>
      </w:r>
      <w:r>
        <w:rPr>
          <w:rFonts w:ascii="Lato" w:hAnsi="Lato" w:eastAsia="Lato"/>
          <w:b w:val="0"/>
          <w:i w:val="0"/>
        </w:rPr>
        <w:t>Discuss risks of workplace devices, shared devices, public networks, visible notifications, smart speakers, cameras, and recording tools.</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neutral questions or an agreed signal when the therapist is concerned that another person may be listening or controlling the interaction.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Pause sensitive discussion, change the communication method, reschedule, or arrange another lawful service option when privacy limitations make the session clinically inappropriate.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Clinical Takeaway</w:t>
            </w:r>
          </w:p>
          <w:p>
            <w:pPr>
              <w:spacing w:after="0" w:line="254" w:lineRule="auto"/>
            </w:pPr>
            <w:r>
              <w:rPr>
                <w:rFonts w:ascii="Lato" w:hAnsi="Lato" w:eastAsia="Lato"/>
                <w:b w:val="0"/>
                <w:i w:val="0"/>
                <w:sz w:val="20"/>
              </w:rPr>
              <w:t>The therapist should reduce foreseeable risk without shaming the client or pretending that perfect privacy is always available.</w:t>
            </w:r>
          </w:p>
        </w:tc>
      </w:tr>
    </w:tbl>
    <w:p>
      <w:pPr>
        <w:pStyle w:val="CTAHeading2"/>
        <w:keepNext/>
      </w:pPr>
      <w:r>
        <w:rPr>
          <w:rFonts w:ascii="Lato" w:hAnsi="Lato" w:eastAsia="Lato"/>
          <w:b/>
          <w:i w:val="0"/>
          <w:color w:val="0B2447"/>
          <w:sz w:val="26"/>
        </w:rPr>
        <w:t>8. Third Parties and Unexpected Interruptions</w:t>
      </w:r>
    </w:p>
    <w:p>
      <w:pPr>
        <w:pStyle w:val="CTABody"/>
      </w:pPr>
      <w:r>
        <w:rPr>
          <w:rFonts w:ascii="Lato" w:hAnsi="Lato" w:eastAsia="Lato"/>
          <w:b w:val="0"/>
          <w:i w:val="0"/>
        </w:rPr>
        <w:t>Another person’s presence is not automatically a confidentiality breach. Couples, family members, interpreters, caregivers, or support persons may participate appropriately. The therapist should determine who is present, why the person is present, whether the client agrees, and whether the client can participate voluntarily and privately enough for the intended service.</w:t>
      </w:r>
    </w:p>
    <w:p>
      <w:pPr>
        <w:pStyle w:val="CTABody"/>
      </w:pPr>
      <w:r>
        <w:rPr>
          <w:rFonts w:ascii="Lato" w:hAnsi="Lato" w:eastAsia="Lato"/>
          <w:b w:val="0"/>
          <w:i w:val="0"/>
        </w:rPr>
        <w:t>When an unexpected person enters or appears off-camera, the therapist should generally:</w:t>
      </w:r>
    </w:p>
    <w:p>
      <w:pPr>
        <w:pStyle w:val="CTABody"/>
        <w:spacing w:after="60"/>
        <w:ind w:left="403" w:hanging="259"/>
      </w:pPr>
      <w:r>
        <w:rPr>
          <w:rFonts w:ascii="Lato" w:hAnsi="Lato" w:eastAsia="Lato"/>
          <w:b/>
          <w:i w:val="0"/>
          <w:color w:val="0AA6A6"/>
        </w:rPr>
        <w:t xml:space="preserve">• </w:t>
      </w:r>
      <w:r>
        <w:rPr>
          <w:rFonts w:ascii="Lato" w:hAnsi="Lato" w:eastAsia="Lato"/>
          <w:b w:val="0"/>
          <w:i w:val="0"/>
        </w:rPr>
        <w:t>Pause sensitive content.</w:t>
      </w:r>
    </w:p>
    <w:p>
      <w:pPr>
        <w:pStyle w:val="CTABody"/>
        <w:spacing w:after="60"/>
        <w:ind w:left="403" w:hanging="259"/>
      </w:pPr>
      <w:r>
        <w:rPr>
          <w:rFonts w:ascii="Lato" w:hAnsi="Lato" w:eastAsia="Lato"/>
          <w:b/>
          <w:i w:val="0"/>
          <w:color w:val="0AA6A6"/>
        </w:rPr>
        <w:t xml:space="preserve">• </w:t>
      </w:r>
      <w:r>
        <w:rPr>
          <w:rFonts w:ascii="Lato" w:hAnsi="Lato" w:eastAsia="Lato"/>
          <w:b w:val="0"/>
          <w:i w:val="0"/>
        </w:rPr>
        <w:t>Clarify who is present and whether the client wants the person involved.</w:t>
      </w:r>
    </w:p>
    <w:p>
      <w:pPr>
        <w:pStyle w:val="CTABody"/>
        <w:spacing w:after="60"/>
        <w:ind w:left="403" w:hanging="259"/>
      </w:pPr>
      <w:r>
        <w:rPr>
          <w:rFonts w:ascii="Lato" w:hAnsi="Lato" w:eastAsia="Lato"/>
          <w:b/>
          <w:i w:val="0"/>
          <w:color w:val="0AA6A6"/>
        </w:rPr>
        <w:t xml:space="preserve">• </w:t>
      </w:r>
      <w:r>
        <w:rPr>
          <w:rFonts w:ascii="Lato" w:hAnsi="Lato" w:eastAsia="Lato"/>
          <w:b w:val="0"/>
          <w:i w:val="0"/>
        </w:rPr>
        <w:t>Assess coercion, safety, confidentiality, and the effect on treatment.</w:t>
      </w:r>
    </w:p>
    <w:p>
      <w:pPr>
        <w:pStyle w:val="CTABody"/>
        <w:spacing w:after="60"/>
        <w:ind w:left="403" w:hanging="259"/>
      </w:pPr>
      <w:r>
        <w:rPr>
          <w:rFonts w:ascii="Lato" w:hAnsi="Lato" w:eastAsia="Lato"/>
          <w:b/>
          <w:i w:val="0"/>
          <w:color w:val="0AA6A6"/>
        </w:rPr>
        <w:t xml:space="preserve">• </w:t>
      </w:r>
      <w:r>
        <w:rPr>
          <w:rFonts w:ascii="Lato" w:hAnsi="Lato" w:eastAsia="Lato"/>
          <w:b w:val="0"/>
          <w:i w:val="0"/>
        </w:rPr>
        <w:t>Restore privacy or modify the session before continuing.</w:t>
      </w:r>
    </w:p>
    <w:p>
      <w:pPr>
        <w:pStyle w:val="CTASmall"/>
      </w:pPr>
      <w:r>
        <w:rPr>
          <w:rFonts w:ascii="Lato" w:hAnsi="Lato" w:eastAsia="Lato"/>
          <w:b w:val="0"/>
          <w:i/>
          <w:color w:val="384250"/>
          <w:sz w:val="18"/>
        </w:rPr>
        <w:t>The strongest exam answer is usually assessment and restoration of privacy - not ignoring the person and not automatically terminating treatment.</w:t>
      </w:r>
    </w:p>
    <w:p>
      <w:pPr>
        <w:pStyle w:val="CTAHeading2"/>
        <w:keepNext/>
      </w:pPr>
      <w:r>
        <w:rPr>
          <w:rFonts w:ascii="Lato" w:hAnsi="Lato" w:eastAsia="Lato"/>
          <w:b/>
          <w:i w:val="0"/>
          <w:color w:val="0B2447"/>
          <w:sz w:val="26"/>
        </w:rPr>
        <w:t>9. Public Locations, Shared Devices, and Public Wi-Fi</w:t>
      </w:r>
    </w:p>
    <w:p>
      <w:pPr>
        <w:pStyle w:val="CTABody"/>
      </w:pPr>
      <w:r>
        <w:rPr>
          <w:rFonts w:ascii="Lato" w:hAnsi="Lato" w:eastAsia="Lato"/>
          <w:b w:val="0"/>
          <w:i w:val="0"/>
        </w:rPr>
        <w:t>California law does not create a simple rule that every public or shared setting automatically prohibits telehealth. The therapist must assess the actual risk and whether confidential, effective treatment can reasonably occur.</w:t>
      </w:r>
    </w:p>
    <w:p>
      <w:pPr>
        <w:pStyle w:val="CTABody"/>
      </w:pPr>
      <w:r>
        <w:rPr>
          <w:rFonts w:ascii="Lato" w:hAnsi="Lato" w:eastAsia="Lato"/>
          <w:b w:val="0"/>
          <w:i w:val="0"/>
        </w:rPr>
        <w:t>Examples:</w:t>
      </w:r>
    </w:p>
    <w:p>
      <w:pPr>
        <w:pStyle w:val="CTABody"/>
        <w:spacing w:after="60"/>
        <w:ind w:left="403" w:hanging="259"/>
      </w:pPr>
      <w:r>
        <w:rPr>
          <w:rFonts w:ascii="Lato" w:hAnsi="Lato" w:eastAsia="Lato"/>
          <w:b/>
          <w:i w:val="0"/>
          <w:color w:val="0AA6A6"/>
        </w:rPr>
        <w:t xml:space="preserve">• </w:t>
      </w:r>
      <w:r>
        <w:rPr>
          <w:rFonts w:ascii="Lato" w:hAnsi="Lato" w:eastAsia="Lato"/>
          <w:b w:val="0"/>
          <w:i w:val="0"/>
        </w:rPr>
        <w:t>A parked car with headphones and covered windows may provide more privacy than a crowded home, although safety and local circumstances still matter.</w:t>
      </w:r>
    </w:p>
    <w:p>
      <w:pPr>
        <w:pStyle w:val="CTABody"/>
        <w:spacing w:after="60"/>
        <w:ind w:left="403" w:hanging="259"/>
      </w:pPr>
      <w:r>
        <w:rPr>
          <w:rFonts w:ascii="Lato" w:hAnsi="Lato" w:eastAsia="Lato"/>
          <w:b/>
          <w:i w:val="0"/>
          <w:color w:val="0AA6A6"/>
        </w:rPr>
        <w:t xml:space="preserve">• </w:t>
      </w:r>
      <w:r>
        <w:rPr>
          <w:rFonts w:ascii="Lato" w:hAnsi="Lato" w:eastAsia="Lato"/>
          <w:b w:val="0"/>
          <w:i w:val="0"/>
        </w:rPr>
        <w:t>A coffee shop may be unsuitable for sensitive psychotherapy if others can overhear or view the screen.</w:t>
      </w:r>
    </w:p>
    <w:p>
      <w:pPr>
        <w:pStyle w:val="CTABody"/>
        <w:spacing w:after="60"/>
        <w:ind w:left="403" w:hanging="259"/>
      </w:pPr>
      <w:r>
        <w:rPr>
          <w:rFonts w:ascii="Lato" w:hAnsi="Lato" w:eastAsia="Lato"/>
          <w:b/>
          <w:i w:val="0"/>
          <w:color w:val="0AA6A6"/>
        </w:rPr>
        <w:t xml:space="preserve">• </w:t>
      </w:r>
      <w:r>
        <w:rPr>
          <w:rFonts w:ascii="Lato" w:hAnsi="Lato" w:eastAsia="Lato"/>
          <w:b w:val="0"/>
          <w:i w:val="0"/>
        </w:rPr>
        <w:t>A workplace computer or network may be monitored by the employer.</w:t>
      </w:r>
    </w:p>
    <w:p>
      <w:pPr>
        <w:pStyle w:val="CTABody"/>
        <w:spacing w:after="60"/>
        <w:ind w:left="403" w:hanging="259"/>
      </w:pPr>
      <w:r>
        <w:rPr>
          <w:rFonts w:ascii="Lato" w:hAnsi="Lato" w:eastAsia="Lato"/>
          <w:b/>
          <w:i w:val="0"/>
          <w:color w:val="0AA6A6"/>
        </w:rPr>
        <w:t xml:space="preserve">• </w:t>
      </w:r>
      <w:r>
        <w:rPr>
          <w:rFonts w:ascii="Lato" w:hAnsi="Lato" w:eastAsia="Lato"/>
          <w:b w:val="0"/>
          <w:i w:val="0"/>
        </w:rPr>
        <w:t>Public Wi-Fi can create security risk; using it is not automatically proof of a legal violation, but the risk should be addressed and reduced.</w:t>
      </w:r>
    </w:p>
    <w:p>
      <w:pPr>
        <w:pStyle w:val="CTABody"/>
        <w:spacing w:after="60"/>
        <w:ind w:left="403" w:hanging="259"/>
      </w:pPr>
      <w:r>
        <w:rPr>
          <w:rFonts w:ascii="Lato" w:hAnsi="Lato" w:eastAsia="Lato"/>
          <w:b/>
          <w:i w:val="0"/>
          <w:color w:val="0AA6A6"/>
        </w:rPr>
        <w:t xml:space="preserve">• </w:t>
      </w:r>
      <w:r>
        <w:rPr>
          <w:rFonts w:ascii="Lato" w:hAnsi="Lato" w:eastAsia="Lato"/>
          <w:b w:val="0"/>
          <w:i w:val="0"/>
        </w:rPr>
        <w:t>A client who is driving should not participate in psychotherapy while operating the vehicle because attention and safety are compromised.</w:t>
      </w:r>
    </w:p>
    <w:p>
      <w:pPr>
        <w:pStyle w:val="CTAHeading2"/>
        <w:keepNext/>
      </w:pPr>
      <w:r>
        <w:rPr>
          <w:rFonts w:ascii="Lato" w:hAnsi="Lato" w:eastAsia="Lato"/>
          <w:b/>
          <w:i w:val="0"/>
          <w:color w:val="0B2447"/>
          <w:sz w:val="26"/>
        </w:rPr>
        <w:t>10. Recording, Transcription, and Ambient Technology</w:t>
      </w:r>
    </w:p>
    <w:p>
      <w:pPr>
        <w:pStyle w:val="CTABody"/>
      </w:pPr>
      <w:r>
        <w:rPr>
          <w:rFonts w:ascii="Lato" w:hAnsi="Lato" w:eastAsia="Lato"/>
          <w:b w:val="0"/>
          <w:i w:val="0"/>
        </w:rPr>
        <w:t>Telehealth platforms increasingly include automatic recording, transcription, summaries, captions, or artificial-intelligence features. These functions may create additional copies of highly sensitive information and may transmit information to additional vendors or storage locations.</w:t>
      </w:r>
    </w:p>
    <w:p>
      <w:pPr>
        <w:pStyle w:val="CTABody"/>
      </w:pPr>
      <w:r>
        <w:rPr>
          <w:rFonts w:ascii="Lato" w:hAnsi="Lato" w:eastAsia="Lato"/>
          <w:b w:val="0"/>
          <w:i w:val="0"/>
        </w:rPr>
        <w:t>California Penal Code section 632 generally prohibits intentionally recording a confidential communication without the consent of all parties. Before a therapist records or enables transcription of a confidential session, the therapist should determine the lawful purpose, obtain the required consent, explain storage and access, evaluate vendor use, and implement appropriate retention and security controls.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Consent to receive telehealth is not automatically consent to record, transcribe, summarize, or use session content for artificial intelligence.</w:t>
            </w:r>
          </w:p>
        </w:tc>
      </w:tr>
    </w:tbl>
    <w:p>
      <w:pPr>
        <w:pStyle w:val="CTAHeading2"/>
        <w:keepNext/>
      </w:pPr>
      <w:r>
        <w:rPr>
          <w:rFonts w:ascii="Lato" w:hAnsi="Lato" w:eastAsia="Lato"/>
          <w:b/>
          <w:i w:val="0"/>
          <w:color w:val="0B2447"/>
          <w:sz w:val="26"/>
        </w:rPr>
        <w:t>11. Security Incident Is Not Automatically a Reportable Breach</w:t>
      </w:r>
    </w:p>
    <w:p>
      <w:pPr>
        <w:pStyle w:val="CTABody"/>
      </w:pPr>
      <w:r>
        <w:rPr>
          <w:rFonts w:ascii="Lato" w:hAnsi="Lato" w:eastAsia="Lato"/>
          <w:b w:val="0"/>
          <w:i w:val="0"/>
        </w:rPr>
        <w:t>A wrong link, suspicious login, lost device, unexpected participant, vendor vulnerability, or overheard statement is a security or privacy incident that requires attention. Whether it is a legally reportable breach depends on facts such as what information was involved, whether it was actually accessed or acquired, whether it was secured, who received it, and which laws and contracts apply.</w:t>
      </w:r>
    </w:p>
    <w:p>
      <w:pPr>
        <w:pStyle w:val="CTAHeading3"/>
        <w:keepNext/>
      </w:pPr>
      <w:r>
        <w:rPr>
          <w:rFonts w:ascii="Lato" w:hAnsi="Lato" w:eastAsia="Lato"/>
          <w:b/>
          <w:i w:val="0"/>
          <w:color w:val="384250"/>
          <w:sz w:val="23"/>
        </w:rPr>
        <w:t>Incident-Response Sequence</w:t>
      </w:r>
    </w:p>
    <w:p>
      <w:pPr>
        <w:pStyle w:val="CTABody"/>
        <w:spacing w:after="60"/>
        <w:ind w:left="403" w:hanging="259"/>
      </w:pPr>
      <w:r>
        <w:rPr>
          <w:rFonts w:ascii="Lato" w:hAnsi="Lato" w:eastAsia="Lato"/>
          <w:b/>
          <w:i w:val="0"/>
          <w:color w:val="0AA6A6"/>
        </w:rPr>
        <w:t xml:space="preserve">• </w:t>
      </w:r>
      <w:r>
        <w:rPr>
          <w:rFonts w:ascii="Lato" w:hAnsi="Lato" w:eastAsia="Lato"/>
          <w:b w:val="0"/>
          <w:i w:val="0"/>
        </w:rPr>
        <w:t>Contain - stop ongoing access, remove an unauthorized participant, disable credentials, lock or remotely wipe a device, or suspend the affected feature when appropriate.</w:t>
      </w:r>
    </w:p>
    <w:p>
      <w:pPr>
        <w:pStyle w:val="CTABody"/>
        <w:spacing w:after="60"/>
        <w:ind w:left="403" w:hanging="259"/>
      </w:pPr>
      <w:r>
        <w:rPr>
          <w:rFonts w:ascii="Lato" w:hAnsi="Lato" w:eastAsia="Lato"/>
          <w:b/>
          <w:i w:val="0"/>
          <w:color w:val="0AA6A6"/>
        </w:rPr>
        <w:t xml:space="preserve">• </w:t>
      </w:r>
      <w:r>
        <w:rPr>
          <w:rFonts w:ascii="Lato" w:hAnsi="Lato" w:eastAsia="Lato"/>
          <w:b w:val="0"/>
          <w:i w:val="0"/>
        </w:rPr>
        <w:t>Assess - identify the information involved, who may have accessed it, whether encryption or other safeguards were effective, and whether client safety or care is affected.</w:t>
      </w:r>
    </w:p>
    <w:p>
      <w:pPr>
        <w:pStyle w:val="CTABody"/>
        <w:spacing w:after="60"/>
        <w:ind w:left="403" w:hanging="259"/>
      </w:pPr>
      <w:r>
        <w:rPr>
          <w:rFonts w:ascii="Lato" w:hAnsi="Lato" w:eastAsia="Lato"/>
          <w:b/>
          <w:i w:val="0"/>
          <w:color w:val="0AA6A6"/>
        </w:rPr>
        <w:t xml:space="preserve">• </w:t>
      </w:r>
      <w:r>
        <w:rPr>
          <w:rFonts w:ascii="Lato" w:hAnsi="Lato" w:eastAsia="Lato"/>
          <w:b w:val="0"/>
          <w:i w:val="0"/>
        </w:rPr>
        <w:t>Preserve and document - retain relevant facts, system information, communications, decisions, and corrective actions. Do not destroy records to conceal the event.</w:t>
      </w:r>
    </w:p>
    <w:p>
      <w:pPr>
        <w:pStyle w:val="CTABody"/>
        <w:spacing w:after="60"/>
        <w:ind w:left="403" w:hanging="259"/>
      </w:pPr>
      <w:r>
        <w:rPr>
          <w:rFonts w:ascii="Lato" w:hAnsi="Lato" w:eastAsia="Lato"/>
          <w:b/>
          <w:i w:val="0"/>
          <w:color w:val="0AA6A6"/>
        </w:rPr>
        <w:t xml:space="preserve">• </w:t>
      </w:r>
      <w:r>
        <w:rPr>
          <w:rFonts w:ascii="Lato" w:hAnsi="Lato" w:eastAsia="Lato"/>
          <w:b w:val="0"/>
          <w:i w:val="0"/>
        </w:rPr>
        <w:t>Consult and follow required processes - use organizational policies, supervisor or employer procedures, vendor and BAA terms, legal or privacy consultation, cyber-insurance requirements, and applicable reporting rules.</w:t>
      </w:r>
    </w:p>
    <w:p>
      <w:pPr>
        <w:pStyle w:val="CTABody"/>
        <w:spacing w:after="60"/>
        <w:ind w:left="403" w:hanging="259"/>
      </w:pPr>
      <w:r>
        <w:rPr>
          <w:rFonts w:ascii="Lato" w:hAnsi="Lato" w:eastAsia="Lato"/>
          <w:b/>
          <w:i w:val="0"/>
          <w:color w:val="0AA6A6"/>
        </w:rPr>
        <w:t xml:space="preserve">• </w:t>
      </w:r>
      <w:r>
        <w:rPr>
          <w:rFonts w:ascii="Lato" w:hAnsi="Lato" w:eastAsia="Lato"/>
          <w:b w:val="0"/>
          <w:i w:val="0"/>
        </w:rPr>
        <w:t>Notify when required - provide legally required notice to the appropriate person or agency after the necessary assessment; do not assume that every incident requires the same notification.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Correct and monitor - change practices, access, training, settings, or technology to reduce recurrence.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The first response to suspected unauthorized access is usually to contain and assess it - not to wait for a complaint, delete the record, or automatically announce that a legal breach occurred.</w:t>
            </w:r>
          </w:p>
        </w:tc>
      </w:tr>
    </w:tbl>
    <w:p>
      <w:pPr>
        <w:pStyle w:val="CTAHeading2"/>
        <w:keepNext/>
      </w:pPr>
      <w:r>
        <w:rPr>
          <w:rFonts w:ascii="Lato" w:hAnsi="Lato" w:eastAsia="Lato"/>
          <w:b/>
          <w:i w:val="0"/>
          <w:color w:val="0B2447"/>
          <w:sz w:val="26"/>
        </w:rPr>
        <w:t>12. Legal Requirements vs. Risk-Management Practices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California Legal/BBS Requirement</w:t>
            </w:r>
          </w:p>
        </w:tc>
        <w:tc>
          <w:tcPr>
            <w:tcW w:type="dxa" w:w="4980"/>
            <w:shd w:fill="0B2447"/>
          </w:tcPr>
          <w:p>
            <w:pPr>
              <w:jc w:val="center"/>
            </w:pPr>
            <w:r>
              <w:rPr>
                <w:rFonts w:ascii="Lato" w:hAnsi="Lato" w:eastAsia="Lato"/>
                <w:b/>
                <w:i w:val="0"/>
                <w:color w:val="FFFFFF"/>
                <w:sz w:val="18"/>
              </w:rPr>
              <w:t>Risk-Management Practice</w:t>
            </w:r>
          </w:p>
        </w:tc>
      </w:tr>
      <w:tr>
        <w:trPr>
          <w:cantSplit w:val="1"/>
        </w:trPr>
        <w:tc>
          <w:tcPr>
            <w:tcW w:type="dxa" w:w="4980"/>
            <w:shd w:fill="EEF3F8"/>
            <w:vAlign w:val="top"/>
          </w:tcPr>
          <w:p>
            <w:pPr>
              <w:spacing w:after="0" w:line="245" w:lineRule="auto"/>
            </w:pPr>
            <w:r>
              <w:rPr>
                <w:rFonts w:ascii="Lato" w:hAnsi="Lato" w:eastAsia="Lato"/>
                <w:b/>
                <w:i w:val="0"/>
                <w:color w:val="0B2447"/>
                <w:sz w:val="17"/>
              </w:rPr>
              <w:t>Comply with applicable federal and state privacy, confidentiality, and security law each time telehealth is provided.</w:t>
            </w:r>
          </w:p>
        </w:tc>
        <w:tc>
          <w:tcPr>
            <w:tcW w:type="dxa" w:w="4980"/>
            <w:vAlign w:val="top"/>
          </w:tcPr>
          <w:p>
            <w:pPr>
              <w:spacing w:after="0" w:line="245" w:lineRule="auto"/>
            </w:pPr>
            <w:r>
              <w:rPr>
                <w:rFonts w:ascii="Lato" w:hAnsi="Lato" w:eastAsia="Lato"/>
                <w:b w:val="0"/>
                <w:i w:val="0"/>
                <w:color w:val="111827"/>
                <w:sz w:val="17"/>
              </w:rPr>
              <w:t>Assess both environments, platform features, devices, accounts, networks, vendors, and access.</w:t>
            </w:r>
          </w:p>
        </w:tc>
      </w:tr>
      <w:tr>
        <w:trPr>
          <w:cantSplit w:val="1"/>
        </w:trPr>
        <w:tc>
          <w:tcPr>
            <w:tcW w:type="dxa" w:w="4980"/>
            <w:shd w:fill="EEF3F8"/>
            <w:vAlign w:val="top"/>
          </w:tcPr>
          <w:p>
            <w:pPr>
              <w:spacing w:after="0" w:line="245" w:lineRule="auto"/>
            </w:pPr>
            <w:r>
              <w:rPr>
                <w:rFonts w:ascii="Lato" w:hAnsi="Lato" w:eastAsia="Lato"/>
                <w:b/>
                <w:i w:val="0"/>
                <w:color w:val="0B2447"/>
                <w:sz w:val="17"/>
              </w:rPr>
              <w:t>Comply with the CMIA regarding client medical information.</w:t>
            </w:r>
          </w:p>
        </w:tc>
        <w:tc>
          <w:tcPr>
            <w:tcW w:type="dxa" w:w="4980"/>
            <w:vAlign w:val="top"/>
          </w:tcPr>
          <w:p>
            <w:pPr>
              <w:spacing w:after="0" w:line="245" w:lineRule="auto"/>
            </w:pPr>
            <w:r>
              <w:rPr>
                <w:rFonts w:ascii="Lato" w:hAnsi="Lato" w:eastAsia="Lato"/>
                <w:b w:val="0"/>
                <w:i w:val="0"/>
                <w:color w:val="111827"/>
                <w:sz w:val="17"/>
              </w:rPr>
              <w:t>Limit information collection and retention to what is needed, and prevent unnecessary copies.</w:t>
            </w:r>
          </w:p>
        </w:tc>
      </w:tr>
      <w:tr>
        <w:trPr>
          <w:cantSplit w:val="1"/>
        </w:trPr>
        <w:tc>
          <w:tcPr>
            <w:tcW w:type="dxa" w:w="4980"/>
            <w:shd w:fill="EEF3F8"/>
            <w:vAlign w:val="top"/>
          </w:tcPr>
          <w:p>
            <w:pPr>
              <w:spacing w:after="0" w:line="245" w:lineRule="auto"/>
            </w:pPr>
            <w:r>
              <w:rPr>
                <w:rFonts w:ascii="Lato" w:hAnsi="Lato" w:eastAsia="Lato"/>
                <w:b/>
                <w:i w:val="0"/>
                <w:color w:val="0B2447"/>
                <w:sz w:val="17"/>
              </w:rPr>
              <w:t>Comply with the BBS regulation’s referenced HIPAA security standards with respect to client PHI.</w:t>
            </w:r>
          </w:p>
        </w:tc>
        <w:tc>
          <w:tcPr>
            <w:tcW w:type="dxa" w:w="4980"/>
            <w:vAlign w:val="top"/>
          </w:tcPr>
          <w:p>
            <w:pPr>
              <w:spacing w:after="0" w:line="245" w:lineRule="auto"/>
            </w:pPr>
            <w:r>
              <w:rPr>
                <w:rFonts w:ascii="Lato" w:hAnsi="Lato" w:eastAsia="Lato"/>
                <w:b w:val="0"/>
                <w:i w:val="0"/>
                <w:color w:val="111827"/>
                <w:sz w:val="17"/>
              </w:rPr>
              <w:t>Use risk analysis, unique access, strong passwords, multi-factor authentication when appropriate, updates, encryption, backup, and recovery.</w:t>
            </w:r>
          </w:p>
        </w:tc>
      </w:tr>
      <w:tr>
        <w:trPr>
          <w:cantSplit w:val="1"/>
        </w:trPr>
        <w:tc>
          <w:tcPr>
            <w:tcW w:type="dxa" w:w="4980"/>
            <w:shd w:fill="EEF3F8"/>
            <w:vAlign w:val="top"/>
          </w:tcPr>
          <w:p>
            <w:pPr>
              <w:spacing w:after="0" w:line="245" w:lineRule="auto"/>
            </w:pPr>
            <w:r>
              <w:rPr>
                <w:rFonts w:ascii="Lato" w:hAnsi="Lato" w:eastAsia="Lato"/>
                <w:b/>
                <w:i w:val="0"/>
                <w:color w:val="0B2447"/>
                <w:sz w:val="17"/>
              </w:rPr>
              <w:t>Follow California consent law before recording a confidential communication.</w:t>
            </w:r>
          </w:p>
        </w:tc>
        <w:tc>
          <w:tcPr>
            <w:tcW w:type="dxa" w:w="4980"/>
            <w:vAlign w:val="top"/>
          </w:tcPr>
          <w:p>
            <w:pPr>
              <w:spacing w:after="0" w:line="245" w:lineRule="auto"/>
            </w:pPr>
            <w:r>
              <w:rPr>
                <w:rFonts w:ascii="Lato" w:hAnsi="Lato" w:eastAsia="Lato"/>
                <w:b w:val="0"/>
                <w:i w:val="0"/>
                <w:color w:val="111827"/>
                <w:sz w:val="17"/>
              </w:rPr>
              <w:t>Disable default recording or transcription unless there is a clear lawful and clinical purpose.</w:t>
            </w:r>
          </w:p>
        </w:tc>
      </w:tr>
      <w:tr>
        <w:trPr>
          <w:cantSplit w:val="1"/>
        </w:trPr>
        <w:tc>
          <w:tcPr>
            <w:tcW w:type="dxa" w:w="4980"/>
            <w:shd w:fill="EEF3F8"/>
            <w:vAlign w:val="top"/>
          </w:tcPr>
          <w:p>
            <w:pPr>
              <w:spacing w:after="0" w:line="245" w:lineRule="auto"/>
            </w:pPr>
            <w:r>
              <w:rPr>
                <w:rFonts w:ascii="Lato" w:hAnsi="Lato" w:eastAsia="Lato"/>
                <w:b/>
                <w:i w:val="0"/>
                <w:color w:val="0B2447"/>
                <w:sz w:val="17"/>
              </w:rPr>
              <w:t>Protect confidentiality and avoid unauthorized disclosure.</w:t>
            </w:r>
          </w:p>
        </w:tc>
        <w:tc>
          <w:tcPr>
            <w:tcW w:type="dxa" w:w="4980"/>
            <w:vAlign w:val="top"/>
          </w:tcPr>
          <w:p>
            <w:pPr>
              <w:spacing w:after="0" w:line="245" w:lineRule="auto"/>
            </w:pPr>
            <w:r>
              <w:rPr>
                <w:rFonts w:ascii="Lato" w:hAnsi="Lato" w:eastAsia="Lato"/>
                <w:b w:val="0"/>
                <w:i w:val="0"/>
                <w:color w:val="111827"/>
                <w:sz w:val="17"/>
              </w:rPr>
              <w:t>Use private spaces, headphones, screen protection, controlled links, waiting rooms, and verified participants.</w:t>
            </w:r>
          </w:p>
        </w:tc>
      </w:tr>
      <w:tr>
        <w:trPr>
          <w:cantSplit w:val="1"/>
        </w:trPr>
        <w:tc>
          <w:tcPr>
            <w:tcW w:type="dxa" w:w="4980"/>
            <w:shd w:fill="EEF3F8"/>
            <w:vAlign w:val="top"/>
          </w:tcPr>
          <w:p>
            <w:pPr>
              <w:spacing w:after="0" w:line="245" w:lineRule="auto"/>
            </w:pPr>
            <w:r>
              <w:rPr>
                <w:rFonts w:ascii="Lato" w:hAnsi="Lato" w:eastAsia="Lato"/>
                <w:b/>
                <w:i w:val="0"/>
                <w:color w:val="0B2447"/>
                <w:sz w:val="17"/>
              </w:rPr>
              <w:t>Respond in accordance with applicable incident and breach rules.</w:t>
            </w:r>
          </w:p>
        </w:tc>
        <w:tc>
          <w:tcPr>
            <w:tcW w:type="dxa" w:w="4980"/>
            <w:vAlign w:val="top"/>
          </w:tcPr>
          <w:p>
            <w:pPr>
              <w:spacing w:after="0" w:line="245" w:lineRule="auto"/>
            </w:pPr>
            <w:r>
              <w:rPr>
                <w:rFonts w:ascii="Lato" w:hAnsi="Lato" w:eastAsia="Lato"/>
                <w:b w:val="0"/>
                <w:i w:val="0"/>
                <w:color w:val="111827"/>
                <w:sz w:val="17"/>
              </w:rPr>
              <w:t>Maintain a written response process and obtain privacy or legal consultation for uncertain events.</w:t>
            </w:r>
          </w:p>
        </w:tc>
      </w:tr>
    </w:tbl>
    <w:p>
      <w:pPr>
        <w:pStyle w:val="CTAHeading2"/>
        <w:keepNext/>
      </w:pPr>
      <w:r>
        <w:rPr>
          <w:rFonts w:ascii="Lato" w:hAnsi="Lato" w:eastAsia="Lato"/>
          <w:b/>
          <w:i w:val="0"/>
          <w:color w:val="0B2447"/>
          <w:sz w:val="26"/>
        </w:rPr>
        <w:t>What Do I Do First?</w:t>
      </w:r>
    </w:p>
    <w:p>
      <w:pPr>
        <w:pStyle w:val="CTABody"/>
      </w:pPr>
      <w:r>
        <w:rPr>
          <w:rFonts w:ascii="Lato" w:hAnsi="Lato" w:eastAsia="Lato"/>
          <w:b/>
          <w:i w:val="0"/>
          <w:color w:val="0B2447"/>
        </w:rPr>
        <w:t xml:space="preserve">Step 1 - Someone enters the client’s room: </w:t>
      </w:r>
      <w:r>
        <w:rPr>
          <w:rFonts w:ascii="Lato" w:hAnsi="Lato" w:eastAsia="Lato"/>
          <w:b w:val="0"/>
          <w:i w:val="0"/>
        </w:rPr>
        <w:t>Pause sensitive discussion, identify who is present, assess the client’s wishes and ability to speak freely, and restore privacy before proceeding.</w:t>
      </w:r>
    </w:p>
    <w:p>
      <w:pPr>
        <w:pStyle w:val="CTABody"/>
      </w:pPr>
      <w:r>
        <w:rPr>
          <w:rFonts w:ascii="Lato" w:hAnsi="Lato" w:eastAsia="Lato"/>
          <w:b/>
          <w:i w:val="0"/>
          <w:color w:val="0B2447"/>
        </w:rPr>
        <w:t xml:space="preserve">Step 2 - An unknown participant appears in the virtual meeting: </w:t>
      </w:r>
      <w:r>
        <w:rPr>
          <w:rFonts w:ascii="Lato" w:hAnsi="Lato" w:eastAsia="Lato"/>
          <w:b w:val="0"/>
          <w:i w:val="0"/>
        </w:rPr>
        <w:t>Remove or block access, secure the session, verify authorized participants, and assess whether information was exposed.</w:t>
      </w:r>
    </w:p>
    <w:p>
      <w:pPr>
        <w:pStyle w:val="CTABody"/>
      </w:pPr>
      <w:r>
        <w:rPr>
          <w:rFonts w:ascii="Lato" w:hAnsi="Lato" w:eastAsia="Lato"/>
          <w:b/>
          <w:i w:val="0"/>
          <w:color w:val="0B2447"/>
        </w:rPr>
        <w:t xml:space="preserve">Step 3 - A device containing client information is lost: </w:t>
      </w:r>
      <w:r>
        <w:rPr>
          <w:rFonts w:ascii="Lato" w:hAnsi="Lato" w:eastAsia="Lato"/>
          <w:b w:val="0"/>
          <w:i w:val="0"/>
        </w:rPr>
        <w:t>Secure or disable access immediately when possible, determine what information was present and protected, and follow incident-response requirements.</w:t>
      </w:r>
    </w:p>
    <w:p>
      <w:pPr>
        <w:pStyle w:val="CTABody"/>
      </w:pPr>
      <w:r>
        <w:rPr>
          <w:rFonts w:ascii="Lato" w:hAnsi="Lato" w:eastAsia="Lato"/>
          <w:b/>
          <w:i w:val="0"/>
          <w:color w:val="0B2447"/>
        </w:rPr>
        <w:t xml:space="preserve">Step 4 - A vendor reports a vulnerability: </w:t>
      </w:r>
      <w:r>
        <w:rPr>
          <w:rFonts w:ascii="Lato" w:hAnsi="Lato" w:eastAsia="Lato"/>
          <w:b w:val="0"/>
          <w:i w:val="0"/>
        </w:rPr>
        <w:t>Assess exposure and current risk, implement protective steps, review vendor obligations and alternatives, and document the response.</w:t>
      </w:r>
    </w:p>
    <w:p>
      <w:pPr>
        <w:pStyle w:val="CTABody"/>
      </w:pPr>
      <w:r>
        <w:rPr>
          <w:rFonts w:ascii="Lato" w:hAnsi="Lato" w:eastAsia="Lato"/>
          <w:b/>
          <w:i w:val="0"/>
          <w:color w:val="0B2447"/>
        </w:rPr>
        <w:t xml:space="preserve">Step 5 - A client cannot obtain ideal privacy: </w:t>
      </w:r>
      <w:r>
        <w:rPr>
          <w:rFonts w:ascii="Lato" w:hAnsi="Lato" w:eastAsia="Lato"/>
          <w:b w:val="0"/>
          <w:i w:val="0"/>
        </w:rPr>
        <w:t>Explore realistic safeguards and decide whether the intended session can proceed safely and effectively rather than automatically blaming or discharging the client.</w:t>
      </w:r>
    </w:p>
    <w:p>
      <w:pPr>
        <w:pStyle w:val="CTAHeading2"/>
        <w:keepNext/>
      </w:pPr>
      <w:r>
        <w:rPr>
          <w:rFonts w:ascii="Lato" w:hAnsi="Lato" w:eastAsia="Lato"/>
          <w:b/>
          <w:i w:val="0"/>
          <w:color w:val="0B2447"/>
          <w:sz w:val="26"/>
        </w:rPr>
        <w:t>Clinical Application</w:t>
      </w:r>
    </w:p>
    <w:p>
      <w:pPr>
        <w:pStyle w:val="CTAHeading3"/>
        <w:keepNext/>
      </w:pPr>
      <w:r>
        <w:rPr>
          <w:rFonts w:ascii="Lato" w:hAnsi="Lato" w:eastAsia="Lato"/>
          <w:b/>
          <w:i w:val="0"/>
          <w:color w:val="384250"/>
          <w:sz w:val="23"/>
        </w:rPr>
        <w:t>Scenario: The Employer-Managed Laptop</w:t>
      </w:r>
    </w:p>
    <w:p>
      <w:pPr>
        <w:pStyle w:val="CTABody"/>
      </w:pPr>
      <w:r>
        <w:rPr>
          <w:rFonts w:ascii="Lato" w:hAnsi="Lato" w:eastAsia="Lato"/>
          <w:b w:val="0"/>
          <w:i w:val="0"/>
        </w:rPr>
        <w:t>A client attends telehealth from a private office at work using an employer-owned laptop and the employer’s network. The client says no one can physically hear the conversation, but the client is unsure whether the employer monitors the device or network.</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therapist should not guarantee privacy merely because the office door is closed. The therapist should explain the potential device and network risks, determine whether a personal device or another location is available, assess whether the client can participate freely, and decide whether the session can proceed appropriately. The answer is not automatic termination, but it is also not ignoring the technology risk.</w:t>
      </w:r>
    </w:p>
    <w:p>
      <w:pPr>
        <w:pStyle w:val="CTAHeading3"/>
        <w:keepNext/>
      </w:pPr>
      <w:r>
        <w:rPr>
          <w:rFonts w:ascii="Lato" w:hAnsi="Lato" w:eastAsia="Lato"/>
          <w:b/>
          <w:i w:val="0"/>
          <w:color w:val="384250"/>
          <w:sz w:val="23"/>
        </w:rPr>
        <w:t>What Is Being Tested?</w:t>
      </w:r>
    </w:p>
    <w:p>
      <w:pPr>
        <w:pStyle w:val="CTABody"/>
        <w:spacing w:after="60"/>
        <w:ind w:left="403" w:hanging="259"/>
      </w:pPr>
      <w:r>
        <w:rPr>
          <w:rFonts w:ascii="Lato" w:hAnsi="Lato" w:eastAsia="Lato"/>
          <w:b/>
          <w:i w:val="0"/>
          <w:color w:val="0AA6A6"/>
        </w:rPr>
        <w:t xml:space="preserve">• </w:t>
      </w:r>
      <w:r>
        <w:rPr>
          <w:rFonts w:ascii="Lato" w:hAnsi="Lato" w:eastAsia="Lato"/>
          <w:b w:val="0"/>
          <w:i w:val="0"/>
        </w:rPr>
        <w:t>Environmental privacy versus technology security</w:t>
      </w:r>
    </w:p>
    <w:p>
      <w:pPr>
        <w:pStyle w:val="CTABody"/>
        <w:spacing w:after="60"/>
        <w:ind w:left="403" w:hanging="259"/>
      </w:pPr>
      <w:r>
        <w:rPr>
          <w:rFonts w:ascii="Lato" w:hAnsi="Lato" w:eastAsia="Lato"/>
          <w:b/>
          <w:i w:val="0"/>
          <w:color w:val="0AA6A6"/>
        </w:rPr>
        <w:t xml:space="preserve">• </w:t>
      </w:r>
      <w:r>
        <w:rPr>
          <w:rFonts w:ascii="Lato" w:hAnsi="Lato" w:eastAsia="Lato"/>
          <w:b w:val="0"/>
          <w:i w:val="0"/>
        </w:rPr>
        <w:t>Workplace monitoring risk</w:t>
      </w:r>
    </w:p>
    <w:p>
      <w:pPr>
        <w:pStyle w:val="CTABody"/>
        <w:spacing w:after="60"/>
        <w:ind w:left="403" w:hanging="259"/>
      </w:pPr>
      <w:r>
        <w:rPr>
          <w:rFonts w:ascii="Lato" w:hAnsi="Lato" w:eastAsia="Lato"/>
          <w:b/>
          <w:i w:val="0"/>
          <w:color w:val="0AA6A6"/>
        </w:rPr>
        <w:t xml:space="preserve">• </w:t>
      </w:r>
      <w:r>
        <w:rPr>
          <w:rFonts w:ascii="Lato" w:hAnsi="Lato" w:eastAsia="Lato"/>
          <w:b w:val="0"/>
          <w:i w:val="0"/>
        </w:rPr>
        <w:t>Client education without absolute guarantees</w:t>
      </w:r>
    </w:p>
    <w:p>
      <w:pPr>
        <w:pStyle w:val="CTABody"/>
        <w:spacing w:after="60"/>
        <w:ind w:left="403" w:hanging="259"/>
      </w:pPr>
      <w:r>
        <w:rPr>
          <w:rFonts w:ascii="Lato" w:hAnsi="Lato" w:eastAsia="Lato"/>
          <w:b/>
          <w:i w:val="0"/>
          <w:color w:val="0AA6A6"/>
        </w:rPr>
        <w:t xml:space="preserve">• </w:t>
      </w:r>
      <w:r>
        <w:rPr>
          <w:rFonts w:ascii="Lato" w:hAnsi="Lato" w:eastAsia="Lato"/>
          <w:b w:val="0"/>
          <w:i w:val="0"/>
        </w:rPr>
        <w:t>Ongoing telehealth appropriateness</w:t>
      </w:r>
    </w:p>
    <w:p>
      <w:pPr>
        <w:pStyle w:val="CTAHeading2"/>
        <w:keepNext/>
      </w:pPr>
      <w:r>
        <w:rPr>
          <w:rFonts w:ascii="Lato" w:hAnsi="Lato" w:eastAsia="Lato"/>
          <w:b/>
          <w:i w:val="0"/>
          <w:color w:val="0B2447"/>
          <w:sz w:val="26"/>
        </w:rPr>
        <w:t>Common Exam Traps</w:t>
      </w:r>
    </w:p>
    <w:p>
      <w:pPr>
        <w:pStyle w:val="CTABody"/>
      </w:pPr>
      <w:r>
        <w:rPr>
          <w:rFonts w:ascii="Lato" w:hAnsi="Lato" w:eastAsia="Lato"/>
          <w:b/>
          <w:i w:val="0"/>
          <w:color w:val="9B1C1C"/>
        </w:rPr>
        <w:t xml:space="preserve">Trap 1: “A secure platform guarantees a private session.” </w:t>
      </w:r>
      <w:r>
        <w:rPr>
          <w:rFonts w:ascii="Lato" w:hAnsi="Lato" w:eastAsia="Lato"/>
          <w:b w:val="0"/>
          <w:i w:val="0"/>
        </w:rPr>
        <w:t>The platform cannot prevent a roommate, smart speaker, visible screen, or shared password from exposing information.</w:t>
      </w:r>
    </w:p>
    <w:p>
      <w:pPr>
        <w:pStyle w:val="CTABody"/>
      </w:pPr>
      <w:r>
        <w:rPr>
          <w:rFonts w:ascii="Lato" w:hAnsi="Lato" w:eastAsia="Lato"/>
          <w:b/>
          <w:i w:val="0"/>
          <w:color w:val="9B1C1C"/>
        </w:rPr>
        <w:t xml:space="preserve">Trap 2: “HIPAA applies identically to every therapist as direct federal law.” </w:t>
      </w:r>
      <w:r>
        <w:rPr>
          <w:rFonts w:ascii="Lato" w:hAnsi="Lato" w:eastAsia="Lato"/>
          <w:b w:val="0"/>
          <w:i w:val="0"/>
        </w:rPr>
        <w:t>Federal covered-entity status must be analyzed, but California law and the BBS regulation still impose confidentiality and security duties.</w:t>
      </w:r>
    </w:p>
    <w:p>
      <w:pPr>
        <w:pStyle w:val="CTABody"/>
      </w:pPr>
      <w:r>
        <w:rPr>
          <w:rFonts w:ascii="Lato" w:hAnsi="Lato" w:eastAsia="Lato"/>
          <w:b/>
          <w:i w:val="0"/>
          <w:color w:val="9B1C1C"/>
        </w:rPr>
        <w:t xml:space="preserve">Trap 3: “A BAA proves compliance.” </w:t>
      </w:r>
      <w:r>
        <w:rPr>
          <w:rFonts w:ascii="Lato" w:hAnsi="Lato" w:eastAsia="Lato"/>
          <w:b w:val="0"/>
          <w:i w:val="0"/>
        </w:rPr>
        <w:t>A BAA does not replace risk analysis, secure configuration, access control, training, or appropriate use.</w:t>
      </w:r>
    </w:p>
    <w:p>
      <w:pPr>
        <w:pStyle w:val="CTABody"/>
      </w:pPr>
      <w:r>
        <w:rPr>
          <w:rFonts w:ascii="Lato" w:hAnsi="Lato" w:eastAsia="Lato"/>
          <w:b/>
          <w:i w:val="0"/>
          <w:color w:val="9B1C1C"/>
        </w:rPr>
        <w:t xml:space="preserve">Trap 4: “A public location always requires termination.” </w:t>
      </w:r>
      <w:r>
        <w:rPr>
          <w:rFonts w:ascii="Lato" w:hAnsi="Lato" w:eastAsia="Lato"/>
          <w:b w:val="0"/>
          <w:i w:val="0"/>
        </w:rPr>
        <w:t>Assess the actual environment and whether privacy and effective treatment can reasonably be restored.</w:t>
      </w:r>
    </w:p>
    <w:p>
      <w:pPr>
        <w:pStyle w:val="CTABody"/>
      </w:pPr>
      <w:r>
        <w:rPr>
          <w:rFonts w:ascii="Lato" w:hAnsi="Lato" w:eastAsia="Lato"/>
          <w:b/>
          <w:i w:val="0"/>
          <w:color w:val="9B1C1C"/>
        </w:rPr>
        <w:t xml:space="preserve">Trap 5: “The client is solely responsible for privacy.” </w:t>
      </w:r>
      <w:r>
        <w:rPr>
          <w:rFonts w:ascii="Lato" w:hAnsi="Lato" w:eastAsia="Lato"/>
          <w:b w:val="0"/>
          <w:i w:val="0"/>
        </w:rPr>
        <w:t>The therapist cannot control everything, but must discuss risks, use safeguards, and assess appropriateness.</w:t>
      </w:r>
    </w:p>
    <w:p>
      <w:pPr>
        <w:pStyle w:val="CTABody"/>
      </w:pPr>
      <w:r>
        <w:rPr>
          <w:rFonts w:ascii="Lato" w:hAnsi="Lato" w:eastAsia="Lato"/>
          <w:b/>
          <w:i w:val="0"/>
          <w:color w:val="9B1C1C"/>
        </w:rPr>
        <w:t xml:space="preserve">Trap 6: “Any incident is automatically a reportable breach.” </w:t>
      </w:r>
      <w:r>
        <w:rPr>
          <w:rFonts w:ascii="Lato" w:hAnsi="Lato" w:eastAsia="Lato"/>
          <w:b w:val="0"/>
          <w:i w:val="0"/>
        </w:rPr>
        <w:t>Contain and assess first. Reporting duties depend on the facts and applicable rules.</w:t>
      </w:r>
    </w:p>
    <w:p>
      <w:pPr>
        <w:pStyle w:val="CTABody"/>
      </w:pPr>
      <w:r>
        <w:rPr>
          <w:rFonts w:ascii="Lato" w:hAnsi="Lato" w:eastAsia="Lato"/>
          <w:b/>
          <w:i w:val="0"/>
          <w:color w:val="9B1C1C"/>
        </w:rPr>
        <w:t xml:space="preserve">Trap 7: “Delete the information after an incident.” </w:t>
      </w:r>
      <w:r>
        <w:rPr>
          <w:rFonts w:ascii="Lato" w:hAnsi="Lato" w:eastAsia="Lato"/>
          <w:b w:val="0"/>
          <w:i w:val="0"/>
        </w:rPr>
        <w:t>Improper destruction may worsen the problem and eliminate evidence needed for assessment and documentation.</w:t>
      </w:r>
    </w:p>
    <w:p>
      <w:pPr>
        <w:pStyle w:val="CTABody"/>
      </w:pPr>
      <w:r>
        <w:rPr>
          <w:rFonts w:ascii="Lato" w:hAnsi="Lato" w:eastAsia="Lato"/>
          <w:b/>
          <w:i w:val="0"/>
          <w:color w:val="9B1C1C"/>
        </w:rPr>
        <w:t xml:space="preserve">Trap 8: “Telehealth consent includes recording consent.” </w:t>
      </w:r>
      <w:r>
        <w:rPr>
          <w:rFonts w:ascii="Lato" w:hAnsi="Lato" w:eastAsia="Lato"/>
          <w:b w:val="0"/>
          <w:i w:val="0"/>
        </w:rPr>
        <w:t>Recording and transcription require separate legal and clinical analysis.</w:t>
      </w:r>
    </w:p>
    <w:p>
      <w:pPr>
        <w:pStyle w:val="CTAHeading2"/>
        <w:keepNext/>
      </w:pPr>
      <w:r>
        <w:rPr>
          <w:rFonts w:ascii="Lato" w:hAnsi="Lato" w:eastAsia="Lato"/>
          <w:b/>
          <w:i w:val="0"/>
          <w:color w:val="0B2447"/>
          <w:sz w:val="26"/>
        </w:rPr>
        <w:t>Exam Strategy</w:t>
      </w:r>
    </w:p>
    <w:p>
      <w:pPr>
        <w:pStyle w:val="CTABody"/>
      </w:pPr>
      <w:r>
        <w:rPr>
          <w:rFonts w:ascii="Lato" w:hAnsi="Lato" w:eastAsia="Lato"/>
          <w:b w:val="0"/>
          <w:i w:val="0"/>
        </w:rPr>
        <w:t>When a telehealth privacy or security question appears, use this sequence:</w:t>
      </w:r>
    </w:p>
    <w:p>
      <w:pPr>
        <w:pStyle w:val="CTABody"/>
        <w:spacing w:after="60"/>
        <w:ind w:left="403" w:hanging="259"/>
      </w:pPr>
      <w:r>
        <w:rPr>
          <w:rFonts w:ascii="Lato" w:hAnsi="Lato" w:eastAsia="Lato"/>
          <w:b/>
          <w:i w:val="0"/>
          <w:color w:val="0AA6A6"/>
        </w:rPr>
        <w:t xml:space="preserve">• </w:t>
      </w:r>
      <w:r>
        <w:rPr>
          <w:rFonts w:ascii="Lato" w:hAnsi="Lato" w:eastAsia="Lato"/>
          <w:b w:val="0"/>
          <w:i w:val="0"/>
        </w:rPr>
        <w:t>IDENTIFY - Is the problem environmental privacy, confidentiality, technology security, or more than one?</w:t>
      </w:r>
    </w:p>
    <w:p>
      <w:pPr>
        <w:pStyle w:val="CTABody"/>
        <w:spacing w:after="60"/>
        <w:ind w:left="403" w:hanging="259"/>
      </w:pPr>
      <w:r>
        <w:rPr>
          <w:rFonts w:ascii="Lato" w:hAnsi="Lato" w:eastAsia="Lato"/>
          <w:b/>
          <w:i w:val="0"/>
          <w:color w:val="0AA6A6"/>
        </w:rPr>
        <w:t xml:space="preserve">• </w:t>
      </w:r>
      <w:r>
        <w:rPr>
          <w:rFonts w:ascii="Lato" w:hAnsi="Lato" w:eastAsia="Lato"/>
          <w:b w:val="0"/>
          <w:i w:val="0"/>
        </w:rPr>
        <w:t>CONTAIN - Is information currently being exposed or accessed?</w:t>
      </w:r>
    </w:p>
    <w:p>
      <w:pPr>
        <w:pStyle w:val="CTABody"/>
        <w:spacing w:after="60"/>
        <w:ind w:left="403" w:hanging="259"/>
      </w:pPr>
      <w:r>
        <w:rPr>
          <w:rFonts w:ascii="Lato" w:hAnsi="Lato" w:eastAsia="Lato"/>
          <w:b/>
          <w:i w:val="0"/>
          <w:color w:val="0AA6A6"/>
        </w:rPr>
        <w:t xml:space="preserve">• </w:t>
      </w:r>
      <w:r>
        <w:rPr>
          <w:rFonts w:ascii="Lato" w:hAnsi="Lato" w:eastAsia="Lato"/>
          <w:b w:val="0"/>
          <w:i w:val="0"/>
        </w:rPr>
        <w:t>ASSESS - What information, person, device, account, vendor, or setting is involved?</w:t>
      </w:r>
    </w:p>
    <w:p>
      <w:pPr>
        <w:pStyle w:val="CTABody"/>
        <w:spacing w:after="60"/>
        <w:ind w:left="403" w:hanging="259"/>
      </w:pPr>
      <w:r>
        <w:rPr>
          <w:rFonts w:ascii="Lato" w:hAnsi="Lato" w:eastAsia="Lato"/>
          <w:b/>
          <w:i w:val="0"/>
          <w:color w:val="0AA6A6"/>
        </w:rPr>
        <w:t xml:space="preserve">• </w:t>
      </w:r>
      <w:r>
        <w:rPr>
          <w:rFonts w:ascii="Lato" w:hAnsi="Lato" w:eastAsia="Lato"/>
          <w:b w:val="0"/>
          <w:i w:val="0"/>
        </w:rPr>
        <w:t>PROTECT - What action best restores privacy, safety, and continuity without taking an unnecessary extreme?</w:t>
      </w:r>
    </w:p>
    <w:p>
      <w:pPr>
        <w:pStyle w:val="CTABody"/>
        <w:spacing w:after="60"/>
        <w:ind w:left="403" w:hanging="259"/>
      </w:pPr>
      <w:r>
        <w:rPr>
          <w:rFonts w:ascii="Lato" w:hAnsi="Lato" w:eastAsia="Lato"/>
          <w:b/>
          <w:i w:val="0"/>
          <w:color w:val="0AA6A6"/>
        </w:rPr>
        <w:t xml:space="preserve">• </w:t>
      </w:r>
      <w:r>
        <w:rPr>
          <w:rFonts w:ascii="Lato" w:hAnsi="Lato" w:eastAsia="Lato"/>
          <w:b w:val="0"/>
          <w:i w:val="0"/>
        </w:rPr>
        <w:t>DOCUMENT AND FOLLOW LAW - What policies, consultation, contracts, and notice rules apply?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IDENTIFY -&gt; CONTAIN -&gt; ASSESS -&gt; PROTECT -&gt; DOCUMENT</w:t>
            </w:r>
          </w:p>
        </w:tc>
      </w:tr>
    </w:tbl>
    <w:p>
      <w:pPr>
        <w:pStyle w:val="CTAHeading2"/>
        <w:keepNext/>
      </w:pPr>
      <w:r>
        <w:rPr>
          <w:rFonts w:ascii="Lato" w:hAnsi="Lato" w:eastAsia="Lato"/>
          <w:b/>
          <w:i w:val="0"/>
          <w:color w:val="0B2447"/>
          <w:sz w:val="26"/>
        </w:rPr>
        <w:t>Chapter Snapshot</w:t>
      </w:r>
    </w:p>
    <w:p>
      <w:pPr>
        <w:pStyle w:val="CTABody"/>
        <w:spacing w:after="60"/>
        <w:ind w:left="403" w:hanging="259"/>
      </w:pPr>
      <w:r>
        <w:rPr>
          <w:rFonts w:ascii="Lato" w:hAnsi="Lato" w:eastAsia="Lato"/>
          <w:b/>
          <w:i w:val="0"/>
          <w:color w:val="0AA6A6"/>
        </w:rPr>
        <w:t xml:space="preserve">• </w:t>
      </w:r>
      <w:r>
        <w:rPr>
          <w:rFonts w:ascii="Lato" w:hAnsi="Lato" w:eastAsia="Lato"/>
          <w:b w:val="0"/>
          <w:i w:val="0"/>
        </w:rPr>
        <w:t>Privacy, confidentiality, and security are related but distinct concepts.</w:t>
      </w:r>
    </w:p>
    <w:p>
      <w:pPr>
        <w:pStyle w:val="CTABody"/>
        <w:spacing w:after="60"/>
        <w:ind w:left="403" w:hanging="259"/>
      </w:pPr>
      <w:r>
        <w:rPr>
          <w:rFonts w:ascii="Lato" w:hAnsi="Lato" w:eastAsia="Lato"/>
          <w:b/>
          <w:i w:val="0"/>
          <w:color w:val="0AA6A6"/>
        </w:rPr>
        <w:t xml:space="preserve">• </w:t>
      </w:r>
      <w:r>
        <w:rPr>
          <w:rFonts w:ascii="Lato" w:hAnsi="Lato" w:eastAsia="Lato"/>
          <w:b w:val="0"/>
          <w:i w:val="0"/>
        </w:rPr>
        <w:t>California law applies confidentiality and professional-practice duties to telehealth.</w:t>
      </w:r>
    </w:p>
    <w:p>
      <w:pPr>
        <w:pStyle w:val="CTABody"/>
        <w:spacing w:after="60"/>
        <w:ind w:left="403" w:hanging="259"/>
      </w:pPr>
      <w:r>
        <w:rPr>
          <w:rFonts w:ascii="Lato" w:hAnsi="Lato" w:eastAsia="Lato"/>
          <w:b/>
          <w:i w:val="0"/>
          <w:color w:val="0AA6A6"/>
        </w:rPr>
        <w:t xml:space="preserve">• </w:t>
      </w:r>
      <w:r>
        <w:rPr>
          <w:rFonts w:ascii="Lato" w:hAnsi="Lato" w:eastAsia="Lato"/>
          <w:b w:val="0"/>
          <w:i w:val="0"/>
        </w:rPr>
        <w:t>BBS regulation section 1815.5(d)(3) expressly references the CMIA and HIPAA security standards.</w:t>
      </w:r>
    </w:p>
    <w:p>
      <w:pPr>
        <w:pStyle w:val="CTABody"/>
        <w:spacing w:after="60"/>
        <w:ind w:left="403" w:hanging="259"/>
      </w:pPr>
      <w:r>
        <w:rPr>
          <w:rFonts w:ascii="Lato" w:hAnsi="Lato" w:eastAsia="Lato"/>
          <w:b/>
          <w:i w:val="0"/>
          <w:color w:val="0AA6A6"/>
        </w:rPr>
        <w:t xml:space="preserve">• </w:t>
      </w:r>
      <w:r>
        <w:rPr>
          <w:rFonts w:ascii="Lato" w:hAnsi="Lato" w:eastAsia="Lato"/>
          <w:b w:val="0"/>
          <w:i w:val="0"/>
        </w:rPr>
        <w:t>A platform label or BAA does not eliminate the therapist’s duty to assess actual risk.</w:t>
      </w:r>
    </w:p>
    <w:p>
      <w:pPr>
        <w:pStyle w:val="CTABody"/>
        <w:spacing w:after="60"/>
        <w:ind w:left="403" w:hanging="259"/>
      </w:pPr>
      <w:r>
        <w:rPr>
          <w:rFonts w:ascii="Lato" w:hAnsi="Lato" w:eastAsia="Lato"/>
          <w:b/>
          <w:i w:val="0"/>
          <w:color w:val="0AA6A6"/>
        </w:rPr>
        <w:t xml:space="preserve">• </w:t>
      </w:r>
      <w:r>
        <w:rPr>
          <w:rFonts w:ascii="Lato" w:hAnsi="Lato" w:eastAsia="Lato"/>
          <w:b w:val="0"/>
          <w:i w:val="0"/>
        </w:rPr>
        <w:t>Both the therapist’s and client’s environments matter.</w:t>
      </w:r>
    </w:p>
    <w:p>
      <w:pPr>
        <w:pStyle w:val="CTABody"/>
        <w:spacing w:after="60"/>
        <w:ind w:left="403" w:hanging="259"/>
      </w:pPr>
      <w:r>
        <w:rPr>
          <w:rFonts w:ascii="Lato" w:hAnsi="Lato" w:eastAsia="Lato"/>
          <w:b/>
          <w:i w:val="0"/>
          <w:color w:val="0AA6A6"/>
        </w:rPr>
        <w:t xml:space="preserve">• </w:t>
      </w:r>
      <w:r>
        <w:rPr>
          <w:rFonts w:ascii="Lato" w:hAnsi="Lato" w:eastAsia="Lato"/>
          <w:b w:val="0"/>
          <w:i w:val="0"/>
        </w:rPr>
        <w:t>Third-party presence requires clarification, consent analysis, and assessment of coercion and treatment impact.</w:t>
      </w:r>
    </w:p>
    <w:p>
      <w:pPr>
        <w:pStyle w:val="CTABody"/>
        <w:spacing w:after="60"/>
        <w:ind w:left="403" w:hanging="259"/>
      </w:pPr>
      <w:r>
        <w:rPr>
          <w:rFonts w:ascii="Lato" w:hAnsi="Lato" w:eastAsia="Lato"/>
          <w:b/>
          <w:i w:val="0"/>
          <w:color w:val="0AA6A6"/>
        </w:rPr>
        <w:t xml:space="preserve">• </w:t>
      </w:r>
      <w:r>
        <w:rPr>
          <w:rFonts w:ascii="Lato" w:hAnsi="Lato" w:eastAsia="Lato"/>
          <w:b w:val="0"/>
          <w:i w:val="0"/>
        </w:rPr>
        <w:t>Public settings and shared technology are risk factors, not automatic answers.</w:t>
      </w:r>
    </w:p>
    <w:p>
      <w:pPr>
        <w:pStyle w:val="CTABody"/>
        <w:spacing w:after="60"/>
        <w:ind w:left="403" w:hanging="259"/>
      </w:pPr>
      <w:r>
        <w:rPr>
          <w:rFonts w:ascii="Lato" w:hAnsi="Lato" w:eastAsia="Lato"/>
          <w:b/>
          <w:i w:val="0"/>
          <w:color w:val="0AA6A6"/>
        </w:rPr>
        <w:t xml:space="preserve">• </w:t>
      </w:r>
      <w:r>
        <w:rPr>
          <w:rFonts w:ascii="Lato" w:hAnsi="Lato" w:eastAsia="Lato"/>
          <w:b w:val="0"/>
          <w:i w:val="0"/>
        </w:rPr>
        <w:t>Telehealth consent is not recording or transcription consent.</w:t>
      </w:r>
    </w:p>
    <w:p>
      <w:pPr>
        <w:pStyle w:val="CTABody"/>
        <w:spacing w:after="60"/>
        <w:ind w:left="403" w:hanging="259"/>
      </w:pPr>
      <w:r>
        <w:rPr>
          <w:rFonts w:ascii="Lato" w:hAnsi="Lato" w:eastAsia="Lato"/>
          <w:b/>
          <w:i w:val="0"/>
          <w:color w:val="0AA6A6"/>
        </w:rPr>
        <w:t xml:space="preserve">• </w:t>
      </w:r>
      <w:r>
        <w:rPr>
          <w:rFonts w:ascii="Lato" w:hAnsi="Lato" w:eastAsia="Lato"/>
          <w:b w:val="0"/>
          <w:i w:val="0"/>
        </w:rPr>
        <w:t>A suspected incident should be contained and assessed before deciding whether breach notification is required.</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response protects confidentiality while preserving client welfare and continuity when reasonably possible.</w:t>
      </w:r>
    </w:p>
    <w:p>
      <w:r>
        <w:br w:type="page"/>
      </w:r>
    </w:p>
    <w:p>
      <w:pPr>
        <w:spacing w:before="2100"/>
        <w:jc w:val="center"/>
      </w:pPr>
      <w:r>
        <w:rPr>
          <w:rFonts w:ascii="Lato" w:hAnsi="Lato" w:eastAsia="Lato"/>
          <w:b/>
          <w:i w:val="0"/>
          <w:color w:val="0AA6A6"/>
          <w:sz w:val="28"/>
        </w:rPr>
        <w:t>SECTION II</w:t>
      </w:r>
    </w:p>
    <w:p>
      <w:pPr>
        <w:pStyle w:val="CTATitle"/>
        <w:jc w:val="center"/>
      </w:pPr>
      <w:r>
        <w:rPr>
          <w:rFonts w:ascii="Lato" w:hAnsi="Lato" w:eastAsia="Lato"/>
          <w:b/>
          <w:i w:val="0"/>
          <w:color w:val="0B2447"/>
          <w:sz w:val="44"/>
        </w:rPr>
        <w:t>Technology and Electronic Practice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6" w:color="0B2447"/>
              <w:left w:val="single" w:sz="6" w:color="0B2447"/>
              <w:bottom w:val="single" w:sz="6" w:color="0B2447"/>
              <w:right w:val="single" w:sz="6" w:color="0B2447"/>
            </w:tcBorders>
          </w:tcPr>
          <w:p>
            <w:pPr>
              <w:jc w:val="center"/>
            </w:pPr>
            <w:r>
              <w:rPr>
                <w:rFonts w:ascii="Lato" w:hAnsi="Lato" w:eastAsia="Lato"/>
                <w:b/>
                <w:i w:val="0"/>
                <w:color w:val="384250"/>
                <w:sz w:val="21"/>
              </w:rPr>
              <w:t>Chapter 4: Technology, Electronic Communication, and Professional Responsibilities</w:t>
            </w:r>
          </w:p>
          <w:p>
            <w:pPr>
              <w:jc w:val="center"/>
            </w:pPr>
            <w:r>
              <w:rPr>
                <w:rFonts w:ascii="Lato" w:hAnsi="Lato" w:eastAsia="Lato"/>
                <w:b/>
                <w:i w:val="0"/>
                <w:color w:val="384250"/>
                <w:sz w:val="21"/>
              </w:rPr>
              <w:t>Chapter 5: Social Media, Boundaries, and Digital Ethics</w:t>
            </w:r>
          </w:p>
          <w:p>
            <w:pPr>
              <w:jc w:val="center"/>
            </w:pPr>
            <w:r>
              <w:rPr>
                <w:rFonts w:ascii="Lato" w:hAnsi="Lato" w:eastAsia="Lato"/>
                <w:b/>
                <w:i w:val="0"/>
                <w:color w:val="384250"/>
                <w:sz w:val="21"/>
              </w:rPr>
              <w:t>Chapter 6: Technology Risk Management and Compliance</w:t>
            </w:r>
          </w:p>
        </w:tc>
      </w:tr>
    </w:tbl>
    <w:p>
      <w:r>
        <w:br w:type="page"/>
      </w:r>
    </w:p>
    <w:p>
      <w:pPr>
        <w:pStyle w:val="CTAHeading1"/>
        <w:keepNext/>
      </w:pPr>
      <w:r>
        <w:rPr>
          <w:rFonts w:ascii="Lato" w:hAnsi="Lato" w:eastAsia="Lato"/>
          <w:b/>
          <w:i w:val="0"/>
          <w:color w:val="0B2447"/>
          <w:sz w:val="32"/>
        </w:rPr>
        <w:t>Chapter 4: Technology, Electronic Communication, and Professional Responsibilities</w:t>
      </w:r>
    </w:p>
    <w:p>
      <w:pPr>
        <w:pStyle w:val="CTAHeading2"/>
        <w:keepNext/>
      </w:pPr>
      <w:r>
        <w:rPr>
          <w:rFonts w:ascii="Lato" w:hAnsi="Lato" w:eastAsia="Lato"/>
          <w:b/>
          <w:i w:val="0"/>
          <w:color w:val="0B2447"/>
          <w:sz w:val="26"/>
        </w:rPr>
        <w:t>Learning Objectives</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administrative electronic communication from clinical communication that may constitute telehealth.</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confidentiality, security, professional-boundary, and accessibility principles to email, texting, portals, and messaging applications.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Establish appropriate communication expectations for response times, emergencies, backup methods, and use of personal accounts or devices.</w:t>
      </w:r>
    </w:p>
    <w:p>
      <w:pPr>
        <w:pStyle w:val="CTABody"/>
        <w:spacing w:after="60"/>
        <w:ind w:left="403" w:hanging="259"/>
      </w:pPr>
      <w:r>
        <w:rPr>
          <w:rFonts w:ascii="Lato" w:hAnsi="Lato" w:eastAsia="Lato"/>
          <w:b/>
          <w:i w:val="0"/>
          <w:color w:val="0AA6A6"/>
        </w:rPr>
        <w:t xml:space="preserve">• </w:t>
      </w:r>
      <w:r>
        <w:rPr>
          <w:rFonts w:ascii="Lato" w:hAnsi="Lato" w:eastAsia="Lato"/>
          <w:b w:val="0"/>
          <w:i w:val="0"/>
        </w:rPr>
        <w:t>Determine when an electronic communication is clinically significant and should be incorporated into the health service record.</w:t>
      </w:r>
    </w:p>
    <w:p>
      <w:pPr>
        <w:pStyle w:val="CTABody"/>
        <w:spacing w:after="60"/>
        <w:ind w:left="403" w:hanging="259"/>
      </w:pPr>
      <w:r>
        <w:rPr>
          <w:rFonts w:ascii="Lato" w:hAnsi="Lato" w:eastAsia="Lato"/>
          <w:b/>
          <w:i w:val="0"/>
          <w:color w:val="0AA6A6"/>
        </w:rPr>
        <w:t xml:space="preserve">• </w:t>
      </w:r>
      <w:r>
        <w:rPr>
          <w:rFonts w:ascii="Lato" w:hAnsi="Lato" w:eastAsia="Lato"/>
          <w:b w:val="0"/>
          <w:i w:val="0"/>
        </w:rPr>
        <w:t>Select the response that best protects client welfare when electronic communication creates urgency, disclosure, or boundary concerns.</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Electronic communication can look informal even when the content is clinically serious. A text may be only an appointment reminder, or it may contain suicidal intent. A portal may be secure, but it may not be monitored continuously. California examination questions often test whether the therapist evaluates the purpose, content, urgency, confidentiality risk, and documentation need rather than making a blanket rule about the technology.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line="254" w:lineRule="auto"/>
            </w:pPr>
            <w:r>
              <w:rPr>
                <w:rFonts w:ascii="Lato" w:hAnsi="Lato" w:eastAsia="Lato"/>
                <w:b w:val="0"/>
                <w:i w:val="0"/>
                <w:sz w:val="20"/>
              </w:rPr>
              <w:t>Email, texting, and portals are not automatically prohibited or automatically appropriate. The therapist must match the communication method to the clinical purpose, sensitivity, urgency, client needs, safeguards, and record-keeping responsibilities.</w:t>
            </w:r>
          </w:p>
        </w:tc>
      </w:tr>
    </w:tbl>
    <w:p>
      <w:pPr>
        <w:pStyle w:val="CTAHeading2"/>
        <w:keepNext/>
      </w:pPr>
      <w:r>
        <w:rPr>
          <w:rFonts w:ascii="Lato" w:hAnsi="Lato" w:eastAsia="Lato"/>
          <w:b/>
          <w:i w:val="0"/>
          <w:color w:val="0B2447"/>
          <w:sz w:val="26"/>
        </w:rPr>
        <w:t>1. Not Every Electronic Message Is the Same</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Communication Category</w:t>
            </w:r>
          </w:p>
        </w:tc>
        <w:tc>
          <w:tcPr>
            <w:tcW w:type="dxa" w:w="3320"/>
            <w:shd w:fill="0B2447"/>
          </w:tcPr>
          <w:p>
            <w:pPr>
              <w:jc w:val="center"/>
            </w:pPr>
            <w:r>
              <w:rPr>
                <w:rFonts w:ascii="Lato" w:hAnsi="Lato" w:eastAsia="Lato"/>
                <w:b/>
                <w:i w:val="0"/>
                <w:color w:val="FFFFFF"/>
                <w:sz w:val="18"/>
              </w:rPr>
              <w:t>Examples</w:t>
            </w:r>
          </w:p>
        </w:tc>
        <w:tc>
          <w:tcPr>
            <w:tcW w:type="dxa" w:w="3320"/>
            <w:shd w:fill="0B2447"/>
          </w:tcPr>
          <w:p>
            <w:pPr>
              <w:jc w:val="center"/>
            </w:pPr>
            <w:r>
              <w:rPr>
                <w:rFonts w:ascii="Lato" w:hAnsi="Lato" w:eastAsia="Lato"/>
                <w:b/>
                <w:i w:val="0"/>
                <w:color w:val="FFFFFF"/>
                <w:sz w:val="18"/>
              </w:rPr>
              <w:t>Primary Analysis</w:t>
            </w:r>
          </w:p>
        </w:tc>
      </w:tr>
      <w:tr>
        <w:trPr>
          <w:cantSplit w:val="1"/>
        </w:trPr>
        <w:tc>
          <w:tcPr>
            <w:tcW w:type="dxa" w:w="3320"/>
            <w:shd w:fill="EEF3F8"/>
            <w:vAlign w:val="top"/>
          </w:tcPr>
          <w:p>
            <w:pPr>
              <w:spacing w:after="0" w:line="245" w:lineRule="auto"/>
            </w:pPr>
            <w:r>
              <w:rPr>
                <w:rFonts w:ascii="Lato" w:hAnsi="Lato" w:eastAsia="Lato"/>
                <w:b/>
                <w:i w:val="0"/>
                <w:color w:val="0B2447"/>
                <w:sz w:val="17"/>
              </w:rPr>
              <w:t>Administrative communication</w:t>
            </w:r>
          </w:p>
        </w:tc>
        <w:tc>
          <w:tcPr>
            <w:tcW w:type="dxa" w:w="3320"/>
            <w:vAlign w:val="top"/>
          </w:tcPr>
          <w:p>
            <w:pPr>
              <w:spacing w:after="0" w:line="245" w:lineRule="auto"/>
            </w:pPr>
            <w:r>
              <w:rPr>
                <w:rFonts w:ascii="Lato" w:hAnsi="Lato" w:eastAsia="Lato"/>
                <w:b w:val="0"/>
                <w:i w:val="0"/>
                <w:color w:val="111827"/>
                <w:sz w:val="17"/>
              </w:rPr>
              <w:t>Scheduling, appointment reminders, directions, routine billing notices, and office updates.</w:t>
            </w:r>
          </w:p>
        </w:tc>
        <w:tc>
          <w:tcPr>
            <w:tcW w:type="dxa" w:w="3320"/>
            <w:vAlign w:val="top"/>
          </w:tcPr>
          <w:p>
            <w:pPr>
              <w:spacing w:after="0" w:line="245" w:lineRule="auto"/>
            </w:pPr>
            <w:r>
              <w:rPr>
                <w:rFonts w:ascii="Lato" w:hAnsi="Lato" w:eastAsia="Lato"/>
                <w:b w:val="0"/>
                <w:i w:val="0"/>
                <w:color w:val="111827"/>
                <w:sz w:val="17"/>
              </w:rPr>
              <w:t>Use reasonable safeguards, follow the client’s communication preferences, and avoid unnecessary disclosure of treatment information.</w:t>
            </w:r>
          </w:p>
        </w:tc>
      </w:tr>
      <w:tr>
        <w:trPr>
          <w:cantSplit w:val="1"/>
        </w:trPr>
        <w:tc>
          <w:tcPr>
            <w:tcW w:type="dxa" w:w="3320"/>
            <w:shd w:fill="EEF3F8"/>
            <w:vAlign w:val="top"/>
          </w:tcPr>
          <w:p>
            <w:pPr>
              <w:spacing w:after="0" w:line="245" w:lineRule="auto"/>
            </w:pPr>
            <w:r>
              <w:rPr>
                <w:rFonts w:ascii="Lato" w:hAnsi="Lato" w:eastAsia="Lato"/>
                <w:b/>
                <w:i w:val="0"/>
                <w:color w:val="0B2447"/>
                <w:sz w:val="17"/>
              </w:rPr>
              <w:t>Clinical communication</w:t>
            </w:r>
          </w:p>
        </w:tc>
        <w:tc>
          <w:tcPr>
            <w:tcW w:type="dxa" w:w="3320"/>
            <w:vAlign w:val="top"/>
          </w:tcPr>
          <w:p>
            <w:pPr>
              <w:spacing w:after="0" w:line="245" w:lineRule="auto"/>
            </w:pPr>
            <w:r>
              <w:rPr>
                <w:rFonts w:ascii="Lato" w:hAnsi="Lato" w:eastAsia="Lato"/>
                <w:b w:val="0"/>
                <w:i w:val="0"/>
                <w:color w:val="111827"/>
                <w:sz w:val="17"/>
              </w:rPr>
              <w:t>Assessment questions, treatment guidance, risk-related disclosures, therapeutic assignments, symptom reports, or clinical decision-making by electronic means.</w:t>
            </w:r>
          </w:p>
        </w:tc>
        <w:tc>
          <w:tcPr>
            <w:tcW w:type="dxa" w:w="3320"/>
            <w:vAlign w:val="top"/>
          </w:tcPr>
          <w:p>
            <w:pPr>
              <w:spacing w:after="0" w:line="245" w:lineRule="auto"/>
            </w:pPr>
            <w:r>
              <w:rPr>
                <w:rFonts w:ascii="Lato" w:hAnsi="Lato" w:eastAsia="Lato"/>
                <w:b w:val="0"/>
                <w:i w:val="0"/>
                <w:color w:val="111827"/>
                <w:sz w:val="17"/>
              </w:rPr>
              <w:t>The exchange may be part of treatment and may constitute asynchronous telehealth when health care is delivered through the technology. Apply telehealth, competence, confidentiality, and documentation requirements as appropriate.</w:t>
            </w:r>
          </w:p>
        </w:tc>
      </w:tr>
      <w:tr>
        <w:trPr>
          <w:cantSplit w:val="1"/>
        </w:trPr>
        <w:tc>
          <w:tcPr>
            <w:tcW w:type="dxa" w:w="3320"/>
            <w:shd w:fill="EEF3F8"/>
            <w:vAlign w:val="top"/>
          </w:tcPr>
          <w:p>
            <w:pPr>
              <w:spacing w:after="0" w:line="245" w:lineRule="auto"/>
            </w:pPr>
            <w:r>
              <w:rPr>
                <w:rFonts w:ascii="Lato" w:hAnsi="Lato" w:eastAsia="Lato"/>
                <w:b/>
                <w:i w:val="0"/>
                <w:color w:val="0B2447"/>
                <w:sz w:val="17"/>
              </w:rPr>
              <w:t>Records and forms</w:t>
            </w:r>
          </w:p>
        </w:tc>
        <w:tc>
          <w:tcPr>
            <w:tcW w:type="dxa" w:w="3320"/>
            <w:vAlign w:val="top"/>
          </w:tcPr>
          <w:p>
            <w:pPr>
              <w:spacing w:after="0" w:line="245" w:lineRule="auto"/>
            </w:pPr>
            <w:r>
              <w:rPr>
                <w:rFonts w:ascii="Lato" w:hAnsi="Lato" w:eastAsia="Lato"/>
                <w:b w:val="0"/>
                <w:i w:val="0"/>
                <w:color w:val="111827"/>
                <w:sz w:val="17"/>
              </w:rPr>
              <w:t>Sending intake documents, authorizations, treatment summaries, or copies of records.</w:t>
            </w:r>
          </w:p>
        </w:tc>
        <w:tc>
          <w:tcPr>
            <w:tcW w:type="dxa" w:w="3320"/>
            <w:vAlign w:val="top"/>
          </w:tcPr>
          <w:p>
            <w:pPr>
              <w:spacing w:after="0" w:line="245" w:lineRule="auto"/>
            </w:pPr>
            <w:r>
              <w:rPr>
                <w:rFonts w:ascii="Lato" w:hAnsi="Lato" w:eastAsia="Lato"/>
                <w:b w:val="0"/>
                <w:i w:val="0"/>
                <w:color w:val="111827"/>
                <w:sz w:val="17"/>
              </w:rPr>
              <w:t>Analyze authorization, client access rights, recipient verification, transmission safeguards, and record-management rules.</w:t>
            </w:r>
          </w:p>
        </w:tc>
      </w:tr>
      <w:tr>
        <w:trPr>
          <w:cantSplit w:val="1"/>
        </w:trPr>
        <w:tc>
          <w:tcPr>
            <w:tcW w:type="dxa" w:w="3320"/>
            <w:shd w:fill="EEF3F8"/>
            <w:vAlign w:val="top"/>
          </w:tcPr>
          <w:p>
            <w:pPr>
              <w:spacing w:after="0" w:line="245" w:lineRule="auto"/>
            </w:pPr>
            <w:r>
              <w:rPr>
                <w:rFonts w:ascii="Lato" w:hAnsi="Lato" w:eastAsia="Lato"/>
                <w:b/>
                <w:i w:val="0"/>
                <w:color w:val="0B2447"/>
                <w:sz w:val="17"/>
              </w:rPr>
              <w:t>Emergency or urgent communication</w:t>
            </w:r>
          </w:p>
        </w:tc>
        <w:tc>
          <w:tcPr>
            <w:tcW w:type="dxa" w:w="3320"/>
            <w:vAlign w:val="top"/>
          </w:tcPr>
          <w:p>
            <w:pPr>
              <w:spacing w:after="0" w:line="245" w:lineRule="auto"/>
            </w:pPr>
            <w:r>
              <w:rPr>
                <w:rFonts w:ascii="Lato" w:hAnsi="Lato" w:eastAsia="Lato"/>
                <w:b w:val="0"/>
                <w:i w:val="0"/>
                <w:color w:val="111827"/>
                <w:sz w:val="17"/>
              </w:rPr>
              <w:t>Messages describing imminent self-harm, violence, medical danger, abuse, or another immediate threat.</w:t>
            </w:r>
          </w:p>
        </w:tc>
        <w:tc>
          <w:tcPr>
            <w:tcW w:type="dxa" w:w="3320"/>
            <w:vAlign w:val="top"/>
          </w:tcPr>
          <w:p>
            <w:pPr>
              <w:spacing w:after="0" w:line="245" w:lineRule="auto"/>
            </w:pPr>
            <w:r>
              <w:rPr>
                <w:rFonts w:ascii="Lato" w:hAnsi="Lato" w:eastAsia="Lato"/>
                <w:b w:val="0"/>
                <w:i w:val="0"/>
                <w:color w:val="111827"/>
                <w:sz w:val="17"/>
              </w:rPr>
              <w:t>Do not treat routine messaging as an emergency service. Once the message is actually received, assess and respond based on the content and urgency.</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The device does not determine the legal category. The purpose and content of the communication do.</w:t>
            </w:r>
          </w:p>
        </w:tc>
      </w:tr>
    </w:tbl>
    <w:p>
      <w:pPr>
        <w:pStyle w:val="CTAHeading2"/>
        <w:keepNext/>
      </w:pPr>
      <w:r>
        <w:rPr>
          <w:rFonts w:ascii="Lato" w:hAnsi="Lato" w:eastAsia="Lato"/>
          <w:b/>
          <w:i w:val="0"/>
          <w:color w:val="0B2447"/>
          <w:sz w:val="26"/>
        </w:rPr>
        <w:t>2. When Can Electronic Communication Become Telehealth?</w:t>
      </w:r>
    </w:p>
    <w:p>
      <w:pPr>
        <w:pStyle w:val="CTABody"/>
      </w:pPr>
      <w:r>
        <w:rPr>
          <w:rFonts w:ascii="Lato" w:hAnsi="Lato" w:eastAsia="Lato"/>
          <w:b w:val="0"/>
          <w:i w:val="0"/>
        </w:rPr>
        <w:t>California defines telehealth as a mode of delivering health care through information and communication technologies. It includes real-time interactions and asynchronous store-and-forward transfers. Therefore, a secure message or email that delivers assessment, consultation, treatment, education, care management, or another health-care service may be telehealth even though it is not a video session.</w:t>
      </w:r>
    </w:p>
    <w:p>
      <w:pPr>
        <w:pStyle w:val="CTABody"/>
      </w:pPr>
      <w:r>
        <w:rPr>
          <w:rFonts w:ascii="Lato" w:hAnsi="Lato" w:eastAsia="Lato"/>
          <w:b w:val="0"/>
          <w:i w:val="0"/>
        </w:rPr>
        <w:t>When the communication itself is used to deliver health care, the therapist should analyze the telehealth requirements reviewed in Chapters 1 and 2, including legal authority, telehealth consent, required disclosures, privacy and security, and clinical appropriateness. By contrast, an appointment reminder does not automatically become telehealth merely because it is sent electronically.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Trap</w:t>
            </w:r>
          </w:p>
          <w:p>
            <w:pPr>
              <w:spacing w:after="0" w:line="254" w:lineRule="auto"/>
            </w:pPr>
            <w:r>
              <w:rPr>
                <w:rFonts w:ascii="Lato" w:hAnsi="Lato" w:eastAsia="Lato"/>
                <w:b w:val="0"/>
                <w:i w:val="0"/>
                <w:sz w:val="20"/>
              </w:rPr>
              <w:t>Do not answer, “Texting is never telehealth,” or “Every electronic message is telehealth.” Both are overbroad.</w:t>
            </w:r>
          </w:p>
        </w:tc>
      </w:tr>
    </w:tbl>
    <w:p>
      <w:pPr>
        <w:pStyle w:val="CTAHeading2"/>
        <w:keepNext/>
      </w:pPr>
      <w:r>
        <w:rPr>
          <w:rFonts w:ascii="Lato" w:hAnsi="Lato" w:eastAsia="Lato"/>
          <w:b/>
          <w:i w:val="0"/>
          <w:color w:val="0B2447"/>
          <w:sz w:val="26"/>
        </w:rPr>
        <w:t>3. Email and Texting Are Not Categorically Prohibited</w:t>
      </w:r>
    </w:p>
    <w:p>
      <w:pPr>
        <w:pStyle w:val="CTABody"/>
      </w:pPr>
      <w:r>
        <w:rPr>
          <w:rFonts w:ascii="Lato" w:hAnsi="Lato" w:eastAsia="Lato"/>
          <w:b w:val="0"/>
          <w:i w:val="0"/>
        </w:rPr>
        <w:t>Federal HIPAA guidance states that covered health-care providers may communicate with patients by email when reasonable safeguards are used. HIPAA does not expressly prohibit unencrypted email for treatment-related communication, although the provider must evaluate transmission risks and use appropriate protections. California confidentiality duties and the BBS telehealth regulation may impose additional responsibilities depending on the communication and the therapist’s practice.</w:t>
      </w:r>
    </w:p>
    <w:p>
      <w:pPr>
        <w:pStyle w:val="CTABody"/>
      </w:pPr>
      <w:r>
        <w:rPr>
          <w:rFonts w:ascii="Lato" w:hAnsi="Lato" w:eastAsia="Lato"/>
          <w:b w:val="0"/>
          <w:i w:val="0"/>
        </w:rPr>
        <w:t>Reasonable safeguards may include:</w:t>
      </w:r>
    </w:p>
    <w:p>
      <w:pPr>
        <w:pStyle w:val="CTABody"/>
        <w:spacing w:after="60"/>
        <w:ind w:left="403" w:hanging="259"/>
      </w:pPr>
      <w:r>
        <w:rPr>
          <w:rFonts w:ascii="Lato" w:hAnsi="Lato" w:eastAsia="Lato"/>
          <w:b/>
          <w:i w:val="0"/>
          <w:color w:val="0AA6A6"/>
        </w:rPr>
        <w:t xml:space="preserve">• </w:t>
      </w:r>
      <w:r>
        <w:rPr>
          <w:rFonts w:ascii="Lato" w:hAnsi="Lato" w:eastAsia="Lato"/>
          <w:b w:val="0"/>
          <w:i w:val="0"/>
        </w:rPr>
        <w:t>Verifying the recipient, address, telephone number, and attachment before sending.</w:t>
      </w:r>
    </w:p>
    <w:p>
      <w:pPr>
        <w:pStyle w:val="CTABody"/>
        <w:spacing w:after="60"/>
        <w:ind w:left="403" w:hanging="259"/>
      </w:pPr>
      <w:r>
        <w:rPr>
          <w:rFonts w:ascii="Lato" w:hAnsi="Lato" w:eastAsia="Lato"/>
          <w:b/>
          <w:i w:val="0"/>
          <w:color w:val="0AA6A6"/>
        </w:rPr>
        <w:t xml:space="preserve">• </w:t>
      </w:r>
      <w:r>
        <w:rPr>
          <w:rFonts w:ascii="Lato" w:hAnsi="Lato" w:eastAsia="Lato"/>
          <w:b w:val="0"/>
          <w:i w:val="0"/>
        </w:rPr>
        <w:t>Limiting the amount and sensitivity of information placed in an unencrypted message.</w:t>
      </w:r>
    </w:p>
    <w:p>
      <w:pPr>
        <w:pStyle w:val="CTABody"/>
        <w:spacing w:after="60"/>
        <w:ind w:left="403" w:hanging="259"/>
      </w:pPr>
      <w:r>
        <w:rPr>
          <w:rFonts w:ascii="Lato" w:hAnsi="Lato" w:eastAsia="Lato"/>
          <w:b/>
          <w:i w:val="0"/>
          <w:color w:val="0AA6A6"/>
        </w:rPr>
        <w:t xml:space="preserve">• </w:t>
      </w:r>
      <w:r>
        <w:rPr>
          <w:rFonts w:ascii="Lato" w:hAnsi="Lato" w:eastAsia="Lato"/>
          <w:b w:val="0"/>
          <w:i w:val="0"/>
        </w:rPr>
        <w:t>Using a neutral subject line or notification when the content is sensitive.</w:t>
      </w:r>
    </w:p>
    <w:p>
      <w:pPr>
        <w:pStyle w:val="CTABody"/>
        <w:spacing w:after="60"/>
        <w:ind w:left="403" w:hanging="259"/>
      </w:pPr>
      <w:r>
        <w:rPr>
          <w:rFonts w:ascii="Lato" w:hAnsi="Lato" w:eastAsia="Lato"/>
          <w:b/>
          <w:i w:val="0"/>
          <w:color w:val="0AA6A6"/>
        </w:rPr>
        <w:t xml:space="preserve">• </w:t>
      </w:r>
      <w:r>
        <w:rPr>
          <w:rFonts w:ascii="Lato" w:hAnsi="Lato" w:eastAsia="Lato"/>
          <w:b w:val="0"/>
          <w:i w:val="0"/>
        </w:rPr>
        <w:t>Confirming communication preferences and honoring reasonable requests for an alternative method or location.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Using organizationally approved systems, access controls, and device protections.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Warning the client about material risks when the client chooses a less secure method and documenting the discussion when clinically or legally significant.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No Blanket Encryption Rule</w:t>
            </w:r>
          </w:p>
          <w:p>
            <w:pPr>
              <w:spacing w:after="0" w:line="254" w:lineRule="auto"/>
            </w:pPr>
            <w:r>
              <w:rPr>
                <w:rFonts w:ascii="Lato" w:hAnsi="Lato" w:eastAsia="Lato"/>
                <w:b w:val="0"/>
                <w:i w:val="0"/>
                <w:sz w:val="20"/>
              </w:rPr>
              <w:t>Do not assume that every email or text must always be encrypted or that unencrypted communication is automatically acceptable. The correct analysis is reasonable safeguards, applicable law, client preference, sensitivity, and documented professional judgment.</w:t>
            </w:r>
          </w:p>
        </w:tc>
      </w:tr>
    </w:tbl>
    <w:p>
      <w:pPr>
        <w:pStyle w:val="CTAHeading2"/>
        <w:keepNext/>
      </w:pPr>
      <w:r>
        <w:rPr>
          <w:rFonts w:ascii="Lato" w:hAnsi="Lato" w:eastAsia="Lato"/>
          <w:b/>
          <w:i w:val="0"/>
          <w:color w:val="0B2447"/>
          <w:sz w:val="26"/>
        </w:rPr>
        <w:t>4. A Client-Initiated Message Is Not a Confidentiality Waiver</w:t>
      </w:r>
    </w:p>
    <w:p>
      <w:pPr>
        <w:pStyle w:val="CTABody"/>
      </w:pPr>
      <w:r>
        <w:rPr>
          <w:rFonts w:ascii="Lato" w:hAnsi="Lato" w:eastAsia="Lato"/>
          <w:b w:val="0"/>
          <w:i w:val="0"/>
        </w:rPr>
        <w:t>HHS guidance permits a covered provider to infer that email is acceptable when a patient initiates email communication, unless the patient has said otherwise. That is a limited communication inference, not permission to ignore foreseeable risks.</w:t>
      </w:r>
    </w:p>
    <w:p>
      <w:pPr>
        <w:pStyle w:val="CTABody"/>
      </w:pPr>
      <w:r>
        <w:rPr>
          <w:rFonts w:ascii="Lato" w:hAnsi="Lato" w:eastAsia="Lato"/>
          <w:b w:val="0"/>
          <w:i w:val="0"/>
        </w:rPr>
        <w:t>Client initiation does not mean that the therapist may:</w:t>
      </w:r>
    </w:p>
    <w:p>
      <w:pPr>
        <w:pStyle w:val="CTABody"/>
        <w:spacing w:after="60"/>
        <w:ind w:left="403" w:hanging="259"/>
      </w:pPr>
      <w:r>
        <w:rPr>
          <w:rFonts w:ascii="Lato" w:hAnsi="Lato" w:eastAsia="Lato"/>
          <w:b/>
          <w:i w:val="0"/>
          <w:color w:val="0AA6A6"/>
        </w:rPr>
        <w:t xml:space="preserve">• </w:t>
      </w:r>
      <w:r>
        <w:rPr>
          <w:rFonts w:ascii="Lato" w:hAnsi="Lato" w:eastAsia="Lato"/>
          <w:b w:val="0"/>
          <w:i w:val="0"/>
        </w:rPr>
        <w:t>Send any amount or type of sensitive information through that channel.</w:t>
      </w:r>
    </w:p>
    <w:p>
      <w:pPr>
        <w:pStyle w:val="CTABody"/>
        <w:spacing w:after="60"/>
        <w:ind w:left="403" w:hanging="259"/>
      </w:pPr>
      <w:r>
        <w:rPr>
          <w:rFonts w:ascii="Lato" w:hAnsi="Lato" w:eastAsia="Lato"/>
          <w:b/>
          <w:i w:val="0"/>
          <w:color w:val="0AA6A6"/>
        </w:rPr>
        <w:t xml:space="preserve">• </w:t>
      </w:r>
      <w:r>
        <w:rPr>
          <w:rFonts w:ascii="Lato" w:hAnsi="Lato" w:eastAsia="Lato"/>
          <w:b w:val="0"/>
          <w:i w:val="0"/>
        </w:rPr>
        <w:t>Assume the account or device is private or controlled only by the client.</w:t>
      </w:r>
    </w:p>
    <w:p>
      <w:pPr>
        <w:pStyle w:val="CTABody"/>
        <w:spacing w:after="60"/>
        <w:ind w:left="403" w:hanging="259"/>
      </w:pPr>
      <w:r>
        <w:rPr>
          <w:rFonts w:ascii="Lato" w:hAnsi="Lato" w:eastAsia="Lato"/>
          <w:b/>
          <w:i w:val="0"/>
          <w:color w:val="0AA6A6"/>
        </w:rPr>
        <w:t xml:space="preserve">• </w:t>
      </w:r>
      <w:r>
        <w:rPr>
          <w:rFonts w:ascii="Lato" w:hAnsi="Lato" w:eastAsia="Lato"/>
          <w:b w:val="0"/>
          <w:i w:val="0"/>
        </w:rPr>
        <w:t>Add other people to the exchange without authorization or another lawful basis.</w:t>
      </w:r>
    </w:p>
    <w:p>
      <w:pPr>
        <w:pStyle w:val="CTABody"/>
        <w:spacing w:after="60"/>
        <w:ind w:left="403" w:hanging="259"/>
      </w:pPr>
      <w:r>
        <w:rPr>
          <w:rFonts w:ascii="Lato" w:hAnsi="Lato" w:eastAsia="Lato"/>
          <w:b/>
          <w:i w:val="0"/>
          <w:color w:val="0AA6A6"/>
        </w:rPr>
        <w:t xml:space="preserve">• </w:t>
      </w:r>
      <w:r>
        <w:rPr>
          <w:rFonts w:ascii="Lato" w:hAnsi="Lato" w:eastAsia="Lato"/>
          <w:b w:val="0"/>
          <w:i w:val="0"/>
        </w:rPr>
        <w:t>Ignore the client’s later request for a different communication method.</w:t>
      </w:r>
    </w:p>
    <w:p>
      <w:pPr>
        <w:pStyle w:val="CTABody"/>
        <w:spacing w:after="60"/>
        <w:ind w:left="403" w:hanging="259"/>
      </w:pPr>
      <w:r>
        <w:rPr>
          <w:rFonts w:ascii="Lato" w:hAnsi="Lato" w:eastAsia="Lato"/>
          <w:b/>
          <w:i w:val="0"/>
          <w:color w:val="0AA6A6"/>
        </w:rPr>
        <w:t xml:space="preserve">• </w:t>
      </w:r>
      <w:r>
        <w:rPr>
          <w:rFonts w:ascii="Lato" w:hAnsi="Lato" w:eastAsia="Lato"/>
          <w:b w:val="0"/>
          <w:i w:val="0"/>
        </w:rPr>
        <w:t>Treat the message as outside the health-service record when it is clinically significant.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Client choice matters, but it does not transfer the therapist’s professional responsibilities to the client.</w:t>
            </w:r>
          </w:p>
        </w:tc>
      </w:tr>
    </w:tbl>
    <w:p>
      <w:pPr>
        <w:pStyle w:val="CTAHeading2"/>
        <w:keepNext/>
      </w:pPr>
      <w:r>
        <w:rPr>
          <w:rFonts w:ascii="Lato" w:hAnsi="Lato" w:eastAsia="Lato"/>
          <w:b/>
          <w:i w:val="0"/>
          <w:color w:val="0B2447"/>
          <w:sz w:val="26"/>
        </w:rPr>
        <w:t>5. Communication Policies and Informed Expectations</w:t>
      </w:r>
    </w:p>
    <w:p>
      <w:pPr>
        <w:pStyle w:val="CTABody"/>
      </w:pPr>
      <w:r>
        <w:rPr>
          <w:rFonts w:ascii="Lato" w:hAnsi="Lato" w:eastAsia="Lato"/>
          <w:b w:val="0"/>
          <w:i w:val="0"/>
        </w:rPr>
        <w:t>California does not impose one universal statute requiring every therapist to use a separate signed email-and-texting policy. However, clear communication expectations are a strong informed-consent, boundary, safety, and risk-management practice. If electronic communication is used to deliver telehealth, the statutory and BBS telehealth consent requirements apply.</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Policy Topic</w:t>
            </w:r>
          </w:p>
        </w:tc>
        <w:tc>
          <w:tcPr>
            <w:tcW w:type="dxa" w:w="4980"/>
            <w:shd w:fill="0B2447"/>
          </w:tcPr>
          <w:p>
            <w:pPr>
              <w:jc w:val="center"/>
            </w:pPr>
            <w:r>
              <w:rPr>
                <w:rFonts w:ascii="Lato" w:hAnsi="Lato" w:eastAsia="Lato"/>
                <w:b/>
                <w:i w:val="0"/>
                <w:color w:val="FFFFFF"/>
                <w:sz w:val="18"/>
              </w:rPr>
              <w:t>What the Client Should Understand</w:t>
            </w:r>
          </w:p>
        </w:tc>
      </w:tr>
      <w:tr>
        <w:trPr>
          <w:cantSplit w:val="1"/>
        </w:trPr>
        <w:tc>
          <w:tcPr>
            <w:tcW w:type="dxa" w:w="4980"/>
            <w:shd w:fill="EEF3F8"/>
            <w:vAlign w:val="top"/>
          </w:tcPr>
          <w:p>
            <w:pPr>
              <w:spacing w:after="0" w:line="245" w:lineRule="auto"/>
            </w:pPr>
            <w:r>
              <w:rPr>
                <w:rFonts w:ascii="Lato" w:hAnsi="Lato" w:eastAsia="Lato"/>
                <w:b/>
                <w:i w:val="0"/>
                <w:color w:val="0B2447"/>
                <w:sz w:val="17"/>
              </w:rPr>
              <w:t>Approved channels</w:t>
            </w:r>
          </w:p>
        </w:tc>
        <w:tc>
          <w:tcPr>
            <w:tcW w:type="dxa" w:w="4980"/>
            <w:vAlign w:val="top"/>
          </w:tcPr>
          <w:p>
            <w:pPr>
              <w:spacing w:after="0" w:line="245" w:lineRule="auto"/>
            </w:pPr>
            <w:r>
              <w:rPr>
                <w:rFonts w:ascii="Lato" w:hAnsi="Lato" w:eastAsia="Lato"/>
                <w:b w:val="0"/>
                <w:i w:val="0"/>
                <w:color w:val="111827"/>
                <w:sz w:val="17"/>
              </w:rPr>
              <w:t>Which email address, telephone number, portal, or application should be used and which personal or social accounts should not be used.</w:t>
            </w:r>
          </w:p>
        </w:tc>
      </w:tr>
      <w:tr>
        <w:trPr>
          <w:cantSplit w:val="1"/>
        </w:trPr>
        <w:tc>
          <w:tcPr>
            <w:tcW w:type="dxa" w:w="4980"/>
            <w:shd w:fill="EEF3F8"/>
            <w:vAlign w:val="top"/>
          </w:tcPr>
          <w:p>
            <w:pPr>
              <w:spacing w:after="0" w:line="245" w:lineRule="auto"/>
            </w:pPr>
            <w:r>
              <w:rPr>
                <w:rFonts w:ascii="Lato" w:hAnsi="Lato" w:eastAsia="Lato"/>
                <w:b/>
                <w:i w:val="0"/>
                <w:color w:val="0B2447"/>
                <w:sz w:val="17"/>
              </w:rPr>
              <w:t>Purpose</w:t>
            </w:r>
          </w:p>
        </w:tc>
        <w:tc>
          <w:tcPr>
            <w:tcW w:type="dxa" w:w="4980"/>
            <w:vAlign w:val="top"/>
          </w:tcPr>
          <w:p>
            <w:pPr>
              <w:spacing w:after="0" w:line="245" w:lineRule="auto"/>
            </w:pPr>
            <w:r>
              <w:rPr>
                <w:rFonts w:ascii="Lato" w:hAnsi="Lato" w:eastAsia="Lato"/>
                <w:b w:val="0"/>
                <w:i w:val="0"/>
                <w:color w:val="111827"/>
                <w:sz w:val="17"/>
              </w:rPr>
              <w:t>Which channels are intended for scheduling, forms, routine updates, clinical messages, or other uses.</w:t>
            </w:r>
          </w:p>
        </w:tc>
      </w:tr>
      <w:tr>
        <w:trPr>
          <w:cantSplit w:val="1"/>
        </w:trPr>
        <w:tc>
          <w:tcPr>
            <w:tcW w:type="dxa" w:w="4980"/>
            <w:shd w:fill="EEF3F8"/>
            <w:vAlign w:val="top"/>
          </w:tcPr>
          <w:p>
            <w:pPr>
              <w:spacing w:after="0" w:line="245" w:lineRule="auto"/>
            </w:pPr>
            <w:r>
              <w:rPr>
                <w:rFonts w:ascii="Lato" w:hAnsi="Lato" w:eastAsia="Lato"/>
                <w:b/>
                <w:i w:val="0"/>
                <w:color w:val="0B2447"/>
                <w:sz w:val="17"/>
              </w:rPr>
              <w:t>Response times</w:t>
            </w:r>
          </w:p>
        </w:tc>
        <w:tc>
          <w:tcPr>
            <w:tcW w:type="dxa" w:w="4980"/>
            <w:vAlign w:val="top"/>
          </w:tcPr>
          <w:p>
            <w:pPr>
              <w:spacing w:after="0" w:line="245" w:lineRule="auto"/>
            </w:pPr>
            <w:r>
              <w:rPr>
                <w:rFonts w:ascii="Lato" w:hAnsi="Lato" w:eastAsia="Lato"/>
                <w:b w:val="0"/>
                <w:i w:val="0"/>
                <w:color w:val="111827"/>
                <w:sz w:val="17"/>
              </w:rPr>
              <w:t>When messages are reviewed, expected response windows, office hours, weekends, holidays, and absences.</w:t>
            </w:r>
          </w:p>
        </w:tc>
      </w:tr>
      <w:tr>
        <w:trPr>
          <w:cantSplit w:val="1"/>
        </w:trPr>
        <w:tc>
          <w:tcPr>
            <w:tcW w:type="dxa" w:w="4980"/>
            <w:shd w:fill="EEF3F8"/>
            <w:vAlign w:val="top"/>
          </w:tcPr>
          <w:p>
            <w:pPr>
              <w:spacing w:after="0" w:line="245" w:lineRule="auto"/>
            </w:pPr>
            <w:r>
              <w:rPr>
                <w:rFonts w:ascii="Lato" w:hAnsi="Lato" w:eastAsia="Lato"/>
                <w:b/>
                <w:i w:val="0"/>
                <w:color w:val="0B2447"/>
                <w:sz w:val="17"/>
              </w:rPr>
              <w:t>Emergencies</w:t>
            </w:r>
          </w:p>
        </w:tc>
        <w:tc>
          <w:tcPr>
            <w:tcW w:type="dxa" w:w="4980"/>
            <w:vAlign w:val="top"/>
          </w:tcPr>
          <w:p>
            <w:pPr>
              <w:spacing w:after="0" w:line="245" w:lineRule="auto"/>
            </w:pPr>
            <w:r>
              <w:rPr>
                <w:rFonts w:ascii="Lato" w:hAnsi="Lato" w:eastAsia="Lato"/>
                <w:b w:val="0"/>
                <w:i w:val="0"/>
                <w:color w:val="111827"/>
                <w:sz w:val="17"/>
              </w:rPr>
              <w:t>Messages are not a substitute for emergency services; identify appropriate crisis and emergency options.</w:t>
            </w:r>
          </w:p>
        </w:tc>
      </w:tr>
      <w:tr>
        <w:trPr>
          <w:cantSplit w:val="1"/>
        </w:trPr>
        <w:tc>
          <w:tcPr>
            <w:tcW w:type="dxa" w:w="4980"/>
            <w:shd w:fill="EEF3F8"/>
            <w:vAlign w:val="top"/>
          </w:tcPr>
          <w:p>
            <w:pPr>
              <w:spacing w:after="0" w:line="245" w:lineRule="auto"/>
            </w:pPr>
            <w:r>
              <w:rPr>
                <w:rFonts w:ascii="Lato" w:hAnsi="Lato" w:eastAsia="Lato"/>
                <w:b/>
                <w:i w:val="0"/>
                <w:color w:val="0B2447"/>
                <w:sz w:val="17"/>
              </w:rPr>
              <w:t>Privacy limitations</w:t>
            </w:r>
          </w:p>
        </w:tc>
        <w:tc>
          <w:tcPr>
            <w:tcW w:type="dxa" w:w="4980"/>
            <w:vAlign w:val="top"/>
          </w:tcPr>
          <w:p>
            <w:pPr>
              <w:spacing w:after="0" w:line="245" w:lineRule="auto"/>
            </w:pPr>
            <w:r>
              <w:rPr>
                <w:rFonts w:ascii="Lato" w:hAnsi="Lato" w:eastAsia="Lato"/>
                <w:b w:val="0"/>
                <w:i w:val="0"/>
                <w:color w:val="111827"/>
                <w:sz w:val="17"/>
              </w:rPr>
              <w:t>Shared devices, visible notifications, forwarding, screenshots, cloud synchronization, workplace monitoring, and wrong-recipient risk.</w:t>
            </w:r>
          </w:p>
        </w:tc>
      </w:tr>
      <w:tr>
        <w:trPr>
          <w:cantSplit w:val="1"/>
        </w:trPr>
        <w:tc>
          <w:tcPr>
            <w:tcW w:type="dxa" w:w="4980"/>
            <w:shd w:fill="EEF3F8"/>
            <w:vAlign w:val="top"/>
          </w:tcPr>
          <w:p>
            <w:pPr>
              <w:spacing w:after="0" w:line="245" w:lineRule="auto"/>
            </w:pPr>
            <w:r>
              <w:rPr>
                <w:rFonts w:ascii="Lato" w:hAnsi="Lato" w:eastAsia="Lato"/>
                <w:b/>
                <w:i w:val="0"/>
                <w:color w:val="0B2447"/>
                <w:sz w:val="17"/>
              </w:rPr>
              <w:t>Clinical record</w:t>
            </w:r>
          </w:p>
        </w:tc>
        <w:tc>
          <w:tcPr>
            <w:tcW w:type="dxa" w:w="4980"/>
            <w:vAlign w:val="top"/>
          </w:tcPr>
          <w:p>
            <w:pPr>
              <w:spacing w:after="0" w:line="245" w:lineRule="auto"/>
            </w:pPr>
            <w:r>
              <w:rPr>
                <w:rFonts w:ascii="Lato" w:hAnsi="Lato" w:eastAsia="Lato"/>
                <w:b w:val="0"/>
                <w:i w:val="0"/>
                <w:color w:val="111827"/>
                <w:sz w:val="17"/>
              </w:rPr>
              <w:t>Clinically significant messages may be incorporated into the health-service record.</w:t>
            </w:r>
          </w:p>
        </w:tc>
      </w:tr>
      <w:tr>
        <w:trPr>
          <w:cantSplit w:val="1"/>
        </w:trPr>
        <w:tc>
          <w:tcPr>
            <w:tcW w:type="dxa" w:w="4980"/>
            <w:shd w:fill="EEF3F8"/>
            <w:vAlign w:val="top"/>
          </w:tcPr>
          <w:p>
            <w:pPr>
              <w:spacing w:after="0" w:line="245" w:lineRule="auto"/>
            </w:pPr>
            <w:r>
              <w:rPr>
                <w:rFonts w:ascii="Lato" w:hAnsi="Lato" w:eastAsia="Lato"/>
                <w:b/>
                <w:i w:val="0"/>
                <w:color w:val="0B2447"/>
                <w:sz w:val="17"/>
              </w:rPr>
              <w:t>Backup method</w:t>
            </w:r>
          </w:p>
        </w:tc>
        <w:tc>
          <w:tcPr>
            <w:tcW w:type="dxa" w:w="4980"/>
            <w:vAlign w:val="top"/>
          </w:tcPr>
          <w:p>
            <w:pPr>
              <w:spacing w:after="0" w:line="245" w:lineRule="auto"/>
            </w:pPr>
            <w:r>
              <w:rPr>
                <w:rFonts w:ascii="Lato" w:hAnsi="Lato" w:eastAsia="Lato"/>
                <w:b w:val="0"/>
                <w:i w:val="0"/>
                <w:color w:val="111827"/>
                <w:sz w:val="17"/>
              </w:rPr>
              <w:t>What happens when a portal, device, internet connection, or account is unavailable.</w:t>
            </w:r>
          </w:p>
        </w:tc>
      </w:tr>
      <w:tr>
        <w:trPr>
          <w:cantSplit w:val="1"/>
        </w:trPr>
        <w:tc>
          <w:tcPr>
            <w:tcW w:type="dxa" w:w="4980"/>
            <w:shd w:fill="EEF3F8"/>
            <w:vAlign w:val="top"/>
          </w:tcPr>
          <w:p>
            <w:pPr>
              <w:spacing w:after="0" w:line="245" w:lineRule="auto"/>
            </w:pPr>
            <w:r>
              <w:rPr>
                <w:rFonts w:ascii="Lato" w:hAnsi="Lato" w:eastAsia="Lato"/>
                <w:b/>
                <w:i w:val="0"/>
                <w:color w:val="0B2447"/>
                <w:sz w:val="17"/>
              </w:rPr>
              <w:t>Fees and limits</w:t>
            </w:r>
          </w:p>
        </w:tc>
        <w:tc>
          <w:tcPr>
            <w:tcW w:type="dxa" w:w="4980"/>
            <w:vAlign w:val="top"/>
          </w:tcPr>
          <w:p>
            <w:pPr>
              <w:spacing w:after="0" w:line="245" w:lineRule="auto"/>
            </w:pPr>
            <w:r>
              <w:rPr>
                <w:rFonts w:ascii="Lato" w:hAnsi="Lato" w:eastAsia="Lato"/>
                <w:b w:val="0"/>
                <w:i w:val="0"/>
                <w:color w:val="111827"/>
                <w:sz w:val="17"/>
              </w:rPr>
              <w:t>When applicable, whether extended messaging is billable and how message volume or clinical complexity may require a session instead.</w:t>
            </w:r>
          </w:p>
        </w:tc>
      </w:tr>
    </w:tbl>
    <w:p>
      <w:pPr>
        <w:pStyle w:val="CTAHeading2"/>
        <w:keepNext/>
      </w:pPr>
      <w:r>
        <w:rPr>
          <w:rFonts w:ascii="Lato" w:hAnsi="Lato" w:eastAsia="Lato"/>
          <w:b/>
          <w:i w:val="0"/>
          <w:color w:val="0B2447"/>
          <w:sz w:val="26"/>
        </w:rPr>
        <w:t>6. Selecting the Communication Method</w:t>
      </w:r>
    </w:p>
    <w:p>
      <w:pPr>
        <w:pStyle w:val="CTABody"/>
      </w:pPr>
      <w:r>
        <w:rPr>
          <w:rFonts w:ascii="Lato" w:hAnsi="Lato" w:eastAsia="Lato"/>
          <w:b w:val="0"/>
          <w:i w:val="0"/>
        </w:rPr>
        <w:t>The most convenient channel is not always the most appropriate channel. Before sending or responding, evaluate:</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Factor</w:t>
            </w:r>
          </w:p>
        </w:tc>
        <w:tc>
          <w:tcPr>
            <w:tcW w:type="dxa" w:w="4980"/>
            <w:shd w:fill="0B2447"/>
          </w:tcPr>
          <w:p>
            <w:pPr>
              <w:jc w:val="center"/>
            </w:pPr>
            <w:r>
              <w:rPr>
                <w:rFonts w:ascii="Lato" w:hAnsi="Lato" w:eastAsia="Lato"/>
                <w:b/>
                <w:i w:val="0"/>
                <w:color w:val="FFFFFF"/>
                <w:sz w:val="18"/>
              </w:rPr>
              <w:t>Question</w:t>
            </w:r>
          </w:p>
        </w:tc>
      </w:tr>
      <w:tr>
        <w:trPr>
          <w:cantSplit w:val="1"/>
        </w:trPr>
        <w:tc>
          <w:tcPr>
            <w:tcW w:type="dxa" w:w="4980"/>
            <w:shd w:fill="EEF3F8"/>
            <w:vAlign w:val="top"/>
          </w:tcPr>
          <w:p>
            <w:pPr>
              <w:spacing w:after="0" w:line="245" w:lineRule="auto"/>
            </w:pPr>
            <w:r>
              <w:rPr>
                <w:rFonts w:ascii="Lato" w:hAnsi="Lato" w:eastAsia="Lato"/>
                <w:b/>
                <w:i w:val="0"/>
                <w:color w:val="0B2447"/>
                <w:sz w:val="17"/>
              </w:rPr>
              <w:t>Purpose</w:t>
            </w:r>
          </w:p>
        </w:tc>
        <w:tc>
          <w:tcPr>
            <w:tcW w:type="dxa" w:w="4980"/>
            <w:vAlign w:val="top"/>
          </w:tcPr>
          <w:p>
            <w:pPr>
              <w:spacing w:after="0" w:line="245" w:lineRule="auto"/>
            </w:pPr>
            <w:r>
              <w:rPr>
                <w:rFonts w:ascii="Lato" w:hAnsi="Lato" w:eastAsia="Lato"/>
                <w:b w:val="0"/>
                <w:i w:val="0"/>
                <w:color w:val="111827"/>
                <w:sz w:val="17"/>
              </w:rPr>
              <w:t>Is the message administrative, clinical, record-related, urgent, or emergent?</w:t>
            </w:r>
          </w:p>
        </w:tc>
      </w:tr>
      <w:tr>
        <w:trPr>
          <w:cantSplit w:val="1"/>
        </w:trPr>
        <w:tc>
          <w:tcPr>
            <w:tcW w:type="dxa" w:w="4980"/>
            <w:shd w:fill="EEF3F8"/>
            <w:vAlign w:val="top"/>
          </w:tcPr>
          <w:p>
            <w:pPr>
              <w:spacing w:after="0" w:line="245" w:lineRule="auto"/>
            </w:pPr>
            <w:r>
              <w:rPr>
                <w:rFonts w:ascii="Lato" w:hAnsi="Lato" w:eastAsia="Lato"/>
                <w:b/>
                <w:i w:val="0"/>
                <w:color w:val="0B2447"/>
                <w:sz w:val="17"/>
              </w:rPr>
              <w:t>Sensitivity</w:t>
            </w:r>
          </w:p>
        </w:tc>
        <w:tc>
          <w:tcPr>
            <w:tcW w:type="dxa" w:w="4980"/>
            <w:vAlign w:val="top"/>
          </w:tcPr>
          <w:p>
            <w:pPr>
              <w:spacing w:after="0" w:line="245" w:lineRule="auto"/>
            </w:pPr>
            <w:r>
              <w:rPr>
                <w:rFonts w:ascii="Lato" w:hAnsi="Lato" w:eastAsia="Lato"/>
                <w:b w:val="0"/>
                <w:i w:val="0"/>
                <w:color w:val="111827"/>
                <w:sz w:val="17"/>
              </w:rPr>
              <w:t>How much harm could result from misdelivery, forwarding, or display on a shared screen?</w:t>
            </w:r>
          </w:p>
        </w:tc>
      </w:tr>
      <w:tr>
        <w:trPr>
          <w:cantSplit w:val="1"/>
        </w:trPr>
        <w:tc>
          <w:tcPr>
            <w:tcW w:type="dxa" w:w="4980"/>
            <w:shd w:fill="EEF3F8"/>
            <w:vAlign w:val="top"/>
          </w:tcPr>
          <w:p>
            <w:pPr>
              <w:spacing w:after="0" w:line="245" w:lineRule="auto"/>
            </w:pPr>
            <w:r>
              <w:rPr>
                <w:rFonts w:ascii="Lato" w:hAnsi="Lato" w:eastAsia="Lato"/>
                <w:b/>
                <w:i w:val="0"/>
                <w:color w:val="0B2447"/>
                <w:sz w:val="17"/>
              </w:rPr>
              <w:t>Urgency</w:t>
            </w:r>
          </w:p>
        </w:tc>
        <w:tc>
          <w:tcPr>
            <w:tcW w:type="dxa" w:w="4980"/>
            <w:vAlign w:val="top"/>
          </w:tcPr>
          <w:p>
            <w:pPr>
              <w:spacing w:after="0" w:line="245" w:lineRule="auto"/>
            </w:pPr>
            <w:r>
              <w:rPr>
                <w:rFonts w:ascii="Lato" w:hAnsi="Lato" w:eastAsia="Lato"/>
                <w:b w:val="0"/>
                <w:i w:val="0"/>
                <w:color w:val="111827"/>
                <w:sz w:val="17"/>
              </w:rPr>
              <w:t>Will the method be reviewed in time, or is real-time contact or emergency response needed?</w:t>
            </w:r>
          </w:p>
        </w:tc>
      </w:tr>
      <w:tr>
        <w:trPr>
          <w:cantSplit w:val="1"/>
        </w:trPr>
        <w:tc>
          <w:tcPr>
            <w:tcW w:type="dxa" w:w="4980"/>
            <w:shd w:fill="EEF3F8"/>
            <w:vAlign w:val="top"/>
          </w:tcPr>
          <w:p>
            <w:pPr>
              <w:spacing w:after="0" w:line="245" w:lineRule="auto"/>
            </w:pPr>
            <w:r>
              <w:rPr>
                <w:rFonts w:ascii="Lato" w:hAnsi="Lato" w:eastAsia="Lato"/>
                <w:b/>
                <w:i w:val="0"/>
                <w:color w:val="0B2447"/>
                <w:sz w:val="17"/>
              </w:rPr>
              <w:t>Complexity</w:t>
            </w:r>
          </w:p>
        </w:tc>
        <w:tc>
          <w:tcPr>
            <w:tcW w:type="dxa" w:w="4980"/>
            <w:vAlign w:val="top"/>
          </w:tcPr>
          <w:p>
            <w:pPr>
              <w:spacing w:after="0" w:line="245" w:lineRule="auto"/>
            </w:pPr>
            <w:r>
              <w:rPr>
                <w:rFonts w:ascii="Lato" w:hAnsi="Lato" w:eastAsia="Lato"/>
                <w:b w:val="0"/>
                <w:i w:val="0"/>
                <w:color w:val="111827"/>
                <w:sz w:val="17"/>
              </w:rPr>
              <w:t>Can the issue be understood safely without tone, context, observation, or a fuller assessment?</w:t>
            </w:r>
          </w:p>
        </w:tc>
      </w:tr>
      <w:tr>
        <w:trPr>
          <w:cantSplit w:val="1"/>
        </w:trPr>
        <w:tc>
          <w:tcPr>
            <w:tcW w:type="dxa" w:w="4980"/>
            <w:shd w:fill="EEF3F8"/>
            <w:vAlign w:val="top"/>
          </w:tcPr>
          <w:p>
            <w:pPr>
              <w:spacing w:after="0" w:line="245" w:lineRule="auto"/>
            </w:pPr>
            <w:r>
              <w:rPr>
                <w:rFonts w:ascii="Lato" w:hAnsi="Lato" w:eastAsia="Lato"/>
                <w:b/>
                <w:i w:val="0"/>
                <w:color w:val="0B2447"/>
                <w:sz w:val="17"/>
              </w:rPr>
              <w:t>Client access</w:t>
            </w:r>
          </w:p>
        </w:tc>
        <w:tc>
          <w:tcPr>
            <w:tcW w:type="dxa" w:w="4980"/>
            <w:vAlign w:val="top"/>
          </w:tcPr>
          <w:p>
            <w:pPr>
              <w:spacing w:after="0" w:line="245" w:lineRule="auto"/>
            </w:pPr>
            <w:r>
              <w:rPr>
                <w:rFonts w:ascii="Lato" w:hAnsi="Lato" w:eastAsia="Lato"/>
                <w:b w:val="0"/>
                <w:i w:val="0"/>
                <w:color w:val="111827"/>
                <w:sz w:val="17"/>
              </w:rPr>
              <w:t>Does the method accommodate disability, language, technology access, and the client’s reasonable preferences?</w:t>
            </w:r>
          </w:p>
        </w:tc>
      </w:tr>
      <w:tr>
        <w:trPr>
          <w:cantSplit w:val="1"/>
        </w:trPr>
        <w:tc>
          <w:tcPr>
            <w:tcW w:type="dxa" w:w="4980"/>
            <w:shd w:fill="EEF3F8"/>
            <w:vAlign w:val="top"/>
          </w:tcPr>
          <w:p>
            <w:pPr>
              <w:spacing w:after="0" w:line="245" w:lineRule="auto"/>
            </w:pPr>
            <w:r>
              <w:rPr>
                <w:rFonts w:ascii="Lato" w:hAnsi="Lato" w:eastAsia="Lato"/>
                <w:b/>
                <w:i w:val="0"/>
                <w:color w:val="0B2447"/>
                <w:sz w:val="17"/>
              </w:rPr>
              <w:t>Recipient</w:t>
            </w:r>
          </w:p>
        </w:tc>
        <w:tc>
          <w:tcPr>
            <w:tcW w:type="dxa" w:w="4980"/>
            <w:vAlign w:val="top"/>
          </w:tcPr>
          <w:p>
            <w:pPr>
              <w:spacing w:after="0" w:line="245" w:lineRule="auto"/>
            </w:pPr>
            <w:r>
              <w:rPr>
                <w:rFonts w:ascii="Lato" w:hAnsi="Lato" w:eastAsia="Lato"/>
                <w:b w:val="0"/>
                <w:i w:val="0"/>
                <w:color w:val="111827"/>
                <w:sz w:val="17"/>
              </w:rPr>
              <w:t>Is the address or number current, and who else may access the account or device?</w:t>
            </w:r>
          </w:p>
        </w:tc>
      </w:tr>
      <w:tr>
        <w:trPr>
          <w:cantSplit w:val="1"/>
        </w:trPr>
        <w:tc>
          <w:tcPr>
            <w:tcW w:type="dxa" w:w="4980"/>
            <w:shd w:fill="EEF3F8"/>
            <w:vAlign w:val="top"/>
          </w:tcPr>
          <w:p>
            <w:pPr>
              <w:spacing w:after="0" w:line="245" w:lineRule="auto"/>
            </w:pPr>
            <w:r>
              <w:rPr>
                <w:rFonts w:ascii="Lato" w:hAnsi="Lato" w:eastAsia="Lato"/>
                <w:b/>
                <w:i w:val="0"/>
                <w:color w:val="0B2447"/>
                <w:sz w:val="17"/>
              </w:rPr>
              <w:t>Safeguards</w:t>
            </w:r>
          </w:p>
        </w:tc>
        <w:tc>
          <w:tcPr>
            <w:tcW w:type="dxa" w:w="4980"/>
            <w:vAlign w:val="top"/>
          </w:tcPr>
          <w:p>
            <w:pPr>
              <w:spacing w:after="0" w:line="245" w:lineRule="auto"/>
            </w:pPr>
            <w:r>
              <w:rPr>
                <w:rFonts w:ascii="Lato" w:hAnsi="Lato" w:eastAsia="Lato"/>
                <w:b w:val="0"/>
                <w:i w:val="0"/>
                <w:color w:val="111827"/>
                <w:sz w:val="17"/>
              </w:rPr>
              <w:t>Are access controls, device security, organizational policies, and appropriate transmission protections in place?</w:t>
            </w:r>
          </w:p>
        </w:tc>
      </w:tr>
      <w:tr>
        <w:trPr>
          <w:cantSplit w:val="1"/>
        </w:trPr>
        <w:tc>
          <w:tcPr>
            <w:tcW w:type="dxa" w:w="4980"/>
            <w:shd w:fill="EEF3F8"/>
            <w:vAlign w:val="top"/>
          </w:tcPr>
          <w:p>
            <w:pPr>
              <w:spacing w:after="0" w:line="245" w:lineRule="auto"/>
            </w:pPr>
            <w:r>
              <w:rPr>
                <w:rFonts w:ascii="Lato" w:hAnsi="Lato" w:eastAsia="Lato"/>
                <w:b/>
                <w:i w:val="0"/>
                <w:color w:val="0B2447"/>
                <w:sz w:val="17"/>
              </w:rPr>
              <w:t>Documentation</w:t>
            </w:r>
          </w:p>
        </w:tc>
        <w:tc>
          <w:tcPr>
            <w:tcW w:type="dxa" w:w="4980"/>
            <w:vAlign w:val="top"/>
          </w:tcPr>
          <w:p>
            <w:pPr>
              <w:spacing w:after="0" w:line="245" w:lineRule="auto"/>
            </w:pPr>
            <w:r>
              <w:rPr>
                <w:rFonts w:ascii="Lato" w:hAnsi="Lato" w:eastAsia="Lato"/>
                <w:b w:val="0"/>
                <w:i w:val="0"/>
                <w:color w:val="111827"/>
                <w:sz w:val="17"/>
              </w:rPr>
              <w:t>Will clinically significant content be captured in the health-service record?</w:t>
            </w:r>
          </w:p>
        </w:tc>
      </w:tr>
    </w:tbl>
    <w:p>
      <w:pPr>
        <w:pStyle w:val="CTAHeading2"/>
        <w:keepNext/>
      </w:pPr>
      <w:r>
        <w:rPr>
          <w:rFonts w:ascii="Lato" w:hAnsi="Lato" w:eastAsia="Lato"/>
          <w:b/>
          <w:i w:val="0"/>
          <w:color w:val="0B2447"/>
          <w:sz w:val="26"/>
        </w:rPr>
        <w:t>7. Email: Common Errors and Safer Practice</w:t>
      </w:r>
    </w:p>
    <w:p>
      <w:pPr>
        <w:pStyle w:val="CTABody"/>
      </w:pPr>
      <w:r>
        <w:rPr>
          <w:rFonts w:ascii="Lato" w:hAnsi="Lato" w:eastAsia="Lato"/>
          <w:b w:val="0"/>
          <w:i w:val="0"/>
        </w:rPr>
        <w:t>Email can support care, but ordinary human errors create many disclosures. Before sending sensitive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Confirm the intended recipient and the exact email address; do not rely blindly on auto-complete.</w:t>
      </w:r>
    </w:p>
    <w:p>
      <w:pPr>
        <w:pStyle w:val="CTABody"/>
        <w:spacing w:after="60"/>
        <w:ind w:left="403" w:hanging="259"/>
      </w:pPr>
      <w:r>
        <w:rPr>
          <w:rFonts w:ascii="Lato" w:hAnsi="Lato" w:eastAsia="Lato"/>
          <w:b/>
          <w:i w:val="0"/>
          <w:color w:val="0AA6A6"/>
        </w:rPr>
        <w:t xml:space="preserve">• </w:t>
      </w:r>
      <w:r>
        <w:rPr>
          <w:rFonts w:ascii="Lato" w:hAnsi="Lato" w:eastAsia="Lato"/>
          <w:b w:val="0"/>
          <w:i w:val="0"/>
        </w:rPr>
        <w:t>Open and verify the attachment before sending.</w:t>
      </w:r>
    </w:p>
    <w:p>
      <w:pPr>
        <w:pStyle w:val="CTABody"/>
        <w:spacing w:after="60"/>
        <w:ind w:left="403" w:hanging="259"/>
      </w:pPr>
      <w:r>
        <w:rPr>
          <w:rFonts w:ascii="Lato" w:hAnsi="Lato" w:eastAsia="Lato"/>
          <w:b/>
          <w:i w:val="0"/>
          <w:color w:val="0AA6A6"/>
        </w:rPr>
        <w:t xml:space="preserve">• </w:t>
      </w:r>
      <w:r>
        <w:rPr>
          <w:rFonts w:ascii="Lato" w:hAnsi="Lato" w:eastAsia="Lato"/>
          <w:b w:val="0"/>
          <w:i w:val="0"/>
        </w:rPr>
        <w:t>Check the subject line, copied recipients, forwarding history, and reply-all list.</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blind-copy or separate messages when a group communication is necessary and disclosure of recipients is not authorized.</w:t>
      </w:r>
    </w:p>
    <w:p>
      <w:pPr>
        <w:pStyle w:val="CTABody"/>
        <w:spacing w:after="60"/>
        <w:ind w:left="403" w:hanging="259"/>
      </w:pPr>
      <w:r>
        <w:rPr>
          <w:rFonts w:ascii="Lato" w:hAnsi="Lato" w:eastAsia="Lato"/>
          <w:b/>
          <w:i w:val="0"/>
          <w:color w:val="0AA6A6"/>
        </w:rPr>
        <w:t xml:space="preserve">• </w:t>
      </w:r>
      <w:r>
        <w:rPr>
          <w:rFonts w:ascii="Lato" w:hAnsi="Lato" w:eastAsia="Lato"/>
          <w:b w:val="0"/>
          <w:i w:val="0"/>
        </w:rPr>
        <w:t>Limit content to what is reasonably necessary for the purpose.</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a secure portal or another method when the information is too sensitive for the proposed email workflow.</w:t>
      </w:r>
    </w:p>
    <w:p>
      <w:pPr>
        <w:pStyle w:val="CTABody"/>
        <w:spacing w:after="60"/>
        <w:ind w:left="403" w:hanging="259"/>
      </w:pPr>
      <w:r>
        <w:rPr>
          <w:rFonts w:ascii="Lato" w:hAnsi="Lato" w:eastAsia="Lato"/>
          <w:b/>
          <w:i w:val="0"/>
          <w:color w:val="0AA6A6"/>
        </w:rPr>
        <w:t xml:space="preserve">• </w:t>
      </w:r>
      <w:r>
        <w:rPr>
          <w:rFonts w:ascii="Lato" w:hAnsi="Lato" w:eastAsia="Lato"/>
          <w:b w:val="0"/>
          <w:i w:val="0"/>
        </w:rPr>
        <w:t>Follow up through a different method when the message is urgent or delivery is uncertain.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Group Email Warning</w:t>
            </w:r>
          </w:p>
          <w:p>
            <w:pPr>
              <w:spacing w:after="0" w:line="254" w:lineRule="auto"/>
            </w:pPr>
            <w:r>
              <w:rPr>
                <w:rFonts w:ascii="Lato" w:hAnsi="Lato" w:eastAsia="Lato"/>
                <w:b w:val="0"/>
                <w:i w:val="0"/>
                <w:sz w:val="20"/>
              </w:rPr>
              <w:t>A group reminder that exposes recipient names or addresses may reveal that each person has a relationship with the practice. “It was only a reminder” does not eliminate the disclosure concern.</w:t>
            </w:r>
          </w:p>
        </w:tc>
      </w:tr>
    </w:tbl>
    <w:p>
      <w:pPr>
        <w:pStyle w:val="CTAHeading2"/>
        <w:keepNext/>
      </w:pPr>
      <w:r>
        <w:rPr>
          <w:rFonts w:ascii="Lato" w:hAnsi="Lato" w:eastAsia="Lato"/>
          <w:b/>
          <w:i w:val="0"/>
          <w:color w:val="0B2447"/>
          <w:sz w:val="26"/>
        </w:rPr>
        <w:t>8. Text Messaging and Messaging Applications</w:t>
      </w:r>
    </w:p>
    <w:p>
      <w:pPr>
        <w:pStyle w:val="CTABody"/>
      </w:pPr>
      <w:r>
        <w:rPr>
          <w:rFonts w:ascii="Lato" w:hAnsi="Lato" w:eastAsia="Lato"/>
          <w:b w:val="0"/>
          <w:i w:val="0"/>
        </w:rPr>
        <w:t>Texting can be useful for reminders and brief communication, but it creates predictable risks:</w:t>
      </w:r>
    </w:p>
    <w:p>
      <w:pPr>
        <w:pStyle w:val="CTABody"/>
        <w:spacing w:after="60"/>
        <w:ind w:left="403" w:hanging="259"/>
      </w:pPr>
      <w:r>
        <w:rPr>
          <w:rFonts w:ascii="Lato" w:hAnsi="Lato" w:eastAsia="Lato"/>
          <w:b/>
          <w:i w:val="0"/>
          <w:color w:val="0AA6A6"/>
        </w:rPr>
        <w:t xml:space="preserve">• </w:t>
      </w:r>
      <w:r>
        <w:rPr>
          <w:rFonts w:ascii="Lato" w:hAnsi="Lato" w:eastAsia="Lato"/>
          <w:b w:val="0"/>
          <w:i w:val="0"/>
        </w:rPr>
        <w:t>Visible lock-screen notifications and message previews.</w:t>
      </w:r>
    </w:p>
    <w:p>
      <w:pPr>
        <w:pStyle w:val="CTABody"/>
        <w:spacing w:after="60"/>
        <w:ind w:left="403" w:hanging="259"/>
      </w:pPr>
      <w:r>
        <w:rPr>
          <w:rFonts w:ascii="Lato" w:hAnsi="Lato" w:eastAsia="Lato"/>
          <w:b/>
          <w:i w:val="0"/>
          <w:color w:val="0AA6A6"/>
        </w:rPr>
        <w:t xml:space="preserve">• </w:t>
      </w:r>
      <w:r>
        <w:rPr>
          <w:rFonts w:ascii="Lato" w:hAnsi="Lato" w:eastAsia="Lato"/>
          <w:b w:val="0"/>
          <w:i w:val="0"/>
        </w:rPr>
        <w:t>Shared, lost, replaced, or employer-owned devices.</w:t>
      </w:r>
    </w:p>
    <w:p>
      <w:pPr>
        <w:pStyle w:val="CTABody"/>
        <w:spacing w:after="60"/>
        <w:ind w:left="403" w:hanging="259"/>
      </w:pPr>
      <w:r>
        <w:rPr>
          <w:rFonts w:ascii="Lato" w:hAnsi="Lato" w:eastAsia="Lato"/>
          <w:b/>
          <w:i w:val="0"/>
          <w:color w:val="0AA6A6"/>
        </w:rPr>
        <w:t xml:space="preserve">• </w:t>
      </w:r>
      <w:r>
        <w:rPr>
          <w:rFonts w:ascii="Lato" w:hAnsi="Lato" w:eastAsia="Lato"/>
          <w:b w:val="0"/>
          <w:i w:val="0"/>
        </w:rPr>
        <w:t>Cloud backups, linked tablets or computers, screenshots, and message forwarding.</w:t>
      </w:r>
    </w:p>
    <w:p>
      <w:pPr>
        <w:pStyle w:val="CTABody"/>
        <w:spacing w:after="60"/>
        <w:ind w:left="403" w:hanging="259"/>
      </w:pPr>
      <w:r>
        <w:rPr>
          <w:rFonts w:ascii="Lato" w:hAnsi="Lato" w:eastAsia="Lato"/>
          <w:b/>
          <w:i w:val="0"/>
          <w:color w:val="0AA6A6"/>
        </w:rPr>
        <w:t xml:space="preserve">• </w:t>
      </w:r>
      <w:r>
        <w:rPr>
          <w:rFonts w:ascii="Lato" w:hAnsi="Lato" w:eastAsia="Lato"/>
          <w:b w:val="0"/>
          <w:i w:val="0"/>
        </w:rPr>
        <w:t>Recycled telephone numbers or incorrect contacts.</w:t>
      </w:r>
    </w:p>
    <w:p>
      <w:pPr>
        <w:pStyle w:val="CTABody"/>
        <w:spacing w:after="60"/>
        <w:ind w:left="403" w:hanging="259"/>
      </w:pPr>
      <w:r>
        <w:rPr>
          <w:rFonts w:ascii="Lato" w:hAnsi="Lato" w:eastAsia="Lato"/>
          <w:b/>
          <w:i w:val="0"/>
          <w:color w:val="0AA6A6"/>
        </w:rPr>
        <w:t xml:space="preserve">• </w:t>
      </w:r>
      <w:r>
        <w:rPr>
          <w:rFonts w:ascii="Lato" w:hAnsi="Lato" w:eastAsia="Lato"/>
          <w:b w:val="0"/>
          <w:i w:val="0"/>
        </w:rPr>
        <w:t>Informal tone and unrealistic expectations of immediate access.</w:t>
      </w:r>
    </w:p>
    <w:p>
      <w:pPr>
        <w:pStyle w:val="CTABody"/>
        <w:spacing w:after="60"/>
        <w:ind w:left="403" w:hanging="259"/>
      </w:pPr>
      <w:r>
        <w:rPr>
          <w:rFonts w:ascii="Lato" w:hAnsi="Lato" w:eastAsia="Lato"/>
          <w:b/>
          <w:i w:val="0"/>
          <w:color w:val="0AA6A6"/>
        </w:rPr>
        <w:t xml:space="preserve">• </w:t>
      </w:r>
      <w:r>
        <w:rPr>
          <w:rFonts w:ascii="Lato" w:hAnsi="Lato" w:eastAsia="Lato"/>
          <w:b w:val="0"/>
          <w:i w:val="0"/>
        </w:rPr>
        <w:t>Fragmented records when clinically important content remains only on a personal phone.</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Applications that collect metadata, contact lists, or content for purposes unrelated to treatment.</w:t>
      </w:r>
    </w:p>
    <w:p>
      <w:pPr>
        <w:pStyle w:val="CTABody"/>
      </w:pPr>
      <w:r>
        <w:rPr>
          <w:rFonts w:ascii="Lato" w:hAnsi="Lato" w:eastAsia="Lato"/>
          <w:b w:val="0"/>
          <w:i w:val="0"/>
        </w:rPr>
        <w:t>Using a personal telephone number or device is not automatically a legal or ethical violation. It does, however, increase the need for clear boundaries, device safeguards, record integration, separation from personal accounts, and a plan for loss, replacement, subpoenas, termination, or practice closure.</w:t>
      </w:r>
    </w:p>
    <w:p>
      <w:pPr>
        <w:pStyle w:val="CTAHeading2"/>
        <w:keepNext/>
      </w:pPr>
      <w:r>
        <w:rPr>
          <w:rFonts w:ascii="Lato" w:hAnsi="Lato" w:eastAsia="Lato"/>
          <w:b/>
          <w:i w:val="0"/>
          <w:color w:val="0B2447"/>
          <w:sz w:val="26"/>
        </w:rPr>
        <w:t>9. Client Portals: More Secure Does Not Mean Always Appropriate</w:t>
      </w:r>
    </w:p>
    <w:p>
      <w:pPr>
        <w:pStyle w:val="CTABody"/>
      </w:pPr>
      <w:r>
        <w:rPr>
          <w:rFonts w:ascii="Lato" w:hAnsi="Lato" w:eastAsia="Lato"/>
          <w:b w:val="0"/>
          <w:i w:val="0"/>
        </w:rPr>
        <w:t>A portal may provide stronger access controls and better integration with the record than ordinary email or texting. Even so, the therapist should not assume that:</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portal is monitored continuously.</w:t>
      </w:r>
    </w:p>
    <w:p>
      <w:pPr>
        <w:pStyle w:val="CTABody"/>
        <w:spacing w:after="60"/>
        <w:ind w:left="403" w:hanging="259"/>
      </w:pPr>
      <w:r>
        <w:rPr>
          <w:rFonts w:ascii="Lato" w:hAnsi="Lato" w:eastAsia="Lato"/>
          <w:b/>
          <w:i w:val="0"/>
          <w:color w:val="0AA6A6"/>
        </w:rPr>
        <w:t xml:space="preserve">• </w:t>
      </w:r>
      <w:r>
        <w:rPr>
          <w:rFonts w:ascii="Lato" w:hAnsi="Lato" w:eastAsia="Lato"/>
          <w:b w:val="0"/>
          <w:i w:val="0"/>
        </w:rPr>
        <w:t>Every person using the client’s credentials is the client.</w:t>
      </w:r>
    </w:p>
    <w:p>
      <w:pPr>
        <w:pStyle w:val="CTABody"/>
        <w:spacing w:after="60"/>
        <w:ind w:left="403" w:hanging="259"/>
      </w:pPr>
      <w:r>
        <w:rPr>
          <w:rFonts w:ascii="Lato" w:hAnsi="Lato" w:eastAsia="Lato"/>
          <w:b/>
          <w:i w:val="0"/>
          <w:color w:val="0AA6A6"/>
        </w:rPr>
        <w:t xml:space="preserve">• </w:t>
      </w:r>
      <w:r>
        <w:rPr>
          <w:rFonts w:ascii="Lato" w:hAnsi="Lato" w:eastAsia="Lato"/>
          <w:b w:val="0"/>
          <w:i w:val="0"/>
        </w:rPr>
        <w:t>A proxy, parent, spouse, or caregiver has authority to view all messages.</w:t>
      </w:r>
    </w:p>
    <w:p>
      <w:pPr>
        <w:pStyle w:val="CTABody"/>
        <w:spacing w:after="60"/>
        <w:ind w:left="403" w:hanging="259"/>
      </w:pPr>
      <w:r>
        <w:rPr>
          <w:rFonts w:ascii="Lato" w:hAnsi="Lato" w:eastAsia="Lato"/>
          <w:b/>
          <w:i w:val="0"/>
          <w:color w:val="0AA6A6"/>
        </w:rPr>
        <w:t xml:space="preserve">• </w:t>
      </w:r>
      <w:r>
        <w:rPr>
          <w:rFonts w:ascii="Lato" w:hAnsi="Lato" w:eastAsia="Lato"/>
          <w:b w:val="0"/>
          <w:i w:val="0"/>
        </w:rPr>
        <w:t>Every message is appropriate for asynchronous communication.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All portal content is automatically reviewed, triaged, and documented correctly.</w:t>
      </w:r>
    </w:p>
    <w:p>
      <w:pPr>
        <w:pStyle w:val="CTABody"/>
        <w:spacing w:after="60"/>
        <w:ind w:left="403" w:hanging="259"/>
      </w:pPr>
      <w:r>
        <w:rPr>
          <w:rFonts w:ascii="Lato" w:hAnsi="Lato" w:eastAsia="Lato"/>
          <w:b/>
          <w:i w:val="0"/>
          <w:color w:val="0AA6A6"/>
        </w:rPr>
        <w:t xml:space="preserve">• </w:t>
      </w:r>
      <w:r>
        <w:rPr>
          <w:rFonts w:ascii="Lato" w:hAnsi="Lato" w:eastAsia="Lato"/>
          <w:b w:val="0"/>
          <w:i w:val="0"/>
        </w:rPr>
        <w:t>A secure channel makes an urgent or clinically complex issue safe to handle without real-time assessment.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Security answers “How is the information protected?” Clinical appropriateness answers “Should this issue be handled this way?” You need both.</w:t>
            </w:r>
          </w:p>
        </w:tc>
      </w:tr>
    </w:tbl>
    <w:p>
      <w:pPr>
        <w:pStyle w:val="CTAHeading2"/>
        <w:keepNext/>
      </w:pPr>
      <w:r>
        <w:rPr>
          <w:rFonts w:ascii="Lato" w:hAnsi="Lato" w:eastAsia="Lato"/>
          <w:b/>
          <w:i w:val="0"/>
          <w:color w:val="0B2447"/>
          <w:sz w:val="26"/>
        </w:rPr>
        <w:t>10. Response Expectations and Emergency Messages</w:t>
      </w:r>
    </w:p>
    <w:p>
      <w:pPr>
        <w:pStyle w:val="CTABody"/>
      </w:pPr>
      <w:r>
        <w:rPr>
          <w:rFonts w:ascii="Lato" w:hAnsi="Lato" w:eastAsia="Lato"/>
          <w:b w:val="0"/>
          <w:i w:val="0"/>
        </w:rPr>
        <w:t>A therapist is not automatically required to monitor email, texting, or portal messages 24 hours a day merely because the technology can receive messages. The therapist should avoid creating an expectation of continuous availability and should give clients clear emergency instructions.</w:t>
      </w:r>
    </w:p>
    <w:p>
      <w:pPr>
        <w:pStyle w:val="CTABody"/>
      </w:pPr>
      <w:r>
        <w:rPr>
          <w:rFonts w:ascii="Lato" w:hAnsi="Lato" w:eastAsia="Lato"/>
          <w:b w:val="0"/>
          <w:i w:val="0"/>
        </w:rPr>
        <w:t>However, a communication policy is not a license to ignore a dangerous message that the therapist has actually received or read. Once aware of clinically significant or high-risk content, the therapist should respond according to the facts, the client’s risk, applicable duties, and the standard of care. A generic auto-reply or reminder to call 911 may be part of a system, but it does not automatically discharge the therapist’s responsibilities after the therapist personally becomes aware of imminent risk.</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Distinction</w:t>
            </w:r>
          </w:p>
          <w:p>
            <w:pPr>
              <w:spacing w:after="0" w:line="254" w:lineRule="auto"/>
            </w:pPr>
            <w:r>
              <w:rPr>
                <w:rFonts w:ascii="Lato" w:hAnsi="Lato" w:eastAsia="Lato"/>
                <w:b w:val="0"/>
                <w:i w:val="0"/>
                <w:sz w:val="20"/>
              </w:rPr>
              <w:t>Not continuously monitoring a channel is different from reading a high-risk message and doing nothing.</w:t>
            </w:r>
          </w:p>
        </w:tc>
      </w:tr>
    </w:tbl>
    <w:p>
      <w:pPr>
        <w:pStyle w:val="CTAHeading2"/>
        <w:keepNext/>
      </w:pPr>
      <w:r>
        <w:rPr>
          <w:rFonts w:ascii="Lato" w:hAnsi="Lato" w:eastAsia="Lato"/>
          <w:b/>
          <w:i w:val="0"/>
          <w:color w:val="0B2447"/>
          <w:sz w:val="26"/>
        </w:rPr>
        <w:t>11. Documentation of Electronic Communication</w:t>
      </w:r>
    </w:p>
    <w:p>
      <w:pPr>
        <w:pStyle w:val="CTABody"/>
      </w:pPr>
      <w:r>
        <w:rPr>
          <w:rFonts w:ascii="Lato" w:hAnsi="Lato" w:eastAsia="Lato"/>
          <w:b w:val="0"/>
          <w:i w:val="0"/>
        </w:rPr>
        <w:t>Electronic communication should be documented according to clinical significance, not merely because it is electronic. The therapist should preserve or incorporate information that materially affects assessment, diagnosis, treatment, risk management, informed consent, client decisions, referrals, consultation, safety planning, or continuity of care.</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Usually Clinically Significant</w:t>
            </w:r>
          </w:p>
        </w:tc>
        <w:tc>
          <w:tcPr>
            <w:tcW w:type="dxa" w:w="4980"/>
            <w:shd w:fill="0B2447"/>
          </w:tcPr>
          <w:p>
            <w:pPr>
              <w:jc w:val="center"/>
            </w:pPr>
            <w:r>
              <w:rPr>
                <w:rFonts w:ascii="Lato" w:hAnsi="Lato" w:eastAsia="Lato"/>
                <w:b/>
                <w:i w:val="0"/>
                <w:color w:val="FFFFFF"/>
                <w:sz w:val="18"/>
              </w:rPr>
              <w:t>Usually Administrative Unless Context Changes</w:t>
            </w:r>
          </w:p>
        </w:tc>
      </w:tr>
      <w:tr>
        <w:trPr>
          <w:cantSplit w:val="1"/>
        </w:trPr>
        <w:tc>
          <w:tcPr>
            <w:tcW w:type="dxa" w:w="4980"/>
            <w:shd w:fill="EEF3F8"/>
            <w:vAlign w:val="top"/>
          </w:tcPr>
          <w:p>
            <w:pPr>
              <w:spacing w:after="0" w:line="245" w:lineRule="auto"/>
            </w:pPr>
            <w:r>
              <w:rPr>
                <w:rFonts w:ascii="Lato" w:hAnsi="Lato" w:eastAsia="Lato"/>
                <w:b/>
                <w:i w:val="0"/>
                <w:color w:val="0B2447"/>
                <w:sz w:val="17"/>
              </w:rPr>
              <w:t>Disclosure of suicidal intent, violence risk, abuse, severe deterioration, intoxication, or medical danger.</w:t>
            </w:r>
          </w:p>
        </w:tc>
        <w:tc>
          <w:tcPr>
            <w:tcW w:type="dxa" w:w="4980"/>
            <w:vAlign w:val="top"/>
          </w:tcPr>
          <w:p>
            <w:pPr>
              <w:spacing w:after="0" w:line="245" w:lineRule="auto"/>
            </w:pPr>
            <w:r>
              <w:rPr>
                <w:rFonts w:ascii="Lato" w:hAnsi="Lato" w:eastAsia="Lato"/>
                <w:b w:val="0"/>
                <w:i w:val="0"/>
                <w:color w:val="111827"/>
                <w:sz w:val="17"/>
              </w:rPr>
              <w:t>Routine appointment confirmation or rescheduling.</w:t>
            </w:r>
          </w:p>
        </w:tc>
      </w:tr>
      <w:tr>
        <w:trPr>
          <w:cantSplit w:val="1"/>
        </w:trPr>
        <w:tc>
          <w:tcPr>
            <w:tcW w:type="dxa" w:w="4980"/>
            <w:shd w:fill="EEF3F8"/>
            <w:vAlign w:val="top"/>
          </w:tcPr>
          <w:p>
            <w:pPr>
              <w:spacing w:after="0" w:line="245" w:lineRule="auto"/>
            </w:pPr>
            <w:r>
              <w:rPr>
                <w:rFonts w:ascii="Lato" w:hAnsi="Lato" w:eastAsia="Lato"/>
                <w:b/>
                <w:i w:val="0"/>
                <w:color w:val="0B2447"/>
                <w:sz w:val="17"/>
              </w:rPr>
              <w:t>A treatment decision, clinical recommendation, refusal, safety instruction, or change in level of care.</w:t>
            </w:r>
          </w:p>
        </w:tc>
        <w:tc>
          <w:tcPr>
            <w:tcW w:type="dxa" w:w="4980"/>
            <w:vAlign w:val="top"/>
          </w:tcPr>
          <w:p>
            <w:pPr>
              <w:spacing w:after="0" w:line="245" w:lineRule="auto"/>
            </w:pPr>
            <w:r>
              <w:rPr>
                <w:rFonts w:ascii="Lato" w:hAnsi="Lato" w:eastAsia="Lato"/>
                <w:b w:val="0"/>
                <w:i w:val="0"/>
                <w:color w:val="111827"/>
                <w:sz w:val="17"/>
              </w:rPr>
              <w:t>Directions to the office or a neutral reminder.</w:t>
            </w:r>
          </w:p>
        </w:tc>
      </w:tr>
      <w:tr>
        <w:trPr>
          <w:cantSplit w:val="1"/>
        </w:trPr>
        <w:tc>
          <w:tcPr>
            <w:tcW w:type="dxa" w:w="4980"/>
            <w:shd w:fill="EEF3F8"/>
            <w:vAlign w:val="top"/>
          </w:tcPr>
          <w:p>
            <w:pPr>
              <w:spacing w:after="0" w:line="245" w:lineRule="auto"/>
            </w:pPr>
            <w:r>
              <w:rPr>
                <w:rFonts w:ascii="Lato" w:hAnsi="Lato" w:eastAsia="Lato"/>
                <w:b/>
                <w:i w:val="0"/>
                <w:color w:val="0B2447"/>
                <w:sz w:val="17"/>
              </w:rPr>
              <w:t>Information that changes the case formulation, diagnosis, treatment plan, or risk assessment.</w:t>
            </w:r>
          </w:p>
        </w:tc>
        <w:tc>
          <w:tcPr>
            <w:tcW w:type="dxa" w:w="4980"/>
            <w:vAlign w:val="top"/>
          </w:tcPr>
          <w:p>
            <w:pPr>
              <w:spacing w:after="0" w:line="245" w:lineRule="auto"/>
            </w:pPr>
            <w:r>
              <w:rPr>
                <w:rFonts w:ascii="Lato" w:hAnsi="Lato" w:eastAsia="Lato"/>
                <w:b w:val="0"/>
                <w:i w:val="0"/>
                <w:color w:val="111827"/>
                <w:sz w:val="17"/>
              </w:rPr>
              <w:t>A brief acknowledgment that a form was received.</w:t>
            </w:r>
          </w:p>
        </w:tc>
      </w:tr>
      <w:tr>
        <w:trPr>
          <w:cantSplit w:val="1"/>
        </w:trPr>
        <w:tc>
          <w:tcPr>
            <w:tcW w:type="dxa" w:w="4980"/>
            <w:shd w:fill="EEF3F8"/>
            <w:vAlign w:val="top"/>
          </w:tcPr>
          <w:p>
            <w:pPr>
              <w:spacing w:after="0" w:line="245" w:lineRule="auto"/>
            </w:pPr>
            <w:r>
              <w:rPr>
                <w:rFonts w:ascii="Lato" w:hAnsi="Lato" w:eastAsia="Lato"/>
                <w:b/>
                <w:i w:val="0"/>
                <w:color w:val="0B2447"/>
                <w:sz w:val="17"/>
              </w:rPr>
              <w:t>A clinically important boundary issue, consent discussion, complaint, or termination communication.</w:t>
            </w:r>
          </w:p>
        </w:tc>
        <w:tc>
          <w:tcPr>
            <w:tcW w:type="dxa" w:w="4980"/>
            <w:vAlign w:val="top"/>
          </w:tcPr>
          <w:p>
            <w:pPr>
              <w:spacing w:after="0" w:line="245" w:lineRule="auto"/>
            </w:pPr>
            <w:r>
              <w:rPr>
                <w:rFonts w:ascii="Lato" w:hAnsi="Lato" w:eastAsia="Lato"/>
                <w:b w:val="0"/>
                <w:i w:val="0"/>
                <w:color w:val="111827"/>
                <w:sz w:val="17"/>
              </w:rPr>
              <w:t>A routine billing notification that contains no clinical information.</w:t>
            </w:r>
          </w:p>
        </w:tc>
      </w:tr>
      <w:tr>
        <w:trPr>
          <w:cantSplit w:val="1"/>
        </w:trPr>
        <w:tc>
          <w:tcPr>
            <w:tcW w:type="dxa" w:w="4980"/>
            <w:shd w:fill="EEF3F8"/>
            <w:vAlign w:val="top"/>
          </w:tcPr>
          <w:p>
            <w:pPr>
              <w:spacing w:after="0" w:line="245" w:lineRule="auto"/>
            </w:pPr>
            <w:r>
              <w:rPr>
                <w:rFonts w:ascii="Lato" w:hAnsi="Lato" w:eastAsia="Lato"/>
                <w:b/>
                <w:i w:val="0"/>
                <w:color w:val="0B2447"/>
                <w:sz w:val="17"/>
              </w:rPr>
              <w:t>The therapist’s assessment, action, consultation, referral, or follow-up after a significant message.</w:t>
            </w:r>
          </w:p>
        </w:tc>
        <w:tc>
          <w:tcPr>
            <w:tcW w:type="dxa" w:w="4980"/>
            <w:vAlign w:val="top"/>
          </w:tcPr>
          <w:p>
            <w:pPr>
              <w:spacing w:after="0" w:line="245" w:lineRule="auto"/>
            </w:pPr>
            <w:r>
              <w:rPr>
                <w:rFonts w:ascii="Lato" w:hAnsi="Lato" w:eastAsia="Lato"/>
                <w:b w:val="0"/>
                <w:i w:val="0"/>
                <w:color w:val="111827"/>
                <w:sz w:val="17"/>
              </w:rPr>
              <w:t>A duplicate system notification with no independent clinical meaning.</w:t>
            </w:r>
          </w:p>
        </w:tc>
      </w:tr>
    </w:tbl>
    <w:p>
      <w:pPr>
        <w:pStyle w:val="CTABody"/>
      </w:pPr>
      <w:r>
        <w:rPr>
          <w:rFonts w:ascii="Lato" w:hAnsi="Lato" w:eastAsia="Lato"/>
          <w:b w:val="0"/>
          <w:i w:val="0"/>
        </w:rPr>
        <w:t>California Business and Professions Code section 4993 requires an LCSW to retain health-service records for at least seven years after therapy terminates; for a minor, at least seven years after the client reaches age 18. Records may be retained in written or electronic form. A clinically significant message does not become irrelevant merely because a device copy is deleted after the content is appropriately incorporated into the record.</w:t>
      </w:r>
    </w:p>
    <w:p>
      <w:pPr>
        <w:pStyle w:val="CTASmall"/>
      </w:pPr>
      <w:r>
        <w:rPr>
          <w:rFonts w:ascii="Lato" w:hAnsi="Lato" w:eastAsia="Lato"/>
          <w:b w:val="0"/>
          <w:i/>
          <w:color w:val="384250"/>
          <w:sz w:val="18"/>
        </w:rPr>
        <w:t>Authority: Business and Professions Code section 4993. Employers, payors, and particular settings may impose additional requirements.</w:t>
      </w:r>
    </w:p>
    <w:p>
      <w:pPr>
        <w:pStyle w:val="CTAHeading2"/>
        <w:keepNext/>
      </w:pPr>
      <w:r>
        <w:rPr>
          <w:rFonts w:ascii="Lato" w:hAnsi="Lato" w:eastAsia="Lato"/>
          <w:b/>
          <w:i w:val="0"/>
          <w:color w:val="0B2447"/>
          <w:sz w:val="26"/>
        </w:rPr>
        <w:t>12. Professional Boundaries and Tone</w:t>
      </w:r>
    </w:p>
    <w:p>
      <w:pPr>
        <w:pStyle w:val="CTABody"/>
      </w:pPr>
      <w:r>
        <w:rPr>
          <w:rFonts w:ascii="Lato" w:hAnsi="Lato" w:eastAsia="Lato"/>
          <w:b w:val="0"/>
          <w:i w:val="0"/>
        </w:rPr>
        <w:t>Electronic communication can blur the difference between access and availability. Boundary concerns may arise when a therapist:</w:t>
      </w:r>
    </w:p>
    <w:p>
      <w:pPr>
        <w:pStyle w:val="CTABody"/>
        <w:spacing w:after="60"/>
        <w:ind w:left="403" w:hanging="259"/>
      </w:pPr>
      <w:r>
        <w:rPr>
          <w:rFonts w:ascii="Lato" w:hAnsi="Lato" w:eastAsia="Lato"/>
          <w:b/>
          <w:i w:val="0"/>
          <w:color w:val="0AA6A6"/>
        </w:rPr>
        <w:t xml:space="preserve">• </w:t>
      </w:r>
      <w:r>
        <w:rPr>
          <w:rFonts w:ascii="Lato" w:hAnsi="Lato" w:eastAsia="Lato"/>
          <w:b w:val="0"/>
          <w:i w:val="0"/>
        </w:rPr>
        <w:t>Responds inconsistently at all hours and creates an expectation of immediate access.</w:t>
      </w:r>
    </w:p>
    <w:p>
      <w:pPr>
        <w:pStyle w:val="CTABody"/>
        <w:spacing w:after="60"/>
        <w:ind w:left="403" w:hanging="259"/>
      </w:pPr>
      <w:r>
        <w:rPr>
          <w:rFonts w:ascii="Lato" w:hAnsi="Lato" w:eastAsia="Lato"/>
          <w:b/>
          <w:i w:val="0"/>
          <w:color w:val="0AA6A6"/>
        </w:rPr>
        <w:t xml:space="preserve">• </w:t>
      </w:r>
      <w:r>
        <w:rPr>
          <w:rFonts w:ascii="Lato" w:hAnsi="Lato" w:eastAsia="Lato"/>
          <w:b w:val="0"/>
          <w:i w:val="0"/>
        </w:rPr>
        <w:t>Uses informal language that changes the professional meaning of the exchange.</w:t>
      </w:r>
    </w:p>
    <w:p>
      <w:pPr>
        <w:pStyle w:val="CTABody"/>
        <w:spacing w:after="60"/>
        <w:ind w:left="403" w:hanging="259"/>
      </w:pPr>
      <w:r>
        <w:rPr>
          <w:rFonts w:ascii="Lato" w:hAnsi="Lato" w:eastAsia="Lato"/>
          <w:b/>
          <w:i w:val="0"/>
          <w:color w:val="0AA6A6"/>
        </w:rPr>
        <w:t xml:space="preserve">• </w:t>
      </w:r>
      <w:r>
        <w:rPr>
          <w:rFonts w:ascii="Lato" w:hAnsi="Lato" w:eastAsia="Lato"/>
          <w:b w:val="0"/>
          <w:i w:val="0"/>
        </w:rPr>
        <w:t>Moves treatment into personal accounts or applications without considering confidentiality and record control.</w:t>
      </w:r>
    </w:p>
    <w:p>
      <w:pPr>
        <w:pStyle w:val="CTABody"/>
        <w:spacing w:after="60"/>
        <w:ind w:left="403" w:hanging="259"/>
      </w:pPr>
      <w:r>
        <w:rPr>
          <w:rFonts w:ascii="Lato" w:hAnsi="Lato" w:eastAsia="Lato"/>
          <w:b/>
          <w:i w:val="0"/>
          <w:color w:val="0AA6A6"/>
        </w:rPr>
        <w:t xml:space="preserve">• </w:t>
      </w:r>
      <w:r>
        <w:rPr>
          <w:rFonts w:ascii="Lato" w:hAnsi="Lato" w:eastAsia="Lato"/>
          <w:b w:val="0"/>
          <w:i w:val="0"/>
        </w:rPr>
        <w:t>Allows extended clinical conversations to continue by text when a session or higher level of care is needed.</w:t>
      </w:r>
    </w:p>
    <w:p>
      <w:pPr>
        <w:pStyle w:val="CTABody"/>
        <w:spacing w:after="60"/>
        <w:ind w:left="403" w:hanging="259"/>
      </w:pPr>
      <w:r>
        <w:rPr>
          <w:rFonts w:ascii="Lato" w:hAnsi="Lato" w:eastAsia="Lato"/>
          <w:b/>
          <w:i w:val="0"/>
          <w:color w:val="0AA6A6"/>
        </w:rPr>
        <w:t xml:space="preserve">• </w:t>
      </w:r>
      <w:r>
        <w:rPr>
          <w:rFonts w:ascii="Lato" w:hAnsi="Lato" w:eastAsia="Lato"/>
          <w:b w:val="0"/>
          <w:i w:val="0"/>
        </w:rPr>
        <w:t>Provides special communication privileges without a clinically sound reason or consistent policy.</w:t>
      </w:r>
    </w:p>
    <w:p>
      <w:pPr>
        <w:pStyle w:val="CTABody"/>
        <w:spacing w:after="60"/>
        <w:ind w:left="403" w:hanging="259"/>
      </w:pPr>
      <w:r>
        <w:rPr>
          <w:rFonts w:ascii="Lato" w:hAnsi="Lato" w:eastAsia="Lato"/>
          <w:b/>
          <w:i w:val="0"/>
          <w:color w:val="0AA6A6"/>
        </w:rPr>
        <w:t xml:space="preserve">• </w:t>
      </w:r>
      <w:r>
        <w:rPr>
          <w:rFonts w:ascii="Lato" w:hAnsi="Lato" w:eastAsia="Lato"/>
          <w:b w:val="0"/>
          <w:i w:val="0"/>
        </w:rPr>
        <w:t>Fails to address repeated messaging that is affecting treatment, safety, or the therapeutic relationship.</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Clinical Takeaway</w:t>
            </w:r>
          </w:p>
          <w:p>
            <w:pPr>
              <w:spacing w:after="0" w:line="254" w:lineRule="auto"/>
            </w:pPr>
            <w:r>
              <w:rPr>
                <w:rFonts w:ascii="Lato" w:hAnsi="Lato" w:eastAsia="Lato"/>
                <w:b w:val="0"/>
                <w:i w:val="0"/>
                <w:sz w:val="20"/>
              </w:rPr>
              <w:t>The lesson is not that texting is unprofessional. The lesson is that professional boundaries must remain visible even when the communication feels casual.</w:t>
            </w:r>
          </w:p>
        </w:tc>
      </w:tr>
    </w:tbl>
    <w:p>
      <w:pPr>
        <w:pStyle w:val="CTAHeading2"/>
        <w:keepNext/>
      </w:pPr>
      <w:r>
        <w:rPr>
          <w:rFonts w:ascii="Lato" w:hAnsi="Lato" w:eastAsia="Lato"/>
          <w:b/>
          <w:i w:val="0"/>
          <w:color w:val="0B2447"/>
          <w:sz w:val="26"/>
        </w:rPr>
        <w:t>13. Electronic Communication Decision Framework</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Step</w:t>
            </w:r>
          </w:p>
        </w:tc>
        <w:tc>
          <w:tcPr>
            <w:tcW w:type="dxa" w:w="4980"/>
            <w:shd w:fill="0B2447"/>
          </w:tcPr>
          <w:p>
            <w:pPr>
              <w:jc w:val="center"/>
            </w:pPr>
            <w:r>
              <w:rPr>
                <w:rFonts w:ascii="Lato" w:hAnsi="Lato" w:eastAsia="Lato"/>
                <w:b/>
                <w:i w:val="0"/>
                <w:color w:val="FFFFFF"/>
                <w:sz w:val="18"/>
              </w:rPr>
              <w:t>Question</w:t>
            </w:r>
          </w:p>
        </w:tc>
      </w:tr>
      <w:tr>
        <w:trPr>
          <w:cantSplit w:val="1"/>
        </w:trPr>
        <w:tc>
          <w:tcPr>
            <w:tcW w:type="dxa" w:w="4980"/>
            <w:shd w:fill="EEF3F8"/>
            <w:vAlign w:val="top"/>
          </w:tcPr>
          <w:p>
            <w:pPr>
              <w:spacing w:after="0" w:line="245" w:lineRule="auto"/>
            </w:pPr>
            <w:r>
              <w:rPr>
                <w:rFonts w:ascii="Lato" w:hAnsi="Lato" w:eastAsia="Lato"/>
                <w:b/>
                <w:i w:val="0"/>
                <w:color w:val="0B2447"/>
                <w:sz w:val="17"/>
              </w:rPr>
              <w:t>Purpose</w:t>
            </w:r>
          </w:p>
        </w:tc>
        <w:tc>
          <w:tcPr>
            <w:tcW w:type="dxa" w:w="4980"/>
            <w:vAlign w:val="top"/>
          </w:tcPr>
          <w:p>
            <w:pPr>
              <w:spacing w:after="0" w:line="245" w:lineRule="auto"/>
            </w:pPr>
            <w:r>
              <w:rPr>
                <w:rFonts w:ascii="Lato" w:hAnsi="Lato" w:eastAsia="Lato"/>
                <w:b w:val="0"/>
                <w:i w:val="0"/>
                <w:color w:val="111827"/>
                <w:sz w:val="17"/>
              </w:rPr>
              <w:t>What is this communication trying to accomplish?</w:t>
            </w:r>
          </w:p>
        </w:tc>
      </w:tr>
      <w:tr>
        <w:trPr>
          <w:cantSplit w:val="1"/>
        </w:trPr>
        <w:tc>
          <w:tcPr>
            <w:tcW w:type="dxa" w:w="4980"/>
            <w:shd w:fill="EEF3F8"/>
            <w:vAlign w:val="top"/>
          </w:tcPr>
          <w:p>
            <w:pPr>
              <w:spacing w:after="0" w:line="245" w:lineRule="auto"/>
            </w:pPr>
            <w:r>
              <w:rPr>
                <w:rFonts w:ascii="Lato" w:hAnsi="Lato" w:eastAsia="Lato"/>
                <w:b/>
                <w:i w:val="0"/>
                <w:color w:val="0B2447"/>
                <w:sz w:val="17"/>
              </w:rPr>
              <w:t>Urgency</w:t>
            </w:r>
          </w:p>
        </w:tc>
        <w:tc>
          <w:tcPr>
            <w:tcW w:type="dxa" w:w="4980"/>
            <w:vAlign w:val="top"/>
          </w:tcPr>
          <w:p>
            <w:pPr>
              <w:spacing w:after="0" w:line="245" w:lineRule="auto"/>
            </w:pPr>
            <w:r>
              <w:rPr>
                <w:rFonts w:ascii="Lato" w:hAnsi="Lato" w:eastAsia="Lato"/>
                <w:b w:val="0"/>
                <w:i w:val="0"/>
                <w:color w:val="111827"/>
                <w:sz w:val="17"/>
              </w:rPr>
              <w:t>Can this channel be reviewed and answered in time?</w:t>
            </w:r>
          </w:p>
        </w:tc>
      </w:tr>
      <w:tr>
        <w:trPr>
          <w:cantSplit w:val="1"/>
        </w:trPr>
        <w:tc>
          <w:tcPr>
            <w:tcW w:type="dxa" w:w="4980"/>
            <w:shd w:fill="EEF3F8"/>
            <w:vAlign w:val="top"/>
          </w:tcPr>
          <w:p>
            <w:pPr>
              <w:spacing w:after="0" w:line="245" w:lineRule="auto"/>
            </w:pPr>
            <w:r>
              <w:rPr>
                <w:rFonts w:ascii="Lato" w:hAnsi="Lato" w:eastAsia="Lato"/>
                <w:b/>
                <w:i w:val="0"/>
                <w:color w:val="0B2447"/>
                <w:sz w:val="17"/>
              </w:rPr>
              <w:t>Sensitivity</w:t>
            </w:r>
          </w:p>
        </w:tc>
        <w:tc>
          <w:tcPr>
            <w:tcW w:type="dxa" w:w="4980"/>
            <w:vAlign w:val="top"/>
          </w:tcPr>
          <w:p>
            <w:pPr>
              <w:spacing w:after="0" w:line="245" w:lineRule="auto"/>
            </w:pPr>
            <w:r>
              <w:rPr>
                <w:rFonts w:ascii="Lato" w:hAnsi="Lato" w:eastAsia="Lato"/>
                <w:b w:val="0"/>
                <w:i w:val="0"/>
                <w:color w:val="111827"/>
                <w:sz w:val="17"/>
              </w:rPr>
              <w:t>What could be exposed if the message is misdirected, viewed, or forwarded?</w:t>
            </w:r>
          </w:p>
        </w:tc>
      </w:tr>
      <w:tr>
        <w:trPr>
          <w:cantSplit w:val="1"/>
        </w:trPr>
        <w:tc>
          <w:tcPr>
            <w:tcW w:type="dxa" w:w="4980"/>
            <w:shd w:fill="EEF3F8"/>
            <w:vAlign w:val="top"/>
          </w:tcPr>
          <w:p>
            <w:pPr>
              <w:spacing w:after="0" w:line="245" w:lineRule="auto"/>
            </w:pPr>
            <w:r>
              <w:rPr>
                <w:rFonts w:ascii="Lato" w:hAnsi="Lato" w:eastAsia="Lato"/>
                <w:b/>
                <w:i w:val="0"/>
                <w:color w:val="0B2447"/>
                <w:sz w:val="17"/>
              </w:rPr>
              <w:t>Recipient</w:t>
            </w:r>
          </w:p>
        </w:tc>
        <w:tc>
          <w:tcPr>
            <w:tcW w:type="dxa" w:w="4980"/>
            <w:vAlign w:val="top"/>
          </w:tcPr>
          <w:p>
            <w:pPr>
              <w:spacing w:after="0" w:line="245" w:lineRule="auto"/>
            </w:pPr>
            <w:r>
              <w:rPr>
                <w:rFonts w:ascii="Lato" w:hAnsi="Lato" w:eastAsia="Lato"/>
                <w:b w:val="0"/>
                <w:i w:val="0"/>
                <w:color w:val="111827"/>
                <w:sz w:val="17"/>
              </w:rPr>
              <w:t>Have identity, address or number, authority, and access been verified?</w:t>
            </w:r>
          </w:p>
        </w:tc>
      </w:tr>
      <w:tr>
        <w:trPr>
          <w:cantSplit w:val="1"/>
        </w:trPr>
        <w:tc>
          <w:tcPr>
            <w:tcW w:type="dxa" w:w="4980"/>
            <w:shd w:fill="EEF3F8"/>
            <w:vAlign w:val="top"/>
          </w:tcPr>
          <w:p>
            <w:pPr>
              <w:spacing w:after="0" w:line="245" w:lineRule="auto"/>
            </w:pPr>
            <w:r>
              <w:rPr>
                <w:rFonts w:ascii="Lato" w:hAnsi="Lato" w:eastAsia="Lato"/>
                <w:b/>
                <w:i w:val="0"/>
                <w:color w:val="0B2447"/>
                <w:sz w:val="17"/>
              </w:rPr>
              <w:t>Safeguards</w:t>
            </w:r>
          </w:p>
        </w:tc>
        <w:tc>
          <w:tcPr>
            <w:tcW w:type="dxa" w:w="4980"/>
            <w:vAlign w:val="top"/>
          </w:tcPr>
          <w:p>
            <w:pPr>
              <w:spacing w:after="0" w:line="245" w:lineRule="auto"/>
            </w:pPr>
            <w:r>
              <w:rPr>
                <w:rFonts w:ascii="Lato" w:hAnsi="Lato" w:eastAsia="Lato"/>
                <w:b w:val="0"/>
                <w:i w:val="0"/>
                <w:color w:val="111827"/>
                <w:sz w:val="17"/>
              </w:rPr>
              <w:t>Is the method reasonably protected and consistent with policy and applicable law?</w:t>
            </w:r>
          </w:p>
        </w:tc>
      </w:tr>
      <w:tr>
        <w:trPr>
          <w:cantSplit w:val="1"/>
        </w:trPr>
        <w:tc>
          <w:tcPr>
            <w:tcW w:type="dxa" w:w="4980"/>
            <w:shd w:fill="EEF3F8"/>
            <w:vAlign w:val="top"/>
          </w:tcPr>
          <w:p>
            <w:pPr>
              <w:spacing w:after="0" w:line="245" w:lineRule="auto"/>
            </w:pPr>
            <w:r>
              <w:rPr>
                <w:rFonts w:ascii="Lato" w:hAnsi="Lato" w:eastAsia="Lato"/>
                <w:b/>
                <w:i w:val="0"/>
                <w:color w:val="0B2447"/>
                <w:sz w:val="17"/>
              </w:rPr>
              <w:t>Clinical fit</w:t>
            </w:r>
          </w:p>
        </w:tc>
        <w:tc>
          <w:tcPr>
            <w:tcW w:type="dxa" w:w="4980"/>
            <w:vAlign w:val="top"/>
          </w:tcPr>
          <w:p>
            <w:pPr>
              <w:spacing w:after="0" w:line="245" w:lineRule="auto"/>
            </w:pPr>
            <w:r>
              <w:rPr>
                <w:rFonts w:ascii="Lato" w:hAnsi="Lato" w:eastAsia="Lato"/>
                <w:b w:val="0"/>
                <w:i w:val="0"/>
                <w:color w:val="111827"/>
                <w:sz w:val="17"/>
              </w:rPr>
              <w:t>Does the issue require a session, fuller assessment, emergency response, or another modality?</w:t>
            </w:r>
          </w:p>
        </w:tc>
      </w:tr>
      <w:tr>
        <w:trPr>
          <w:cantSplit w:val="1"/>
        </w:trPr>
        <w:tc>
          <w:tcPr>
            <w:tcW w:type="dxa" w:w="4980"/>
            <w:shd w:fill="EEF3F8"/>
            <w:vAlign w:val="top"/>
          </w:tcPr>
          <w:p>
            <w:pPr>
              <w:spacing w:after="0" w:line="245" w:lineRule="auto"/>
            </w:pPr>
            <w:r>
              <w:rPr>
                <w:rFonts w:ascii="Lato" w:hAnsi="Lato" w:eastAsia="Lato"/>
                <w:b/>
                <w:i w:val="0"/>
                <w:color w:val="0B2447"/>
                <w:sz w:val="17"/>
              </w:rPr>
              <w:t>Documentation</w:t>
            </w:r>
          </w:p>
        </w:tc>
        <w:tc>
          <w:tcPr>
            <w:tcW w:type="dxa" w:w="4980"/>
            <w:vAlign w:val="top"/>
          </w:tcPr>
          <w:p>
            <w:pPr>
              <w:spacing w:after="0" w:line="245" w:lineRule="auto"/>
            </w:pPr>
            <w:r>
              <w:rPr>
                <w:rFonts w:ascii="Lato" w:hAnsi="Lato" w:eastAsia="Lato"/>
                <w:b w:val="0"/>
                <w:i w:val="0"/>
                <w:color w:val="111827"/>
                <w:sz w:val="17"/>
              </w:rPr>
              <w:t>What information and action belong in the health-service record?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PURPOSE -&gt; URGENCY -&gt; SENSITIVITY -&gt; RECIPIENT -&gt; SAFEGUARDS -&gt; CLINICAL FIT -&gt; DOCUMENT</w:t>
            </w:r>
          </w:p>
        </w:tc>
      </w:tr>
    </w:tbl>
    <w:p>
      <w:pPr>
        <w:pStyle w:val="CTAHeading2"/>
        <w:keepNext/>
      </w:pPr>
      <w:r>
        <w:rPr>
          <w:rFonts w:ascii="Lato" w:hAnsi="Lato" w:eastAsia="Lato"/>
          <w:b/>
          <w:i w:val="0"/>
          <w:color w:val="0B2447"/>
          <w:sz w:val="26"/>
        </w:rPr>
        <w:t>Clinical Application</w:t>
      </w:r>
    </w:p>
    <w:p>
      <w:pPr>
        <w:pStyle w:val="CTAHeading3"/>
        <w:keepNext/>
      </w:pPr>
      <w:r>
        <w:rPr>
          <w:rFonts w:ascii="Lato" w:hAnsi="Lato" w:eastAsia="Lato"/>
          <w:b/>
          <w:i w:val="0"/>
          <w:color w:val="384250"/>
          <w:sz w:val="23"/>
        </w:rPr>
        <w:t>Scenario: A High-Risk Portal Message</w:t>
      </w:r>
    </w:p>
    <w:p>
      <w:pPr>
        <w:pStyle w:val="CTABody"/>
      </w:pPr>
      <w:r>
        <w:rPr>
          <w:rFonts w:ascii="Lato" w:hAnsi="Lato" w:eastAsia="Lato"/>
          <w:b w:val="0"/>
          <w:i w:val="0"/>
        </w:rPr>
        <w:t>A therapist tells clients that portal messages are reviewed within two business days and are not appropriate for emergencies. During office hours, the therapist opens a new portal message in which a client states that the client has pills in hand and intends to die that afternoon.</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prior communication policy was appropriate, but it does not end the analysis. The therapist has now actually received an imminent-risk disclosure. The therapist should promptly assess and respond to the safety threat, use the available location and emergency information, take clinically and legally appropriate protective action, and document the message, assessment, actions, consultation, and follow-up. The best answer is not “wait two business days” and not “send the policy again.”</w:t>
      </w:r>
    </w:p>
    <w:p>
      <w:pPr>
        <w:pStyle w:val="CTAHeading3"/>
        <w:keepNext/>
      </w:pPr>
      <w:r>
        <w:rPr>
          <w:rFonts w:ascii="Lato" w:hAnsi="Lato" w:eastAsia="Lato"/>
          <w:b/>
          <w:i w:val="0"/>
          <w:color w:val="384250"/>
          <w:sz w:val="23"/>
        </w:rPr>
        <w:t>What Is Being Tested?</w:t>
      </w:r>
    </w:p>
    <w:p>
      <w:pPr>
        <w:pStyle w:val="CTABody"/>
        <w:spacing w:after="60"/>
        <w:ind w:left="403" w:hanging="259"/>
      </w:pPr>
      <w:r>
        <w:rPr>
          <w:rFonts w:ascii="Lato" w:hAnsi="Lato" w:eastAsia="Lato"/>
          <w:b/>
          <w:i w:val="0"/>
          <w:color w:val="0AA6A6"/>
        </w:rPr>
        <w:t xml:space="preserve">• </w:t>
      </w:r>
      <w:r>
        <w:rPr>
          <w:rFonts w:ascii="Lato" w:hAnsi="Lato" w:eastAsia="Lato"/>
          <w:b w:val="0"/>
          <w:i w:val="0"/>
        </w:rPr>
        <w:t>Difference between expected response time and actual knowledge of risk</w:t>
      </w:r>
    </w:p>
    <w:p>
      <w:pPr>
        <w:pStyle w:val="CTABody"/>
        <w:spacing w:after="60"/>
        <w:ind w:left="403" w:hanging="259"/>
      </w:pPr>
      <w:r>
        <w:rPr>
          <w:rFonts w:ascii="Lato" w:hAnsi="Lato" w:eastAsia="Lato"/>
          <w:b/>
          <w:i w:val="0"/>
          <w:color w:val="0AA6A6"/>
        </w:rPr>
        <w:t xml:space="preserve">• </w:t>
      </w:r>
      <w:r>
        <w:rPr>
          <w:rFonts w:ascii="Lato" w:hAnsi="Lato" w:eastAsia="Lato"/>
          <w:b w:val="0"/>
          <w:i w:val="0"/>
        </w:rPr>
        <w:t>Emergency communication limitations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Clinical response to a message that has been read</w:t>
      </w:r>
    </w:p>
    <w:p>
      <w:pPr>
        <w:pStyle w:val="CTABody"/>
        <w:spacing w:after="60"/>
        <w:ind w:left="403" w:hanging="259"/>
      </w:pPr>
      <w:r>
        <w:rPr>
          <w:rFonts w:ascii="Lato" w:hAnsi="Lato" w:eastAsia="Lato"/>
          <w:b/>
          <w:i w:val="0"/>
          <w:color w:val="0AA6A6"/>
        </w:rPr>
        <w:t xml:space="preserve">• </w:t>
      </w:r>
      <w:r>
        <w:rPr>
          <w:rFonts w:ascii="Lato" w:hAnsi="Lato" w:eastAsia="Lato"/>
          <w:b w:val="0"/>
          <w:i w:val="0"/>
        </w:rPr>
        <w:t>Documentation of clinically significant electronic communication</w:t>
      </w:r>
    </w:p>
    <w:p>
      <w:pPr>
        <w:pStyle w:val="CTAHeading2"/>
        <w:keepNext/>
      </w:pPr>
      <w:r>
        <w:rPr>
          <w:rFonts w:ascii="Lato" w:hAnsi="Lato" w:eastAsia="Lato"/>
          <w:b/>
          <w:i w:val="0"/>
          <w:color w:val="0B2447"/>
          <w:sz w:val="26"/>
        </w:rPr>
        <w:t>Common Exam Traps</w:t>
      </w:r>
    </w:p>
    <w:p>
      <w:pPr>
        <w:pStyle w:val="CTABody"/>
      </w:pPr>
      <w:r>
        <w:rPr>
          <w:rFonts w:ascii="Lato" w:hAnsi="Lato" w:eastAsia="Lato"/>
          <w:b/>
          <w:i w:val="0"/>
          <w:color w:val="9B1C1C"/>
        </w:rPr>
        <w:t xml:space="preserve">Trap 1: “Email and texting are always prohibited.” </w:t>
      </w:r>
      <w:r>
        <w:rPr>
          <w:rFonts w:ascii="Lato" w:hAnsi="Lato" w:eastAsia="Lato"/>
          <w:b w:val="0"/>
          <w:i w:val="0"/>
        </w:rPr>
        <w:t>Electronic communication may be used when it is lawful, clinically appropriate, and reasonably safeguarded.</w:t>
      </w:r>
    </w:p>
    <w:p>
      <w:pPr>
        <w:pStyle w:val="CTABody"/>
      </w:pPr>
      <w:r>
        <w:rPr>
          <w:rFonts w:ascii="Lato" w:hAnsi="Lato" w:eastAsia="Lato"/>
          <w:b/>
          <w:i w:val="0"/>
          <w:color w:val="9B1C1C"/>
        </w:rPr>
        <w:t xml:space="preserve">Trap 2: “A secure portal is appropriate for every issue.” </w:t>
      </w:r>
      <w:r>
        <w:rPr>
          <w:rFonts w:ascii="Lato" w:hAnsi="Lato" w:eastAsia="Lato"/>
          <w:b w:val="0"/>
          <w:i w:val="0"/>
        </w:rPr>
        <w:t>Security does not replace assessment of urgency, complexity, or clinical fit.</w:t>
      </w:r>
    </w:p>
    <w:p>
      <w:pPr>
        <w:pStyle w:val="CTABody"/>
      </w:pPr>
      <w:r>
        <w:rPr>
          <w:rFonts w:ascii="Lato" w:hAnsi="Lato" w:eastAsia="Lato"/>
          <w:b/>
          <w:i w:val="0"/>
          <w:color w:val="9B1C1C"/>
        </w:rPr>
        <w:t xml:space="preserve">Trap 3: “The client emailed first, so confidentiality no longer matters.” </w:t>
      </w:r>
      <w:r>
        <w:rPr>
          <w:rFonts w:ascii="Lato" w:hAnsi="Lato" w:eastAsia="Lato"/>
          <w:b w:val="0"/>
          <w:i w:val="0"/>
        </w:rPr>
        <w:t>Client initiation does not waive the therapist’s duties.</w:t>
      </w:r>
    </w:p>
    <w:p>
      <w:pPr>
        <w:pStyle w:val="CTABody"/>
      </w:pPr>
      <w:r>
        <w:rPr>
          <w:rFonts w:ascii="Lato" w:hAnsi="Lato" w:eastAsia="Lato"/>
          <w:b/>
          <w:i w:val="0"/>
          <w:color w:val="9B1C1C"/>
        </w:rPr>
        <w:t xml:space="preserve">Trap 4: “An appointment reminder can list all clients because it contains no diagnosis.” </w:t>
      </w:r>
      <w:r>
        <w:rPr>
          <w:rFonts w:ascii="Lato" w:hAnsi="Lato" w:eastAsia="Lato"/>
          <w:b w:val="0"/>
          <w:i w:val="0"/>
        </w:rPr>
        <w:t>Visible recipients may reveal the treatment relationship.</w:t>
      </w:r>
    </w:p>
    <w:p>
      <w:pPr>
        <w:pStyle w:val="CTABody"/>
      </w:pPr>
      <w:r>
        <w:rPr>
          <w:rFonts w:ascii="Lato" w:hAnsi="Lato" w:eastAsia="Lato"/>
          <w:b/>
          <w:i w:val="0"/>
          <w:color w:val="9B1C1C"/>
        </w:rPr>
        <w:t xml:space="preserve">Trap 5: “A policy saying messages are not monitored protects the therapist after reading an imminent-risk message.” </w:t>
      </w:r>
      <w:r>
        <w:rPr>
          <w:rFonts w:ascii="Lato" w:hAnsi="Lato" w:eastAsia="Lato"/>
          <w:b w:val="0"/>
          <w:i w:val="0"/>
        </w:rPr>
        <w:t>Once the therapist is aware of the risk, the therapist must respond appropriately.</w:t>
      </w:r>
    </w:p>
    <w:p>
      <w:pPr>
        <w:pStyle w:val="CTABody"/>
      </w:pPr>
      <w:r>
        <w:rPr>
          <w:rFonts w:ascii="Lato" w:hAnsi="Lato" w:eastAsia="Lato"/>
          <w:b/>
          <w:i w:val="0"/>
          <w:color w:val="9B1C1C"/>
        </w:rPr>
        <w:t xml:space="preserve">Trap 6: “Every electronic message belongs in the progress note.” </w:t>
      </w:r>
      <w:r>
        <w:rPr>
          <w:rFonts w:ascii="Lato" w:hAnsi="Lato" w:eastAsia="Lato"/>
          <w:b w:val="0"/>
          <w:i w:val="0"/>
        </w:rPr>
        <w:t>Document based on clinical significance; routine administrative messages usually do not require full clinical documentation.</w:t>
      </w:r>
    </w:p>
    <w:p>
      <w:pPr>
        <w:pStyle w:val="CTABody"/>
      </w:pPr>
      <w:r>
        <w:rPr>
          <w:rFonts w:ascii="Lato" w:hAnsi="Lato" w:eastAsia="Lato"/>
          <w:b/>
          <w:i w:val="0"/>
          <w:color w:val="9B1C1C"/>
        </w:rPr>
        <w:t xml:space="preserve">Trap 7: “Deleting a text means it is not part of the case.” </w:t>
      </w:r>
      <w:r>
        <w:rPr>
          <w:rFonts w:ascii="Lato" w:hAnsi="Lato" w:eastAsia="Lato"/>
          <w:b w:val="0"/>
          <w:i w:val="0"/>
        </w:rPr>
        <w:t>Clinically significant content and the therapist’s response should be preserved or incorporated into the record.</w:t>
      </w:r>
    </w:p>
    <w:p>
      <w:pPr>
        <w:pStyle w:val="CTABody"/>
      </w:pPr>
      <w:r>
        <w:rPr>
          <w:rFonts w:ascii="Lato" w:hAnsi="Lato" w:eastAsia="Lato"/>
          <w:b/>
          <w:i w:val="0"/>
          <w:color w:val="9B1C1C"/>
        </w:rPr>
        <w:t xml:space="preserve">Trap 8: “Using a personal device is automatically unethical.” </w:t>
      </w:r>
      <w:r>
        <w:rPr>
          <w:rFonts w:ascii="Lato" w:hAnsi="Lato" w:eastAsia="Lato"/>
          <w:b w:val="0"/>
          <w:i w:val="0"/>
        </w:rPr>
        <w:t>The exam usually favors assessing confidentiality, boundaries, record control, and safeguards rather than making an automatic conclusion.</w:t>
      </w:r>
    </w:p>
    <w:p>
      <w:pPr>
        <w:pStyle w:val="CTAHeading2"/>
        <w:keepNext/>
      </w:pPr>
      <w:r>
        <w:rPr>
          <w:rFonts w:ascii="Lato" w:hAnsi="Lato" w:eastAsia="Lato"/>
          <w:b/>
          <w:i w:val="0"/>
          <w:color w:val="0B2447"/>
          <w:sz w:val="26"/>
        </w:rPr>
        <w:t>Exam Strategy</w:t>
      </w:r>
    </w:p>
    <w:p>
      <w:pPr>
        <w:pStyle w:val="CTABody"/>
      </w:pPr>
      <w:r>
        <w:rPr>
          <w:rFonts w:ascii="Lato" w:hAnsi="Lato" w:eastAsia="Lato"/>
          <w:b w:val="0"/>
          <w:i w:val="0"/>
        </w:rPr>
        <w:t>When a question involves email, texting, a portal, or a messaging application, ask:</w:t>
      </w:r>
    </w:p>
    <w:p>
      <w:pPr>
        <w:pStyle w:val="CTABody"/>
        <w:spacing w:after="60"/>
        <w:ind w:left="432" w:hanging="317"/>
      </w:pPr>
      <w:r>
        <w:rPr>
          <w:rFonts w:ascii="Lato" w:hAnsi="Lato" w:eastAsia="Lato"/>
          <w:b/>
          <w:i w:val="0"/>
          <w:color w:val="0AA6A6"/>
        </w:rPr>
        <w:t xml:space="preserve">1. </w:t>
      </w:r>
      <w:r>
        <w:rPr>
          <w:rFonts w:ascii="Lato" w:hAnsi="Lato" w:eastAsia="Lato"/>
          <w:b w:val="0"/>
          <w:i w:val="0"/>
        </w:rPr>
        <w:t>What is the purpose and content of the communication?</w:t>
      </w:r>
    </w:p>
    <w:p>
      <w:pPr>
        <w:pStyle w:val="CTABody"/>
        <w:spacing w:after="60"/>
        <w:ind w:left="432" w:hanging="317"/>
      </w:pPr>
      <w:r>
        <w:rPr>
          <w:rFonts w:ascii="Lato" w:hAnsi="Lato" w:eastAsia="Lato"/>
          <w:b/>
          <w:i w:val="0"/>
          <w:color w:val="0AA6A6"/>
        </w:rPr>
        <w:t xml:space="preserve">2. </w:t>
      </w:r>
      <w:r>
        <w:rPr>
          <w:rFonts w:ascii="Lato" w:hAnsi="Lato" w:eastAsia="Lato"/>
          <w:b w:val="0"/>
          <w:i w:val="0"/>
        </w:rPr>
        <w:t>Is it administrative, clinical telehealth, record-related, urgent, or emergent?</w:t>
      </w:r>
    </w:p>
    <w:p>
      <w:pPr>
        <w:pStyle w:val="CTABody"/>
        <w:spacing w:after="60"/>
        <w:ind w:left="432" w:hanging="317"/>
      </w:pPr>
      <w:r>
        <w:rPr>
          <w:rFonts w:ascii="Lato" w:hAnsi="Lato" w:eastAsia="Lato"/>
          <w:b/>
          <w:i w:val="0"/>
          <w:color w:val="0AA6A6"/>
        </w:rPr>
        <w:t xml:space="preserve">3. </w:t>
      </w:r>
      <w:r>
        <w:rPr>
          <w:rFonts w:ascii="Lato" w:hAnsi="Lato" w:eastAsia="Lato"/>
          <w:b w:val="0"/>
          <w:i w:val="0"/>
        </w:rPr>
        <w:t>What confidentiality or recipient risk exists?</w:t>
      </w:r>
    </w:p>
    <w:p>
      <w:pPr>
        <w:pStyle w:val="CTABody"/>
        <w:spacing w:after="60"/>
        <w:ind w:left="432" w:hanging="317"/>
      </w:pPr>
      <w:r>
        <w:rPr>
          <w:rFonts w:ascii="Lato" w:hAnsi="Lato" w:eastAsia="Lato"/>
          <w:b/>
          <w:i w:val="0"/>
          <w:color w:val="0AA6A6"/>
        </w:rPr>
        <w:t xml:space="preserve">4. </w:t>
      </w:r>
      <w:r>
        <w:rPr>
          <w:rFonts w:ascii="Lato" w:hAnsi="Lato" w:eastAsia="Lato"/>
          <w:b w:val="0"/>
          <w:i w:val="0"/>
        </w:rPr>
        <w:t>What response expectation or boundary applies?</w:t>
      </w:r>
    </w:p>
    <w:p>
      <w:pPr>
        <w:pStyle w:val="CTABody"/>
        <w:spacing w:after="60"/>
        <w:ind w:left="432" w:hanging="317"/>
      </w:pPr>
      <w:r>
        <w:rPr>
          <w:rFonts w:ascii="Lato" w:hAnsi="Lato" w:eastAsia="Lato"/>
          <w:b/>
          <w:i w:val="0"/>
          <w:color w:val="0AA6A6"/>
        </w:rPr>
        <w:t xml:space="preserve">5. </w:t>
      </w:r>
      <w:r>
        <w:rPr>
          <w:rFonts w:ascii="Lato" w:hAnsi="Lato" w:eastAsia="Lato"/>
          <w:b w:val="0"/>
          <w:i w:val="0"/>
        </w:rPr>
        <w:t>Has the therapist actually received information requiring clinical action?</w:t>
      </w:r>
    </w:p>
    <w:p>
      <w:pPr>
        <w:pStyle w:val="CTABody"/>
        <w:spacing w:after="60"/>
        <w:ind w:left="432" w:hanging="317"/>
      </w:pPr>
      <w:r>
        <w:rPr>
          <w:rFonts w:ascii="Lato" w:hAnsi="Lato" w:eastAsia="Lato"/>
          <w:b/>
          <w:i w:val="0"/>
          <w:color w:val="0AA6A6"/>
        </w:rPr>
        <w:t xml:space="preserve">6. </w:t>
      </w:r>
      <w:r>
        <w:rPr>
          <w:rFonts w:ascii="Lato" w:hAnsi="Lato" w:eastAsia="Lato"/>
          <w:b w:val="0"/>
          <w:i w:val="0"/>
        </w:rPr>
        <w:t>What belongs in the health-service record?</w:t>
      </w:r>
    </w:p>
    <w:p>
      <w:pPr>
        <w:pStyle w:val="CTABody"/>
        <w:spacing w:after="60"/>
        <w:ind w:left="432" w:hanging="317"/>
      </w:pPr>
      <w:r>
        <w:rPr>
          <w:rFonts w:ascii="Lato" w:hAnsi="Lato" w:eastAsia="Lato"/>
          <w:b/>
          <w:i w:val="0"/>
          <w:color w:val="0AA6A6"/>
        </w:rPr>
        <w:t xml:space="preserve">7. </w:t>
      </w:r>
      <w:r>
        <w:rPr>
          <w:rFonts w:ascii="Lato" w:hAnsi="Lato" w:eastAsia="Lato"/>
          <w:b w:val="0"/>
          <w:i w:val="0"/>
        </w:rPr>
        <w:t>Which answer protects the client without using an automatic or extreme rule?</w:t>
      </w:r>
    </w:p>
    <w:p>
      <w:pPr>
        <w:pStyle w:val="CTAHeading2"/>
        <w:keepNext/>
      </w:pPr>
      <w:r>
        <w:rPr>
          <w:rFonts w:ascii="Lato" w:hAnsi="Lato" w:eastAsia="Lato"/>
          <w:b/>
          <w:i w:val="0"/>
          <w:color w:val="0B2447"/>
          <w:sz w:val="26"/>
        </w:rPr>
        <w:t>Chapter Snapshot</w:t>
      </w:r>
    </w:p>
    <w:p>
      <w:pPr>
        <w:pStyle w:val="CTABody"/>
        <w:spacing w:after="60"/>
        <w:ind w:left="403" w:hanging="259"/>
      </w:pPr>
      <w:r>
        <w:rPr>
          <w:rFonts w:ascii="Lato" w:hAnsi="Lato" w:eastAsia="Lato"/>
          <w:b/>
          <w:i w:val="0"/>
          <w:color w:val="0AA6A6"/>
        </w:rPr>
        <w:t xml:space="preserve">• </w:t>
      </w:r>
      <w:r>
        <w:rPr>
          <w:rFonts w:ascii="Lato" w:hAnsi="Lato" w:eastAsia="Lato"/>
          <w:b w:val="0"/>
          <w:i w:val="0"/>
        </w:rPr>
        <w:t>Electronic communication is not one legal category; purpose and content matter.</w:t>
      </w:r>
    </w:p>
    <w:p>
      <w:pPr>
        <w:pStyle w:val="CTABody"/>
        <w:spacing w:after="60"/>
        <w:ind w:left="403" w:hanging="259"/>
      </w:pPr>
      <w:r>
        <w:rPr>
          <w:rFonts w:ascii="Lato" w:hAnsi="Lato" w:eastAsia="Lato"/>
          <w:b/>
          <w:i w:val="0"/>
          <w:color w:val="0AA6A6"/>
        </w:rPr>
        <w:t xml:space="preserve">• </w:t>
      </w:r>
      <w:r>
        <w:rPr>
          <w:rFonts w:ascii="Lato" w:hAnsi="Lato" w:eastAsia="Lato"/>
          <w:b w:val="0"/>
          <w:i w:val="0"/>
        </w:rPr>
        <w:t>A clinical electronic exchange may constitute asynchronous telehealth.</w:t>
      </w:r>
    </w:p>
    <w:p>
      <w:pPr>
        <w:pStyle w:val="CTABody"/>
        <w:spacing w:after="60"/>
        <w:ind w:left="403" w:hanging="259"/>
      </w:pPr>
      <w:r>
        <w:rPr>
          <w:rFonts w:ascii="Lato" w:hAnsi="Lato" w:eastAsia="Lato"/>
          <w:b/>
          <w:i w:val="0"/>
          <w:color w:val="0AA6A6"/>
        </w:rPr>
        <w:t xml:space="preserve">• </w:t>
      </w:r>
      <w:r>
        <w:rPr>
          <w:rFonts w:ascii="Lato" w:hAnsi="Lato" w:eastAsia="Lato"/>
          <w:b w:val="0"/>
          <w:i w:val="0"/>
        </w:rPr>
        <w:t>Email and texting are not categorically prohibited, but reasonable safeguards and applicable law control.</w:t>
      </w:r>
    </w:p>
    <w:p>
      <w:pPr>
        <w:pStyle w:val="CTABody"/>
        <w:spacing w:after="60"/>
        <w:ind w:left="403" w:hanging="259"/>
      </w:pPr>
      <w:r>
        <w:rPr>
          <w:rFonts w:ascii="Lato" w:hAnsi="Lato" w:eastAsia="Lato"/>
          <w:b/>
          <w:i w:val="0"/>
          <w:color w:val="0AA6A6"/>
        </w:rPr>
        <w:t xml:space="preserve">• </w:t>
      </w:r>
      <w:r>
        <w:rPr>
          <w:rFonts w:ascii="Lato" w:hAnsi="Lato" w:eastAsia="Lato"/>
          <w:b w:val="0"/>
          <w:i w:val="0"/>
        </w:rPr>
        <w:t>Client initiation does not waive confidentiality or transfer responsibility to the client.</w:t>
      </w:r>
    </w:p>
    <w:p>
      <w:pPr>
        <w:pStyle w:val="CTABody"/>
        <w:spacing w:after="60"/>
        <w:ind w:left="403" w:hanging="259"/>
      </w:pPr>
      <w:r>
        <w:rPr>
          <w:rFonts w:ascii="Lato" w:hAnsi="Lato" w:eastAsia="Lato"/>
          <w:b/>
          <w:i w:val="0"/>
          <w:color w:val="0AA6A6"/>
        </w:rPr>
        <w:t xml:space="preserve">• </w:t>
      </w:r>
      <w:r>
        <w:rPr>
          <w:rFonts w:ascii="Lato" w:hAnsi="Lato" w:eastAsia="Lato"/>
          <w:b w:val="0"/>
          <w:i w:val="0"/>
        </w:rPr>
        <w:t>Communication policies should clarify approved channels, response times, emergencies, privacy limitations, and documentation.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A secure platform does not make an urgent or complex issue appropriate for asynchronous handling.</w:t>
      </w:r>
    </w:p>
    <w:p>
      <w:pPr>
        <w:pStyle w:val="CTABody"/>
        <w:spacing w:after="60"/>
        <w:ind w:left="403" w:hanging="259"/>
      </w:pPr>
      <w:r>
        <w:rPr>
          <w:rFonts w:ascii="Lato" w:hAnsi="Lato" w:eastAsia="Lato"/>
          <w:b/>
          <w:i w:val="0"/>
          <w:color w:val="0AA6A6"/>
        </w:rPr>
        <w:t xml:space="preserve">• </w:t>
      </w:r>
      <w:r>
        <w:rPr>
          <w:rFonts w:ascii="Lato" w:hAnsi="Lato" w:eastAsia="Lato"/>
          <w:b w:val="0"/>
          <w:i w:val="0"/>
        </w:rPr>
        <w:t>A therapist need not promise continuous monitoring, but must respond appropriately after actually receiving a high-risk message.</w:t>
      </w:r>
    </w:p>
    <w:p>
      <w:pPr>
        <w:pStyle w:val="CTABody"/>
        <w:spacing w:after="60"/>
        <w:ind w:left="403" w:hanging="259"/>
      </w:pPr>
      <w:r>
        <w:rPr>
          <w:rFonts w:ascii="Lato" w:hAnsi="Lato" w:eastAsia="Lato"/>
          <w:b/>
          <w:i w:val="0"/>
          <w:color w:val="0AA6A6"/>
        </w:rPr>
        <w:t xml:space="preserve">• </w:t>
      </w:r>
      <w:r>
        <w:rPr>
          <w:rFonts w:ascii="Lato" w:hAnsi="Lato" w:eastAsia="Lato"/>
          <w:b w:val="0"/>
          <w:i w:val="0"/>
        </w:rPr>
        <w:t>Clinically significant messages and the therapist’s response should be incorporated into the health-service record.</w:t>
      </w:r>
    </w:p>
    <w:p>
      <w:pPr>
        <w:pStyle w:val="CTABody"/>
        <w:spacing w:after="60"/>
        <w:ind w:left="403" w:hanging="259"/>
      </w:pPr>
      <w:r>
        <w:rPr>
          <w:rFonts w:ascii="Lato" w:hAnsi="Lato" w:eastAsia="Lato"/>
          <w:b/>
          <w:i w:val="0"/>
          <w:color w:val="0AA6A6"/>
        </w:rPr>
        <w:t xml:space="preserve">• </w:t>
      </w:r>
      <w:r>
        <w:rPr>
          <w:rFonts w:ascii="Lato" w:hAnsi="Lato" w:eastAsia="Lato"/>
          <w:b w:val="0"/>
          <w:i w:val="0"/>
        </w:rPr>
        <w:t>Professional boundaries apply to personal devices, informal tone, after-hours messages, and multiple communication channels.</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answer evaluates purpose, urgency, sensitivity, recipient, safeguards, clinical fit, and documentation.</w:t>
      </w:r>
    </w:p>
    <w:p>
      <w:r>
        <w:br w:type="page"/>
      </w:r>
    </w:p>
    <w:p>
      <w:pPr>
        <w:pStyle w:val="CTAHeading1"/>
        <w:keepNext/>
      </w:pPr>
      <w:r>
        <w:rPr>
          <w:rFonts w:ascii="Lato" w:hAnsi="Lato" w:eastAsia="Lato"/>
          <w:b/>
          <w:i w:val="0"/>
          <w:color w:val="0B2447"/>
          <w:sz w:val="32"/>
        </w:rPr>
        <w:t>Chapter 5: Social Media, Boundaries, and Digital Ethics</w:t>
      </w:r>
    </w:p>
    <w:p>
      <w:pPr>
        <w:pStyle w:val="CTAHeading2"/>
        <w:keepNext/>
      </w:pPr>
      <w:r>
        <w:rPr>
          <w:rFonts w:ascii="Lato" w:hAnsi="Lato" w:eastAsia="Lato"/>
          <w:b/>
          <w:i w:val="0"/>
          <w:color w:val="0B2447"/>
          <w:sz w:val="26"/>
        </w:rPr>
        <w:t>Learning Objectives</w:t>
      </w:r>
    </w:p>
    <w:p>
      <w:pPr>
        <w:pStyle w:val="CTABody"/>
        <w:spacing w:after="60"/>
        <w:ind w:left="403" w:hanging="259"/>
      </w:pPr>
      <w:r>
        <w:rPr>
          <w:rFonts w:ascii="Lato" w:hAnsi="Lato" w:eastAsia="Lato"/>
          <w:b/>
          <w:i w:val="0"/>
          <w:color w:val="0AA6A6"/>
        </w:rPr>
        <w:t xml:space="preserve">• </w:t>
      </w:r>
      <w:r>
        <w:rPr>
          <w:rFonts w:ascii="Lato" w:hAnsi="Lato" w:eastAsia="Lato"/>
          <w:b w:val="0"/>
          <w:i w:val="0"/>
        </w:rPr>
        <w:t>Identify when a social media profile, page, post, or electronic public communication functions as advertising under California BBS requirements.</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confidentiality and professional-boundary principles to friend requests, follows, tags, comments, direct messages, online reviews, and public case discussions.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Evaluate whether searching for or using client information found online has a legitimate clinical purpose and is proportionate to the need.</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personal online expression from conduct that creates a specific legal, ethical, advertising, confidentiality, or treatment concern.</w:t>
      </w:r>
    </w:p>
    <w:p>
      <w:pPr>
        <w:pStyle w:val="CTABody"/>
        <w:spacing w:after="60"/>
        <w:ind w:left="403" w:hanging="259"/>
      </w:pPr>
      <w:r>
        <w:rPr>
          <w:rFonts w:ascii="Lato" w:hAnsi="Lato" w:eastAsia="Lato"/>
          <w:b/>
          <w:i w:val="0"/>
          <w:color w:val="0AA6A6"/>
        </w:rPr>
        <w:t xml:space="preserve">• </w:t>
      </w:r>
      <w:r>
        <w:rPr>
          <w:rFonts w:ascii="Lato" w:hAnsi="Lato" w:eastAsia="Lato"/>
          <w:b w:val="0"/>
          <w:i w:val="0"/>
        </w:rPr>
        <w:t>Determine when a digital interaction or online discovery is clinically significant and should be discussed, documented, or supported by consultation.</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Social media collapses spaces that were once separate. A personal profile may also market a practice. A harmless-looking “like” may publicly connect a therapist and client. A negative review may tempt the therapist to defend the record. A public client post may contain clinically important information but may be inaccurate, incomplete, or obtained without context. California exam questions test whether the therapist identifies the specific legal or clinical issue instead of treating all online activity as automatically acceptable or automatically prohibited.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line="254" w:lineRule="auto"/>
            </w:pPr>
            <w:r>
              <w:rPr>
                <w:rFonts w:ascii="Lato" w:hAnsi="Lato" w:eastAsia="Lato"/>
                <w:b w:val="0"/>
                <w:i w:val="0"/>
                <w:sz w:val="20"/>
              </w:rPr>
              <w:t>Digital boundaries are professional boundaries. Public availability does not erase confidentiality, create clinical permission, or make online information reliable. Pause before you click, post, search, reply, tag, follow, or disclose.</w:t>
            </w:r>
          </w:p>
        </w:tc>
      </w:tr>
    </w:tbl>
    <w:p>
      <w:pPr>
        <w:pStyle w:val="CTAHeading2"/>
        <w:keepNext/>
      </w:pPr>
      <w:r>
        <w:rPr>
          <w:rFonts w:ascii="Lato" w:hAnsi="Lato" w:eastAsia="Lato"/>
          <w:b/>
          <w:i w:val="0"/>
          <w:color w:val="0B2447"/>
          <w:sz w:val="26"/>
        </w:rPr>
        <w:t>1. Social Media Is Not a Law-Free Space</w:t>
      </w:r>
    </w:p>
    <w:p>
      <w:pPr>
        <w:pStyle w:val="CTABody"/>
      </w:pPr>
      <w:r>
        <w:rPr>
          <w:rFonts w:ascii="Lato" w:hAnsi="Lato" w:eastAsia="Lato"/>
          <w:b w:val="0"/>
          <w:i w:val="0"/>
        </w:rPr>
        <w:t>The same confidentiality, professional-responsibility, advertising, competence, and client-welfare standards that govern in-person practice can apply online. Social media may add visibility, permanence, searchable connections, algorithmic suggestions, screenshots, reposting, and unintended audiences.</w:t>
      </w:r>
    </w:p>
    <w:p>
      <w:pPr>
        <w:pStyle w:val="CTABody"/>
      </w:pPr>
      <w:r>
        <w:rPr>
          <w:rFonts w:ascii="Lato" w:hAnsi="Lato" w:eastAsia="Lato"/>
          <w:b w:val="0"/>
          <w:i w:val="0"/>
        </w:rPr>
        <w:t>The key question is not, “Which platform is being used?” It is, “What professional function is occurring, what information may be disclosed, and how could the interaction affect the client or treatment?”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Online conduct should be analyzed by function: advertising, communication, treatment, consultation, self-disclosure, boundary contact, or public response.</w:t>
            </w:r>
          </w:p>
        </w:tc>
      </w:tr>
    </w:tbl>
    <w:p>
      <w:pPr>
        <w:pStyle w:val="CTAHeading2"/>
        <w:keepNext/>
      </w:pPr>
      <w:r>
        <w:rPr>
          <w:rFonts w:ascii="Lato" w:hAnsi="Lato" w:eastAsia="Lato"/>
          <w:b/>
          <w:i w:val="0"/>
          <w:color w:val="0B2447"/>
          <w:sz w:val="26"/>
        </w:rPr>
        <w:t>2. California BBS Advertising Rules Apply to Social Media</w:t>
      </w:r>
    </w:p>
    <w:p>
      <w:pPr>
        <w:pStyle w:val="CTABody"/>
      </w:pPr>
      <w:r>
        <w:rPr>
          <w:rFonts w:ascii="Lato" w:hAnsi="Lato" w:eastAsia="Lato"/>
          <w:b w:val="0"/>
          <w:i w:val="0"/>
        </w:rPr>
        <w:t>Effective April 1, 2026, the BBS advertising regulations and guidance expressly treat social media as advertising. Required information must appear on the social-media account or be available through an easy-to-find link when it will not fit in the bio.</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Professional Status</w:t>
            </w:r>
          </w:p>
        </w:tc>
        <w:tc>
          <w:tcPr>
            <w:tcW w:type="dxa" w:w="3320"/>
            <w:shd w:fill="0B2447"/>
          </w:tcPr>
          <w:p>
            <w:pPr>
              <w:jc w:val="center"/>
            </w:pPr>
            <w:r>
              <w:rPr>
                <w:rFonts w:ascii="Lato" w:hAnsi="Lato" w:eastAsia="Lato"/>
                <w:b/>
                <w:i w:val="0"/>
                <w:color w:val="FFFFFF"/>
                <w:sz w:val="18"/>
              </w:rPr>
              <w:t>Minimum Advertising Content</w:t>
            </w:r>
          </w:p>
        </w:tc>
        <w:tc>
          <w:tcPr>
            <w:tcW w:type="dxa" w:w="3320"/>
            <w:shd w:fill="0B2447"/>
          </w:tcPr>
          <w:p>
            <w:pPr>
              <w:jc w:val="center"/>
            </w:pPr>
            <w:r>
              <w:rPr>
                <w:rFonts w:ascii="Lato" w:hAnsi="Lato" w:eastAsia="Lato"/>
                <w:b/>
                <w:i w:val="0"/>
                <w:color w:val="FFFFFF"/>
                <w:sz w:val="18"/>
              </w:rPr>
              <w:t>Social-Media Application</w:t>
            </w:r>
          </w:p>
        </w:tc>
      </w:tr>
      <w:tr>
        <w:trPr>
          <w:cantSplit w:val="1"/>
        </w:trPr>
        <w:tc>
          <w:tcPr>
            <w:tcW w:type="dxa" w:w="3320"/>
            <w:shd w:fill="EEF3F8"/>
            <w:vAlign w:val="top"/>
          </w:tcPr>
          <w:p>
            <w:r>
              <w:t>Licensed Clinical Social Worker (LCSW)</w:t>
            </w:r>
          </w:p>
        </w:tc>
        <w:tc>
          <w:tcPr>
            <w:tcW w:type="dxa" w:w="3320"/>
            <w:vAlign w:val="top"/>
          </w:tcPr>
          <w:p>
            <w:r>
              <w:t>First and last name as filed with the Board; license number; complete title “Licensed Clinical Social Worker” or the abbreviation LCSW.</w:t>
            </w:r>
          </w:p>
        </w:tc>
        <w:tc>
          <w:tcPr>
            <w:tcW w:type="dxa" w:w="3320"/>
            <w:vAlign w:val="top"/>
          </w:tcPr>
          <w:p>
            <w:r>
              <w:t>The bio or an easy-to-find linked page must display all required information. It should not be buried, tiny, or difficult to locate.</w:t>
            </w:r>
          </w:p>
        </w:tc>
      </w:tr>
      <w:tr>
        <w:trPr>
          <w:cantSplit w:val="1"/>
        </w:trPr>
        <w:tc>
          <w:tcPr>
            <w:tcW w:type="dxa" w:w="3320"/>
            <w:shd w:fill="EEF3F8"/>
            <w:vAlign w:val="top"/>
          </w:tcPr>
          <w:p>
            <w:r>
              <w:t>Registered Associate Clinical Social Worker (ASW)</w:t>
            </w:r>
          </w:p>
        </w:tc>
        <w:tc>
          <w:tcPr>
            <w:tcW w:type="dxa" w:w="3320"/>
            <w:vAlign w:val="top"/>
          </w:tcPr>
          <w:p>
            <w:r>
              <w:t>First and last name as filed with the Board; ASW registration number; complete title “Registered Associate Clinical Social Worker”; employer or volunteer entity; and a statement that the ASW is supervised by a licensed person.</w:t>
            </w:r>
          </w:p>
        </w:tc>
        <w:tc>
          <w:tcPr>
            <w:tcW w:type="dxa" w:w="3320"/>
            <w:vAlign w:val="top"/>
          </w:tcPr>
          <w:p>
            <w:r>
              <w:t>The account must not imply independent practice or licensed status. The abbreviation ASW may be used only when the complete title also appears.</w:t>
            </w:r>
          </w:p>
        </w:tc>
      </w:tr>
      <w:tr>
        <w:trPr>
          <w:cantSplit w:val="1"/>
        </w:trPr>
        <w:tc>
          <w:tcPr>
            <w:tcW w:type="dxa" w:w="3320"/>
            <w:shd w:fill="EEF3F8"/>
            <w:vAlign w:val="top"/>
          </w:tcPr>
          <w:p>
            <w:r>
              <w:t>Social Work Intern / Student (not a BBS registrant)</w:t>
            </w:r>
          </w:p>
        </w:tc>
        <w:tc>
          <w:tcPr>
            <w:tcW w:type="dxa" w:w="3320"/>
            <w:vAlign w:val="top"/>
          </w:tcPr>
          <w:p>
            <w:r>
              <w:t>Accurate student or intern status; educational program or placement and service entity as required; supervisor identity or supervision disclosure when required by the school, setting, agreement, or applicable law.</w:t>
            </w:r>
          </w:p>
        </w:tc>
        <w:tc>
          <w:tcPr>
            <w:tcW w:type="dxa" w:w="3320"/>
            <w:vAlign w:val="top"/>
          </w:tcPr>
          <w:p>
            <w:r>
              <w:t>Do not imply Board registration, independent authority, or licensure. Follow the school, placement, supervisor, employer, and applicable legal requirements.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A professional Instagram, LinkedIn, TikTok, YouTube, directory, or other public electronic profile may be advertising even when the therapist describes it as “educational content.”</w:t>
            </w:r>
          </w:p>
        </w:tc>
      </w:tr>
    </w:tbl>
    <w:p>
      <w:pPr>
        <w:pStyle w:val="CTAHeading2"/>
        <w:keepNext/>
      </w:pPr>
      <w:r>
        <w:rPr>
          <w:rFonts w:ascii="Lato" w:hAnsi="Lato" w:eastAsia="Lato"/>
          <w:b/>
          <w:i w:val="0"/>
          <w:color w:val="0B2447"/>
          <w:sz w:val="26"/>
        </w:rPr>
        <w:t>3. Advertising Must Not Be Misleading</w:t>
      </w:r>
    </w:p>
    <w:p>
      <w:pPr>
        <w:pStyle w:val="CTABody"/>
      </w:pPr>
      <w:r>
        <w:rPr>
          <w:rFonts w:ascii="Lato" w:hAnsi="Lato" w:eastAsia="Lato"/>
          <w:b w:val="0"/>
          <w:i w:val="0"/>
        </w:rPr>
        <w:t>California treats false, fraudulent, misleading, deceptive, or status-misrepresenting advertising as unprofessional conduct. Online claims must be evaluated from the consumer’s perspective, including omissions and information that is technically present but difficult to find.</w:t>
      </w:r>
    </w:p>
    <w:p>
      <w:pPr>
        <w:pStyle w:val="CTABody"/>
      </w:pPr>
      <w:r>
        <w:rPr>
          <w:rFonts w:ascii="Lato" w:hAnsi="Lato" w:eastAsia="Lato"/>
          <w:b w:val="0"/>
          <w:i w:val="0"/>
        </w:rPr>
        <w:t>Common social-media advertising problems include:</w:t>
      </w:r>
    </w:p>
    <w:p>
      <w:pPr>
        <w:pStyle w:val="CTABody"/>
        <w:spacing w:after="60"/>
        <w:ind w:left="403" w:hanging="259"/>
      </w:pPr>
      <w:r>
        <w:rPr>
          <w:rFonts w:ascii="Lato" w:hAnsi="Lato" w:eastAsia="Lato"/>
          <w:b/>
          <w:i w:val="0"/>
          <w:color w:val="0AA6A6"/>
        </w:rPr>
        <w:t>• Calling a registered ASW “licensed,” allowing the profile to imply independent practice, or omitting supervision information.</w:t>
      </w:r>
      <w:r>
        <w:rPr>
          <w:rFonts w:ascii="Lato" w:hAnsi="Lato" w:eastAsia="Lato"/>
          <w:b w:val="0"/>
          <w:i w:val="0"/>
        </w:rPr>
      </w:r>
    </w:p>
    <w:p>
      <w:pPr>
        <w:pStyle w:val="CTABody"/>
        <w:spacing w:after="60"/>
        <w:ind w:left="403" w:hanging="259"/>
      </w:pPr>
      <w:r>
        <w:rPr>
          <w:rFonts w:ascii="Lato" w:hAnsi="Lato" w:eastAsia="Lato"/>
          <w:b/>
          <w:i w:val="0"/>
          <w:color w:val="0AA6A6"/>
        </w:rPr>
        <w:t xml:space="preserve">• </w:t>
      </w:r>
      <w:r>
        <w:rPr>
          <w:rFonts w:ascii="Lato" w:hAnsi="Lato" w:eastAsia="Lato"/>
          <w:b w:val="0"/>
          <w:i w:val="0"/>
        </w:rPr>
        <w:t>Omitting the required name, credential title, or license or registration number.</w:t>
      </w:r>
    </w:p>
    <w:p>
      <w:pPr>
        <w:pStyle w:val="CTABody"/>
        <w:spacing w:after="60"/>
        <w:ind w:left="403" w:hanging="259"/>
      </w:pPr>
      <w:r>
        <w:rPr>
          <w:rFonts w:ascii="Lato" w:hAnsi="Lato" w:eastAsia="Lato"/>
          <w:b/>
          <w:i w:val="0"/>
          <w:color w:val="0AA6A6"/>
        </w:rPr>
        <w:t xml:space="preserve">• </w:t>
      </w:r>
      <w:r>
        <w:rPr>
          <w:rFonts w:ascii="Lato" w:hAnsi="Lato" w:eastAsia="Lato"/>
          <w:b w:val="0"/>
          <w:i w:val="0"/>
        </w:rPr>
        <w:t>Misrepresenting training, specialties, certifications, degrees, professional affiliations, or years of experience.</w:t>
      </w:r>
    </w:p>
    <w:p>
      <w:pPr>
        <w:pStyle w:val="CTABody"/>
        <w:spacing w:after="60"/>
        <w:ind w:left="403" w:hanging="259"/>
      </w:pPr>
      <w:r>
        <w:rPr>
          <w:rFonts w:ascii="Lato" w:hAnsi="Lato" w:eastAsia="Lato"/>
          <w:b/>
          <w:i w:val="0"/>
          <w:color w:val="0AA6A6"/>
        </w:rPr>
        <w:t xml:space="preserve">• </w:t>
      </w:r>
      <w:r>
        <w:rPr>
          <w:rFonts w:ascii="Lato" w:hAnsi="Lato" w:eastAsia="Lato"/>
          <w:b w:val="0"/>
          <w:i w:val="0"/>
        </w:rPr>
        <w:t>Guaranteeing a cure, success, transformation, or other favorable outcome.</w:t>
      </w:r>
    </w:p>
    <w:p>
      <w:pPr>
        <w:pStyle w:val="CTABody"/>
        <w:spacing w:after="60"/>
        <w:ind w:left="403" w:hanging="259"/>
      </w:pPr>
      <w:r>
        <w:rPr>
          <w:rFonts w:ascii="Lato" w:hAnsi="Lato" w:eastAsia="Lato"/>
          <w:b/>
          <w:i w:val="0"/>
          <w:color w:val="0AA6A6"/>
        </w:rPr>
        <w:t xml:space="preserve">• </w:t>
      </w:r>
      <w:r>
        <w:rPr>
          <w:rFonts w:ascii="Lato" w:hAnsi="Lato" w:eastAsia="Lato"/>
          <w:b w:val="0"/>
          <w:i w:val="0"/>
        </w:rPr>
        <w:t>Using a protected professional title inaccurately or in a way likely to confuse consumers.</w:t>
      </w:r>
    </w:p>
    <w:p>
      <w:pPr>
        <w:pStyle w:val="CTABody"/>
        <w:spacing w:after="60"/>
        <w:ind w:left="403" w:hanging="259"/>
      </w:pPr>
      <w:r>
        <w:rPr>
          <w:rFonts w:ascii="Lato" w:hAnsi="Lato" w:eastAsia="Lato"/>
          <w:b/>
          <w:i w:val="0"/>
          <w:color w:val="0AA6A6"/>
        </w:rPr>
        <w:t xml:space="preserve">• </w:t>
      </w:r>
      <w:r>
        <w:rPr>
          <w:rFonts w:ascii="Lato" w:hAnsi="Lato" w:eastAsia="Lato"/>
          <w:b w:val="0"/>
          <w:i w:val="0"/>
        </w:rPr>
        <w:t>Allowing an employer, marketing company, or platform-generated profile to publish inaccurate information. The professional remains responsible for reviewing advertising that identifies the professional.</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Legal Requirement vs. Ethical Concern</w:t>
            </w:r>
          </w:p>
          <w:p>
            <w:pPr>
              <w:spacing w:after="0" w:line="254" w:lineRule="auto"/>
            </w:pPr>
            <w:r>
              <w:rPr>
                <w:rFonts w:ascii="Lato" w:hAnsi="Lato" w:eastAsia="Lato"/>
                <w:b w:val="0"/>
                <w:i w:val="0"/>
                <w:sz w:val="20"/>
              </w:rPr>
              <w:t>Required advertising content and prohibitions on misleading claims are legal/BBS requirements. Decisions about tone, branding, educational content, and self-disclosure often require ethical and clinical judgment beyond the minimum legal rules.</w:t>
            </w:r>
          </w:p>
        </w:tc>
      </w:tr>
    </w:tbl>
    <w:p>
      <w:pPr>
        <w:pStyle w:val="CTAHeading2"/>
        <w:keepNext/>
      </w:pPr>
      <w:r>
        <w:rPr>
          <w:rFonts w:ascii="Lato" w:hAnsi="Lato" w:eastAsia="Lato"/>
          <w:b/>
          <w:i w:val="0"/>
          <w:color w:val="0B2447"/>
          <w:sz w:val="26"/>
        </w:rPr>
        <w:t>4. Friend Requests, Follows, Likes, Tags, and Comments</w:t>
      </w:r>
    </w:p>
    <w:p>
      <w:pPr>
        <w:pStyle w:val="CTABody"/>
      </w:pPr>
      <w:r>
        <w:rPr>
          <w:rFonts w:ascii="Lato" w:hAnsi="Lato" w:eastAsia="Lato"/>
          <w:b w:val="0"/>
          <w:i w:val="0"/>
        </w:rPr>
        <w:t>The controlling California statutes and BBS regulations do not create one automatic answer for every friend or follow request. The therapist should apply existing confidentiality, boundary, multiple-relationship, informed-consent, and client-welfare principles.</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Question to Ask</w:t>
            </w:r>
          </w:p>
        </w:tc>
        <w:tc>
          <w:tcPr>
            <w:tcW w:type="dxa" w:w="4980"/>
            <w:shd w:fill="0B2447"/>
          </w:tcPr>
          <w:p>
            <w:pPr>
              <w:jc w:val="center"/>
            </w:pPr>
            <w:r>
              <w:rPr>
                <w:rFonts w:ascii="Lato" w:hAnsi="Lato" w:eastAsia="Lato"/>
                <w:b/>
                <w:i w:val="0"/>
                <w:color w:val="FFFFFF"/>
                <w:sz w:val="18"/>
              </w:rPr>
              <w:t>Why It Matters</w:t>
            </w:r>
          </w:p>
        </w:tc>
      </w:tr>
      <w:tr>
        <w:trPr>
          <w:cantSplit w:val="1"/>
        </w:trPr>
        <w:tc>
          <w:tcPr>
            <w:tcW w:type="dxa" w:w="4980"/>
            <w:shd w:fill="EEF3F8"/>
            <w:vAlign w:val="top"/>
          </w:tcPr>
          <w:p>
            <w:pPr>
              <w:spacing w:after="0" w:line="245" w:lineRule="auto"/>
            </w:pPr>
            <w:r>
              <w:rPr>
                <w:rFonts w:ascii="Lato" w:hAnsi="Lato" w:eastAsia="Lato"/>
                <w:b/>
                <w:i w:val="0"/>
                <w:color w:val="0B2447"/>
                <w:sz w:val="17"/>
              </w:rPr>
              <w:t>Could the interaction reveal a treatment relationship?</w:t>
            </w:r>
          </w:p>
        </w:tc>
        <w:tc>
          <w:tcPr>
            <w:tcW w:type="dxa" w:w="4980"/>
            <w:vAlign w:val="top"/>
          </w:tcPr>
          <w:p>
            <w:pPr>
              <w:spacing w:after="0" w:line="245" w:lineRule="auto"/>
            </w:pPr>
            <w:r>
              <w:rPr>
                <w:rFonts w:ascii="Lato" w:hAnsi="Lato" w:eastAsia="Lato"/>
                <w:b w:val="0"/>
                <w:i w:val="0"/>
                <w:color w:val="111827"/>
                <w:sz w:val="17"/>
              </w:rPr>
              <w:t>A visible follow, tag, comment, group membership, or repeated interaction may allow others to infer that the person is a client.</w:t>
            </w:r>
          </w:p>
        </w:tc>
      </w:tr>
      <w:tr>
        <w:trPr>
          <w:cantSplit w:val="1"/>
        </w:trPr>
        <w:tc>
          <w:tcPr>
            <w:tcW w:type="dxa" w:w="4980"/>
            <w:shd w:fill="EEF3F8"/>
            <w:vAlign w:val="top"/>
          </w:tcPr>
          <w:p>
            <w:pPr>
              <w:spacing w:after="0" w:line="245" w:lineRule="auto"/>
            </w:pPr>
            <w:r>
              <w:rPr>
                <w:rFonts w:ascii="Lato" w:hAnsi="Lato" w:eastAsia="Lato"/>
                <w:b/>
                <w:i w:val="0"/>
                <w:color w:val="0B2447"/>
                <w:sz w:val="17"/>
              </w:rPr>
              <w:t>Is the account personal, professional, or mixed?</w:t>
            </w:r>
          </w:p>
        </w:tc>
        <w:tc>
          <w:tcPr>
            <w:tcW w:type="dxa" w:w="4980"/>
            <w:vAlign w:val="top"/>
          </w:tcPr>
          <w:p>
            <w:pPr>
              <w:spacing w:after="0" w:line="245" w:lineRule="auto"/>
            </w:pPr>
            <w:r>
              <w:rPr>
                <w:rFonts w:ascii="Lato" w:hAnsi="Lato" w:eastAsia="Lato"/>
                <w:b w:val="0"/>
                <w:i w:val="0"/>
                <w:color w:val="111827"/>
                <w:sz w:val="17"/>
              </w:rPr>
              <w:t>A mixed account increases self-disclosure, role-confusion, and unintended-audience risks.</w:t>
            </w:r>
          </w:p>
        </w:tc>
      </w:tr>
      <w:tr>
        <w:trPr>
          <w:cantSplit w:val="1"/>
        </w:trPr>
        <w:tc>
          <w:tcPr>
            <w:tcW w:type="dxa" w:w="4980"/>
            <w:shd w:fill="EEF3F8"/>
            <w:vAlign w:val="top"/>
          </w:tcPr>
          <w:p>
            <w:pPr>
              <w:spacing w:after="0" w:line="245" w:lineRule="auto"/>
            </w:pPr>
            <w:r>
              <w:rPr>
                <w:rFonts w:ascii="Lato" w:hAnsi="Lato" w:eastAsia="Lato"/>
                <w:b/>
                <w:i w:val="0"/>
                <w:color w:val="0B2447"/>
                <w:sz w:val="17"/>
              </w:rPr>
              <w:t>What is the clinical purpose?</w:t>
            </w:r>
          </w:p>
        </w:tc>
        <w:tc>
          <w:tcPr>
            <w:tcW w:type="dxa" w:w="4980"/>
            <w:vAlign w:val="top"/>
          </w:tcPr>
          <w:p>
            <w:pPr>
              <w:spacing w:after="0" w:line="245" w:lineRule="auto"/>
            </w:pPr>
            <w:r>
              <w:rPr>
                <w:rFonts w:ascii="Lato" w:hAnsi="Lato" w:eastAsia="Lato"/>
                <w:b w:val="0"/>
                <w:i w:val="0"/>
                <w:color w:val="111827"/>
                <w:sz w:val="17"/>
              </w:rPr>
              <w:t>The interaction should not be driven only by curiosity, convenience, marketing, or the therapist’s emotional needs.</w:t>
            </w:r>
          </w:p>
        </w:tc>
      </w:tr>
      <w:tr>
        <w:trPr>
          <w:cantSplit w:val="1"/>
        </w:trPr>
        <w:tc>
          <w:tcPr>
            <w:tcW w:type="dxa" w:w="4980"/>
            <w:shd w:fill="EEF3F8"/>
            <w:vAlign w:val="top"/>
          </w:tcPr>
          <w:p>
            <w:pPr>
              <w:spacing w:after="0" w:line="245" w:lineRule="auto"/>
            </w:pPr>
            <w:r>
              <w:rPr>
                <w:rFonts w:ascii="Lato" w:hAnsi="Lato" w:eastAsia="Lato"/>
                <w:b/>
                <w:i w:val="0"/>
                <w:color w:val="0B2447"/>
                <w:sz w:val="17"/>
              </w:rPr>
              <w:t>How could it affect treatment?</w:t>
            </w:r>
          </w:p>
        </w:tc>
        <w:tc>
          <w:tcPr>
            <w:tcW w:type="dxa" w:w="4980"/>
            <w:vAlign w:val="top"/>
          </w:tcPr>
          <w:p>
            <w:pPr>
              <w:spacing w:after="0" w:line="245" w:lineRule="auto"/>
            </w:pPr>
            <w:r>
              <w:rPr>
                <w:rFonts w:ascii="Lato" w:hAnsi="Lato" w:eastAsia="Lato"/>
                <w:b w:val="0"/>
                <w:i w:val="0"/>
                <w:color w:val="111827"/>
                <w:sz w:val="17"/>
              </w:rPr>
              <w:t>The client may experience acceptance, rejection, favoritism, surveillance, pressure, or altered expectations.</w:t>
            </w:r>
          </w:p>
        </w:tc>
      </w:tr>
      <w:tr>
        <w:trPr>
          <w:cantSplit w:val="1"/>
        </w:trPr>
        <w:tc>
          <w:tcPr>
            <w:tcW w:type="dxa" w:w="4980"/>
            <w:shd w:fill="EEF3F8"/>
            <w:vAlign w:val="top"/>
          </w:tcPr>
          <w:p>
            <w:pPr>
              <w:spacing w:after="0" w:line="245" w:lineRule="auto"/>
            </w:pPr>
            <w:r>
              <w:rPr>
                <w:rFonts w:ascii="Lato" w:hAnsi="Lato" w:eastAsia="Lato"/>
                <w:b/>
                <w:i w:val="0"/>
                <w:color w:val="0B2447"/>
                <w:sz w:val="17"/>
              </w:rPr>
              <w:t>Is there a consistent policy?</w:t>
            </w:r>
          </w:p>
        </w:tc>
        <w:tc>
          <w:tcPr>
            <w:tcW w:type="dxa" w:w="4980"/>
            <w:vAlign w:val="top"/>
          </w:tcPr>
          <w:p>
            <w:pPr>
              <w:spacing w:after="0" w:line="245" w:lineRule="auto"/>
            </w:pPr>
            <w:r>
              <w:rPr>
                <w:rFonts w:ascii="Lato" w:hAnsi="Lato" w:eastAsia="Lato"/>
                <w:b w:val="0"/>
                <w:i w:val="0"/>
                <w:color w:val="111827"/>
                <w:sz w:val="17"/>
              </w:rPr>
              <w:t>A clear policy supports predictable boundaries, but it does not replace individualized clinical judgment.</w:t>
            </w:r>
          </w:p>
        </w:tc>
      </w:tr>
      <w:tr>
        <w:trPr>
          <w:cantSplit w:val="1"/>
        </w:trPr>
        <w:tc>
          <w:tcPr>
            <w:tcW w:type="dxa" w:w="4980"/>
            <w:shd w:fill="EEF3F8"/>
            <w:vAlign w:val="top"/>
          </w:tcPr>
          <w:p>
            <w:pPr>
              <w:spacing w:after="0" w:line="245" w:lineRule="auto"/>
            </w:pPr>
            <w:r>
              <w:rPr>
                <w:rFonts w:ascii="Lato" w:hAnsi="Lato" w:eastAsia="Lato"/>
                <w:b/>
                <w:i w:val="0"/>
                <w:color w:val="0B2447"/>
                <w:sz w:val="17"/>
              </w:rPr>
              <w:t>Should the issue be discussed in treatment?</w:t>
            </w:r>
          </w:p>
        </w:tc>
        <w:tc>
          <w:tcPr>
            <w:tcW w:type="dxa" w:w="4980"/>
            <w:vAlign w:val="top"/>
          </w:tcPr>
          <w:p>
            <w:pPr>
              <w:spacing w:after="0" w:line="245" w:lineRule="auto"/>
            </w:pPr>
            <w:r>
              <w:rPr>
                <w:rFonts w:ascii="Lato" w:hAnsi="Lato" w:eastAsia="Lato"/>
                <w:b w:val="0"/>
                <w:i w:val="0"/>
                <w:color w:val="111827"/>
                <w:sz w:val="17"/>
              </w:rPr>
              <w:t>The request may reveal clinically meaningful expectations, fears, attachment themes, or misunderstandings about the relationship.</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Best First Step</w:t>
            </w:r>
          </w:p>
          <w:p>
            <w:pPr>
              <w:spacing w:after="0" w:line="254" w:lineRule="auto"/>
            </w:pPr>
            <w:r>
              <w:rPr>
                <w:rFonts w:ascii="Lato" w:hAnsi="Lato" w:eastAsia="Lato"/>
                <w:b w:val="0"/>
                <w:i w:val="0"/>
                <w:sz w:val="20"/>
              </w:rPr>
              <w:t>Pause before responding. Review the policy and the specific boundary, confidentiality, and treatment implications; then address the request consistently and clinically rather than reacting impulsively.</w:t>
            </w:r>
          </w:p>
        </w:tc>
      </w:tr>
    </w:tbl>
    <w:p>
      <w:pPr>
        <w:pStyle w:val="CTAHeading2"/>
        <w:keepNext/>
      </w:pPr>
      <w:r>
        <w:rPr>
          <w:rFonts w:ascii="Lato" w:hAnsi="Lato" w:eastAsia="Lato"/>
          <w:b/>
          <w:i w:val="0"/>
          <w:color w:val="0B2447"/>
          <w:sz w:val="26"/>
        </w:rPr>
        <w:t>5. Personal and Professional Accounts</w:t>
      </w:r>
    </w:p>
    <w:p>
      <w:pPr>
        <w:pStyle w:val="CTABody"/>
      </w:pPr>
      <w:r>
        <w:rPr>
          <w:rFonts w:ascii="Lato" w:hAnsi="Lato" w:eastAsia="Lato"/>
          <w:b w:val="0"/>
          <w:i w:val="0"/>
        </w:rPr>
        <w:t>Separate personal and professional accounts can reduce some risk, but separation does not guarantee privacy or prevent cross-over. Platforms may recommend contacts, expose mutual connections, preserve screenshots, display likes, synchronize address books, or change privacy settings.</w:t>
      </w:r>
    </w:p>
    <w:p>
      <w:pPr>
        <w:pStyle w:val="CTABody"/>
      </w:pPr>
      <w:r>
        <w:rPr>
          <w:rFonts w:ascii="Lato" w:hAnsi="Lato" w:eastAsia="Lato"/>
          <w:b w:val="0"/>
          <w:i w:val="0"/>
        </w:rPr>
        <w:t>Therapists should assume that clients may lawfully encounter public content. Before posting, consider whether the content:</w:t>
      </w:r>
    </w:p>
    <w:p>
      <w:pPr>
        <w:pStyle w:val="CTABody"/>
        <w:spacing w:after="60"/>
        <w:ind w:left="403" w:hanging="259"/>
      </w:pPr>
      <w:r>
        <w:rPr>
          <w:rFonts w:ascii="Lato" w:hAnsi="Lato" w:eastAsia="Lato"/>
          <w:b/>
          <w:i w:val="0"/>
          <w:color w:val="0AA6A6"/>
        </w:rPr>
        <w:t xml:space="preserve">• </w:t>
      </w:r>
      <w:r>
        <w:rPr>
          <w:rFonts w:ascii="Lato" w:hAnsi="Lato" w:eastAsia="Lato"/>
          <w:b w:val="0"/>
          <w:i w:val="0"/>
        </w:rPr>
        <w:t>Reveals client information or allows a client to be identified through combined details.</w:t>
      </w:r>
    </w:p>
    <w:p>
      <w:pPr>
        <w:pStyle w:val="CTABody"/>
        <w:spacing w:after="60"/>
        <w:ind w:left="403" w:hanging="259"/>
      </w:pPr>
      <w:r>
        <w:rPr>
          <w:rFonts w:ascii="Lato" w:hAnsi="Lato" w:eastAsia="Lato"/>
          <w:b/>
          <w:i w:val="0"/>
          <w:color w:val="0AA6A6"/>
        </w:rPr>
        <w:t xml:space="preserve">• </w:t>
      </w:r>
      <w:r>
        <w:rPr>
          <w:rFonts w:ascii="Lato" w:hAnsi="Lato" w:eastAsia="Lato"/>
          <w:b w:val="0"/>
          <w:i w:val="0"/>
        </w:rPr>
        <w:t>Creates false or misleading advertising or inaccurately represents the therapist’s qualifications.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Invites client contact through a personal channel that the therapist is not prepared to manage.</w:t>
      </w:r>
    </w:p>
    <w:p>
      <w:pPr>
        <w:pStyle w:val="CTABody"/>
        <w:spacing w:after="60"/>
        <w:ind w:left="403" w:hanging="259"/>
      </w:pPr>
      <w:r>
        <w:rPr>
          <w:rFonts w:ascii="Lato" w:hAnsi="Lato" w:eastAsia="Lato"/>
          <w:b/>
          <w:i w:val="0"/>
          <w:color w:val="0AA6A6"/>
        </w:rPr>
        <w:t xml:space="preserve">• </w:t>
      </w:r>
      <w:r>
        <w:rPr>
          <w:rFonts w:ascii="Lato" w:hAnsi="Lato" w:eastAsia="Lato"/>
          <w:b w:val="0"/>
          <w:i w:val="0"/>
        </w:rPr>
        <w:t>Undermines a specific treatment boundary or creates a multiple-role concern.</w:t>
      </w:r>
    </w:p>
    <w:p>
      <w:pPr>
        <w:pStyle w:val="CTABody"/>
        <w:spacing w:after="60"/>
        <w:ind w:left="403" w:hanging="259"/>
      </w:pPr>
      <w:r>
        <w:rPr>
          <w:rFonts w:ascii="Lato" w:hAnsi="Lato" w:eastAsia="Lato"/>
          <w:b/>
          <w:i w:val="0"/>
          <w:color w:val="0AA6A6"/>
        </w:rPr>
        <w:t xml:space="preserve">• </w:t>
      </w:r>
      <w:r>
        <w:rPr>
          <w:rFonts w:ascii="Lato" w:hAnsi="Lato" w:eastAsia="Lato"/>
          <w:b w:val="0"/>
          <w:i w:val="0"/>
        </w:rPr>
        <w:t>Could reasonably impair the therapist’s ability to provide competent, nondiscriminatory, or safe care to a particular client.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Important Correction</w:t>
            </w:r>
          </w:p>
          <w:p>
            <w:pPr>
              <w:spacing w:after="0" w:line="254" w:lineRule="auto"/>
            </w:pPr>
            <w:r>
              <w:rPr>
                <w:rFonts w:ascii="Lato" w:hAnsi="Lato" w:eastAsia="Lato"/>
                <w:b w:val="0"/>
                <w:i w:val="0"/>
                <w:sz w:val="20"/>
              </w:rPr>
              <w:t>A controversial opinion, emotional post, or personal disclosure is not automatically BBS misconduct merely because a client may see it. Identify the actual legal or professional harm rather than using “unprofessional appearance” as a vague conclusion.</w:t>
            </w:r>
          </w:p>
        </w:tc>
      </w:tr>
    </w:tbl>
    <w:p>
      <w:pPr>
        <w:pStyle w:val="CTAHeading2"/>
        <w:keepNext/>
      </w:pPr>
      <w:r>
        <w:rPr>
          <w:rFonts w:ascii="Lato" w:hAnsi="Lato" w:eastAsia="Lato"/>
          <w:b/>
          <w:i w:val="0"/>
          <w:color w:val="0B2447"/>
          <w:sz w:val="26"/>
        </w:rPr>
        <w:t>6. Searching for Client Information Online</w:t>
      </w:r>
    </w:p>
    <w:p>
      <w:pPr>
        <w:pStyle w:val="CTABody"/>
      </w:pPr>
      <w:r>
        <w:rPr>
          <w:rFonts w:ascii="Lato" w:hAnsi="Lato" w:eastAsia="Lato"/>
          <w:b w:val="0"/>
          <w:i w:val="0"/>
        </w:rPr>
        <w:t>California law does not provide a blanket rule that every search is prohibited or that public information is automatically appropriate to use. The therapist should evaluate purpose, necessity, proportionality, reliability, transparency, treatment impact, and documentation.</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Before Searching or Using Information</w:t>
            </w:r>
          </w:p>
        </w:tc>
        <w:tc>
          <w:tcPr>
            <w:tcW w:type="dxa" w:w="4980"/>
            <w:shd w:fill="0B2447"/>
          </w:tcPr>
          <w:p>
            <w:pPr>
              <w:jc w:val="center"/>
            </w:pPr>
            <w:r>
              <w:rPr>
                <w:rFonts w:ascii="Lato" w:hAnsi="Lato" w:eastAsia="Lato"/>
                <w:b/>
                <w:i w:val="0"/>
                <w:color w:val="FFFFFF"/>
                <w:sz w:val="18"/>
              </w:rPr>
              <w:t>Clinical Analysis</w:t>
            </w:r>
          </w:p>
        </w:tc>
      </w:tr>
      <w:tr>
        <w:trPr>
          <w:cantSplit w:val="1"/>
        </w:trPr>
        <w:tc>
          <w:tcPr>
            <w:tcW w:type="dxa" w:w="4980"/>
            <w:shd w:fill="EEF3F8"/>
            <w:vAlign w:val="top"/>
          </w:tcPr>
          <w:p>
            <w:pPr>
              <w:spacing w:after="0" w:line="245" w:lineRule="auto"/>
            </w:pPr>
            <w:r>
              <w:rPr>
                <w:rFonts w:ascii="Lato" w:hAnsi="Lato" w:eastAsia="Lato"/>
                <w:b/>
                <w:i w:val="0"/>
                <w:color w:val="0B2447"/>
                <w:sz w:val="17"/>
              </w:rPr>
              <w:t>Purpose</w:t>
            </w:r>
          </w:p>
        </w:tc>
        <w:tc>
          <w:tcPr>
            <w:tcW w:type="dxa" w:w="4980"/>
            <w:vAlign w:val="top"/>
          </w:tcPr>
          <w:p>
            <w:pPr>
              <w:spacing w:after="0" w:line="245" w:lineRule="auto"/>
            </w:pPr>
            <w:r>
              <w:rPr>
                <w:rFonts w:ascii="Lato" w:hAnsi="Lato" w:eastAsia="Lato"/>
                <w:b w:val="0"/>
                <w:i w:val="0"/>
                <w:color w:val="111827"/>
                <w:sz w:val="17"/>
              </w:rPr>
              <w:t>Is there a specific clinical, safety, identity-verification, or treatment need, or is the therapist merely curious?</w:t>
            </w:r>
          </w:p>
        </w:tc>
      </w:tr>
      <w:tr>
        <w:trPr>
          <w:cantSplit w:val="1"/>
        </w:trPr>
        <w:tc>
          <w:tcPr>
            <w:tcW w:type="dxa" w:w="4980"/>
            <w:shd w:fill="EEF3F8"/>
            <w:vAlign w:val="top"/>
          </w:tcPr>
          <w:p>
            <w:pPr>
              <w:spacing w:after="0" w:line="245" w:lineRule="auto"/>
            </w:pPr>
            <w:r>
              <w:rPr>
                <w:rFonts w:ascii="Lato" w:hAnsi="Lato" w:eastAsia="Lato"/>
                <w:b/>
                <w:i w:val="0"/>
                <w:color w:val="0B2447"/>
                <w:sz w:val="17"/>
              </w:rPr>
              <w:t>Necessity</w:t>
            </w:r>
          </w:p>
        </w:tc>
        <w:tc>
          <w:tcPr>
            <w:tcW w:type="dxa" w:w="4980"/>
            <w:vAlign w:val="top"/>
          </w:tcPr>
          <w:p>
            <w:pPr>
              <w:spacing w:after="0" w:line="245" w:lineRule="auto"/>
            </w:pPr>
            <w:r>
              <w:rPr>
                <w:rFonts w:ascii="Lato" w:hAnsi="Lato" w:eastAsia="Lato"/>
                <w:b w:val="0"/>
                <w:i w:val="0"/>
                <w:color w:val="111827"/>
                <w:sz w:val="17"/>
              </w:rPr>
              <w:t>Could the information be obtained directly from the client or through a less intrusive source?</w:t>
            </w:r>
          </w:p>
        </w:tc>
      </w:tr>
      <w:tr>
        <w:trPr>
          <w:cantSplit w:val="1"/>
        </w:trPr>
        <w:tc>
          <w:tcPr>
            <w:tcW w:type="dxa" w:w="4980"/>
            <w:shd w:fill="EEF3F8"/>
            <w:vAlign w:val="top"/>
          </w:tcPr>
          <w:p>
            <w:pPr>
              <w:spacing w:after="0" w:line="245" w:lineRule="auto"/>
            </w:pPr>
            <w:r>
              <w:rPr>
                <w:rFonts w:ascii="Lato" w:hAnsi="Lato" w:eastAsia="Lato"/>
                <w:b/>
                <w:i w:val="0"/>
                <w:color w:val="0B2447"/>
                <w:sz w:val="17"/>
              </w:rPr>
              <w:t>Proportionality</w:t>
            </w:r>
          </w:p>
        </w:tc>
        <w:tc>
          <w:tcPr>
            <w:tcW w:type="dxa" w:w="4980"/>
            <w:vAlign w:val="top"/>
          </w:tcPr>
          <w:p>
            <w:pPr>
              <w:spacing w:after="0" w:line="245" w:lineRule="auto"/>
            </w:pPr>
            <w:r>
              <w:rPr>
                <w:rFonts w:ascii="Lato" w:hAnsi="Lato" w:eastAsia="Lato"/>
                <w:b w:val="0"/>
                <w:i w:val="0"/>
                <w:color w:val="111827"/>
                <w:sz w:val="17"/>
              </w:rPr>
              <w:t>Is the scope of the search limited to the legitimate purpose?</w:t>
            </w:r>
          </w:p>
        </w:tc>
      </w:tr>
      <w:tr>
        <w:trPr>
          <w:cantSplit w:val="1"/>
        </w:trPr>
        <w:tc>
          <w:tcPr>
            <w:tcW w:type="dxa" w:w="4980"/>
            <w:shd w:fill="EEF3F8"/>
            <w:vAlign w:val="top"/>
          </w:tcPr>
          <w:p>
            <w:pPr>
              <w:spacing w:after="0" w:line="245" w:lineRule="auto"/>
            </w:pPr>
            <w:r>
              <w:rPr>
                <w:rFonts w:ascii="Lato" w:hAnsi="Lato" w:eastAsia="Lato"/>
                <w:b/>
                <w:i w:val="0"/>
                <w:color w:val="0B2447"/>
                <w:sz w:val="17"/>
              </w:rPr>
              <w:t>Reliability</w:t>
            </w:r>
          </w:p>
        </w:tc>
        <w:tc>
          <w:tcPr>
            <w:tcW w:type="dxa" w:w="4980"/>
            <w:vAlign w:val="top"/>
          </w:tcPr>
          <w:p>
            <w:pPr>
              <w:spacing w:after="0" w:line="245" w:lineRule="auto"/>
            </w:pPr>
            <w:r>
              <w:rPr>
                <w:rFonts w:ascii="Lato" w:hAnsi="Lato" w:eastAsia="Lato"/>
                <w:b w:val="0"/>
                <w:i w:val="0"/>
                <w:color w:val="111827"/>
                <w:sz w:val="17"/>
              </w:rPr>
              <w:t>Could the account be fake, outdated, sarcastic, taken out of context, edited, or controlled by another person?</w:t>
            </w:r>
          </w:p>
        </w:tc>
      </w:tr>
      <w:tr>
        <w:trPr>
          <w:cantSplit w:val="1"/>
        </w:trPr>
        <w:tc>
          <w:tcPr>
            <w:tcW w:type="dxa" w:w="4980"/>
            <w:shd w:fill="EEF3F8"/>
            <w:vAlign w:val="top"/>
          </w:tcPr>
          <w:p>
            <w:pPr>
              <w:spacing w:after="0" w:line="245" w:lineRule="auto"/>
            </w:pPr>
            <w:r>
              <w:rPr>
                <w:rFonts w:ascii="Lato" w:hAnsi="Lato" w:eastAsia="Lato"/>
                <w:b/>
                <w:i w:val="0"/>
                <w:color w:val="0B2447"/>
                <w:sz w:val="17"/>
              </w:rPr>
              <w:t>Transparency</w:t>
            </w:r>
          </w:p>
        </w:tc>
        <w:tc>
          <w:tcPr>
            <w:tcW w:type="dxa" w:w="4980"/>
            <w:vAlign w:val="top"/>
          </w:tcPr>
          <w:p>
            <w:pPr>
              <w:spacing w:after="0" w:line="245" w:lineRule="auto"/>
            </w:pPr>
            <w:r>
              <w:rPr>
                <w:rFonts w:ascii="Lato" w:hAnsi="Lato" w:eastAsia="Lato"/>
                <w:b w:val="0"/>
                <w:i w:val="0"/>
                <w:color w:val="111827"/>
                <w:sz w:val="17"/>
              </w:rPr>
              <w:t>Would discussion with the client be appropriate before or after the search, absent a compelling reason not to disclose it?</w:t>
            </w:r>
          </w:p>
        </w:tc>
      </w:tr>
      <w:tr>
        <w:trPr>
          <w:cantSplit w:val="1"/>
        </w:trPr>
        <w:tc>
          <w:tcPr>
            <w:tcW w:type="dxa" w:w="4980"/>
            <w:shd w:fill="EEF3F8"/>
            <w:vAlign w:val="top"/>
          </w:tcPr>
          <w:p>
            <w:pPr>
              <w:spacing w:after="0" w:line="245" w:lineRule="auto"/>
            </w:pPr>
            <w:r>
              <w:rPr>
                <w:rFonts w:ascii="Lato" w:hAnsi="Lato" w:eastAsia="Lato"/>
                <w:b/>
                <w:i w:val="0"/>
                <w:color w:val="0B2447"/>
                <w:sz w:val="17"/>
              </w:rPr>
              <w:t>Treatment impact</w:t>
            </w:r>
          </w:p>
        </w:tc>
        <w:tc>
          <w:tcPr>
            <w:tcW w:type="dxa" w:w="4980"/>
            <w:vAlign w:val="top"/>
          </w:tcPr>
          <w:p>
            <w:pPr>
              <w:spacing w:after="0" w:line="245" w:lineRule="auto"/>
            </w:pPr>
            <w:r>
              <w:rPr>
                <w:rFonts w:ascii="Lato" w:hAnsi="Lato" w:eastAsia="Lato"/>
                <w:b w:val="0"/>
                <w:i w:val="0"/>
                <w:color w:val="111827"/>
                <w:sz w:val="17"/>
              </w:rPr>
              <w:t>How might the client experience the therapist’s search or use of the information?</w:t>
            </w:r>
          </w:p>
        </w:tc>
      </w:tr>
      <w:tr>
        <w:trPr>
          <w:cantSplit w:val="1"/>
        </w:trPr>
        <w:tc>
          <w:tcPr>
            <w:tcW w:type="dxa" w:w="4980"/>
            <w:shd w:fill="EEF3F8"/>
            <w:vAlign w:val="top"/>
          </w:tcPr>
          <w:p>
            <w:pPr>
              <w:spacing w:after="0" w:line="245" w:lineRule="auto"/>
            </w:pPr>
            <w:r>
              <w:rPr>
                <w:rFonts w:ascii="Lato" w:hAnsi="Lato" w:eastAsia="Lato"/>
                <w:b/>
                <w:i w:val="0"/>
                <w:color w:val="0B2447"/>
                <w:sz w:val="17"/>
              </w:rPr>
              <w:t>Documentation</w:t>
            </w:r>
          </w:p>
        </w:tc>
        <w:tc>
          <w:tcPr>
            <w:tcW w:type="dxa" w:w="4980"/>
            <w:vAlign w:val="top"/>
          </w:tcPr>
          <w:p>
            <w:pPr>
              <w:spacing w:after="0" w:line="245" w:lineRule="auto"/>
            </w:pPr>
            <w:r>
              <w:rPr>
                <w:rFonts w:ascii="Lato" w:hAnsi="Lato" w:eastAsia="Lato"/>
                <w:b w:val="0"/>
                <w:i w:val="0"/>
                <w:color w:val="111827"/>
                <w:sz w:val="17"/>
              </w:rPr>
              <w:t>If the information affects assessment, safety, diagnosis, treatment, or a professional decision, document the source, relevance, verification, and response as appropriate.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Public does not mean clinically necessary, accurate, or consequence-free. Purpose before curiosity.</w:t>
            </w:r>
          </w:p>
        </w:tc>
      </w:tr>
    </w:tbl>
    <w:p>
      <w:pPr>
        <w:pStyle w:val="CTAHeading2"/>
        <w:keepNext/>
      </w:pPr>
      <w:r>
        <w:rPr>
          <w:rFonts w:ascii="Lato" w:hAnsi="Lato" w:eastAsia="Lato"/>
          <w:b/>
          <w:i w:val="0"/>
          <w:color w:val="0B2447"/>
          <w:sz w:val="26"/>
        </w:rPr>
        <w:t>7. Client Posts That Suggest Immediate Risk</w:t>
      </w:r>
    </w:p>
    <w:p>
      <w:pPr>
        <w:pStyle w:val="CTABody"/>
      </w:pPr>
      <w:r>
        <w:rPr>
          <w:rFonts w:ascii="Lato" w:hAnsi="Lato" w:eastAsia="Lato"/>
          <w:b w:val="0"/>
          <w:i w:val="0"/>
        </w:rPr>
        <w:t>A therapist who becomes aware of a client’s public post suggesting imminent self-harm, violence, abuse, or another emergency should not ignore the information merely because it was found online. The therapist should assess credibility and immediacy, attempt appropriate contact, use known location and emergency information, act under applicable safety duties, and document the information and response.</w:t>
      </w:r>
    </w:p>
    <w:p>
      <w:pPr>
        <w:pStyle w:val="CTABody"/>
      </w:pPr>
      <w:r>
        <w:rPr>
          <w:rFonts w:ascii="Lato" w:hAnsi="Lato" w:eastAsia="Lato"/>
          <w:b w:val="0"/>
          <w:i w:val="0"/>
        </w:rPr>
        <w:t>At the same time, the therapist should avoid assuming that every alarming post is authentic or current. Verification and direct clinical assessment remain important when circumstances permit.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Strategy</w:t>
            </w:r>
          </w:p>
          <w:p>
            <w:pPr>
              <w:spacing w:after="0" w:line="254" w:lineRule="auto"/>
            </w:pPr>
            <w:r>
              <w:rPr>
                <w:rFonts w:ascii="Lato" w:hAnsi="Lato" w:eastAsia="Lato"/>
                <w:b w:val="0"/>
                <w:i w:val="0"/>
                <w:sz w:val="20"/>
              </w:rPr>
              <w:t>In a safety scenario, do not choose “ignore because it was public” or “treat every post as verified fact.” Choose prompt assessment, proportionate action, verification, and documentation.</w:t>
            </w:r>
          </w:p>
        </w:tc>
      </w:tr>
    </w:tbl>
    <w:p>
      <w:pPr>
        <w:pStyle w:val="CTAHeading2"/>
        <w:keepNext/>
      </w:pPr>
      <w:r>
        <w:rPr>
          <w:rFonts w:ascii="Lato" w:hAnsi="Lato" w:eastAsia="Lato"/>
          <w:b/>
          <w:i w:val="0"/>
          <w:color w:val="0B2447"/>
          <w:sz w:val="26"/>
        </w:rPr>
        <w:t>8. Confidentiality, Client Stories, and Online Consultation</w:t>
      </w:r>
    </w:p>
    <w:p>
      <w:pPr>
        <w:pStyle w:val="CTABody"/>
      </w:pPr>
      <w:r>
        <w:rPr>
          <w:rFonts w:ascii="Lato" w:hAnsi="Lato" w:eastAsia="Lato"/>
          <w:b w:val="0"/>
          <w:i w:val="0"/>
        </w:rPr>
        <w:t>Removing a client’s name does not necessarily de-identify the client. Occupation, location, family structure, diagnosis, unusual events, workplace, photographs, dates, and combined details may make the client recognizable.</w:t>
      </w:r>
    </w:p>
    <w:p>
      <w:pPr>
        <w:pStyle w:val="CTABody"/>
      </w:pPr>
      <w:r>
        <w:rPr>
          <w:rFonts w:ascii="Lato" w:hAnsi="Lato" w:eastAsia="Lato"/>
          <w:b w:val="0"/>
          <w:i w:val="0"/>
        </w:rPr>
        <w:t>The California Confidentiality of Medical Information Act generally prohibits a health-care provider from disclosing medical information without authorization unless a statutory exception applies. Public posts, blogs, podcasts, videos, online forums, and broad professional groups are not automatically lawful consultation settings.</w:t>
      </w:r>
    </w:p>
    <w:p>
      <w:pPr>
        <w:pStyle w:val="CTABody"/>
      </w:pPr>
      <w:r>
        <w:rPr>
          <w:rFonts w:ascii="Lato" w:hAnsi="Lato" w:eastAsia="Lato"/>
          <w:b w:val="0"/>
          <w:i w:val="0"/>
        </w:rPr>
        <w:t>BBS educational guidance has specifically warned that client information should not be posted in public or broad online professional discussions and that case details can violate confidentiality even when a name is omitted. Lawful consultation should use an appropriate professional channel, limit information to what is needed, and comply with applicable authorization and confidentiality rules.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No Name Does Not Mean No Client</w:t>
            </w:r>
          </w:p>
          <w:p>
            <w:pPr>
              <w:spacing w:after="0" w:line="254" w:lineRule="auto"/>
            </w:pPr>
            <w:r>
              <w:rPr>
                <w:rFonts w:ascii="Lato" w:hAnsi="Lato" w:eastAsia="Lato"/>
                <w:b w:val="0"/>
                <w:i w:val="0"/>
                <w:sz w:val="20"/>
              </w:rPr>
              <w:t>A composite, “anonymous,” or educational story may still disclose an actual client if the details permit recognition. Changing a few details does not automatically cure the problem.</w:t>
            </w:r>
          </w:p>
        </w:tc>
      </w:tr>
    </w:tbl>
    <w:p>
      <w:pPr>
        <w:pStyle w:val="CTAHeading2"/>
        <w:keepNext/>
      </w:pPr>
      <w:r>
        <w:rPr>
          <w:rFonts w:ascii="Lato" w:hAnsi="Lato" w:eastAsia="Lato"/>
          <w:b/>
          <w:i w:val="0"/>
          <w:color w:val="0B2447"/>
          <w:sz w:val="26"/>
        </w:rPr>
        <w:t>9. Online Reviews and Public Responses</w:t>
      </w:r>
    </w:p>
    <w:p>
      <w:pPr>
        <w:pStyle w:val="CTABody"/>
      </w:pPr>
      <w:r>
        <w:rPr>
          <w:rFonts w:ascii="Lato" w:hAnsi="Lato" w:eastAsia="Lato"/>
          <w:b w:val="0"/>
          <w:i w:val="0"/>
        </w:rPr>
        <w:t>A client may publicly disclose the client’s own treatment experience. That disclosure does not authorize the therapist to confirm that the person is a client, correct the clinical record publicly, reveal missed appointments, describe treatment, disclose payment information, or explain why the therapist acted as the therapist did.</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Tempting Response</w:t>
            </w:r>
          </w:p>
        </w:tc>
        <w:tc>
          <w:tcPr>
            <w:tcW w:type="dxa" w:w="4980"/>
            <w:shd w:fill="0B2447"/>
          </w:tcPr>
          <w:p>
            <w:pPr>
              <w:jc w:val="center"/>
            </w:pPr>
            <w:r>
              <w:rPr>
                <w:rFonts w:ascii="Lato" w:hAnsi="Lato" w:eastAsia="Lato"/>
                <w:b/>
                <w:i w:val="0"/>
                <w:color w:val="FFFFFF"/>
                <w:sz w:val="18"/>
              </w:rPr>
              <w:t>Why It Is Risky</w:t>
            </w:r>
          </w:p>
        </w:tc>
      </w:tr>
      <w:tr>
        <w:trPr>
          <w:cantSplit w:val="1"/>
        </w:trPr>
        <w:tc>
          <w:tcPr>
            <w:tcW w:type="dxa" w:w="4980"/>
            <w:shd w:fill="EEF3F8"/>
            <w:vAlign w:val="top"/>
          </w:tcPr>
          <w:p>
            <w:pPr>
              <w:spacing w:after="0" w:line="245" w:lineRule="auto"/>
            </w:pPr>
            <w:r>
              <w:rPr>
                <w:rFonts w:ascii="Lato" w:hAnsi="Lato" w:eastAsia="Lato"/>
                <w:b/>
                <w:i w:val="0"/>
                <w:color w:val="0B2447"/>
                <w:sz w:val="17"/>
              </w:rPr>
              <w:t>“Thank you for trusting me as your therapist.”</w:t>
            </w:r>
          </w:p>
        </w:tc>
        <w:tc>
          <w:tcPr>
            <w:tcW w:type="dxa" w:w="4980"/>
            <w:vAlign w:val="top"/>
          </w:tcPr>
          <w:p>
            <w:pPr>
              <w:spacing w:after="0" w:line="245" w:lineRule="auto"/>
            </w:pPr>
            <w:r>
              <w:rPr>
                <w:rFonts w:ascii="Lato" w:hAnsi="Lato" w:eastAsia="Lato"/>
                <w:b w:val="0"/>
                <w:i w:val="0"/>
                <w:color w:val="111827"/>
                <w:sz w:val="17"/>
              </w:rPr>
              <w:t>Confirms the treatment relationship.</w:t>
            </w:r>
          </w:p>
        </w:tc>
      </w:tr>
      <w:tr>
        <w:trPr>
          <w:cantSplit w:val="1"/>
        </w:trPr>
        <w:tc>
          <w:tcPr>
            <w:tcW w:type="dxa" w:w="4980"/>
            <w:shd w:fill="EEF3F8"/>
            <w:vAlign w:val="top"/>
          </w:tcPr>
          <w:p>
            <w:pPr>
              <w:spacing w:after="0" w:line="245" w:lineRule="auto"/>
            </w:pPr>
            <w:r>
              <w:rPr>
                <w:rFonts w:ascii="Lato" w:hAnsi="Lato" w:eastAsia="Lato"/>
                <w:b/>
                <w:i w:val="0"/>
                <w:color w:val="0B2447"/>
                <w:sz w:val="17"/>
              </w:rPr>
              <w:t>“You attended only two sessions and refused my recommendations.”</w:t>
            </w:r>
          </w:p>
        </w:tc>
        <w:tc>
          <w:tcPr>
            <w:tcW w:type="dxa" w:w="4980"/>
            <w:vAlign w:val="top"/>
          </w:tcPr>
          <w:p>
            <w:pPr>
              <w:spacing w:after="0" w:line="245" w:lineRule="auto"/>
            </w:pPr>
            <w:r>
              <w:rPr>
                <w:rFonts w:ascii="Lato" w:hAnsi="Lato" w:eastAsia="Lato"/>
                <w:b w:val="0"/>
                <w:i w:val="0"/>
                <w:color w:val="111827"/>
                <w:sz w:val="17"/>
              </w:rPr>
              <w:t>Discloses treatment information and publicly disputes the client’s account.</w:t>
            </w:r>
          </w:p>
        </w:tc>
      </w:tr>
      <w:tr>
        <w:trPr>
          <w:cantSplit w:val="1"/>
        </w:trPr>
        <w:tc>
          <w:tcPr>
            <w:tcW w:type="dxa" w:w="4980"/>
            <w:shd w:fill="EEF3F8"/>
            <w:vAlign w:val="top"/>
          </w:tcPr>
          <w:p>
            <w:pPr>
              <w:spacing w:after="0" w:line="245" w:lineRule="auto"/>
            </w:pPr>
            <w:r>
              <w:rPr>
                <w:rFonts w:ascii="Lato" w:hAnsi="Lato" w:eastAsia="Lato"/>
                <w:b/>
                <w:i w:val="0"/>
                <w:color w:val="0B2447"/>
                <w:sz w:val="17"/>
              </w:rPr>
              <w:t>“I cannot respond because of confidentiality.”</w:t>
            </w:r>
          </w:p>
        </w:tc>
        <w:tc>
          <w:tcPr>
            <w:tcW w:type="dxa" w:w="4980"/>
            <w:vAlign w:val="top"/>
          </w:tcPr>
          <w:p>
            <w:pPr>
              <w:spacing w:after="0" w:line="245" w:lineRule="auto"/>
            </w:pPr>
            <w:r>
              <w:rPr>
                <w:rFonts w:ascii="Lato" w:hAnsi="Lato" w:eastAsia="Lato"/>
                <w:b w:val="0"/>
                <w:i w:val="0"/>
                <w:color w:val="111827"/>
                <w:sz w:val="17"/>
              </w:rPr>
              <w:t>May still imply that the reviewer is a client when directed to a specific review.</w:t>
            </w:r>
          </w:p>
        </w:tc>
      </w:tr>
      <w:tr>
        <w:trPr>
          <w:cantSplit w:val="1"/>
        </w:trPr>
        <w:tc>
          <w:tcPr>
            <w:tcW w:type="dxa" w:w="4980"/>
            <w:shd w:fill="EEF3F8"/>
            <w:vAlign w:val="top"/>
          </w:tcPr>
          <w:p>
            <w:pPr>
              <w:spacing w:after="0" w:line="245" w:lineRule="auto"/>
            </w:pPr>
            <w:r>
              <w:rPr>
                <w:rFonts w:ascii="Lato" w:hAnsi="Lato" w:eastAsia="Lato"/>
                <w:b/>
                <w:i w:val="0"/>
                <w:color w:val="0B2447"/>
                <w:sz w:val="17"/>
              </w:rPr>
              <w:t>Posting screenshots of messages or policies</w:t>
            </w:r>
          </w:p>
        </w:tc>
        <w:tc>
          <w:tcPr>
            <w:tcW w:type="dxa" w:w="4980"/>
            <w:vAlign w:val="top"/>
          </w:tcPr>
          <w:p>
            <w:pPr>
              <w:spacing w:after="0" w:line="245" w:lineRule="auto"/>
            </w:pPr>
            <w:r>
              <w:rPr>
                <w:rFonts w:ascii="Lato" w:hAnsi="Lato" w:eastAsia="Lato"/>
                <w:b w:val="0"/>
                <w:i w:val="0"/>
                <w:color w:val="111827"/>
                <w:sz w:val="17"/>
              </w:rPr>
              <w:t>May disclose protected information and escalate the conflict.</w:t>
            </w:r>
          </w:p>
        </w:tc>
      </w:tr>
      <w:tr>
        <w:trPr>
          <w:cantSplit w:val="1"/>
        </w:trPr>
        <w:tc>
          <w:tcPr>
            <w:tcW w:type="dxa" w:w="4980"/>
            <w:shd w:fill="EEF3F8"/>
            <w:vAlign w:val="top"/>
          </w:tcPr>
          <w:p>
            <w:pPr>
              <w:spacing w:after="0" w:line="245" w:lineRule="auto"/>
            </w:pPr>
            <w:r>
              <w:rPr>
                <w:rFonts w:ascii="Lato" w:hAnsi="Lato" w:eastAsia="Lato"/>
                <w:b/>
                <w:i w:val="0"/>
                <w:color w:val="0B2447"/>
                <w:sz w:val="17"/>
              </w:rPr>
              <w:t>A general, nonconfirming practice statement</w:t>
            </w:r>
          </w:p>
        </w:tc>
        <w:tc>
          <w:tcPr>
            <w:tcW w:type="dxa" w:w="4980"/>
            <w:vAlign w:val="top"/>
          </w:tcPr>
          <w:p>
            <w:pPr>
              <w:spacing w:after="0" w:line="245" w:lineRule="auto"/>
            </w:pPr>
            <w:r>
              <w:rPr>
                <w:rFonts w:ascii="Lato" w:hAnsi="Lato" w:eastAsia="Lato"/>
                <w:b w:val="0"/>
                <w:i w:val="0"/>
                <w:color w:val="111827"/>
                <w:sz w:val="17"/>
              </w:rPr>
              <w:t>May be appropriate when it does not acknowledge the person as a client, reveal information, or invite a public clinical discussion.</w:t>
            </w:r>
          </w:p>
        </w:tc>
      </w:tr>
    </w:tbl>
    <w:p>
      <w:pPr>
        <w:pStyle w:val="CTABody"/>
      </w:pPr>
      <w:r>
        <w:rPr>
          <w:rFonts w:ascii="Lato" w:hAnsi="Lato" w:eastAsia="Lato"/>
          <w:b w:val="0"/>
          <w:i w:val="0"/>
        </w:rPr>
        <w:t>For providers subject to HIPAA, the HHS Office for Civil Rights has brought enforcement actions when providers disclosed protected health information in responses to negative online reviews. California confidentiality obligations remain relevant even when HIPAA does not directly apply.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Best Practice</w:t>
            </w:r>
          </w:p>
          <w:p>
            <w:pPr>
              <w:spacing w:after="0" w:line="254" w:lineRule="auto"/>
            </w:pPr>
            <w:r>
              <w:rPr>
                <w:rFonts w:ascii="Lato" w:hAnsi="Lato" w:eastAsia="Lato"/>
                <w:b w:val="0"/>
                <w:i w:val="0"/>
                <w:sz w:val="20"/>
              </w:rPr>
              <w:t>Do not litigate treatment in public. Use internal review, risk management, consultation, and lawful private processes rather than a defensive online response.</w:t>
            </w:r>
          </w:p>
        </w:tc>
      </w:tr>
    </w:tbl>
    <w:p>
      <w:pPr>
        <w:pStyle w:val="CTAHeading2"/>
        <w:keepNext/>
      </w:pPr>
      <w:r>
        <w:rPr>
          <w:rFonts w:ascii="Lato" w:hAnsi="Lato" w:eastAsia="Lato"/>
          <w:b/>
          <w:i w:val="0"/>
          <w:color w:val="0B2447"/>
          <w:sz w:val="26"/>
        </w:rPr>
        <w:t>10. Reviews, Testimonials, and Client Solicitation</w:t>
      </w:r>
    </w:p>
    <w:p>
      <w:pPr>
        <w:pStyle w:val="CTABody"/>
      </w:pPr>
      <w:r>
        <w:rPr>
          <w:rFonts w:ascii="Lato" w:hAnsi="Lato" w:eastAsia="Lato"/>
          <w:b w:val="0"/>
          <w:i w:val="0"/>
        </w:rPr>
        <w:t>The BBS advertising rules do not create a simple universal statement that every review or testimonial is prohibited. The therapist should distinguish an unsolicited client review from therapist solicitation or use of a testimonial in advertising.</w:t>
      </w:r>
    </w:p>
    <w:p>
      <w:pPr>
        <w:pStyle w:val="CTABody"/>
      </w:pPr>
      <w:r>
        <w:rPr>
          <w:rFonts w:ascii="Lato" w:hAnsi="Lato" w:eastAsia="Lato"/>
          <w:b w:val="0"/>
          <w:i w:val="0"/>
        </w:rPr>
        <w:t>Soliciting or publishing a testimonial may create concerns involving:</w:t>
      </w:r>
    </w:p>
    <w:p>
      <w:pPr>
        <w:pStyle w:val="CTABody"/>
        <w:spacing w:after="60"/>
        <w:ind w:left="403" w:hanging="259"/>
      </w:pPr>
      <w:r>
        <w:rPr>
          <w:rFonts w:ascii="Lato" w:hAnsi="Lato" w:eastAsia="Lato"/>
          <w:b/>
          <w:i w:val="0"/>
          <w:color w:val="0AA6A6"/>
        </w:rPr>
        <w:t xml:space="preserve">• </w:t>
      </w:r>
      <w:r>
        <w:rPr>
          <w:rFonts w:ascii="Lato" w:hAnsi="Lato" w:eastAsia="Lato"/>
          <w:b w:val="0"/>
          <w:i w:val="0"/>
        </w:rPr>
        <w:t>Undue influence, pressure, or the client’s desire to please the therapist.</w:t>
      </w:r>
    </w:p>
    <w:p>
      <w:pPr>
        <w:pStyle w:val="CTABody"/>
        <w:spacing w:after="60"/>
        <w:ind w:left="403" w:hanging="259"/>
      </w:pPr>
      <w:r>
        <w:rPr>
          <w:rFonts w:ascii="Lato" w:hAnsi="Lato" w:eastAsia="Lato"/>
          <w:b/>
          <w:i w:val="0"/>
          <w:color w:val="0AA6A6"/>
        </w:rPr>
        <w:t xml:space="preserve">• </w:t>
      </w:r>
      <w:r>
        <w:rPr>
          <w:rFonts w:ascii="Lato" w:hAnsi="Lato" w:eastAsia="Lato"/>
          <w:b w:val="0"/>
          <w:i w:val="0"/>
        </w:rPr>
        <w:t>Confidentiality and public identification of the treatment relationship.</w:t>
      </w:r>
    </w:p>
    <w:p>
      <w:pPr>
        <w:pStyle w:val="CTABody"/>
        <w:spacing w:after="60"/>
        <w:ind w:left="403" w:hanging="259"/>
      </w:pPr>
      <w:r>
        <w:rPr>
          <w:rFonts w:ascii="Lato" w:hAnsi="Lato" w:eastAsia="Lato"/>
          <w:b/>
          <w:i w:val="0"/>
          <w:color w:val="0AA6A6"/>
        </w:rPr>
        <w:t xml:space="preserve">• </w:t>
      </w:r>
      <w:r>
        <w:rPr>
          <w:rFonts w:ascii="Lato" w:hAnsi="Lato" w:eastAsia="Lato"/>
          <w:b w:val="0"/>
          <w:i w:val="0"/>
        </w:rPr>
        <w:t>Misleading claims or unjustified expectations about likely outcomes.</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of a current client’s vulnerability for the therapist’s marketing benefit.</w:t>
      </w:r>
    </w:p>
    <w:p>
      <w:pPr>
        <w:pStyle w:val="CTABody"/>
        <w:spacing w:after="60"/>
        <w:ind w:left="403" w:hanging="259"/>
      </w:pPr>
      <w:r>
        <w:rPr>
          <w:rFonts w:ascii="Lato" w:hAnsi="Lato" w:eastAsia="Lato"/>
          <w:b/>
          <w:i w:val="0"/>
          <w:color w:val="0AA6A6"/>
        </w:rPr>
        <w:t xml:space="preserve">• </w:t>
      </w:r>
      <w:r>
        <w:rPr>
          <w:rFonts w:ascii="Lato" w:hAnsi="Lato" w:eastAsia="Lato"/>
          <w:b w:val="0"/>
          <w:i w:val="0"/>
        </w:rPr>
        <w:t>Platform rules, employer policy, and profession-specific ethical-code requirements.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Do not assume that a client’s voluntary public praise authorizes the therapist to confirm the relationship or use the client’s treatment information in marketing.</w:t>
            </w:r>
          </w:p>
        </w:tc>
      </w:tr>
    </w:tbl>
    <w:p>
      <w:pPr>
        <w:pStyle w:val="CTAHeading2"/>
        <w:keepNext/>
      </w:pPr>
      <w:r>
        <w:rPr>
          <w:rFonts w:ascii="Lato" w:hAnsi="Lato" w:eastAsia="Lato"/>
          <w:b/>
          <w:i w:val="0"/>
          <w:color w:val="0B2447"/>
          <w:sz w:val="26"/>
        </w:rPr>
        <w:t>11. Direct Messages and Personal Accounts</w:t>
      </w:r>
    </w:p>
    <w:p>
      <w:pPr>
        <w:pStyle w:val="CTABody"/>
      </w:pPr>
      <w:r>
        <w:rPr>
          <w:rFonts w:ascii="Lato" w:hAnsi="Lato" w:eastAsia="Lato"/>
          <w:b w:val="0"/>
          <w:i w:val="0"/>
        </w:rPr>
        <w:t>A client may send clinical or urgent information through a social-media direct message even when the therapist has asked clients not to use that channel. Once the therapist actually sees the message, the therapist should respond according to its urgency and clinical significance rather than relying solely on the policy.</w:t>
      </w:r>
    </w:p>
    <w:p>
      <w:pPr>
        <w:pStyle w:val="CTABody"/>
      </w:pPr>
      <w:r>
        <w:rPr>
          <w:rFonts w:ascii="Lato" w:hAnsi="Lato" w:eastAsia="Lato"/>
          <w:b w:val="0"/>
          <w:i w:val="0"/>
        </w:rPr>
        <w:t>The therapist should then:</w:t>
      </w:r>
    </w:p>
    <w:p>
      <w:pPr>
        <w:pStyle w:val="CTABody"/>
        <w:spacing w:after="60"/>
        <w:ind w:left="403" w:hanging="259"/>
      </w:pPr>
      <w:r>
        <w:rPr>
          <w:rFonts w:ascii="Lato" w:hAnsi="Lato" w:eastAsia="Lato"/>
          <w:b/>
          <w:i w:val="0"/>
          <w:color w:val="0AA6A6"/>
        </w:rPr>
        <w:t xml:space="preserve">• </w:t>
      </w:r>
      <w:r>
        <w:rPr>
          <w:rFonts w:ascii="Lato" w:hAnsi="Lato" w:eastAsia="Lato"/>
          <w:b w:val="0"/>
          <w:i w:val="0"/>
        </w:rPr>
        <w:t>Address immediate safety or clinical needs.</w:t>
      </w:r>
    </w:p>
    <w:p>
      <w:pPr>
        <w:pStyle w:val="CTABody"/>
        <w:spacing w:after="60"/>
        <w:ind w:left="403" w:hanging="259"/>
      </w:pPr>
      <w:r>
        <w:rPr>
          <w:rFonts w:ascii="Lato" w:hAnsi="Lato" w:eastAsia="Lato"/>
          <w:b/>
          <w:i w:val="0"/>
          <w:color w:val="0AA6A6"/>
        </w:rPr>
        <w:t xml:space="preserve">• </w:t>
      </w:r>
      <w:r>
        <w:rPr>
          <w:rFonts w:ascii="Lato" w:hAnsi="Lato" w:eastAsia="Lato"/>
          <w:b w:val="0"/>
          <w:i w:val="0"/>
        </w:rPr>
        <w:t>Avoid conducting extended treatment through an inappropriate personal channel when a safer or more suitable method is available.</w:t>
      </w:r>
    </w:p>
    <w:p>
      <w:pPr>
        <w:pStyle w:val="CTABody"/>
        <w:spacing w:after="60"/>
        <w:ind w:left="403" w:hanging="259"/>
      </w:pPr>
      <w:r>
        <w:rPr>
          <w:rFonts w:ascii="Lato" w:hAnsi="Lato" w:eastAsia="Lato"/>
          <w:b/>
          <w:i w:val="0"/>
          <w:color w:val="0AA6A6"/>
        </w:rPr>
        <w:t xml:space="preserve">• </w:t>
      </w:r>
      <w:r>
        <w:rPr>
          <w:rFonts w:ascii="Lato" w:hAnsi="Lato" w:eastAsia="Lato"/>
          <w:b w:val="0"/>
          <w:i w:val="0"/>
        </w:rPr>
        <w:t>Redirect future communication to the approved channel and revisit expectations.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Preserve or incorporate clinically significant content and the response into the health-service record.</w:t>
      </w:r>
    </w:p>
    <w:p>
      <w:pPr>
        <w:pStyle w:val="CTABody"/>
        <w:spacing w:after="60"/>
        <w:ind w:left="403" w:hanging="259"/>
      </w:pPr>
      <w:r>
        <w:rPr>
          <w:rFonts w:ascii="Lato" w:hAnsi="Lato" w:eastAsia="Lato"/>
          <w:b/>
          <w:i w:val="0"/>
          <w:color w:val="0AA6A6"/>
        </w:rPr>
        <w:t xml:space="preserve">• </w:t>
      </w:r>
      <w:r>
        <w:rPr>
          <w:rFonts w:ascii="Lato" w:hAnsi="Lato" w:eastAsia="Lato"/>
          <w:b w:val="0"/>
          <w:i w:val="0"/>
        </w:rPr>
        <w:t>Consider whether blocking, muting, or changing privacy settings is appropriate after the immediate issue is managed.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Boundary Principle</w:t>
            </w:r>
          </w:p>
          <w:p>
            <w:pPr>
              <w:spacing w:after="0" w:line="254" w:lineRule="auto"/>
            </w:pPr>
            <w:r>
              <w:rPr>
                <w:rFonts w:ascii="Lato" w:hAnsi="Lato" w:eastAsia="Lato"/>
                <w:b w:val="0"/>
                <w:i w:val="0"/>
                <w:sz w:val="20"/>
              </w:rPr>
              <w:t>A policy helps prevent problems. It does not erase responsibility for information the therapist actually receives.</w:t>
            </w:r>
          </w:p>
        </w:tc>
      </w:tr>
    </w:tbl>
    <w:p>
      <w:pPr>
        <w:pStyle w:val="CTAHeading2"/>
        <w:keepNext/>
      </w:pPr>
      <w:r>
        <w:rPr>
          <w:rFonts w:ascii="Lato" w:hAnsi="Lato" w:eastAsia="Lato"/>
          <w:b/>
          <w:i w:val="0"/>
          <w:color w:val="0B2447"/>
          <w:sz w:val="26"/>
        </w:rPr>
        <w:t>12. Documentation and Consultation</w:t>
      </w:r>
    </w:p>
    <w:p>
      <w:pPr>
        <w:pStyle w:val="CTABody"/>
      </w:pPr>
      <w:r>
        <w:rPr>
          <w:rFonts w:ascii="Lato" w:hAnsi="Lato" w:eastAsia="Lato"/>
          <w:b w:val="0"/>
          <w:i w:val="0"/>
        </w:rPr>
        <w:t>Not every online interaction requires a clinical note. Documentation becomes important when the interaction affects treatment, safety, confidentiality, boundaries, informed consent, or a professional decision.</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Consider Documenting</w:t>
            </w:r>
          </w:p>
        </w:tc>
        <w:tc>
          <w:tcPr>
            <w:tcW w:type="dxa" w:w="4980"/>
            <w:shd w:fill="0B2447"/>
          </w:tcPr>
          <w:p>
            <w:pPr>
              <w:jc w:val="center"/>
            </w:pPr>
            <w:r>
              <w:rPr>
                <w:rFonts w:ascii="Lato" w:hAnsi="Lato" w:eastAsia="Lato"/>
                <w:b/>
                <w:i w:val="0"/>
                <w:color w:val="FFFFFF"/>
                <w:sz w:val="18"/>
              </w:rPr>
              <w:t>Why</w:t>
            </w:r>
          </w:p>
        </w:tc>
      </w:tr>
      <w:tr>
        <w:trPr>
          <w:cantSplit w:val="1"/>
        </w:trPr>
        <w:tc>
          <w:tcPr>
            <w:tcW w:type="dxa" w:w="4980"/>
            <w:shd w:fill="EEF3F8"/>
            <w:vAlign w:val="top"/>
          </w:tcPr>
          <w:p>
            <w:pPr>
              <w:spacing w:after="0" w:line="245" w:lineRule="auto"/>
            </w:pPr>
            <w:r>
              <w:rPr>
                <w:rFonts w:ascii="Lato" w:hAnsi="Lato" w:eastAsia="Lato"/>
                <w:b/>
                <w:i w:val="0"/>
                <w:color w:val="0B2447"/>
                <w:sz w:val="17"/>
              </w:rPr>
              <w:t>A client friend or follow request that leads to a clinically significant boundary discussion</w:t>
            </w:r>
          </w:p>
        </w:tc>
        <w:tc>
          <w:tcPr>
            <w:tcW w:type="dxa" w:w="4980"/>
            <w:vAlign w:val="top"/>
          </w:tcPr>
          <w:p>
            <w:pPr>
              <w:spacing w:after="0" w:line="245" w:lineRule="auto"/>
            </w:pPr>
            <w:r>
              <w:rPr>
                <w:rFonts w:ascii="Lato" w:hAnsi="Lato" w:eastAsia="Lato"/>
                <w:b w:val="0"/>
                <w:i w:val="0"/>
                <w:color w:val="111827"/>
                <w:sz w:val="17"/>
              </w:rPr>
              <w:t>Shows the issue, analysis, policy, client response, and treatment impact.</w:t>
            </w:r>
          </w:p>
        </w:tc>
      </w:tr>
      <w:tr>
        <w:trPr>
          <w:cantSplit w:val="1"/>
        </w:trPr>
        <w:tc>
          <w:tcPr>
            <w:tcW w:type="dxa" w:w="4980"/>
            <w:shd w:fill="EEF3F8"/>
            <w:vAlign w:val="top"/>
          </w:tcPr>
          <w:p>
            <w:pPr>
              <w:spacing w:after="0" w:line="245" w:lineRule="auto"/>
            </w:pPr>
            <w:r>
              <w:rPr>
                <w:rFonts w:ascii="Lato" w:hAnsi="Lato" w:eastAsia="Lato"/>
                <w:b/>
                <w:i w:val="0"/>
                <w:color w:val="0B2447"/>
                <w:sz w:val="17"/>
              </w:rPr>
              <w:t>A direct message containing symptoms, risk, abuse, or treatment information</w:t>
            </w:r>
          </w:p>
        </w:tc>
        <w:tc>
          <w:tcPr>
            <w:tcW w:type="dxa" w:w="4980"/>
            <w:vAlign w:val="top"/>
          </w:tcPr>
          <w:p>
            <w:pPr>
              <w:spacing w:after="0" w:line="245" w:lineRule="auto"/>
            </w:pPr>
            <w:r>
              <w:rPr>
                <w:rFonts w:ascii="Lato" w:hAnsi="Lato" w:eastAsia="Lato"/>
                <w:b w:val="0"/>
                <w:i w:val="0"/>
                <w:color w:val="111827"/>
                <w:sz w:val="17"/>
              </w:rPr>
              <w:t>Preserves clinically relevant information and the therapist’s response.</w:t>
            </w:r>
          </w:p>
        </w:tc>
      </w:tr>
      <w:tr>
        <w:trPr>
          <w:cantSplit w:val="1"/>
        </w:trPr>
        <w:tc>
          <w:tcPr>
            <w:tcW w:type="dxa" w:w="4980"/>
            <w:shd w:fill="EEF3F8"/>
            <w:vAlign w:val="top"/>
          </w:tcPr>
          <w:p>
            <w:pPr>
              <w:spacing w:after="0" w:line="245" w:lineRule="auto"/>
            </w:pPr>
            <w:r>
              <w:rPr>
                <w:rFonts w:ascii="Lato" w:hAnsi="Lato" w:eastAsia="Lato"/>
                <w:b/>
                <w:i w:val="0"/>
                <w:color w:val="0B2447"/>
                <w:sz w:val="17"/>
              </w:rPr>
              <w:t>An online search or discovered post used in assessment or treatment</w:t>
            </w:r>
          </w:p>
        </w:tc>
        <w:tc>
          <w:tcPr>
            <w:tcW w:type="dxa" w:w="4980"/>
            <w:vAlign w:val="top"/>
          </w:tcPr>
          <w:p>
            <w:pPr>
              <w:spacing w:after="0" w:line="245" w:lineRule="auto"/>
            </w:pPr>
            <w:r>
              <w:rPr>
                <w:rFonts w:ascii="Lato" w:hAnsi="Lato" w:eastAsia="Lato"/>
                <w:b w:val="0"/>
                <w:i w:val="0"/>
                <w:color w:val="111827"/>
                <w:sz w:val="17"/>
              </w:rPr>
              <w:t>Identifies the source, purpose, limits, verification, and clinical use.</w:t>
            </w:r>
          </w:p>
        </w:tc>
      </w:tr>
      <w:tr>
        <w:trPr>
          <w:cantSplit w:val="1"/>
        </w:trPr>
        <w:tc>
          <w:tcPr>
            <w:tcW w:type="dxa" w:w="4980"/>
            <w:shd w:fill="EEF3F8"/>
            <w:vAlign w:val="top"/>
          </w:tcPr>
          <w:p>
            <w:pPr>
              <w:spacing w:after="0" w:line="245" w:lineRule="auto"/>
            </w:pPr>
            <w:r>
              <w:rPr>
                <w:rFonts w:ascii="Lato" w:hAnsi="Lato" w:eastAsia="Lato"/>
                <w:b/>
                <w:i w:val="0"/>
                <w:color w:val="0B2447"/>
                <w:sz w:val="17"/>
              </w:rPr>
              <w:t>A public interaction or accidental disclosure concern</w:t>
            </w:r>
          </w:p>
        </w:tc>
        <w:tc>
          <w:tcPr>
            <w:tcW w:type="dxa" w:w="4980"/>
            <w:vAlign w:val="top"/>
          </w:tcPr>
          <w:p>
            <w:pPr>
              <w:spacing w:after="0" w:line="245" w:lineRule="auto"/>
            </w:pPr>
            <w:r>
              <w:rPr>
                <w:rFonts w:ascii="Lato" w:hAnsi="Lato" w:eastAsia="Lato"/>
                <w:b w:val="0"/>
                <w:i w:val="0"/>
                <w:color w:val="111827"/>
                <w:sz w:val="17"/>
              </w:rPr>
              <w:t>Supports assessment, corrective action, consultation, and risk management.</w:t>
            </w:r>
          </w:p>
        </w:tc>
      </w:tr>
      <w:tr>
        <w:trPr>
          <w:cantSplit w:val="1"/>
        </w:trPr>
        <w:tc>
          <w:tcPr>
            <w:tcW w:type="dxa" w:w="4980"/>
            <w:shd w:fill="EEF3F8"/>
            <w:vAlign w:val="top"/>
          </w:tcPr>
          <w:p>
            <w:pPr>
              <w:spacing w:after="0" w:line="245" w:lineRule="auto"/>
            </w:pPr>
            <w:r>
              <w:rPr>
                <w:rFonts w:ascii="Lato" w:hAnsi="Lato" w:eastAsia="Lato"/>
                <w:b/>
                <w:i w:val="0"/>
                <w:color w:val="0B2447"/>
                <w:sz w:val="17"/>
              </w:rPr>
              <w:t>A review-response problem, impersonation, or misleading account</w:t>
            </w:r>
          </w:p>
        </w:tc>
        <w:tc>
          <w:tcPr>
            <w:tcW w:type="dxa" w:w="4980"/>
            <w:vAlign w:val="top"/>
          </w:tcPr>
          <w:p>
            <w:pPr>
              <w:spacing w:after="0" w:line="245" w:lineRule="auto"/>
            </w:pPr>
            <w:r>
              <w:rPr>
                <w:rFonts w:ascii="Lato" w:hAnsi="Lato" w:eastAsia="Lato"/>
                <w:b w:val="0"/>
                <w:i w:val="0"/>
                <w:color w:val="111827"/>
                <w:sz w:val="17"/>
              </w:rPr>
              <w:t>Documents the issue and steps taken without publicly disclosing client information.</w:t>
            </w:r>
          </w:p>
        </w:tc>
      </w:tr>
    </w:tbl>
    <w:p>
      <w:pPr>
        <w:pStyle w:val="CTABody"/>
      </w:pPr>
      <w:r>
        <w:rPr>
          <w:rFonts w:ascii="Lato" w:hAnsi="Lato" w:eastAsia="Lato"/>
          <w:b w:val="0"/>
          <w:i w:val="0"/>
        </w:rPr>
        <w:t>Consultation is especially useful when confidentiality, advertising, safety, multiple relationships, legal authority, employer policy, and treatment considerations overlap. Consultation should occur through an appropriate confidential channel and should itself limit client information to what is reasonably necessary.</w:t>
      </w:r>
    </w:p>
    <w:p>
      <w:pPr>
        <w:pStyle w:val="CTAHeading2"/>
        <w:keepNext/>
      </w:pPr>
      <w:r>
        <w:rPr>
          <w:rFonts w:ascii="Lato" w:hAnsi="Lato" w:eastAsia="Lato"/>
          <w:b/>
          <w:i w:val="0"/>
          <w:color w:val="0B2447"/>
          <w:sz w:val="26"/>
        </w:rPr>
        <w:t>13. Clinical Application</w:t>
      </w:r>
    </w:p>
    <w:p>
      <w:pPr>
        <w:pStyle w:val="CTAHeading3"/>
        <w:keepNext/>
      </w:pPr>
      <w:r>
        <w:rPr>
          <w:rFonts w:ascii="Lato" w:hAnsi="Lato" w:eastAsia="Lato"/>
          <w:b/>
          <w:i w:val="0"/>
          <w:color w:val="384250"/>
          <w:sz w:val="23"/>
        </w:rPr>
        <w:t>Scenario: The Negative Review</w:t>
      </w:r>
    </w:p>
    <w:p>
      <w:pPr>
        <w:pStyle w:val="CTABody"/>
      </w:pPr>
      <w:r>
        <w:rPr>
          <w:rFonts w:ascii="Lato" w:hAnsi="Lato" w:eastAsia="Lato"/>
          <w:b w:val="0"/>
          <w:i w:val="0"/>
        </w:rPr>
        <w:t>A client posts a one-star review stating that the therapist “abandoned” the client. The therapist has documentation showing repeated missed appointments, outreach attempts, and referrals. The therapist drafts a public response listing those facts.</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therapist should not publish the treatment record to defend the practice. The client’s public statement does not authorize the therapist to confirm the relationship or disclose attendance, outreach, referrals, diagnosis, or other treatment information. The therapist should preserve the review, examine whether any internal clinical or risk issue requires action, consult as needed, and use a nonconfirming general response or no public response.</w:t>
      </w:r>
    </w:p>
    <w:p>
      <w:pPr>
        <w:pStyle w:val="CTAHeading3"/>
        <w:keepNext/>
      </w:pPr>
      <w:r>
        <w:rPr>
          <w:rFonts w:ascii="Lato" w:hAnsi="Lato" w:eastAsia="Lato"/>
          <w:b/>
          <w:i w:val="0"/>
          <w:color w:val="384250"/>
          <w:sz w:val="23"/>
        </w:rPr>
        <w:t>What Is Being Tested?</w:t>
      </w:r>
    </w:p>
    <w:p>
      <w:pPr>
        <w:pStyle w:val="CTABody"/>
        <w:spacing w:after="60"/>
        <w:ind w:left="403" w:hanging="259"/>
      </w:pPr>
      <w:r>
        <w:rPr>
          <w:rFonts w:ascii="Lato" w:hAnsi="Lato" w:eastAsia="Lato"/>
          <w:b/>
          <w:i w:val="0"/>
          <w:color w:val="0AA6A6"/>
        </w:rPr>
        <w:t xml:space="preserve">• </w:t>
      </w:r>
      <w:r>
        <w:rPr>
          <w:rFonts w:ascii="Lato" w:hAnsi="Lato" w:eastAsia="Lato"/>
          <w:b w:val="0"/>
          <w:i w:val="0"/>
        </w:rPr>
        <w:t>Confidentiality after a client’s public disclosure</w:t>
      </w:r>
    </w:p>
    <w:p>
      <w:pPr>
        <w:pStyle w:val="CTABody"/>
        <w:spacing w:after="60"/>
        <w:ind w:left="403" w:hanging="259"/>
      </w:pPr>
      <w:r>
        <w:rPr>
          <w:rFonts w:ascii="Lato" w:hAnsi="Lato" w:eastAsia="Lato"/>
          <w:b/>
          <w:i w:val="0"/>
          <w:color w:val="0AA6A6"/>
        </w:rPr>
        <w:t xml:space="preserve">• </w:t>
      </w:r>
      <w:r>
        <w:rPr>
          <w:rFonts w:ascii="Lato" w:hAnsi="Lato" w:eastAsia="Lato"/>
          <w:b w:val="0"/>
          <w:i w:val="0"/>
        </w:rPr>
        <w:t>Online reviews and defensive responding</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Distinguishing internal risk management from public debate</w:t>
      </w:r>
    </w:p>
    <w:p>
      <w:pPr>
        <w:pStyle w:val="CTABody"/>
        <w:spacing w:after="60"/>
        <w:ind w:left="403" w:hanging="259"/>
      </w:pPr>
      <w:r>
        <w:rPr>
          <w:rFonts w:ascii="Lato" w:hAnsi="Lato" w:eastAsia="Lato"/>
          <w:b/>
          <w:i w:val="0"/>
          <w:color w:val="0AA6A6"/>
        </w:rPr>
        <w:t xml:space="preserve">• </w:t>
      </w:r>
      <w:r>
        <w:rPr>
          <w:rFonts w:ascii="Lato" w:hAnsi="Lato" w:eastAsia="Lato"/>
          <w:b w:val="0"/>
          <w:i w:val="0"/>
        </w:rPr>
        <w:t>Client welfare and professional judgment</w:t>
      </w:r>
    </w:p>
    <w:p>
      <w:pPr>
        <w:pStyle w:val="CTAHeading2"/>
        <w:keepNext/>
      </w:pPr>
      <w:r>
        <w:rPr>
          <w:rFonts w:ascii="Lato" w:hAnsi="Lato" w:eastAsia="Lato"/>
          <w:b/>
          <w:i w:val="0"/>
          <w:color w:val="0B2447"/>
          <w:sz w:val="26"/>
        </w:rPr>
        <w:t>14. Common Exam Traps</w:t>
      </w:r>
    </w:p>
    <w:p>
      <w:pPr>
        <w:pStyle w:val="CTABody"/>
      </w:pPr>
      <w:r>
        <w:rPr>
          <w:rFonts w:ascii="Lato" w:hAnsi="Lato" w:eastAsia="Lato"/>
          <w:b/>
          <w:i w:val="0"/>
          <w:color w:val="9B1C1C"/>
        </w:rPr>
        <w:t xml:space="preserve">Trap 1: “The information is public, so I can use or repeat it.” </w:t>
      </w:r>
      <w:r>
        <w:rPr>
          <w:rFonts w:ascii="Lato" w:hAnsi="Lato" w:eastAsia="Lato"/>
          <w:b w:val="0"/>
          <w:i w:val="0"/>
        </w:rPr>
        <w:t>Public availability does not establish clinical necessity, accuracy, consent, or permission to disclose.</w:t>
      </w:r>
    </w:p>
    <w:p>
      <w:pPr>
        <w:pStyle w:val="CTABody"/>
      </w:pPr>
      <w:r>
        <w:rPr>
          <w:rFonts w:ascii="Lato" w:hAnsi="Lato" w:eastAsia="Lato"/>
          <w:b/>
          <w:i w:val="0"/>
          <w:color w:val="9B1C1C"/>
        </w:rPr>
        <w:t xml:space="preserve">Trap 2: “The client posted first, so confidentiality is waived.” </w:t>
      </w:r>
      <w:r>
        <w:rPr>
          <w:rFonts w:ascii="Lato" w:hAnsi="Lato" w:eastAsia="Lato"/>
          <w:b w:val="0"/>
          <w:i w:val="0"/>
        </w:rPr>
        <w:t>The client may disclose the client’s own experience; the therapist’s duty remains.</w:t>
      </w:r>
    </w:p>
    <w:p>
      <w:pPr>
        <w:pStyle w:val="CTABody"/>
      </w:pPr>
      <w:r>
        <w:rPr>
          <w:rFonts w:ascii="Lato" w:hAnsi="Lato" w:eastAsia="Lato"/>
          <w:b/>
          <w:i w:val="0"/>
          <w:color w:val="9B1C1C"/>
        </w:rPr>
        <w:t xml:space="preserve">Trap 3: “No name means no confidentiality problem.” </w:t>
      </w:r>
      <w:r>
        <w:rPr>
          <w:rFonts w:ascii="Lato" w:hAnsi="Lato" w:eastAsia="Lato"/>
          <w:b w:val="0"/>
          <w:i w:val="0"/>
        </w:rPr>
        <w:t>Combined facts can identify the client.</w:t>
      </w:r>
    </w:p>
    <w:p>
      <w:pPr>
        <w:pStyle w:val="CTABody"/>
      </w:pPr>
      <w:r>
        <w:rPr>
          <w:rFonts w:ascii="Lato" w:hAnsi="Lato" w:eastAsia="Lato"/>
          <w:b/>
          <w:i w:val="0"/>
          <w:color w:val="9B1C1C"/>
        </w:rPr>
        <w:t xml:space="preserve">Trap 4: “Every friend request must be automatically accepted or rejected.” </w:t>
      </w:r>
      <w:r>
        <w:rPr>
          <w:rFonts w:ascii="Lato" w:hAnsi="Lato" w:eastAsia="Lato"/>
          <w:b w:val="0"/>
          <w:i w:val="0"/>
        </w:rPr>
        <w:t>California law does not supply one automatic answer; analyze boundaries, confidentiality, policy, and treatment impact.</w:t>
      </w:r>
    </w:p>
    <w:p>
      <w:pPr>
        <w:pStyle w:val="CTABody"/>
      </w:pPr>
      <w:r>
        <w:rPr>
          <w:rFonts w:ascii="Lato" w:hAnsi="Lato" w:eastAsia="Lato"/>
          <w:b/>
          <w:i w:val="0"/>
          <w:color w:val="9B1C1C"/>
        </w:rPr>
        <w:t xml:space="preserve">Trap 5: “Separate personal and professional accounts eliminate risk.” </w:t>
      </w:r>
      <w:r>
        <w:rPr>
          <w:rFonts w:ascii="Lato" w:hAnsi="Lato" w:eastAsia="Lato"/>
          <w:b w:val="0"/>
          <w:i w:val="0"/>
        </w:rPr>
        <w:t>Accounts may still connect through algorithms, tags, screenshots, mutual contacts, or client searches.</w:t>
      </w:r>
    </w:p>
    <w:p>
      <w:pPr>
        <w:pStyle w:val="CTABody"/>
      </w:pPr>
      <w:r>
        <w:rPr>
          <w:rFonts w:ascii="Lato" w:hAnsi="Lato" w:eastAsia="Lato"/>
          <w:b/>
          <w:i w:val="0"/>
          <w:color w:val="9B1C1C"/>
        </w:rPr>
        <w:t xml:space="preserve">Trap 6: “A public post is reliable clinical evidence.” </w:t>
      </w:r>
      <w:r>
        <w:rPr>
          <w:rFonts w:ascii="Lato" w:hAnsi="Lato" w:eastAsia="Lato"/>
          <w:b w:val="0"/>
          <w:i w:val="0"/>
        </w:rPr>
        <w:t>Verify source, timing, authenticity, context, and current risk.</w:t>
      </w:r>
    </w:p>
    <w:p>
      <w:pPr>
        <w:pStyle w:val="CTABody"/>
      </w:pPr>
      <w:r>
        <w:rPr>
          <w:rFonts w:ascii="Lato" w:hAnsi="Lato" w:eastAsia="Lato"/>
          <w:b/>
          <w:i w:val="0"/>
          <w:color w:val="9B1C1C"/>
        </w:rPr>
        <w:t xml:space="preserve">Trap 7: “A disclaimer allows me to ignore direct messages.” </w:t>
      </w:r>
      <w:r>
        <w:rPr>
          <w:rFonts w:ascii="Lato" w:hAnsi="Lato" w:eastAsia="Lato"/>
          <w:b w:val="0"/>
          <w:i w:val="0"/>
        </w:rPr>
        <w:t>Once clinically significant or urgent information is actually received, respond appropriately.</w:t>
      </w:r>
    </w:p>
    <w:p>
      <w:pPr>
        <w:pStyle w:val="CTABody"/>
      </w:pPr>
      <w:r>
        <w:rPr>
          <w:rFonts w:ascii="Lato" w:hAnsi="Lato" w:eastAsia="Lato"/>
          <w:b/>
          <w:i w:val="0"/>
          <w:color w:val="9B1C1C"/>
        </w:rPr>
        <w:t xml:space="preserve">Trap 8: “Social media is only an ethics issue.” </w:t>
      </w:r>
      <w:r>
        <w:rPr>
          <w:rFonts w:ascii="Lato" w:hAnsi="Lato" w:eastAsia="Lato"/>
          <w:b w:val="0"/>
          <w:i w:val="0"/>
        </w:rPr>
        <w:t>Professional profiles and public electronic communications may trigger binding BBS advertising and confidentiality requirements.</w:t>
      </w:r>
    </w:p>
    <w:p>
      <w:pPr>
        <w:pStyle w:val="CTABody"/>
      </w:pPr>
      <w:r>
        <w:rPr>
          <w:rFonts w:ascii="Lato" w:hAnsi="Lato" w:eastAsia="Lato"/>
          <w:b/>
          <w:i w:val="0"/>
          <w:color w:val="9B1C1C"/>
        </w:rPr>
        <w:t xml:space="preserve">Trap 9: “Anything that looks unprofessional is automatically misconduct.” </w:t>
      </w:r>
      <w:r>
        <w:rPr>
          <w:rFonts w:ascii="Lato" w:hAnsi="Lato" w:eastAsia="Lato"/>
          <w:b w:val="0"/>
          <w:i w:val="0"/>
        </w:rPr>
        <w:t>Identify the specific legal, ethical, or treatment issue instead of relying on vague reputation concerns.</w:t>
      </w:r>
    </w:p>
    <w:p>
      <w:pPr>
        <w:pStyle w:val="CTAHeading2"/>
        <w:keepNext/>
      </w:pPr>
      <w:r>
        <w:rPr>
          <w:rFonts w:ascii="Lato" w:hAnsi="Lato" w:eastAsia="Lato"/>
          <w:b/>
          <w:i w:val="0"/>
          <w:color w:val="0B2447"/>
          <w:sz w:val="26"/>
        </w:rPr>
        <w:t>15. Exam Strategy</w:t>
      </w:r>
    </w:p>
    <w:p>
      <w:pPr>
        <w:pStyle w:val="CTABody"/>
      </w:pPr>
      <w:r>
        <w:rPr>
          <w:rFonts w:ascii="Lato" w:hAnsi="Lato" w:eastAsia="Lato"/>
          <w:b w:val="0"/>
          <w:i w:val="0"/>
        </w:rPr>
        <w:t>When social media appears in a California Law &amp; Ethics question, ask:</w:t>
      </w:r>
    </w:p>
    <w:p>
      <w:pPr>
        <w:pStyle w:val="CTABody"/>
        <w:spacing w:after="60"/>
        <w:ind w:left="432" w:hanging="317"/>
      </w:pPr>
      <w:r>
        <w:rPr>
          <w:rFonts w:ascii="Lato" w:hAnsi="Lato" w:eastAsia="Lato"/>
          <w:b/>
          <w:i w:val="0"/>
          <w:color w:val="0AA6A6"/>
        </w:rPr>
        <w:t xml:space="preserve">1. </w:t>
      </w:r>
      <w:r>
        <w:rPr>
          <w:rFonts w:ascii="Lato" w:hAnsi="Lato" w:eastAsia="Lato"/>
          <w:b w:val="0"/>
          <w:i w:val="0"/>
        </w:rPr>
        <w:t>FUNCTION - Is this advertising, communication, treatment, consultation, self-disclosure, or a boundary interaction?</w:t>
      </w:r>
    </w:p>
    <w:p>
      <w:pPr>
        <w:pStyle w:val="CTABody"/>
        <w:spacing w:after="60"/>
        <w:ind w:left="432" w:hanging="317"/>
      </w:pPr>
      <w:r>
        <w:rPr>
          <w:rFonts w:ascii="Lato" w:hAnsi="Lato" w:eastAsia="Lato"/>
          <w:b/>
          <w:i w:val="0"/>
          <w:color w:val="0AA6A6"/>
        </w:rPr>
        <w:t xml:space="preserve">2. </w:t>
      </w:r>
      <w:r>
        <w:rPr>
          <w:rFonts w:ascii="Lato" w:hAnsi="Lato" w:eastAsia="Lato"/>
          <w:b w:val="0"/>
          <w:i w:val="0"/>
        </w:rPr>
        <w:t>IDENTIFICATION - Could the client or treatment relationship be identified directly or indirectly?</w:t>
      </w:r>
    </w:p>
    <w:p>
      <w:pPr>
        <w:pStyle w:val="CTABody"/>
        <w:spacing w:after="60"/>
        <w:ind w:left="432" w:hanging="317"/>
      </w:pPr>
      <w:r>
        <w:rPr>
          <w:rFonts w:ascii="Lato" w:hAnsi="Lato" w:eastAsia="Lato"/>
          <w:b/>
          <w:i w:val="0"/>
          <w:color w:val="0AA6A6"/>
        </w:rPr>
        <w:t xml:space="preserve">3. </w:t>
      </w:r>
      <w:r>
        <w:rPr>
          <w:rFonts w:ascii="Lato" w:hAnsi="Lato" w:eastAsia="Lato"/>
          <w:b w:val="0"/>
          <w:i w:val="0"/>
        </w:rPr>
        <w:t>PURPOSE - Is there a legitimate clinical or professional reason for the action?</w:t>
      </w:r>
    </w:p>
    <w:p>
      <w:pPr>
        <w:pStyle w:val="CTABody"/>
        <w:spacing w:after="60"/>
        <w:ind w:left="432" w:hanging="317"/>
      </w:pPr>
      <w:r>
        <w:rPr>
          <w:rFonts w:ascii="Lato" w:hAnsi="Lato" w:eastAsia="Lato"/>
          <w:b/>
          <w:i w:val="0"/>
          <w:color w:val="0AA6A6"/>
        </w:rPr>
        <w:t xml:space="preserve">4. </w:t>
      </w:r>
      <w:r>
        <w:rPr>
          <w:rFonts w:ascii="Lato" w:hAnsi="Lato" w:eastAsia="Lato"/>
          <w:b w:val="0"/>
          <w:i w:val="0"/>
        </w:rPr>
        <w:t>IMPACT - How could the action affect confidentiality, boundaries, treatment, safety, or client welfare?</w:t>
      </w:r>
    </w:p>
    <w:p>
      <w:pPr>
        <w:pStyle w:val="CTABody"/>
        <w:spacing w:after="60"/>
        <w:ind w:left="432" w:hanging="317"/>
      </w:pPr>
      <w:r>
        <w:rPr>
          <w:rFonts w:ascii="Lato" w:hAnsi="Lato" w:eastAsia="Lato"/>
          <w:b/>
          <w:i w:val="0"/>
          <w:color w:val="0AA6A6"/>
        </w:rPr>
        <w:t xml:space="preserve">5. </w:t>
      </w:r>
      <w:r>
        <w:rPr>
          <w:rFonts w:ascii="Lato" w:hAnsi="Lato" w:eastAsia="Lato"/>
          <w:b w:val="0"/>
          <w:i w:val="0"/>
        </w:rPr>
        <w:t>REQUIREMENT - What California advertising, confidentiality, documentation, or professional rule applies?</w:t>
      </w:r>
    </w:p>
    <w:p>
      <w:pPr>
        <w:pStyle w:val="CTABody"/>
        <w:spacing w:after="60"/>
        <w:ind w:left="432" w:hanging="317"/>
      </w:pPr>
      <w:r>
        <w:rPr>
          <w:rFonts w:ascii="Lato" w:hAnsi="Lato" w:eastAsia="Lato"/>
          <w:b/>
          <w:i w:val="0"/>
          <w:color w:val="0AA6A6"/>
        </w:rPr>
        <w:t xml:space="preserve">6. </w:t>
      </w:r>
      <w:r>
        <w:rPr>
          <w:rFonts w:ascii="Lato" w:hAnsi="Lato" w:eastAsia="Lato"/>
          <w:b w:val="0"/>
          <w:i w:val="0"/>
        </w:rPr>
        <w:t>RESPONSE - Which answer protects the client without using an automatic, defensive, or extreme reaction?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FUNCTION -&gt; IDENTIFICATION -&gt; PURPOSE -&gt; IMPACT -&gt; REQUIREMENT -&gt; RESPONSE</w:t>
            </w:r>
          </w:p>
        </w:tc>
      </w:tr>
    </w:tbl>
    <w:p>
      <w:pPr>
        <w:pStyle w:val="CTAHeading2"/>
        <w:keepNext/>
      </w:pPr>
      <w:r>
        <w:rPr>
          <w:rFonts w:ascii="Lato" w:hAnsi="Lato" w:eastAsia="Lato"/>
          <w:b/>
          <w:i w:val="0"/>
          <w:color w:val="0B2447"/>
          <w:sz w:val="26"/>
        </w:rPr>
        <w:t>Chapter Snapshot</w:t>
      </w:r>
    </w:p>
    <w:p>
      <w:pPr>
        <w:pStyle w:val="CTABody"/>
        <w:spacing w:after="60"/>
        <w:ind w:left="403" w:hanging="259"/>
      </w:pPr>
      <w:r>
        <w:rPr>
          <w:rFonts w:ascii="Lato" w:hAnsi="Lato" w:eastAsia="Lato"/>
          <w:b/>
          <w:i w:val="0"/>
          <w:color w:val="0AA6A6"/>
        </w:rPr>
        <w:t xml:space="preserve">• </w:t>
      </w:r>
      <w:r>
        <w:rPr>
          <w:rFonts w:ascii="Lato" w:hAnsi="Lato" w:eastAsia="Lato"/>
          <w:b w:val="0"/>
          <w:i w:val="0"/>
        </w:rPr>
        <w:t>Social media may function as advertising under California law and BBS regulations.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Effective April 1, 2026, social-media advertising must contain or easily link to required credential information.</w:t>
      </w:r>
    </w:p>
    <w:p>
      <w:pPr>
        <w:pStyle w:val="CTABody"/>
        <w:spacing w:after="60"/>
        <w:ind w:left="403" w:hanging="259"/>
      </w:pPr>
      <w:r>
        <w:rPr>
          <w:rFonts w:ascii="Lato" w:hAnsi="Lato" w:eastAsia="Lato"/>
          <w:b/>
          <w:i w:val="0"/>
          <w:color w:val="0AA6A6"/>
        </w:rPr>
        <w:t>• Registered ASWs must not imply licensed or independent status and must include the full Board-filed name, registration number, complete registration title, employer or volunteer entity, and supervised status.</w:t>
      </w:r>
      <w:r>
        <w:rPr>
          <w:rFonts w:ascii="Lato" w:hAnsi="Lato" w:eastAsia="Lato"/>
          <w:b w:val="0"/>
          <w:i w:val="0"/>
        </w:rPr>
      </w:r>
    </w:p>
    <w:p>
      <w:pPr>
        <w:pStyle w:val="CTABody"/>
        <w:spacing w:after="60"/>
        <w:ind w:left="403" w:hanging="259"/>
      </w:pPr>
      <w:r>
        <w:rPr>
          <w:rFonts w:ascii="Lato" w:hAnsi="Lato" w:eastAsia="Lato"/>
          <w:b/>
          <w:i w:val="0"/>
          <w:color w:val="0AA6A6"/>
        </w:rPr>
        <w:t xml:space="preserve">• </w:t>
      </w:r>
      <w:r>
        <w:rPr>
          <w:rFonts w:ascii="Lato" w:hAnsi="Lato" w:eastAsia="Lato"/>
          <w:b w:val="0"/>
          <w:i w:val="0"/>
        </w:rPr>
        <w:t>False, misleading, deceptive, or status-misrepresenting online advertising is unprofessional conduct.</w:t>
      </w:r>
    </w:p>
    <w:p>
      <w:pPr>
        <w:pStyle w:val="CTABody"/>
        <w:spacing w:after="60"/>
        <w:ind w:left="403" w:hanging="259"/>
      </w:pPr>
      <w:r>
        <w:rPr>
          <w:rFonts w:ascii="Lato" w:hAnsi="Lato" w:eastAsia="Lato"/>
          <w:b/>
          <w:i w:val="0"/>
          <w:color w:val="0AA6A6"/>
        </w:rPr>
        <w:t xml:space="preserve">• </w:t>
      </w:r>
      <w:r>
        <w:rPr>
          <w:rFonts w:ascii="Lato" w:hAnsi="Lato" w:eastAsia="Lato"/>
          <w:b w:val="0"/>
          <w:i w:val="0"/>
        </w:rPr>
        <w:t>Friend requests, follows, likes, tags, and comments require boundary and confidentiality analysis; there is no one automatic answer for every situation.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Public availability does not make client information clinically necessary, reliable, or appropriate to use.</w:t>
      </w:r>
    </w:p>
    <w:p>
      <w:pPr>
        <w:pStyle w:val="CTABody"/>
        <w:spacing w:after="60"/>
        <w:ind w:left="403" w:hanging="259"/>
      </w:pPr>
      <w:r>
        <w:rPr>
          <w:rFonts w:ascii="Lato" w:hAnsi="Lato" w:eastAsia="Lato"/>
          <w:b/>
          <w:i w:val="0"/>
          <w:color w:val="0AA6A6"/>
        </w:rPr>
        <w:t xml:space="preserve">• </w:t>
      </w:r>
      <w:r>
        <w:rPr>
          <w:rFonts w:ascii="Lato" w:hAnsi="Lato" w:eastAsia="Lato"/>
          <w:b w:val="0"/>
          <w:i w:val="0"/>
        </w:rPr>
        <w:t>A client’s public review does not authorize the therapist to confirm the relationship or disclose treatment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No name does not guarantee de-identification, especially in public or broad professional groups.</w:t>
      </w:r>
    </w:p>
    <w:p>
      <w:pPr>
        <w:pStyle w:val="CTABody"/>
        <w:spacing w:after="60"/>
        <w:ind w:left="403" w:hanging="259"/>
      </w:pPr>
      <w:r>
        <w:rPr>
          <w:rFonts w:ascii="Lato" w:hAnsi="Lato" w:eastAsia="Lato"/>
          <w:b/>
          <w:i w:val="0"/>
          <w:color w:val="0AA6A6"/>
        </w:rPr>
        <w:t xml:space="preserve">• </w:t>
      </w:r>
      <w:r>
        <w:rPr>
          <w:rFonts w:ascii="Lato" w:hAnsi="Lato" w:eastAsia="Lato"/>
          <w:b w:val="0"/>
          <w:i w:val="0"/>
        </w:rPr>
        <w:t>Personal and professional account separation reduces but does not eliminate risk.</w:t>
      </w:r>
    </w:p>
    <w:p>
      <w:pPr>
        <w:pStyle w:val="CTABody"/>
        <w:spacing w:after="60"/>
        <w:ind w:left="403" w:hanging="259"/>
      </w:pPr>
      <w:r>
        <w:rPr>
          <w:rFonts w:ascii="Lato" w:hAnsi="Lato" w:eastAsia="Lato"/>
          <w:b/>
          <w:i w:val="0"/>
          <w:color w:val="0AA6A6"/>
        </w:rPr>
        <w:t xml:space="preserve">• </w:t>
      </w:r>
      <w:r>
        <w:rPr>
          <w:rFonts w:ascii="Lato" w:hAnsi="Lato" w:eastAsia="Lato"/>
          <w:b w:val="0"/>
          <w:i w:val="0"/>
        </w:rPr>
        <w:t>Clinically significant direct messages, online discoveries, boundary discussions, and safety responses may require documentation.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answers identify the exact function and harm, protect confidentiality, and avoid impulsive public action.</w:t>
      </w:r>
    </w:p>
    <w:p>
      <w:r>
        <w:br w:type="page"/>
      </w:r>
    </w:p>
    <w:p>
      <w:pPr>
        <w:pStyle w:val="CTAHeading1"/>
        <w:keepNext/>
      </w:pPr>
      <w:r>
        <w:rPr>
          <w:rFonts w:ascii="Lato" w:hAnsi="Lato" w:eastAsia="Lato"/>
          <w:b/>
          <w:i w:val="0"/>
          <w:color w:val="0B2447"/>
          <w:sz w:val="32"/>
        </w:rPr>
        <w:t>Chapter 6: Technology Risk Management and Compliance</w:t>
      </w:r>
    </w:p>
    <w:p>
      <w:pPr>
        <w:pStyle w:val="CTAHeading2"/>
        <w:keepNext/>
      </w:pPr>
      <w:r>
        <w:rPr>
          <w:rFonts w:ascii="Lato" w:hAnsi="Lato" w:eastAsia="Lato"/>
          <w:b/>
          <w:i w:val="0"/>
          <w:color w:val="0B2447"/>
          <w:sz w:val="26"/>
        </w:rPr>
        <w:t>Learning Objectives</w:t>
      </w:r>
    </w:p>
    <w:p>
      <w:pPr>
        <w:pStyle w:val="CTABody"/>
        <w:spacing w:after="60"/>
        <w:ind w:left="403" w:hanging="259"/>
      </w:pPr>
      <w:r>
        <w:rPr>
          <w:rFonts w:ascii="Lato" w:hAnsi="Lato" w:eastAsia="Lato"/>
          <w:b/>
          <w:i w:val="0"/>
          <w:color w:val="0AA6A6"/>
        </w:rPr>
        <w:t xml:space="preserve">• </w:t>
      </w:r>
      <w:r>
        <w:rPr>
          <w:rFonts w:ascii="Lato" w:hAnsi="Lato" w:eastAsia="Lato"/>
          <w:b w:val="0"/>
          <w:i w:val="0"/>
        </w:rPr>
        <w:t>Explain the difference between technology risk analysis, risk management, and incident response.</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the confidentiality, integrity, and availability framework to electronic clinical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administrative, physical, and technical safeguards.</w:t>
      </w:r>
    </w:p>
    <w:p>
      <w:pPr>
        <w:pStyle w:val="CTABody"/>
        <w:spacing w:after="60"/>
        <w:ind w:left="403" w:hanging="259"/>
      </w:pPr>
      <w:r>
        <w:rPr>
          <w:rFonts w:ascii="Lato" w:hAnsi="Lato" w:eastAsia="Lato"/>
          <w:b/>
          <w:i w:val="0"/>
          <w:color w:val="0AA6A6"/>
        </w:rPr>
        <w:t xml:space="preserve">• </w:t>
      </w:r>
      <w:r>
        <w:rPr>
          <w:rFonts w:ascii="Lato" w:hAnsi="Lato" w:eastAsia="Lato"/>
          <w:b w:val="0"/>
          <w:i w:val="0"/>
        </w:rPr>
        <w:t>Evaluate access controls, devices, vendors, cloud services, backups, and technology policies using California and HIPAA security principles.</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a security incident from a legally reportable breach and identify the appropriate first response.</w:t>
      </w:r>
    </w:p>
    <w:p>
      <w:pPr>
        <w:pStyle w:val="CTABody"/>
        <w:spacing w:after="60"/>
        <w:ind w:left="403" w:hanging="259"/>
      </w:pPr>
      <w:r>
        <w:rPr>
          <w:rFonts w:ascii="Lato" w:hAnsi="Lato" w:eastAsia="Lato"/>
          <w:b/>
          <w:i w:val="0"/>
          <w:color w:val="0AA6A6"/>
        </w:rPr>
        <w:t xml:space="preserve">• </w:t>
      </w:r>
      <w:r>
        <w:rPr>
          <w:rFonts w:ascii="Lato" w:hAnsi="Lato" w:eastAsia="Lato"/>
          <w:b w:val="0"/>
          <w:i w:val="0"/>
        </w:rPr>
        <w:t>Recognize when a business associate agreement may be required and why a contract does not replace due diligence.</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a structured risk-management sequence to California exam scenarios.</w:t>
      </w:r>
    </w:p>
    <w:p>
      <w:pPr>
        <w:pStyle w:val="CTAHeading2"/>
        <w:keepNext/>
      </w:pPr>
      <w:r>
        <w:rPr>
          <w:rFonts w:ascii="Lato" w:hAnsi="Lato" w:eastAsia="Lato"/>
          <w:b/>
          <w:i w:val="0"/>
          <w:color w:val="0B2447"/>
          <w:sz w:val="26"/>
        </w:rPr>
        <w:t>Why This Topic Matters</w:t>
      </w:r>
    </w:p>
    <w:p>
      <w:pPr>
        <w:pStyle w:val="CTABody"/>
      </w:pPr>
      <w:r>
        <w:rPr>
          <w:rFonts w:ascii="Lato" w:hAnsi="Lato" w:eastAsia="Lato"/>
          <w:b w:val="0"/>
          <w:i w:val="0"/>
        </w:rPr>
        <w:t>Most technology failures are not dramatic hacking scenarios. They begin with ordinary choices: a reused password, an unpatched laptop, a former employee whose access was never removed, a cloud application that quietly stores session transcripts, a backup that was never tested, or a message sent to the wrong recipient. California exam questions test whether the therapist identifies the actual risk, protects the client, and responds proportionately instead of ignoring the problem or assuming that every incident requires the same report.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line="254" w:lineRule="auto"/>
            </w:pPr>
            <w:r>
              <w:rPr>
                <w:rFonts w:ascii="Lato" w:hAnsi="Lato" w:eastAsia="Lato"/>
                <w:b w:val="0"/>
                <w:i w:val="0"/>
                <w:sz w:val="20"/>
              </w:rPr>
              <w:t>Technology risk management is a continuous professional process: know what information and systems you have, identify foreseeable risks, implement reasonable safeguards, monitor changes, and respond promptly when something goes wrong.</w:t>
            </w:r>
          </w:p>
        </w:tc>
      </w:tr>
    </w:tbl>
    <w:p>
      <w:pPr>
        <w:pStyle w:val="CTAHeading2"/>
        <w:keepNext/>
      </w:pPr>
      <w:r>
        <w:rPr>
          <w:rFonts w:ascii="Lato" w:hAnsi="Lato" w:eastAsia="Lato"/>
          <w:b/>
          <w:i w:val="0"/>
          <w:color w:val="0B2447"/>
          <w:sz w:val="26"/>
        </w:rPr>
        <w:t>1. California Telehealth Security Is a Professional Requirement</w:t>
      </w:r>
    </w:p>
    <w:p>
      <w:pPr>
        <w:pStyle w:val="CTABody"/>
      </w:pPr>
      <w:r>
        <w:rPr>
          <w:rFonts w:ascii="Lato" w:hAnsi="Lato" w:eastAsia="Lato"/>
          <w:b w:val="0"/>
          <w:i w:val="0"/>
        </w:rPr>
        <w:t>Each time an LCSW or registered ASW provides telehealth, 16 CCR section 1815.5(d)(3) requires compliance with applicable federal and California privacy, confidentiality, and security laws governing client medical information or protected health information. The regulation expressly references the California Confidentiality of Medical Information Act (CMIA) and the HIPAA Security standards in 45 CFR part 164, subpart C.</w:t>
      </w:r>
    </w:p>
    <w:p>
      <w:pPr>
        <w:pStyle w:val="CTABody"/>
      </w:pPr>
      <w:r>
        <w:rPr>
          <w:rFonts w:ascii="Lato" w:hAnsi="Lato" w:eastAsia="Lato"/>
          <w:b w:val="0"/>
          <w:i w:val="0"/>
        </w:rPr>
        <w:t>This matters because the therapist should not assume, “I am a small practice, so security law does not apply.” For telehealth, the BBS regulation incorporates the HIPAA Security standards into the California professional standard. Separate HIPAA status questions may still affect federal enforcement, breach notification, and business-associate duties, but they do not make technology security optional for telehealth practice.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For California telehealth, security is not merely a recommendation. It is part of the BBS standard of practice.</w:t>
            </w:r>
          </w:p>
        </w:tc>
      </w:tr>
    </w:tbl>
    <w:p>
      <w:pPr>
        <w:pStyle w:val="CTAHeading2"/>
        <w:keepNext/>
      </w:pPr>
      <w:r>
        <w:rPr>
          <w:rFonts w:ascii="Lato" w:hAnsi="Lato" w:eastAsia="Lato"/>
          <w:b/>
          <w:i w:val="0"/>
          <w:color w:val="0B2447"/>
          <w:sz w:val="26"/>
        </w:rPr>
        <w:t>2. The Security Goal: Confidentiality, Integrity, and Availability</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Security Goal</w:t>
            </w:r>
          </w:p>
        </w:tc>
        <w:tc>
          <w:tcPr>
            <w:tcW w:type="dxa" w:w="3320"/>
            <w:shd w:fill="0B2447"/>
          </w:tcPr>
          <w:p>
            <w:pPr>
              <w:jc w:val="center"/>
            </w:pPr>
            <w:r>
              <w:rPr>
                <w:rFonts w:ascii="Lato" w:hAnsi="Lato" w:eastAsia="Lato"/>
                <w:b/>
                <w:i w:val="0"/>
                <w:color w:val="FFFFFF"/>
                <w:sz w:val="18"/>
              </w:rPr>
              <w:t>Meaning</w:t>
            </w:r>
          </w:p>
        </w:tc>
        <w:tc>
          <w:tcPr>
            <w:tcW w:type="dxa" w:w="3320"/>
            <w:shd w:fill="0B2447"/>
          </w:tcPr>
          <w:p>
            <w:pPr>
              <w:jc w:val="center"/>
            </w:pPr>
            <w:r>
              <w:rPr>
                <w:rFonts w:ascii="Lato" w:hAnsi="Lato" w:eastAsia="Lato"/>
                <w:b/>
                <w:i w:val="0"/>
                <w:color w:val="FFFFFF"/>
                <w:sz w:val="18"/>
              </w:rPr>
              <w:t>Clinical Example</w:t>
            </w:r>
          </w:p>
        </w:tc>
      </w:tr>
      <w:tr>
        <w:trPr>
          <w:cantSplit w:val="1"/>
        </w:trPr>
        <w:tc>
          <w:tcPr>
            <w:tcW w:type="dxa" w:w="3320"/>
            <w:shd w:fill="EEF3F8"/>
            <w:vAlign w:val="top"/>
          </w:tcPr>
          <w:p>
            <w:pPr>
              <w:spacing w:after="0" w:line="245" w:lineRule="auto"/>
            </w:pPr>
            <w:r>
              <w:rPr>
                <w:rFonts w:ascii="Lato" w:hAnsi="Lato" w:eastAsia="Lato"/>
                <w:b/>
                <w:i w:val="0"/>
                <w:color w:val="0B2447"/>
                <w:sz w:val="17"/>
              </w:rPr>
              <w:t>Confidentiality</w:t>
            </w:r>
          </w:p>
        </w:tc>
        <w:tc>
          <w:tcPr>
            <w:tcW w:type="dxa" w:w="3320"/>
            <w:vAlign w:val="top"/>
          </w:tcPr>
          <w:p>
            <w:pPr>
              <w:spacing w:after="0" w:line="245" w:lineRule="auto"/>
            </w:pPr>
            <w:r>
              <w:rPr>
                <w:rFonts w:ascii="Lato" w:hAnsi="Lato" w:eastAsia="Lato"/>
                <w:b w:val="0"/>
                <w:i w:val="0"/>
                <w:color w:val="111827"/>
                <w:sz w:val="17"/>
              </w:rPr>
              <w:t>Information is not made available or disclosed to an unauthorized person.</w:t>
            </w:r>
          </w:p>
        </w:tc>
        <w:tc>
          <w:tcPr>
            <w:tcW w:type="dxa" w:w="3320"/>
            <w:vAlign w:val="top"/>
          </w:tcPr>
          <w:p>
            <w:pPr>
              <w:spacing w:after="0" w:line="245" w:lineRule="auto"/>
            </w:pPr>
            <w:r>
              <w:rPr>
                <w:rFonts w:ascii="Lato" w:hAnsi="Lato" w:eastAsia="Lato"/>
                <w:b w:val="0"/>
                <w:i w:val="0"/>
                <w:color w:val="111827"/>
                <w:sz w:val="17"/>
              </w:rPr>
              <w:t>Preventing a roommate, hacker, former employee, or wrong email recipient from accessing client information.</w:t>
            </w:r>
          </w:p>
        </w:tc>
      </w:tr>
      <w:tr>
        <w:trPr>
          <w:cantSplit w:val="1"/>
        </w:trPr>
        <w:tc>
          <w:tcPr>
            <w:tcW w:type="dxa" w:w="3320"/>
            <w:shd w:fill="EEF3F8"/>
            <w:vAlign w:val="top"/>
          </w:tcPr>
          <w:p>
            <w:pPr>
              <w:spacing w:after="0" w:line="245" w:lineRule="auto"/>
            </w:pPr>
            <w:r>
              <w:rPr>
                <w:rFonts w:ascii="Lato" w:hAnsi="Lato" w:eastAsia="Lato"/>
                <w:b/>
                <w:i w:val="0"/>
                <w:color w:val="0B2447"/>
                <w:sz w:val="17"/>
              </w:rPr>
              <w:t>Integrity</w:t>
            </w:r>
          </w:p>
        </w:tc>
        <w:tc>
          <w:tcPr>
            <w:tcW w:type="dxa" w:w="3320"/>
            <w:vAlign w:val="top"/>
          </w:tcPr>
          <w:p>
            <w:pPr>
              <w:spacing w:after="0" w:line="245" w:lineRule="auto"/>
            </w:pPr>
            <w:r>
              <w:rPr>
                <w:rFonts w:ascii="Lato" w:hAnsi="Lato" w:eastAsia="Lato"/>
                <w:b w:val="0"/>
                <w:i w:val="0"/>
                <w:color w:val="111827"/>
                <w:sz w:val="17"/>
              </w:rPr>
              <w:t>Information is not improperly altered, destroyed, or corrupted.</w:t>
            </w:r>
          </w:p>
        </w:tc>
        <w:tc>
          <w:tcPr>
            <w:tcW w:type="dxa" w:w="3320"/>
            <w:vAlign w:val="top"/>
          </w:tcPr>
          <w:p>
            <w:pPr>
              <w:spacing w:after="0" w:line="245" w:lineRule="auto"/>
            </w:pPr>
            <w:r>
              <w:rPr>
                <w:rFonts w:ascii="Lato" w:hAnsi="Lato" w:eastAsia="Lato"/>
                <w:b w:val="0"/>
                <w:i w:val="0"/>
                <w:color w:val="111827"/>
                <w:sz w:val="17"/>
              </w:rPr>
              <w:t>Protecting records from unauthorized edits and preserving an audit trail of electronic changes.</w:t>
            </w:r>
          </w:p>
        </w:tc>
      </w:tr>
      <w:tr>
        <w:trPr>
          <w:cantSplit w:val="1"/>
        </w:trPr>
        <w:tc>
          <w:tcPr>
            <w:tcW w:type="dxa" w:w="3320"/>
            <w:shd w:fill="EEF3F8"/>
            <w:vAlign w:val="top"/>
          </w:tcPr>
          <w:p>
            <w:pPr>
              <w:spacing w:after="0" w:line="245" w:lineRule="auto"/>
            </w:pPr>
            <w:r>
              <w:rPr>
                <w:rFonts w:ascii="Lato" w:hAnsi="Lato" w:eastAsia="Lato"/>
                <w:b/>
                <w:i w:val="0"/>
                <w:color w:val="0B2447"/>
                <w:sz w:val="17"/>
              </w:rPr>
              <w:t>Availability</w:t>
            </w:r>
          </w:p>
        </w:tc>
        <w:tc>
          <w:tcPr>
            <w:tcW w:type="dxa" w:w="3320"/>
            <w:vAlign w:val="top"/>
          </w:tcPr>
          <w:p>
            <w:pPr>
              <w:spacing w:after="0" w:line="245" w:lineRule="auto"/>
            </w:pPr>
            <w:r>
              <w:rPr>
                <w:rFonts w:ascii="Lato" w:hAnsi="Lato" w:eastAsia="Lato"/>
                <w:b w:val="0"/>
                <w:i w:val="0"/>
                <w:color w:val="111827"/>
                <w:sz w:val="17"/>
              </w:rPr>
              <w:t>Authorized users can access needed information and systems when required.</w:t>
            </w:r>
          </w:p>
        </w:tc>
        <w:tc>
          <w:tcPr>
            <w:tcW w:type="dxa" w:w="3320"/>
            <w:vAlign w:val="top"/>
          </w:tcPr>
          <w:p>
            <w:pPr>
              <w:spacing w:after="0" w:line="245" w:lineRule="auto"/>
            </w:pPr>
            <w:r>
              <w:rPr>
                <w:rFonts w:ascii="Lato" w:hAnsi="Lato" w:eastAsia="Lato"/>
                <w:b w:val="0"/>
                <w:i w:val="0"/>
                <w:color w:val="111827"/>
                <w:sz w:val="17"/>
              </w:rPr>
              <w:t>Maintaining tested backups and a recovery plan so care can continue after device failure or ransomware.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Security is not only secrecy. A system that hides information but loses records or becomes unavailable during a crisis may still be insecure.</w:t>
            </w:r>
          </w:p>
        </w:tc>
      </w:tr>
    </w:tbl>
    <w:p>
      <w:pPr>
        <w:pStyle w:val="CTAHeading2"/>
        <w:keepNext/>
      </w:pPr>
      <w:r>
        <w:rPr>
          <w:rFonts w:ascii="Lato" w:hAnsi="Lato" w:eastAsia="Lato"/>
          <w:b/>
          <w:i w:val="0"/>
          <w:color w:val="0B2447"/>
          <w:sz w:val="26"/>
        </w:rPr>
        <w:t>3. Risk Analysis and Risk Management Are Different</w:t>
      </w:r>
    </w:p>
    <w:p>
      <w:pPr>
        <w:pStyle w:val="CTABody"/>
      </w:pPr>
      <w:r>
        <w:rPr>
          <w:rFonts w:ascii="Lato" w:hAnsi="Lato" w:eastAsia="Lato"/>
          <w:b w:val="0"/>
          <w:i w:val="0"/>
        </w:rPr>
        <w:t>The current HIPAA Security Rule requires regulated entities to conduct an accurate and thorough assessment of potential risks and vulnerabilities to electronic protected health information. Risk analysis identifies what could go wrong and how serious it could be. Risk management selects and implements safeguards that reduce identified risks to a reasonable and appropriate level.</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Risk Analysis</w:t>
            </w:r>
          </w:p>
        </w:tc>
        <w:tc>
          <w:tcPr>
            <w:tcW w:type="dxa" w:w="4980"/>
            <w:shd w:fill="0B2447"/>
          </w:tcPr>
          <w:p>
            <w:pPr>
              <w:jc w:val="center"/>
            </w:pPr>
            <w:r>
              <w:rPr>
                <w:rFonts w:ascii="Lato" w:hAnsi="Lato" w:eastAsia="Lato"/>
                <w:b/>
                <w:i w:val="0"/>
                <w:color w:val="FFFFFF"/>
                <w:sz w:val="18"/>
              </w:rPr>
              <w:t>Risk Management</w:t>
            </w:r>
          </w:p>
        </w:tc>
      </w:tr>
      <w:tr>
        <w:trPr>
          <w:cantSplit w:val="1"/>
        </w:trPr>
        <w:tc>
          <w:tcPr>
            <w:tcW w:type="dxa" w:w="4980"/>
            <w:shd w:fill="EEF3F8"/>
            <w:vAlign w:val="top"/>
          </w:tcPr>
          <w:p>
            <w:pPr>
              <w:spacing w:after="0" w:line="245" w:lineRule="auto"/>
            </w:pPr>
            <w:r>
              <w:rPr>
                <w:rFonts w:ascii="Lato" w:hAnsi="Lato" w:eastAsia="Lato"/>
                <w:b/>
                <w:i w:val="0"/>
                <w:color w:val="0B2447"/>
                <w:sz w:val="17"/>
              </w:rPr>
              <w:t>Identify where client information is created, received, maintained, transmitted, and destroyed.</w:t>
            </w:r>
          </w:p>
        </w:tc>
        <w:tc>
          <w:tcPr>
            <w:tcW w:type="dxa" w:w="4980"/>
            <w:vAlign w:val="top"/>
          </w:tcPr>
          <w:p>
            <w:pPr>
              <w:spacing w:after="0" w:line="245" w:lineRule="auto"/>
            </w:pPr>
            <w:r>
              <w:rPr>
                <w:rFonts w:ascii="Lato" w:hAnsi="Lato" w:eastAsia="Lato"/>
                <w:b w:val="0"/>
                <w:i w:val="0"/>
                <w:color w:val="111827"/>
                <w:sz w:val="17"/>
              </w:rPr>
              <w:t>Prioritize risks based on likelihood, impact, and client harm.</w:t>
            </w:r>
          </w:p>
        </w:tc>
      </w:tr>
      <w:tr>
        <w:trPr>
          <w:cantSplit w:val="1"/>
        </w:trPr>
        <w:tc>
          <w:tcPr>
            <w:tcW w:type="dxa" w:w="4980"/>
            <w:shd w:fill="EEF3F8"/>
            <w:vAlign w:val="top"/>
          </w:tcPr>
          <w:p>
            <w:pPr>
              <w:spacing w:after="0" w:line="245" w:lineRule="auto"/>
            </w:pPr>
            <w:r>
              <w:rPr>
                <w:rFonts w:ascii="Lato" w:hAnsi="Lato" w:eastAsia="Lato"/>
                <w:b/>
                <w:i w:val="0"/>
                <w:color w:val="0B2447"/>
                <w:sz w:val="17"/>
              </w:rPr>
              <w:t>Identify threats, vulnerabilities, current controls, and foreseeable failure points.</w:t>
            </w:r>
          </w:p>
        </w:tc>
        <w:tc>
          <w:tcPr>
            <w:tcW w:type="dxa" w:w="4980"/>
            <w:vAlign w:val="top"/>
          </w:tcPr>
          <w:p>
            <w:pPr>
              <w:spacing w:after="0" w:line="245" w:lineRule="auto"/>
            </w:pPr>
            <w:r>
              <w:rPr>
                <w:rFonts w:ascii="Lato" w:hAnsi="Lato" w:eastAsia="Lato"/>
                <w:b w:val="0"/>
                <w:i w:val="0"/>
                <w:color w:val="111827"/>
                <w:sz w:val="17"/>
              </w:rPr>
              <w:t>Select safeguards, assign responsibility, establish deadlines, and implement corrections.</w:t>
            </w:r>
          </w:p>
        </w:tc>
      </w:tr>
      <w:tr>
        <w:trPr>
          <w:cantSplit w:val="1"/>
        </w:trPr>
        <w:tc>
          <w:tcPr>
            <w:tcW w:type="dxa" w:w="4980"/>
            <w:shd w:fill="EEF3F8"/>
            <w:vAlign w:val="top"/>
          </w:tcPr>
          <w:p>
            <w:pPr>
              <w:spacing w:after="0" w:line="245" w:lineRule="auto"/>
            </w:pPr>
            <w:r>
              <w:rPr>
                <w:rFonts w:ascii="Lato" w:hAnsi="Lato" w:eastAsia="Lato"/>
                <w:b/>
                <w:i w:val="0"/>
                <w:color w:val="0B2447"/>
                <w:sz w:val="17"/>
              </w:rPr>
              <w:t>Evaluate likelihood and potential impact.</w:t>
            </w:r>
          </w:p>
        </w:tc>
        <w:tc>
          <w:tcPr>
            <w:tcW w:type="dxa" w:w="4980"/>
            <w:vAlign w:val="top"/>
          </w:tcPr>
          <w:p>
            <w:pPr>
              <w:spacing w:after="0" w:line="245" w:lineRule="auto"/>
            </w:pPr>
            <w:r>
              <w:rPr>
                <w:rFonts w:ascii="Lato" w:hAnsi="Lato" w:eastAsia="Lato"/>
                <w:b w:val="0"/>
                <w:i w:val="0"/>
                <w:color w:val="111827"/>
                <w:sz w:val="17"/>
              </w:rPr>
              <w:t>Monitor safeguards, retest, and revise when technology, vendors, staff, or law changes.</w:t>
            </w:r>
          </w:p>
        </w:tc>
      </w:tr>
      <w:tr>
        <w:trPr>
          <w:cantSplit w:val="1"/>
        </w:trPr>
        <w:tc>
          <w:tcPr>
            <w:tcW w:type="dxa" w:w="4980"/>
            <w:shd w:fill="EEF3F8"/>
            <w:vAlign w:val="top"/>
          </w:tcPr>
          <w:p>
            <w:pPr>
              <w:spacing w:after="0" w:line="245" w:lineRule="auto"/>
            </w:pPr>
            <w:r>
              <w:rPr>
                <w:rFonts w:ascii="Lato" w:hAnsi="Lato" w:eastAsia="Lato"/>
                <w:b/>
                <w:i w:val="0"/>
                <w:color w:val="0B2447"/>
                <w:sz w:val="17"/>
              </w:rPr>
              <w:t>Document the findings.</w:t>
            </w:r>
          </w:p>
        </w:tc>
        <w:tc>
          <w:tcPr>
            <w:tcW w:type="dxa" w:w="4980"/>
            <w:vAlign w:val="top"/>
          </w:tcPr>
          <w:p>
            <w:pPr>
              <w:spacing w:after="0" w:line="245" w:lineRule="auto"/>
            </w:pPr>
            <w:r>
              <w:rPr>
                <w:rFonts w:ascii="Lato" w:hAnsi="Lato" w:eastAsia="Lato"/>
                <w:b w:val="0"/>
                <w:i w:val="0"/>
                <w:color w:val="111827"/>
                <w:sz w:val="17"/>
              </w:rPr>
              <w:t>Document the decisions, implementation, and follow-up.</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ANALYZE = find and evaluate risk. MANAGE = reduce and monitor risk.</w:t>
            </w:r>
          </w:p>
        </w:tc>
      </w:tr>
    </w:tbl>
    <w:p>
      <w:pPr>
        <w:pStyle w:val="CTAHeading2"/>
        <w:keepNext/>
      </w:pPr>
      <w:r>
        <w:rPr>
          <w:rFonts w:ascii="Lato" w:hAnsi="Lato" w:eastAsia="Lato"/>
          <w:b/>
          <w:i w:val="0"/>
          <w:color w:val="0B2447"/>
          <w:sz w:val="26"/>
        </w:rPr>
        <w:t>4. Safeguards Work as a System</w:t>
      </w:r>
    </w:p>
    <w:p>
      <w:pPr>
        <w:pStyle w:val="CTABody"/>
      </w:pPr>
      <w:r>
        <w:rPr>
          <w:rFonts w:ascii="Lato" w:hAnsi="Lato" w:eastAsia="Lato"/>
          <w:b w:val="0"/>
          <w:i w:val="0"/>
        </w:rPr>
        <w:t>The HIPAA Security Rule organizes safeguards into three categories. Effective protection usually requires all three; buying a “secure” platform does not correct weak policies, shared passwords, or an unlocked office computer.</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Safeguard Type</w:t>
            </w:r>
          </w:p>
        </w:tc>
        <w:tc>
          <w:tcPr>
            <w:tcW w:type="dxa" w:w="3320"/>
            <w:shd w:fill="0B2447"/>
          </w:tcPr>
          <w:p>
            <w:pPr>
              <w:jc w:val="center"/>
            </w:pPr>
            <w:r>
              <w:rPr>
                <w:rFonts w:ascii="Lato" w:hAnsi="Lato" w:eastAsia="Lato"/>
                <w:b/>
                <w:i w:val="0"/>
                <w:color w:val="FFFFFF"/>
                <w:sz w:val="18"/>
              </w:rPr>
              <w:t>Focus</w:t>
            </w:r>
          </w:p>
        </w:tc>
        <w:tc>
          <w:tcPr>
            <w:tcW w:type="dxa" w:w="3320"/>
            <w:shd w:fill="0B2447"/>
          </w:tcPr>
          <w:p>
            <w:pPr>
              <w:jc w:val="center"/>
            </w:pPr>
            <w:r>
              <w:rPr>
                <w:rFonts w:ascii="Lato" w:hAnsi="Lato" w:eastAsia="Lato"/>
                <w:b/>
                <w:i w:val="0"/>
                <w:color w:val="FFFFFF"/>
                <w:sz w:val="18"/>
              </w:rPr>
              <w:t>Examples</w:t>
            </w:r>
          </w:p>
        </w:tc>
      </w:tr>
      <w:tr>
        <w:trPr>
          <w:cantSplit w:val="1"/>
        </w:trPr>
        <w:tc>
          <w:tcPr>
            <w:tcW w:type="dxa" w:w="3320"/>
            <w:shd w:fill="EEF3F8"/>
            <w:vAlign w:val="top"/>
          </w:tcPr>
          <w:p>
            <w:pPr>
              <w:spacing w:after="0" w:line="245" w:lineRule="auto"/>
            </w:pPr>
            <w:r>
              <w:rPr>
                <w:rFonts w:ascii="Lato" w:hAnsi="Lato" w:eastAsia="Lato"/>
                <w:b/>
                <w:i w:val="0"/>
                <w:color w:val="0B2447"/>
                <w:sz w:val="17"/>
              </w:rPr>
              <w:t>Administrative</w:t>
            </w:r>
          </w:p>
        </w:tc>
        <w:tc>
          <w:tcPr>
            <w:tcW w:type="dxa" w:w="3320"/>
            <w:vAlign w:val="top"/>
          </w:tcPr>
          <w:p>
            <w:pPr>
              <w:spacing w:after="0" w:line="245" w:lineRule="auto"/>
            </w:pPr>
            <w:r>
              <w:rPr>
                <w:rFonts w:ascii="Lato" w:hAnsi="Lato" w:eastAsia="Lato"/>
                <w:b w:val="0"/>
                <w:i w:val="0"/>
                <w:color w:val="111827"/>
                <w:sz w:val="17"/>
              </w:rPr>
              <w:t>Governance, people, process, and accountability.</w:t>
            </w:r>
          </w:p>
        </w:tc>
        <w:tc>
          <w:tcPr>
            <w:tcW w:type="dxa" w:w="3320"/>
            <w:vAlign w:val="top"/>
          </w:tcPr>
          <w:p>
            <w:pPr>
              <w:spacing w:after="0" w:line="245" w:lineRule="auto"/>
            </w:pPr>
            <w:r>
              <w:rPr>
                <w:rFonts w:ascii="Lato" w:hAnsi="Lato" w:eastAsia="Lato"/>
                <w:b w:val="0"/>
                <w:i w:val="0"/>
                <w:color w:val="111827"/>
                <w:sz w:val="17"/>
              </w:rPr>
              <w:t>Risk analysis, risk management, policies, workforce training, access authorization, vendor review, sanctions, incident procedures, and contingency planning.</w:t>
            </w:r>
          </w:p>
        </w:tc>
      </w:tr>
      <w:tr>
        <w:trPr>
          <w:cantSplit w:val="1"/>
        </w:trPr>
        <w:tc>
          <w:tcPr>
            <w:tcW w:type="dxa" w:w="3320"/>
            <w:shd w:fill="EEF3F8"/>
            <w:vAlign w:val="top"/>
          </w:tcPr>
          <w:p>
            <w:pPr>
              <w:spacing w:after="0" w:line="245" w:lineRule="auto"/>
            </w:pPr>
            <w:r>
              <w:rPr>
                <w:rFonts w:ascii="Lato" w:hAnsi="Lato" w:eastAsia="Lato"/>
                <w:b/>
                <w:i w:val="0"/>
                <w:color w:val="0B2447"/>
                <w:sz w:val="17"/>
              </w:rPr>
              <w:t>Physical</w:t>
            </w:r>
          </w:p>
        </w:tc>
        <w:tc>
          <w:tcPr>
            <w:tcW w:type="dxa" w:w="3320"/>
            <w:vAlign w:val="top"/>
          </w:tcPr>
          <w:p>
            <w:pPr>
              <w:spacing w:after="0" w:line="245" w:lineRule="auto"/>
            </w:pPr>
            <w:r>
              <w:rPr>
                <w:rFonts w:ascii="Lato" w:hAnsi="Lato" w:eastAsia="Lato"/>
                <w:b w:val="0"/>
                <w:i w:val="0"/>
                <w:color w:val="111827"/>
                <w:sz w:val="17"/>
              </w:rPr>
              <w:t>Protection of facilities, workstations, and devices.</w:t>
            </w:r>
          </w:p>
        </w:tc>
        <w:tc>
          <w:tcPr>
            <w:tcW w:type="dxa" w:w="3320"/>
            <w:vAlign w:val="top"/>
          </w:tcPr>
          <w:p>
            <w:pPr>
              <w:spacing w:after="0" w:line="245" w:lineRule="auto"/>
            </w:pPr>
            <w:r>
              <w:rPr>
                <w:rFonts w:ascii="Lato" w:hAnsi="Lato" w:eastAsia="Lato"/>
                <w:b w:val="0"/>
                <w:i w:val="0"/>
                <w:color w:val="111827"/>
                <w:sz w:val="17"/>
              </w:rPr>
              <w:t>Private workspaces, screen positioning, secure storage, device inventory, cable locks, controlled disposal, and protection during travel.</w:t>
            </w:r>
          </w:p>
        </w:tc>
      </w:tr>
      <w:tr>
        <w:trPr>
          <w:cantSplit w:val="1"/>
        </w:trPr>
        <w:tc>
          <w:tcPr>
            <w:tcW w:type="dxa" w:w="3320"/>
            <w:shd w:fill="EEF3F8"/>
            <w:vAlign w:val="top"/>
          </w:tcPr>
          <w:p>
            <w:pPr>
              <w:spacing w:after="0" w:line="245" w:lineRule="auto"/>
            </w:pPr>
            <w:r>
              <w:rPr>
                <w:rFonts w:ascii="Lato" w:hAnsi="Lato" w:eastAsia="Lato"/>
                <w:b/>
                <w:i w:val="0"/>
                <w:color w:val="0B2447"/>
                <w:sz w:val="17"/>
              </w:rPr>
              <w:t>Technical</w:t>
            </w:r>
          </w:p>
        </w:tc>
        <w:tc>
          <w:tcPr>
            <w:tcW w:type="dxa" w:w="3320"/>
            <w:vAlign w:val="top"/>
          </w:tcPr>
          <w:p>
            <w:pPr>
              <w:spacing w:after="0" w:line="245" w:lineRule="auto"/>
            </w:pPr>
            <w:r>
              <w:rPr>
                <w:rFonts w:ascii="Lato" w:hAnsi="Lato" w:eastAsia="Lato"/>
                <w:b w:val="0"/>
                <w:i w:val="0"/>
                <w:color w:val="111827"/>
                <w:sz w:val="17"/>
              </w:rPr>
              <w:t>Technology-based controls over systems and information.</w:t>
            </w:r>
          </w:p>
        </w:tc>
        <w:tc>
          <w:tcPr>
            <w:tcW w:type="dxa" w:w="3320"/>
            <w:vAlign w:val="top"/>
          </w:tcPr>
          <w:p>
            <w:pPr>
              <w:spacing w:after="0" w:line="245" w:lineRule="auto"/>
            </w:pPr>
            <w:r>
              <w:rPr>
                <w:rFonts w:ascii="Lato" w:hAnsi="Lato" w:eastAsia="Lato"/>
                <w:b w:val="0"/>
                <w:i w:val="0"/>
                <w:color w:val="111827"/>
                <w:sz w:val="17"/>
              </w:rPr>
              <w:t>Unique user IDs, access controls, authentication, audit logs, automatic locking, encryption, transmission security, endpoint protection, and backups.</w:t>
            </w:r>
          </w:p>
        </w:tc>
      </w:tr>
    </w:tbl>
    <w:p>
      <w:pPr>
        <w:pStyle w:val="CTAHeading2"/>
        <w:keepNext/>
      </w:pPr>
      <w:r>
        <w:rPr>
          <w:rFonts w:ascii="Lato" w:hAnsi="Lato" w:eastAsia="Lato"/>
          <w:b/>
          <w:i w:val="0"/>
          <w:color w:val="0B2447"/>
          <w:sz w:val="26"/>
        </w:rPr>
        <w:t>5. Access, Passwords, Devices, and Encryption</w:t>
      </w:r>
    </w:p>
    <w:p>
      <w:pPr>
        <w:pStyle w:val="CTABody"/>
      </w:pPr>
      <w:r>
        <w:rPr>
          <w:rFonts w:ascii="Lato" w:hAnsi="Lato" w:eastAsia="Lato"/>
          <w:b w:val="0"/>
          <w:i w:val="0"/>
        </w:rPr>
        <w:t>Access should be limited to people who need information for an authorized function. Shared accounts make it difficult to determine who accessed or changed information and weaken accountability. Access should also be removed promptly when a staff member, contractor, or supervisee no longer needs it.</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unique user accounts and strong, non-reused credentials.</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multi-factor authentication when reasonable and appropriate, particularly for remote, cloud, email, and administrative access.</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least-privilege access rather than giving every user full administrative rights.</w:t>
      </w:r>
    </w:p>
    <w:p>
      <w:pPr>
        <w:pStyle w:val="CTABody"/>
        <w:spacing w:after="60"/>
        <w:ind w:left="403" w:hanging="259"/>
      </w:pPr>
      <w:r>
        <w:rPr>
          <w:rFonts w:ascii="Lato" w:hAnsi="Lato" w:eastAsia="Lato"/>
          <w:b/>
          <w:i w:val="0"/>
          <w:color w:val="0AA6A6"/>
        </w:rPr>
        <w:t xml:space="preserve">• </w:t>
      </w:r>
      <w:r>
        <w:rPr>
          <w:rFonts w:ascii="Lato" w:hAnsi="Lato" w:eastAsia="Lato"/>
          <w:b w:val="0"/>
          <w:i w:val="0"/>
        </w:rPr>
        <w:t>Keep operating systems, applications, browsers, routers, and security tools supported and updated.</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automatic screen locking, secure storage, and remote-management or remote-wipe capabilities when appropriate.</w:t>
      </w:r>
    </w:p>
    <w:p>
      <w:pPr>
        <w:pStyle w:val="CTABody"/>
        <w:spacing w:after="60"/>
        <w:ind w:left="403" w:hanging="259"/>
      </w:pPr>
      <w:r>
        <w:rPr>
          <w:rFonts w:ascii="Lato" w:hAnsi="Lato" w:eastAsia="Lato"/>
          <w:b/>
          <w:i w:val="0"/>
          <w:color w:val="0AA6A6"/>
        </w:rPr>
        <w:t xml:space="preserve">• </w:t>
      </w:r>
      <w:r>
        <w:rPr>
          <w:rFonts w:ascii="Lato" w:hAnsi="Lato" w:eastAsia="Lato"/>
          <w:b w:val="0"/>
          <w:i w:val="0"/>
        </w:rPr>
        <w:t>Protect data at rest and in transmission with encryption or an equivalent safeguard when required by the risk analysis.</w:t>
      </w:r>
    </w:p>
    <w:p>
      <w:pPr>
        <w:pStyle w:val="CTABody"/>
        <w:spacing w:after="60"/>
        <w:ind w:left="403" w:hanging="259"/>
      </w:pPr>
      <w:r>
        <w:rPr>
          <w:rFonts w:ascii="Lato" w:hAnsi="Lato" w:eastAsia="Lato"/>
          <w:b/>
          <w:i w:val="0"/>
          <w:color w:val="0AA6A6"/>
        </w:rPr>
        <w:t xml:space="preserve">• </w:t>
      </w:r>
      <w:r>
        <w:rPr>
          <w:rFonts w:ascii="Lato" w:hAnsi="Lato" w:eastAsia="Lato"/>
          <w:b w:val="0"/>
          <w:i w:val="0"/>
        </w:rPr>
        <w:t>Dispose of or repurpose devices and storage media in a manner that preserves confidentiality.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Important Legal Precision</w:t>
            </w:r>
          </w:p>
          <w:p>
            <w:pPr>
              <w:spacing w:after="0" w:line="254" w:lineRule="auto"/>
            </w:pPr>
            <w:r>
              <w:rPr>
                <w:rFonts w:ascii="Lato" w:hAnsi="Lato" w:eastAsia="Lato"/>
                <w:b w:val="0"/>
                <w:i w:val="0"/>
                <w:sz w:val="20"/>
              </w:rPr>
              <w:t>Under the current HIPAA Security Rule, some implementation specifications are “required” and others are “addressable.” Addressable does not mean optional. The organization must assess whether the specification is reasonable and appropriate, implement it when it is, or document why an equivalent measure or another approach is reasonable and appropriate.</w:t>
            </w:r>
          </w:p>
        </w:tc>
      </w:tr>
    </w:tbl>
    <w:p>
      <w:pPr>
        <w:pStyle w:val="CTAHeading2"/>
        <w:keepNext/>
      </w:pPr>
      <w:r>
        <w:rPr>
          <w:rFonts w:ascii="Lato" w:hAnsi="Lato" w:eastAsia="Lato"/>
          <w:b/>
          <w:i w:val="0"/>
          <w:color w:val="0B2447"/>
          <w:sz w:val="26"/>
        </w:rPr>
        <w:t>6. Vendors, Cloud Services, and Business Associate Agreements</w:t>
      </w:r>
    </w:p>
    <w:p>
      <w:pPr>
        <w:pStyle w:val="CTABody"/>
      </w:pPr>
      <w:r>
        <w:rPr>
          <w:rFonts w:ascii="Lato" w:hAnsi="Lato" w:eastAsia="Lato"/>
          <w:b w:val="0"/>
          <w:i w:val="0"/>
        </w:rPr>
        <w:t>A technology vendor may create, receive, maintain, or transmit client information. The therapist should determine what the vendor actually does with the data rather than relying on marketing language such as “HIPAA-ready” or “military-grade security.”</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Vendor Question</w:t>
            </w:r>
          </w:p>
        </w:tc>
        <w:tc>
          <w:tcPr>
            <w:tcW w:type="dxa" w:w="4980"/>
            <w:shd w:fill="0B2447"/>
          </w:tcPr>
          <w:p>
            <w:pPr>
              <w:jc w:val="center"/>
            </w:pPr>
            <w:r>
              <w:rPr>
                <w:rFonts w:ascii="Lato" w:hAnsi="Lato" w:eastAsia="Lato"/>
                <w:b/>
                <w:i w:val="0"/>
                <w:color w:val="FFFFFF"/>
                <w:sz w:val="18"/>
              </w:rPr>
              <w:t>Why It Matters</w:t>
            </w:r>
          </w:p>
        </w:tc>
      </w:tr>
      <w:tr>
        <w:trPr>
          <w:cantSplit w:val="1"/>
        </w:trPr>
        <w:tc>
          <w:tcPr>
            <w:tcW w:type="dxa" w:w="4980"/>
            <w:shd w:fill="EEF3F8"/>
            <w:vAlign w:val="top"/>
          </w:tcPr>
          <w:p>
            <w:pPr>
              <w:spacing w:after="0" w:line="245" w:lineRule="auto"/>
            </w:pPr>
            <w:r>
              <w:rPr>
                <w:rFonts w:ascii="Lato" w:hAnsi="Lato" w:eastAsia="Lato"/>
                <w:b/>
                <w:i w:val="0"/>
                <w:color w:val="0B2447"/>
                <w:sz w:val="16"/>
              </w:rPr>
              <w:t>Does the vendor create, receive, maintain, or transmit PHI on behalf of a HIPAA-regulated entity?</w:t>
            </w:r>
          </w:p>
        </w:tc>
        <w:tc>
          <w:tcPr>
            <w:tcW w:type="dxa" w:w="4980"/>
            <w:vAlign w:val="top"/>
          </w:tcPr>
          <w:p>
            <w:pPr>
              <w:spacing w:after="0" w:line="245" w:lineRule="auto"/>
            </w:pPr>
            <w:r>
              <w:rPr>
                <w:rFonts w:ascii="Lato" w:hAnsi="Lato" w:eastAsia="Lato"/>
                <w:b w:val="0"/>
                <w:i w:val="0"/>
                <w:color w:val="111827"/>
                <w:sz w:val="16"/>
              </w:rPr>
              <w:t>The vendor may be a business associate, requiring a written BAA and direct HIPAA obligations.</w:t>
            </w:r>
          </w:p>
        </w:tc>
      </w:tr>
      <w:tr>
        <w:trPr>
          <w:cantSplit w:val="1"/>
        </w:trPr>
        <w:tc>
          <w:tcPr>
            <w:tcW w:type="dxa" w:w="4980"/>
            <w:shd w:fill="EEF3F8"/>
            <w:vAlign w:val="top"/>
          </w:tcPr>
          <w:p>
            <w:pPr>
              <w:spacing w:after="0" w:line="245" w:lineRule="auto"/>
            </w:pPr>
            <w:r>
              <w:rPr>
                <w:rFonts w:ascii="Lato" w:hAnsi="Lato" w:eastAsia="Lato"/>
                <w:b/>
                <w:i w:val="0"/>
                <w:color w:val="0B2447"/>
                <w:sz w:val="16"/>
              </w:rPr>
              <w:t>Is the vendor merely a conduit with only transient access, or does it store, record, transcribe, analyze, or routinely access information?</w:t>
            </w:r>
          </w:p>
        </w:tc>
        <w:tc>
          <w:tcPr>
            <w:tcW w:type="dxa" w:w="4980"/>
            <w:vAlign w:val="top"/>
          </w:tcPr>
          <w:p>
            <w:pPr>
              <w:spacing w:after="0" w:line="245" w:lineRule="auto"/>
            </w:pPr>
            <w:r>
              <w:rPr>
                <w:rFonts w:ascii="Lato" w:hAnsi="Lato" w:eastAsia="Lato"/>
                <w:b w:val="0"/>
                <w:i w:val="0"/>
                <w:color w:val="111827"/>
                <w:sz w:val="16"/>
              </w:rPr>
              <w:t>A conduit does not automatically become a business associate; storage or routine access usually changes the analysis.</w:t>
            </w:r>
          </w:p>
        </w:tc>
      </w:tr>
      <w:tr>
        <w:trPr>
          <w:cantSplit w:val="1"/>
        </w:trPr>
        <w:tc>
          <w:tcPr>
            <w:tcW w:type="dxa" w:w="4980"/>
            <w:shd w:fill="EEF3F8"/>
            <w:vAlign w:val="top"/>
          </w:tcPr>
          <w:p>
            <w:pPr>
              <w:spacing w:after="0" w:line="245" w:lineRule="auto"/>
            </w:pPr>
            <w:r>
              <w:rPr>
                <w:rFonts w:ascii="Lato" w:hAnsi="Lato" w:eastAsia="Lato"/>
                <w:b/>
                <w:i w:val="0"/>
                <w:color w:val="0B2447"/>
                <w:sz w:val="16"/>
              </w:rPr>
              <w:t>Where is data stored, how long is it retained, and who can access it?</w:t>
            </w:r>
          </w:p>
        </w:tc>
        <w:tc>
          <w:tcPr>
            <w:tcW w:type="dxa" w:w="4980"/>
            <w:vAlign w:val="top"/>
          </w:tcPr>
          <w:p>
            <w:pPr>
              <w:spacing w:after="0" w:line="245" w:lineRule="auto"/>
            </w:pPr>
            <w:r>
              <w:rPr>
                <w:rFonts w:ascii="Lato" w:hAnsi="Lato" w:eastAsia="Lato"/>
                <w:b w:val="0"/>
                <w:i w:val="0"/>
                <w:color w:val="111827"/>
                <w:sz w:val="16"/>
              </w:rPr>
              <w:t>Retention, subcontractors, overseas storage, support access, and administrator privileges affect risk.</w:t>
            </w:r>
          </w:p>
        </w:tc>
      </w:tr>
      <w:tr>
        <w:trPr>
          <w:cantSplit w:val="1"/>
        </w:trPr>
        <w:tc>
          <w:tcPr>
            <w:tcW w:type="dxa" w:w="4980"/>
            <w:shd w:fill="EEF3F8"/>
            <w:vAlign w:val="top"/>
          </w:tcPr>
          <w:p>
            <w:pPr>
              <w:spacing w:after="0" w:line="245" w:lineRule="auto"/>
            </w:pPr>
            <w:r>
              <w:rPr>
                <w:rFonts w:ascii="Lato" w:hAnsi="Lato" w:eastAsia="Lato"/>
                <w:b/>
                <w:i w:val="0"/>
                <w:color w:val="0B2447"/>
                <w:sz w:val="16"/>
              </w:rPr>
              <w:t>Does the vendor use data for product improvement, advertising, model training, or secondary purposes?</w:t>
            </w:r>
          </w:p>
        </w:tc>
        <w:tc>
          <w:tcPr>
            <w:tcW w:type="dxa" w:w="4980"/>
            <w:vAlign w:val="top"/>
          </w:tcPr>
          <w:p>
            <w:pPr>
              <w:spacing w:after="0" w:line="245" w:lineRule="auto"/>
            </w:pPr>
            <w:r>
              <w:rPr>
                <w:rFonts w:ascii="Lato" w:hAnsi="Lato" w:eastAsia="Lato"/>
                <w:b w:val="0"/>
                <w:i w:val="0"/>
                <w:color w:val="111827"/>
                <w:sz w:val="16"/>
              </w:rPr>
              <w:t>Terms of service may permit uses that conflict with confidentiality or authorization limits.</w:t>
            </w:r>
          </w:p>
        </w:tc>
      </w:tr>
      <w:tr>
        <w:trPr>
          <w:cantSplit w:val="1"/>
        </w:trPr>
        <w:tc>
          <w:tcPr>
            <w:tcW w:type="dxa" w:w="4980"/>
            <w:shd w:fill="EEF3F8"/>
            <w:vAlign w:val="top"/>
          </w:tcPr>
          <w:p>
            <w:pPr>
              <w:spacing w:after="0" w:line="245" w:lineRule="auto"/>
            </w:pPr>
            <w:r>
              <w:rPr>
                <w:rFonts w:ascii="Lato" w:hAnsi="Lato" w:eastAsia="Lato"/>
                <w:b/>
                <w:i w:val="0"/>
                <w:color w:val="0B2447"/>
                <w:sz w:val="16"/>
              </w:rPr>
              <w:t>How are incidents reported, data exported, and data deleted at termination?</w:t>
            </w:r>
          </w:p>
        </w:tc>
        <w:tc>
          <w:tcPr>
            <w:tcW w:type="dxa" w:w="4980"/>
            <w:vAlign w:val="top"/>
          </w:tcPr>
          <w:p>
            <w:pPr>
              <w:spacing w:after="0" w:line="245" w:lineRule="auto"/>
            </w:pPr>
            <w:r>
              <w:rPr>
                <w:rFonts w:ascii="Lato" w:hAnsi="Lato" w:eastAsia="Lato"/>
                <w:b w:val="0"/>
                <w:i w:val="0"/>
                <w:color w:val="111827"/>
                <w:sz w:val="16"/>
              </w:rPr>
              <w:t>A practice needs timely notice, continuity, and an exit plan.</w:t>
            </w:r>
          </w:p>
        </w:tc>
      </w:tr>
      <w:tr>
        <w:trPr>
          <w:cantSplit w:val="1"/>
        </w:trPr>
        <w:tc>
          <w:tcPr>
            <w:tcW w:type="dxa" w:w="4980"/>
            <w:shd w:fill="EEF3F8"/>
            <w:vAlign w:val="top"/>
          </w:tcPr>
          <w:p>
            <w:pPr>
              <w:spacing w:after="0" w:line="245" w:lineRule="auto"/>
            </w:pPr>
            <w:r>
              <w:rPr>
                <w:rFonts w:ascii="Lato" w:hAnsi="Lato" w:eastAsia="Lato"/>
                <w:b/>
                <w:i w:val="0"/>
                <w:color w:val="0B2447"/>
                <w:sz w:val="16"/>
              </w:rPr>
              <w:t>Has the practice reviewed the vendor contract and security information?</w:t>
            </w:r>
          </w:p>
        </w:tc>
        <w:tc>
          <w:tcPr>
            <w:tcW w:type="dxa" w:w="4980"/>
            <w:vAlign w:val="top"/>
          </w:tcPr>
          <w:p>
            <w:pPr>
              <w:spacing w:after="0" w:line="245" w:lineRule="auto"/>
            </w:pPr>
            <w:r>
              <w:rPr>
                <w:rFonts w:ascii="Lato" w:hAnsi="Lato" w:eastAsia="Lato"/>
                <w:b w:val="0"/>
                <w:i w:val="0"/>
                <w:color w:val="111827"/>
                <w:sz w:val="16"/>
              </w:rPr>
              <w:t>A BAA or contract is a safeguard, not proof that the technology is secure or appropriate.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A BAA may be legally required when a vendor is a business associate. A BAA does not certify the product, eliminate risk analysis, or make every use of the product appropriate.</w:t>
            </w:r>
          </w:p>
        </w:tc>
      </w:tr>
    </w:tbl>
    <w:p>
      <w:pPr>
        <w:pStyle w:val="CTAHeading2"/>
        <w:keepNext/>
      </w:pPr>
      <w:r>
        <w:rPr>
          <w:rFonts w:ascii="Lato" w:hAnsi="Lato" w:eastAsia="Lato"/>
          <w:b/>
          <w:i w:val="0"/>
          <w:color w:val="0B2447"/>
          <w:sz w:val="26"/>
        </w:rPr>
        <w:t>7. Artificial Intelligence and Automated Tools</w:t>
      </w:r>
    </w:p>
    <w:p>
      <w:pPr>
        <w:pStyle w:val="CTABody"/>
      </w:pPr>
      <w:r>
        <w:rPr>
          <w:rFonts w:ascii="Lato" w:hAnsi="Lato" w:eastAsia="Lato"/>
          <w:b w:val="0"/>
          <w:i w:val="0"/>
        </w:rPr>
        <w:t>AI scribes, transcription tools, automated summaries, chatbots, and other digital assistants may create, receive, maintain, or transmit sensitive information. Risk management should address vendor status, data retention, model training, accuracy, human review, recording or transcription notice, client understanding, and whether the tool is appropriate for the service.</w:t>
      </w:r>
    </w:p>
    <w:p>
      <w:pPr>
        <w:pStyle w:val="CTABody"/>
      </w:pPr>
      <w:r>
        <w:rPr>
          <w:rFonts w:ascii="Lato" w:hAnsi="Lato" w:eastAsia="Lato"/>
          <w:b w:val="0"/>
          <w:i w:val="0"/>
        </w:rPr>
        <w:t>A therapist remains responsible for the clinical record and professional decision. An AI-generated note should not be accepted without review merely because the software produced it.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Trap</w:t>
            </w:r>
          </w:p>
          <w:p>
            <w:pPr>
              <w:spacing w:after="0" w:line="254" w:lineRule="auto"/>
            </w:pPr>
            <w:r>
              <w:rPr>
                <w:rFonts w:ascii="Lato" w:hAnsi="Lato" w:eastAsia="Lato"/>
                <w:b w:val="0"/>
                <w:i w:val="0"/>
                <w:sz w:val="20"/>
              </w:rPr>
              <w:t>New technology is not automatically prohibited, approved, confidential, accurate, or competent. Evaluate the function and risk.</w:t>
            </w:r>
          </w:p>
        </w:tc>
      </w:tr>
    </w:tbl>
    <w:p>
      <w:pPr>
        <w:pStyle w:val="CTAHeading2"/>
        <w:keepNext/>
      </w:pPr>
      <w:r>
        <w:rPr>
          <w:rFonts w:ascii="Lato" w:hAnsi="Lato" w:eastAsia="Lato"/>
          <w:b/>
          <w:i w:val="0"/>
          <w:color w:val="0B2447"/>
          <w:sz w:val="26"/>
        </w:rPr>
        <w:t>8. Backup, Recovery, and Continuity</w:t>
      </w:r>
    </w:p>
    <w:p>
      <w:pPr>
        <w:pStyle w:val="CTABody"/>
      </w:pPr>
      <w:r>
        <w:rPr>
          <w:rFonts w:ascii="Lato" w:hAnsi="Lato" w:eastAsia="Lato"/>
          <w:b w:val="0"/>
          <w:i w:val="0"/>
        </w:rPr>
        <w:t>Availability requires more than making a backup. The practice should know what is backed up, how often, where the backup is stored, who can restore it, and whether restoration has been tested. A backup that cannot be restored is not an effective continuity plan.</w:t>
      </w:r>
    </w:p>
    <w:p>
      <w:pPr>
        <w:pStyle w:val="CTABody"/>
        <w:spacing w:after="60"/>
        <w:ind w:left="403" w:hanging="259"/>
      </w:pPr>
      <w:r>
        <w:rPr>
          <w:rFonts w:ascii="Lato" w:hAnsi="Lato" w:eastAsia="Lato"/>
          <w:b/>
          <w:i w:val="0"/>
          <w:color w:val="0AA6A6"/>
        </w:rPr>
        <w:t xml:space="preserve">• </w:t>
      </w:r>
      <w:r>
        <w:rPr>
          <w:rFonts w:ascii="Lato" w:hAnsi="Lato" w:eastAsia="Lato"/>
          <w:b w:val="0"/>
          <w:i w:val="0"/>
        </w:rPr>
        <w:t>Identify critical records, systems, contacts, and functions.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Maintain protected backups that are separated from the primary system when appropriate.</w:t>
      </w:r>
    </w:p>
    <w:p>
      <w:pPr>
        <w:pStyle w:val="CTABody"/>
        <w:spacing w:after="60"/>
        <w:ind w:left="403" w:hanging="259"/>
      </w:pPr>
      <w:r>
        <w:rPr>
          <w:rFonts w:ascii="Lato" w:hAnsi="Lato" w:eastAsia="Lato"/>
          <w:b/>
          <w:i w:val="0"/>
          <w:color w:val="0AA6A6"/>
        </w:rPr>
        <w:t xml:space="preserve">• </w:t>
      </w:r>
      <w:r>
        <w:rPr>
          <w:rFonts w:ascii="Lato" w:hAnsi="Lato" w:eastAsia="Lato"/>
          <w:b w:val="0"/>
          <w:i w:val="0"/>
        </w:rPr>
        <w:t>Establish disaster-recovery and emergency-mode procedures.</w:t>
      </w:r>
    </w:p>
    <w:p>
      <w:pPr>
        <w:pStyle w:val="CTABody"/>
        <w:spacing w:after="60"/>
        <w:ind w:left="403" w:hanging="259"/>
      </w:pPr>
      <w:r>
        <w:rPr>
          <w:rFonts w:ascii="Lato" w:hAnsi="Lato" w:eastAsia="Lato"/>
          <w:b/>
          <w:i w:val="0"/>
          <w:color w:val="0AA6A6"/>
        </w:rPr>
        <w:t xml:space="preserve">• </w:t>
      </w:r>
      <w:r>
        <w:rPr>
          <w:rFonts w:ascii="Lato" w:hAnsi="Lato" w:eastAsia="Lato"/>
          <w:b w:val="0"/>
          <w:i w:val="0"/>
        </w:rPr>
        <w:t>Test restoration and document results.</w:t>
      </w:r>
    </w:p>
    <w:p>
      <w:pPr>
        <w:pStyle w:val="CTABody"/>
        <w:spacing w:after="60"/>
        <w:ind w:left="403" w:hanging="259"/>
      </w:pPr>
      <w:r>
        <w:rPr>
          <w:rFonts w:ascii="Lato" w:hAnsi="Lato" w:eastAsia="Lato"/>
          <w:b/>
          <w:i w:val="0"/>
          <w:color w:val="0AA6A6"/>
        </w:rPr>
        <w:t xml:space="preserve">• </w:t>
      </w:r>
      <w:r>
        <w:rPr>
          <w:rFonts w:ascii="Lato" w:hAnsi="Lato" w:eastAsia="Lato"/>
          <w:b w:val="0"/>
          <w:i w:val="0"/>
        </w:rPr>
        <w:t>Plan for internet outages, platform failure, power loss, device loss, ransomware, and vendor shutdown.</w:t>
      </w:r>
    </w:p>
    <w:p>
      <w:pPr>
        <w:pStyle w:val="CTABody"/>
        <w:spacing w:after="60"/>
        <w:ind w:left="403" w:hanging="259"/>
      </w:pPr>
      <w:r>
        <w:rPr>
          <w:rFonts w:ascii="Lato" w:hAnsi="Lato" w:eastAsia="Lato"/>
          <w:b/>
          <w:i w:val="0"/>
          <w:color w:val="0AA6A6"/>
        </w:rPr>
        <w:t xml:space="preserve">• </w:t>
      </w:r>
      <w:r>
        <w:rPr>
          <w:rFonts w:ascii="Lato" w:hAnsi="Lato" w:eastAsia="Lato"/>
          <w:b w:val="0"/>
          <w:i w:val="0"/>
        </w:rPr>
        <w:t>Maintain lawful access to records during a vendor transition or practice closure.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Clinical Pearl</w:t>
            </w:r>
          </w:p>
          <w:p>
            <w:pPr>
              <w:spacing w:after="0" w:line="254" w:lineRule="auto"/>
            </w:pPr>
            <w:r>
              <w:rPr>
                <w:rFonts w:ascii="Lato" w:hAnsi="Lato" w:eastAsia="Lato"/>
                <w:b w:val="0"/>
                <w:i w:val="0"/>
                <w:sz w:val="20"/>
              </w:rPr>
              <w:t>Availability is a client-safety issue. The therapist may need records, contact information, safety plans, and local resources when technology is failing.</w:t>
            </w:r>
          </w:p>
        </w:tc>
      </w:tr>
    </w:tbl>
    <w:p>
      <w:pPr>
        <w:pStyle w:val="CTAHeading2"/>
        <w:keepNext/>
      </w:pPr>
      <w:r>
        <w:rPr>
          <w:rFonts w:ascii="Lato" w:hAnsi="Lato" w:eastAsia="Lato"/>
          <w:b/>
          <w:i w:val="0"/>
          <w:color w:val="0B2447"/>
          <w:sz w:val="26"/>
        </w:rPr>
        <w:t>9. Policies, Training, and Ongoing Monitoring</w:t>
      </w:r>
    </w:p>
    <w:p>
      <w:pPr>
        <w:pStyle w:val="CTABody"/>
      </w:pPr>
      <w:r>
        <w:rPr>
          <w:rFonts w:ascii="Lato" w:hAnsi="Lato" w:eastAsia="Lato"/>
          <w:b w:val="0"/>
          <w:i w:val="0"/>
        </w:rPr>
        <w:t>Security policies should reflect actual practice rather than sit unread in a template. Staff, registered ASWs, supervisors, contractors, and volunteers need role-appropriate training and should know how to report suspicious activity or mistakes without concealing them.</w:t>
      </w:r>
    </w:p>
    <w:p>
      <w:pPr>
        <w:pStyle w:val="CTABody"/>
      </w:pPr>
      <w:r>
        <w:rPr>
          <w:rFonts w:ascii="Lato" w:hAnsi="Lato" w:eastAsia="Lato"/>
          <w:b w:val="0"/>
          <w:i w:val="0"/>
        </w:rPr>
        <w:t>Risk management continues after implementation. Practices should revisit security when they add a vendor, change locations, hire staff, discover a vulnerability, experience an incident, change devices, or receive new legal or professional guidance.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Current-Law Warning</w:t>
            </w:r>
          </w:p>
          <w:p>
            <w:pPr>
              <w:spacing w:after="0" w:line="254" w:lineRule="auto"/>
            </w:pPr>
            <w:r>
              <w:rPr>
                <w:rFonts w:ascii="Lato" w:hAnsi="Lato" w:eastAsia="Lato"/>
                <w:b w:val="0"/>
                <w:i w:val="0"/>
                <w:sz w:val="20"/>
              </w:rPr>
              <w:t>HHS proposed major revisions to the HIPAA Security Rule in December 2024. As of August 6, 2026, the proposal should not be taught as final law. Use the Security Rule currently in effect while monitoring for a final rule and implementation dates.</w:t>
            </w:r>
          </w:p>
        </w:tc>
      </w:tr>
    </w:tbl>
    <w:p>
      <w:pPr>
        <w:pStyle w:val="CTAHeading2"/>
        <w:keepNext/>
      </w:pPr>
      <w:r>
        <w:rPr>
          <w:rFonts w:ascii="Lato" w:hAnsi="Lato" w:eastAsia="Lato"/>
          <w:b/>
          <w:i w:val="0"/>
          <w:color w:val="0B2447"/>
          <w:sz w:val="26"/>
        </w:rPr>
        <w:t>10. Security Incident Is Not Automatically a Reportable Breach</w:t>
      </w:r>
    </w:p>
    <w:p>
      <w:pPr>
        <w:pStyle w:val="CTABody"/>
      </w:pPr>
      <w:r>
        <w:rPr>
          <w:rFonts w:ascii="Lato" w:hAnsi="Lato" w:eastAsia="Lato"/>
          <w:b w:val="0"/>
          <w:i w:val="0"/>
        </w:rPr>
        <w:t>A security incident is an attempted or successful unauthorized access, use, disclosure, modification, destruction, or interference involving information or systems. Examples include a phishing email, wrong recipient, lost device, suspicious login, malware alert, or vendor notice. Every suspected incident deserves prompt assessment, but notification duties depend on the facts and the governing law.</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Term</w:t>
            </w:r>
          </w:p>
        </w:tc>
        <w:tc>
          <w:tcPr>
            <w:tcW w:type="dxa" w:w="4980"/>
            <w:shd w:fill="0B2447"/>
          </w:tcPr>
          <w:p>
            <w:pPr>
              <w:jc w:val="center"/>
            </w:pPr>
            <w:r>
              <w:rPr>
                <w:rFonts w:ascii="Lato" w:hAnsi="Lato" w:eastAsia="Lato"/>
                <w:b/>
                <w:i w:val="0"/>
                <w:color w:val="FFFFFF"/>
                <w:sz w:val="18"/>
              </w:rPr>
              <w:t>Meaning for Exam Analysis</w:t>
            </w:r>
          </w:p>
        </w:tc>
      </w:tr>
      <w:tr>
        <w:trPr>
          <w:cantSplit w:val="1"/>
        </w:trPr>
        <w:tc>
          <w:tcPr>
            <w:tcW w:type="dxa" w:w="4980"/>
            <w:shd w:fill="EEF3F8"/>
            <w:vAlign w:val="top"/>
          </w:tcPr>
          <w:p>
            <w:pPr>
              <w:spacing w:after="0" w:line="245" w:lineRule="auto"/>
            </w:pPr>
            <w:r>
              <w:rPr>
                <w:rFonts w:ascii="Lato" w:hAnsi="Lato" w:eastAsia="Lato"/>
                <w:b/>
                <w:i w:val="0"/>
                <w:color w:val="0B2447"/>
                <w:sz w:val="17"/>
              </w:rPr>
              <w:t>Incident</w:t>
            </w:r>
          </w:p>
        </w:tc>
        <w:tc>
          <w:tcPr>
            <w:tcW w:type="dxa" w:w="4980"/>
            <w:vAlign w:val="top"/>
          </w:tcPr>
          <w:p>
            <w:pPr>
              <w:spacing w:after="0" w:line="245" w:lineRule="auto"/>
            </w:pPr>
            <w:r>
              <w:rPr>
                <w:rFonts w:ascii="Lato" w:hAnsi="Lato" w:eastAsia="Lato"/>
                <w:b w:val="0"/>
                <w:i w:val="0"/>
                <w:color w:val="111827"/>
                <w:sz w:val="17"/>
              </w:rPr>
              <w:t>A potential or actual security event that should be contained and investigated.</w:t>
            </w:r>
          </w:p>
        </w:tc>
      </w:tr>
      <w:tr>
        <w:trPr>
          <w:cantSplit w:val="1"/>
        </w:trPr>
        <w:tc>
          <w:tcPr>
            <w:tcW w:type="dxa" w:w="4980"/>
            <w:shd w:fill="EEF3F8"/>
            <w:vAlign w:val="top"/>
          </w:tcPr>
          <w:p>
            <w:pPr>
              <w:spacing w:after="0" w:line="245" w:lineRule="auto"/>
            </w:pPr>
            <w:r>
              <w:rPr>
                <w:rFonts w:ascii="Lato" w:hAnsi="Lato" w:eastAsia="Lato"/>
                <w:b/>
                <w:i w:val="0"/>
                <w:color w:val="0B2447"/>
                <w:sz w:val="17"/>
              </w:rPr>
              <w:t>HIPAA breach</w:t>
            </w:r>
          </w:p>
        </w:tc>
        <w:tc>
          <w:tcPr>
            <w:tcW w:type="dxa" w:w="4980"/>
            <w:vAlign w:val="top"/>
          </w:tcPr>
          <w:p>
            <w:pPr>
              <w:spacing w:after="0" w:line="245" w:lineRule="auto"/>
            </w:pPr>
            <w:r>
              <w:rPr>
                <w:rFonts w:ascii="Lato" w:hAnsi="Lato" w:eastAsia="Lato"/>
                <w:b w:val="0"/>
                <w:i w:val="0"/>
                <w:color w:val="111827"/>
                <w:sz w:val="17"/>
              </w:rPr>
              <w:t>An impermissible use or disclosure of unsecured PHI is presumed to be a breach unless the regulated entity demonstrates a low probability of compromise using the required risk assessment or an exception applies.</w:t>
            </w:r>
          </w:p>
        </w:tc>
      </w:tr>
      <w:tr>
        <w:trPr>
          <w:cantSplit w:val="1"/>
        </w:trPr>
        <w:tc>
          <w:tcPr>
            <w:tcW w:type="dxa" w:w="4980"/>
            <w:shd w:fill="EEF3F8"/>
            <w:vAlign w:val="top"/>
          </w:tcPr>
          <w:p>
            <w:pPr>
              <w:spacing w:after="0" w:line="245" w:lineRule="auto"/>
            </w:pPr>
            <w:r>
              <w:rPr>
                <w:rFonts w:ascii="Lato" w:hAnsi="Lato" w:eastAsia="Lato"/>
                <w:b/>
                <w:i w:val="0"/>
                <w:color w:val="0B2447"/>
                <w:sz w:val="17"/>
              </w:rPr>
              <w:t>California data breach</w:t>
            </w:r>
          </w:p>
        </w:tc>
        <w:tc>
          <w:tcPr>
            <w:tcW w:type="dxa" w:w="4980"/>
            <w:vAlign w:val="top"/>
          </w:tcPr>
          <w:p>
            <w:pPr>
              <w:spacing w:after="0" w:line="245" w:lineRule="auto"/>
            </w:pPr>
            <w:r>
              <w:rPr>
                <w:rFonts w:ascii="Lato" w:hAnsi="Lato" w:eastAsia="Lato"/>
                <w:b w:val="0"/>
                <w:i w:val="0"/>
                <w:color w:val="111827"/>
                <w:sz w:val="17"/>
              </w:rPr>
              <w:t>California notice law may apply when defined unencrypted personal information was acquired, or is reasonably believed to have been acquired, by an unauthorized person.</w:t>
            </w:r>
          </w:p>
        </w:tc>
      </w:tr>
      <w:tr>
        <w:trPr>
          <w:cantSplit w:val="1"/>
        </w:trPr>
        <w:tc>
          <w:tcPr>
            <w:tcW w:type="dxa" w:w="4980"/>
            <w:shd w:fill="EEF3F8"/>
            <w:vAlign w:val="top"/>
          </w:tcPr>
          <w:p>
            <w:pPr>
              <w:spacing w:after="0" w:line="245" w:lineRule="auto"/>
            </w:pPr>
            <w:r>
              <w:rPr>
                <w:rFonts w:ascii="Lato" w:hAnsi="Lato" w:eastAsia="Lato"/>
                <w:b/>
                <w:i w:val="0"/>
                <w:color w:val="0B2447"/>
                <w:sz w:val="17"/>
              </w:rPr>
              <w:t>Confidentiality event</w:t>
            </w:r>
          </w:p>
        </w:tc>
        <w:tc>
          <w:tcPr>
            <w:tcW w:type="dxa" w:w="4980"/>
            <w:vAlign w:val="top"/>
          </w:tcPr>
          <w:p>
            <w:pPr>
              <w:spacing w:after="0" w:line="245" w:lineRule="auto"/>
            </w:pPr>
            <w:r>
              <w:rPr>
                <w:rFonts w:ascii="Lato" w:hAnsi="Lato" w:eastAsia="Lato"/>
                <w:b w:val="0"/>
                <w:i w:val="0"/>
                <w:color w:val="111827"/>
                <w:sz w:val="17"/>
              </w:rPr>
              <w:t>An event may require clinical, contractual, insurance, employer, or professional response even when a specific breach-notification statute does not apply.</w:t>
            </w:r>
          </w:p>
        </w:tc>
      </w:tr>
    </w:tbl>
    <w:p>
      <w:pPr>
        <w:pStyle w:val="CTAHeading2"/>
        <w:keepNext/>
      </w:pPr>
      <w:r>
        <w:rPr>
          <w:rFonts w:ascii="Lato" w:hAnsi="Lato" w:eastAsia="Lato"/>
          <w:b/>
          <w:i w:val="0"/>
          <w:color w:val="0B2447"/>
          <w:sz w:val="26"/>
        </w:rPr>
        <w:t>11. Incident Response Sequence</w:t>
      </w:r>
    </w:p>
    <w:p>
      <w:pPr>
        <w:pStyle w:val="CTABody"/>
      </w:pPr>
      <w:r>
        <w:rPr>
          <w:rFonts w:ascii="Lato" w:hAnsi="Lato" w:eastAsia="Lato"/>
          <w:b w:val="0"/>
          <w:i w:val="0"/>
        </w:rPr>
        <w:t>Do not wait for a client complaint or delete evidence. Use a structured response:</w:t>
      </w:r>
    </w:p>
    <w:p>
      <w:pPr>
        <w:pStyle w:val="CTABody"/>
        <w:spacing w:after="60"/>
        <w:ind w:left="432" w:hanging="317"/>
      </w:pPr>
      <w:r>
        <w:rPr>
          <w:rFonts w:ascii="Lato" w:hAnsi="Lato" w:eastAsia="Lato"/>
          <w:b/>
          <w:i w:val="0"/>
          <w:color w:val="0AA6A6"/>
        </w:rPr>
        <w:t xml:space="preserve">1. </w:t>
      </w:r>
      <w:r>
        <w:rPr>
          <w:rFonts w:ascii="Lato" w:hAnsi="Lato" w:eastAsia="Lato"/>
          <w:b w:val="0"/>
          <w:i w:val="0"/>
        </w:rPr>
        <w:t>Protect immediate client safety and contain the event. Disable compromised access, retrieve or recall information when feasible, isolate an affected device, or use a safe backup method.</w:t>
      </w:r>
    </w:p>
    <w:p>
      <w:pPr>
        <w:pStyle w:val="CTABody"/>
        <w:spacing w:after="60"/>
        <w:ind w:left="432" w:hanging="317"/>
      </w:pPr>
      <w:r>
        <w:rPr>
          <w:rFonts w:ascii="Lato" w:hAnsi="Lato" w:eastAsia="Lato"/>
          <w:b/>
          <w:i w:val="0"/>
          <w:color w:val="0AA6A6"/>
        </w:rPr>
        <w:t xml:space="preserve">2. </w:t>
      </w:r>
      <w:r>
        <w:rPr>
          <w:rFonts w:ascii="Lato" w:hAnsi="Lato" w:eastAsia="Lato"/>
          <w:b w:val="0"/>
          <w:i w:val="0"/>
        </w:rPr>
        <w:t>Preserve relevant evidence. Keep messages, logs, timestamps, device information, vendor notices, and the facts needed for analysis.</w:t>
      </w:r>
    </w:p>
    <w:p>
      <w:pPr>
        <w:pStyle w:val="CTABody"/>
        <w:spacing w:after="60"/>
        <w:ind w:left="432" w:hanging="317"/>
      </w:pPr>
      <w:r>
        <w:rPr>
          <w:rFonts w:ascii="Lato" w:hAnsi="Lato" w:eastAsia="Lato"/>
          <w:b/>
          <w:i w:val="0"/>
          <w:color w:val="0AA6A6"/>
        </w:rPr>
        <w:t xml:space="preserve">3. </w:t>
      </w:r>
      <w:r>
        <w:rPr>
          <w:rFonts w:ascii="Lato" w:hAnsi="Lato" w:eastAsia="Lato"/>
          <w:b w:val="0"/>
          <w:i w:val="0"/>
        </w:rPr>
        <w:t>Assess scope and risk. Determine what information was involved, who may have accessed it, whether it was actually viewed or acquired, whether encryption protected it, and what mitigation occurred.</w:t>
      </w:r>
    </w:p>
    <w:p>
      <w:pPr>
        <w:pStyle w:val="CTABody"/>
        <w:spacing w:after="60"/>
        <w:ind w:left="432" w:hanging="317"/>
      </w:pPr>
      <w:r>
        <w:rPr>
          <w:rFonts w:ascii="Lato" w:hAnsi="Lato" w:eastAsia="Lato"/>
          <w:b/>
          <w:i w:val="0"/>
          <w:color w:val="0AA6A6"/>
        </w:rPr>
        <w:t xml:space="preserve">4. </w:t>
      </w:r>
      <w:r>
        <w:rPr>
          <w:rFonts w:ascii="Lato" w:hAnsi="Lato" w:eastAsia="Lato"/>
          <w:b w:val="0"/>
          <w:i w:val="0"/>
        </w:rPr>
        <w:t>Consult applicable resources. Follow organizational policy and obtain privacy, legal, cybersecurity, supervisory, insurance, or vendor guidance when needed.</w:t>
      </w:r>
    </w:p>
    <w:p>
      <w:pPr>
        <w:pStyle w:val="CTABody"/>
        <w:spacing w:after="60"/>
        <w:ind w:left="432" w:hanging="317"/>
      </w:pPr>
      <w:r>
        <w:rPr>
          <w:rFonts w:ascii="Lato" w:hAnsi="Lato" w:eastAsia="Lato"/>
          <w:b/>
          <w:i w:val="0"/>
          <w:color w:val="0AA6A6"/>
        </w:rPr>
        <w:t xml:space="preserve">5. </w:t>
      </w:r>
      <w:r>
        <w:rPr>
          <w:rFonts w:ascii="Lato" w:hAnsi="Lato" w:eastAsia="Lato"/>
          <w:b w:val="0"/>
          <w:i w:val="0"/>
        </w:rPr>
        <w:t>Determine notification and reporting duties. Do not assume every incident must be reported to the BBS, HHS, law enforcement, or the client; do not assume silence is permitted either.</w:t>
      </w:r>
    </w:p>
    <w:p>
      <w:pPr>
        <w:pStyle w:val="CTABody"/>
        <w:spacing w:after="60"/>
        <w:ind w:left="432" w:hanging="317"/>
      </w:pPr>
      <w:r>
        <w:rPr>
          <w:rFonts w:ascii="Lato" w:hAnsi="Lato" w:eastAsia="Lato"/>
          <w:b/>
          <w:i w:val="0"/>
          <w:color w:val="0AA6A6"/>
        </w:rPr>
        <w:t xml:space="preserve">6. </w:t>
      </w:r>
      <w:r>
        <w:rPr>
          <w:rFonts w:ascii="Lato" w:hAnsi="Lato" w:eastAsia="Lato"/>
          <w:b w:val="0"/>
          <w:i w:val="0"/>
        </w:rPr>
        <w:t>Correct the vulnerability and document the incident, analysis, decisions, notifications, and follow-up.</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HIPAA Four-Factor Risk Assessment</w:t>
            </w:r>
          </w:p>
          <w:p>
            <w:pPr>
              <w:spacing w:after="0" w:line="254" w:lineRule="auto"/>
            </w:pPr>
            <w:r>
              <w:rPr>
                <w:rFonts w:ascii="Lato" w:hAnsi="Lato" w:eastAsia="Lato"/>
                <w:b w:val="0"/>
                <w:i w:val="0"/>
                <w:sz w:val="20"/>
              </w:rPr>
              <w:t>For a potential HIPAA breach, evaluate: (1) the nature and extent of PHI involved; (2) the unauthorized person; (3) whether the PHI was actually acquired or viewed; and (4) the extent of mitigation. Notification for a reportable breach must occur without unreasonable delay and within the applicable outer deadlines.</w:t>
            </w:r>
          </w:p>
        </w:tc>
      </w:tr>
    </w:tbl>
    <w:p>
      <w:pPr>
        <w:pStyle w:val="CTAHeading2"/>
        <w:keepNext/>
      </w:pPr>
      <w:r>
        <w:rPr>
          <w:rFonts w:ascii="Lato" w:hAnsi="Lato" w:eastAsia="Lato"/>
          <w:b/>
          <w:i w:val="0"/>
          <w:color w:val="0B2447"/>
          <w:sz w:val="26"/>
        </w:rPr>
        <w:t>12. Documentation and Accountability</w:t>
      </w:r>
    </w:p>
    <w:p>
      <w:pPr>
        <w:pStyle w:val="CTABody"/>
      </w:pPr>
      <w:r>
        <w:rPr>
          <w:rFonts w:ascii="Lato" w:hAnsi="Lato" w:eastAsia="Lato"/>
          <w:b w:val="0"/>
          <w:i w:val="0"/>
        </w:rPr>
        <w:t>Documentation should be proportional and factual. Depending on the situation, it may include:</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risk analysis and corrective-action plan.</w:t>
      </w:r>
    </w:p>
    <w:p>
      <w:pPr>
        <w:pStyle w:val="CTABody"/>
        <w:spacing w:after="60"/>
        <w:ind w:left="403" w:hanging="259"/>
      </w:pPr>
      <w:r>
        <w:rPr>
          <w:rFonts w:ascii="Lato" w:hAnsi="Lato" w:eastAsia="Lato"/>
          <w:b/>
          <w:i w:val="0"/>
          <w:color w:val="0AA6A6"/>
        </w:rPr>
        <w:t xml:space="preserve">• </w:t>
      </w:r>
      <w:r>
        <w:rPr>
          <w:rFonts w:ascii="Lato" w:hAnsi="Lato" w:eastAsia="Lato"/>
          <w:b w:val="0"/>
          <w:i w:val="0"/>
        </w:rPr>
        <w:t>Policies, training, access decisions, and periodic reviews.</w:t>
      </w:r>
    </w:p>
    <w:p>
      <w:pPr>
        <w:pStyle w:val="CTABody"/>
        <w:spacing w:after="60"/>
        <w:ind w:left="403" w:hanging="259"/>
      </w:pPr>
      <w:r>
        <w:rPr>
          <w:rFonts w:ascii="Lato" w:hAnsi="Lato" w:eastAsia="Lato"/>
          <w:b/>
          <w:i w:val="0"/>
          <w:color w:val="0AA6A6"/>
        </w:rPr>
        <w:t xml:space="preserve">• </w:t>
      </w:r>
      <w:r>
        <w:rPr>
          <w:rFonts w:ascii="Lato" w:hAnsi="Lato" w:eastAsia="Lato"/>
          <w:b w:val="0"/>
          <w:i w:val="0"/>
        </w:rPr>
        <w:t>Vendor evaluation, contracts, BAAs when required, and data-migration or termination decisions.</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incident facts, containment, risk assessment, consultation, notification analysis, and corrective action.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Clinically significant effects on treatment, continuity, safety, or the client relationship in the health-service record.</w:t>
      </w:r>
    </w:p>
    <w:p>
      <w:pPr>
        <w:pStyle w:val="CTABody"/>
        <w:spacing w:after="60"/>
        <w:ind w:left="403" w:hanging="259"/>
      </w:pPr>
      <w:r>
        <w:rPr>
          <w:rFonts w:ascii="Lato" w:hAnsi="Lato" w:eastAsia="Lato"/>
          <w:b/>
          <w:i w:val="0"/>
          <w:color w:val="0AA6A6"/>
        </w:rPr>
        <w:t xml:space="preserve">• </w:t>
      </w:r>
      <w:r>
        <w:rPr>
          <w:rFonts w:ascii="Lato" w:hAnsi="Lato" w:eastAsia="Lato"/>
          <w:b w:val="0"/>
          <w:i w:val="0"/>
        </w:rPr>
        <w:t>Separate administrative or security documentation when detailed technical information does not belong in the clinical progress note.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Documenting an incident does not mean placing every technical detail in the psychotherapy note. Use the appropriate record for the purpose.</w:t>
            </w:r>
          </w:p>
        </w:tc>
      </w:tr>
    </w:tbl>
    <w:p>
      <w:pPr>
        <w:pStyle w:val="CTAHeading2"/>
        <w:keepNext/>
      </w:pPr>
      <w:r>
        <w:rPr>
          <w:rFonts w:ascii="Lato" w:hAnsi="Lato" w:eastAsia="Lato"/>
          <w:b/>
          <w:i w:val="0"/>
          <w:color w:val="0B2447"/>
          <w:sz w:val="26"/>
        </w:rPr>
        <w:t>13. Technology Decision Framework</w:t>
      </w:r>
    </w:p>
    <w:p>
      <w:pPr>
        <w:pStyle w:val="CTABody"/>
      </w:pPr>
      <w:r>
        <w:rPr>
          <w:rFonts w:ascii="Lato" w:hAnsi="Lato" w:eastAsia="Lato"/>
          <w:b w:val="0"/>
          <w:i w:val="0"/>
        </w:rPr>
        <w:t>When evaluating a technology tool or practice, ask:</w:t>
      </w:r>
    </w:p>
    <w:p>
      <w:pPr>
        <w:pStyle w:val="CTABody"/>
        <w:spacing w:after="60"/>
        <w:ind w:left="432" w:hanging="317"/>
      </w:pPr>
      <w:r>
        <w:rPr>
          <w:rFonts w:ascii="Lato" w:hAnsi="Lato" w:eastAsia="Lato"/>
          <w:b/>
          <w:i w:val="0"/>
          <w:color w:val="0AA6A6"/>
        </w:rPr>
        <w:t xml:space="preserve">1. </w:t>
      </w:r>
      <w:r>
        <w:rPr>
          <w:rFonts w:ascii="Lato" w:hAnsi="Lato" w:eastAsia="Lato"/>
          <w:b w:val="0"/>
          <w:i w:val="0"/>
        </w:rPr>
        <w:t>PURPOSE - What clinical or operational function does the technology serve?</w:t>
      </w:r>
    </w:p>
    <w:p>
      <w:pPr>
        <w:pStyle w:val="CTABody"/>
        <w:spacing w:after="60"/>
        <w:ind w:left="432" w:hanging="317"/>
      </w:pPr>
      <w:r>
        <w:rPr>
          <w:rFonts w:ascii="Lato" w:hAnsi="Lato" w:eastAsia="Lato"/>
          <w:b/>
          <w:i w:val="0"/>
          <w:color w:val="0AA6A6"/>
        </w:rPr>
        <w:t xml:space="preserve">2. </w:t>
      </w:r>
      <w:r>
        <w:rPr>
          <w:rFonts w:ascii="Lato" w:hAnsi="Lato" w:eastAsia="Lato"/>
          <w:b w:val="0"/>
          <w:i w:val="0"/>
        </w:rPr>
        <w:t>DATA - What client information will it create, receive, maintain, transmit, or infer?</w:t>
      </w:r>
    </w:p>
    <w:p>
      <w:pPr>
        <w:pStyle w:val="CTABody"/>
        <w:spacing w:after="60"/>
        <w:ind w:left="432" w:hanging="317"/>
      </w:pPr>
      <w:r>
        <w:rPr>
          <w:rFonts w:ascii="Lato" w:hAnsi="Lato" w:eastAsia="Lato"/>
          <w:b/>
          <w:i w:val="0"/>
          <w:color w:val="0AA6A6"/>
        </w:rPr>
        <w:t xml:space="preserve">3. </w:t>
      </w:r>
      <w:r>
        <w:rPr>
          <w:rFonts w:ascii="Lato" w:hAnsi="Lato" w:eastAsia="Lato"/>
          <w:b w:val="0"/>
          <w:i w:val="0"/>
        </w:rPr>
        <w:t>AUTHORITY - Is the use lawful, within scope, and permitted by policy and contract?</w:t>
      </w:r>
    </w:p>
    <w:p>
      <w:pPr>
        <w:pStyle w:val="CTABody"/>
        <w:spacing w:after="60"/>
        <w:ind w:left="432" w:hanging="317"/>
      </w:pPr>
      <w:r>
        <w:rPr>
          <w:rFonts w:ascii="Lato" w:hAnsi="Lato" w:eastAsia="Lato"/>
          <w:b/>
          <w:i w:val="0"/>
          <w:color w:val="0AA6A6"/>
        </w:rPr>
        <w:t xml:space="preserve">4. </w:t>
      </w:r>
      <w:r>
        <w:rPr>
          <w:rFonts w:ascii="Lato" w:hAnsi="Lato" w:eastAsia="Lato"/>
          <w:b w:val="0"/>
          <w:i w:val="0"/>
        </w:rPr>
        <w:t>RISK - What threatens confidentiality, integrity, availability, boundaries, or client welfare?</w:t>
      </w:r>
    </w:p>
    <w:p>
      <w:pPr>
        <w:pStyle w:val="CTABody"/>
        <w:spacing w:after="60"/>
        <w:ind w:left="432" w:hanging="317"/>
      </w:pPr>
      <w:r>
        <w:rPr>
          <w:rFonts w:ascii="Lato" w:hAnsi="Lato" w:eastAsia="Lato"/>
          <w:b/>
          <w:i w:val="0"/>
          <w:color w:val="0AA6A6"/>
        </w:rPr>
        <w:t xml:space="preserve">5. </w:t>
      </w:r>
      <w:r>
        <w:rPr>
          <w:rFonts w:ascii="Lato" w:hAnsi="Lato" w:eastAsia="Lato"/>
          <w:b w:val="0"/>
          <w:i w:val="0"/>
        </w:rPr>
        <w:t>SAFEGUARDS - What administrative, physical, and technical protections are reasonable and appropriate?</w:t>
      </w:r>
    </w:p>
    <w:p>
      <w:pPr>
        <w:pStyle w:val="CTABody"/>
        <w:spacing w:after="60"/>
        <w:ind w:left="432" w:hanging="317"/>
      </w:pPr>
      <w:r>
        <w:rPr>
          <w:rFonts w:ascii="Lato" w:hAnsi="Lato" w:eastAsia="Lato"/>
          <w:b/>
          <w:i w:val="0"/>
          <w:color w:val="0AA6A6"/>
        </w:rPr>
        <w:t xml:space="preserve">6. </w:t>
      </w:r>
      <w:r>
        <w:rPr>
          <w:rFonts w:ascii="Lato" w:hAnsi="Lato" w:eastAsia="Lato"/>
          <w:b w:val="0"/>
          <w:i w:val="0"/>
        </w:rPr>
        <w:t>VENDOR - Is a BAA or other contract required, and have retention, access, secondary use, and exit terms been reviewed?</w:t>
      </w:r>
    </w:p>
    <w:p>
      <w:pPr>
        <w:pStyle w:val="CTABody"/>
        <w:spacing w:after="60"/>
        <w:ind w:left="432" w:hanging="317"/>
      </w:pPr>
      <w:r>
        <w:rPr>
          <w:rFonts w:ascii="Lato" w:hAnsi="Lato" w:eastAsia="Lato"/>
          <w:b/>
          <w:i w:val="0"/>
          <w:color w:val="0AA6A6"/>
        </w:rPr>
        <w:t xml:space="preserve">7. </w:t>
      </w:r>
      <w:r>
        <w:rPr>
          <w:rFonts w:ascii="Lato" w:hAnsi="Lato" w:eastAsia="Lato"/>
          <w:b w:val="0"/>
          <w:i w:val="0"/>
        </w:rPr>
        <w:t>CONTINUITY - What happens if the technology fails or the vendor disappears?</w:t>
      </w:r>
    </w:p>
    <w:p>
      <w:pPr>
        <w:pStyle w:val="CTABody"/>
        <w:spacing w:after="60"/>
        <w:ind w:left="432" w:hanging="317"/>
      </w:pPr>
      <w:r>
        <w:rPr>
          <w:rFonts w:ascii="Lato" w:hAnsi="Lato" w:eastAsia="Lato"/>
          <w:b/>
          <w:i w:val="0"/>
          <w:color w:val="0AA6A6"/>
        </w:rPr>
        <w:t xml:space="preserve">8. </w:t>
      </w:r>
      <w:r>
        <w:rPr>
          <w:rFonts w:ascii="Lato" w:hAnsi="Lato" w:eastAsia="Lato"/>
          <w:b w:val="0"/>
          <w:i w:val="0"/>
        </w:rPr>
        <w:t>MONITOR - How will changes, vulnerabilities, incidents, and effectiveness be reviewed?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PURPOSE -&gt; DATA -&gt; AUTHORITY -&gt; RISK -&gt; SAFEGUARDS -&gt; VENDOR -&gt; CONTINUITY -&gt; MONITOR</w:t>
            </w:r>
          </w:p>
        </w:tc>
      </w:tr>
    </w:tbl>
    <w:p>
      <w:pPr>
        <w:pStyle w:val="CTAHeading2"/>
        <w:keepNext/>
      </w:pPr>
      <w:r>
        <w:rPr>
          <w:rFonts w:ascii="Lato" w:hAnsi="Lato" w:eastAsia="Lato"/>
          <w:b/>
          <w:i w:val="0"/>
          <w:color w:val="0B2447"/>
          <w:sz w:val="26"/>
        </w:rPr>
        <w:t>Clinical Application</w:t>
      </w:r>
    </w:p>
    <w:p>
      <w:pPr>
        <w:pStyle w:val="CTAHeading3"/>
        <w:keepNext/>
      </w:pPr>
      <w:r>
        <w:rPr>
          <w:rFonts w:ascii="Lato" w:hAnsi="Lato" w:eastAsia="Lato"/>
          <w:b/>
          <w:i w:val="0"/>
          <w:color w:val="384250"/>
          <w:sz w:val="23"/>
        </w:rPr>
        <w:t>Scenario: The Lost Laptop</w:t>
      </w:r>
    </w:p>
    <w:p>
      <w:pPr>
        <w:pStyle w:val="CTABody"/>
      </w:pPr>
      <w:r>
        <w:rPr>
          <w:rFonts w:ascii="Lato" w:hAnsi="Lato" w:eastAsia="Lato"/>
          <w:b w:val="0"/>
          <w:i w:val="0"/>
        </w:rPr>
        <w:t>A therapist discovers that a laptop used for clinical work is missing. The device requires a strong password, uses full-disk encryption, and can be remotely disabled. The therapist does not know whether anyone attempted access.</w:t>
      </w:r>
    </w:p>
    <w:p>
      <w:pPr>
        <w:pStyle w:val="CTAHeading3"/>
        <w:keepNext/>
      </w:pPr>
      <w:r>
        <w:rPr>
          <w:rFonts w:ascii="Lato" w:hAnsi="Lato" w:eastAsia="Lato"/>
          <w:b/>
          <w:i w:val="0"/>
          <w:color w:val="384250"/>
          <w:sz w:val="23"/>
        </w:rPr>
        <w:t>Exam Analysis</w:t>
      </w:r>
    </w:p>
    <w:p>
      <w:pPr>
        <w:pStyle w:val="CTABody"/>
      </w:pPr>
      <w:r>
        <w:rPr>
          <w:rFonts w:ascii="Lato" w:hAnsi="Lato" w:eastAsia="Lato"/>
          <w:b w:val="0"/>
          <w:i w:val="0"/>
        </w:rPr>
        <w:t>The therapist should promptly activate the incident-response plan: attempt remote protection, preserve device and access information, determine what client information was stored or accessible, verify the encryption status and key protection, evaluate whether information was actually acquired or viewed, consult policy or legal resources, document the analysis, and determine whether notification is required. Encryption may substantially change the breach analysis, but it does not justify ignoring the loss.</w:t>
      </w:r>
    </w:p>
    <w:p>
      <w:pPr>
        <w:pStyle w:val="CTAHeading3"/>
        <w:keepNext/>
      </w:pPr>
      <w:r>
        <w:rPr>
          <w:rFonts w:ascii="Lato" w:hAnsi="Lato" w:eastAsia="Lato"/>
          <w:b/>
          <w:i w:val="0"/>
          <w:color w:val="384250"/>
          <w:sz w:val="23"/>
        </w:rPr>
        <w:t>What Is Being Tested?</w:t>
      </w:r>
    </w:p>
    <w:p>
      <w:pPr>
        <w:pStyle w:val="CTABody"/>
        <w:spacing w:after="60"/>
        <w:ind w:left="403" w:hanging="259"/>
      </w:pPr>
      <w:r>
        <w:rPr>
          <w:rFonts w:ascii="Lato" w:hAnsi="Lato" w:eastAsia="Lato"/>
          <w:b/>
          <w:i w:val="0"/>
          <w:color w:val="0AA6A6"/>
        </w:rPr>
        <w:t xml:space="preserve">• </w:t>
      </w:r>
      <w:r>
        <w:rPr>
          <w:rFonts w:ascii="Lato" w:hAnsi="Lato" w:eastAsia="Lato"/>
          <w:b w:val="0"/>
          <w:i w:val="0"/>
        </w:rPr>
        <w:t>Incident containment</w:t>
      </w:r>
    </w:p>
    <w:p>
      <w:pPr>
        <w:pStyle w:val="CTABody"/>
        <w:spacing w:after="60"/>
        <w:ind w:left="403" w:hanging="259"/>
      </w:pPr>
      <w:r>
        <w:rPr>
          <w:rFonts w:ascii="Lato" w:hAnsi="Lato" w:eastAsia="Lato"/>
          <w:b/>
          <w:i w:val="0"/>
          <w:color w:val="0AA6A6"/>
        </w:rPr>
        <w:t xml:space="preserve">• </w:t>
      </w:r>
      <w:r>
        <w:rPr>
          <w:rFonts w:ascii="Lato" w:hAnsi="Lato" w:eastAsia="Lato"/>
          <w:b w:val="0"/>
          <w:i w:val="0"/>
        </w:rPr>
        <w:t>Encryption and unsecured information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Evidence preservation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Breach assessment rather than automatic reporting</w:t>
      </w:r>
    </w:p>
    <w:p>
      <w:pPr>
        <w:pStyle w:val="CTABody"/>
        <w:spacing w:after="60"/>
        <w:ind w:left="403" w:hanging="259"/>
      </w:pPr>
      <w:r>
        <w:rPr>
          <w:rFonts w:ascii="Lato" w:hAnsi="Lato" w:eastAsia="Lato"/>
          <w:b/>
          <w:i w:val="0"/>
          <w:color w:val="0AA6A6"/>
        </w:rPr>
        <w:t xml:space="preserve">• </w:t>
      </w:r>
      <w:r>
        <w:rPr>
          <w:rFonts w:ascii="Lato" w:hAnsi="Lato" w:eastAsia="Lato"/>
          <w:b w:val="0"/>
          <w:i w:val="0"/>
        </w:rPr>
        <w:t>Documentation and corrective action</w:t>
      </w:r>
    </w:p>
    <w:p>
      <w:pPr>
        <w:pStyle w:val="CTAHeading2"/>
        <w:keepNext/>
      </w:pPr>
      <w:r>
        <w:rPr>
          <w:rFonts w:ascii="Lato" w:hAnsi="Lato" w:eastAsia="Lato"/>
          <w:b/>
          <w:i w:val="0"/>
          <w:color w:val="0B2447"/>
          <w:sz w:val="26"/>
        </w:rPr>
        <w:t>Common Exam Traps</w:t>
      </w:r>
    </w:p>
    <w:p>
      <w:pPr>
        <w:pStyle w:val="CTABody"/>
      </w:pPr>
      <w:r>
        <w:rPr>
          <w:rFonts w:ascii="Lato" w:hAnsi="Lato" w:eastAsia="Lato"/>
          <w:b/>
          <w:i w:val="0"/>
          <w:color w:val="9B1C1C"/>
        </w:rPr>
        <w:t xml:space="preserve">Trap 1: A “HIPAA-compliant” label ends the analysis. </w:t>
      </w:r>
      <w:r>
        <w:rPr>
          <w:rFonts w:ascii="Lato" w:hAnsi="Lato" w:eastAsia="Lato"/>
          <w:b w:val="0"/>
          <w:i w:val="0"/>
        </w:rPr>
        <w:t>No government agency certifies a product for every use. Configuration, contract, workflow, access, and actual data use still matter.</w:t>
      </w:r>
    </w:p>
    <w:p>
      <w:pPr>
        <w:pStyle w:val="CTABody"/>
      </w:pPr>
      <w:r>
        <w:rPr>
          <w:rFonts w:ascii="Lato" w:hAnsi="Lato" w:eastAsia="Lato"/>
          <w:b/>
          <w:i w:val="0"/>
          <w:color w:val="9B1C1C"/>
        </w:rPr>
        <w:t xml:space="preserve">Trap 2: A signed BAA guarantees security. </w:t>
      </w:r>
      <w:r>
        <w:rPr>
          <w:rFonts w:ascii="Lato" w:hAnsi="Lato" w:eastAsia="Lato"/>
          <w:b w:val="0"/>
          <w:i w:val="0"/>
        </w:rPr>
        <w:t>A BAA may be required, but it does not replace risk analysis or vendor oversight.</w:t>
      </w:r>
    </w:p>
    <w:p>
      <w:pPr>
        <w:pStyle w:val="CTABody"/>
      </w:pPr>
      <w:r>
        <w:rPr>
          <w:rFonts w:ascii="Lato" w:hAnsi="Lato" w:eastAsia="Lato"/>
          <w:b/>
          <w:i w:val="0"/>
          <w:color w:val="9B1C1C"/>
        </w:rPr>
        <w:t xml:space="preserve">Trap 3: Addressable means optional. </w:t>
      </w:r>
      <w:r>
        <w:rPr>
          <w:rFonts w:ascii="Lato" w:hAnsi="Lato" w:eastAsia="Lato"/>
          <w:b w:val="0"/>
          <w:i w:val="0"/>
        </w:rPr>
        <w:t>The organization must assess and document the reasonable and appropriate safeguard or equivalent measure.</w:t>
      </w:r>
    </w:p>
    <w:p>
      <w:pPr>
        <w:pStyle w:val="CTABody"/>
      </w:pPr>
      <w:r>
        <w:rPr>
          <w:rFonts w:ascii="Lato" w:hAnsi="Lato" w:eastAsia="Lato"/>
          <w:b/>
          <w:i w:val="0"/>
          <w:color w:val="9B1C1C"/>
        </w:rPr>
        <w:t xml:space="preserve">Trap 4: Every incident is automatically a reportable breach. </w:t>
      </w:r>
      <w:r>
        <w:rPr>
          <w:rFonts w:ascii="Lato" w:hAnsi="Lato" w:eastAsia="Lato"/>
          <w:b w:val="0"/>
          <w:i w:val="0"/>
        </w:rPr>
        <w:t>Contain and investigate first; apply the governing breach definition and risk assessment.</w:t>
      </w:r>
    </w:p>
    <w:p>
      <w:pPr>
        <w:pStyle w:val="CTABody"/>
      </w:pPr>
      <w:r>
        <w:rPr>
          <w:rFonts w:ascii="Lato" w:hAnsi="Lato" w:eastAsia="Lato"/>
          <w:b/>
          <w:i w:val="0"/>
          <w:color w:val="9B1C1C"/>
        </w:rPr>
        <w:t xml:space="preserve">Trap 5: No confirmed harm means no action is needed. </w:t>
      </w:r>
      <w:r>
        <w:rPr>
          <w:rFonts w:ascii="Lato" w:hAnsi="Lato" w:eastAsia="Lato"/>
          <w:b w:val="0"/>
          <w:i w:val="0"/>
        </w:rPr>
        <w:t>Risk management is preventive, and notification statutes often focus on acquisition or compromise rather than proven downstream harm.</w:t>
      </w:r>
    </w:p>
    <w:p>
      <w:pPr>
        <w:pStyle w:val="CTABody"/>
      </w:pPr>
      <w:r>
        <w:rPr>
          <w:rFonts w:ascii="Lato" w:hAnsi="Lato" w:eastAsia="Lato"/>
          <w:b/>
          <w:i w:val="0"/>
          <w:color w:val="9B1C1C"/>
        </w:rPr>
        <w:t xml:space="preserve">Trap 6: Delete the email, log, or file to solve the problem. </w:t>
      </w:r>
      <w:r>
        <w:rPr>
          <w:rFonts w:ascii="Lato" w:hAnsi="Lato" w:eastAsia="Lato"/>
          <w:b w:val="0"/>
          <w:i w:val="0"/>
        </w:rPr>
        <w:t>Deleting evidence may interfere with assessment, recovery, documentation, and legal obligations.</w:t>
      </w:r>
    </w:p>
    <w:p>
      <w:pPr>
        <w:pStyle w:val="CTABody"/>
      </w:pPr>
      <w:r>
        <w:rPr>
          <w:rFonts w:ascii="Lato" w:hAnsi="Lato" w:eastAsia="Lato"/>
          <w:b/>
          <w:i w:val="0"/>
          <w:color w:val="9B1C1C"/>
        </w:rPr>
        <w:t xml:space="preserve">Trap 7: Security belongs only to the IT vendor. </w:t>
      </w:r>
      <w:r>
        <w:rPr>
          <w:rFonts w:ascii="Lato" w:hAnsi="Lato" w:eastAsia="Lato"/>
          <w:b w:val="0"/>
          <w:i w:val="0"/>
        </w:rPr>
        <w:t>The therapist remains responsible for professional use, access decisions, policies, and client protection.</w:t>
      </w:r>
    </w:p>
    <w:p>
      <w:pPr>
        <w:pStyle w:val="CTABody"/>
      </w:pPr>
      <w:r>
        <w:rPr>
          <w:rFonts w:ascii="Lato" w:hAnsi="Lato" w:eastAsia="Lato"/>
          <w:b/>
          <w:i w:val="0"/>
          <w:color w:val="9B1C1C"/>
        </w:rPr>
        <w:t xml:space="preserve">Trap 8: Backed up means recoverable. </w:t>
      </w:r>
      <w:r>
        <w:rPr>
          <w:rFonts w:ascii="Lato" w:hAnsi="Lato" w:eastAsia="Lato"/>
          <w:b w:val="0"/>
          <w:i w:val="0"/>
        </w:rPr>
        <w:t>Restoration must be tested.</w:t>
      </w:r>
    </w:p>
    <w:p>
      <w:pPr>
        <w:pStyle w:val="CTABody"/>
      </w:pPr>
      <w:r>
        <w:rPr>
          <w:rFonts w:ascii="Lato" w:hAnsi="Lato" w:eastAsia="Lato"/>
          <w:b/>
          <w:i w:val="0"/>
          <w:color w:val="9B1C1C"/>
        </w:rPr>
        <w:t xml:space="preserve">Trap 9: Proposed HIPAA changes are already binding. </w:t>
      </w:r>
      <w:r>
        <w:rPr>
          <w:rFonts w:ascii="Lato" w:hAnsi="Lato" w:eastAsia="Lato"/>
          <w:b w:val="0"/>
          <w:i w:val="0"/>
        </w:rPr>
        <w:t>Apply the rule currently in effect unless a final rule and compliance date apply.</w:t>
      </w:r>
    </w:p>
    <w:p>
      <w:pPr>
        <w:pStyle w:val="CTAHeading2"/>
        <w:keepNext/>
      </w:pPr>
      <w:r>
        <w:rPr>
          <w:rFonts w:ascii="Lato" w:hAnsi="Lato" w:eastAsia="Lato"/>
          <w:b/>
          <w:i w:val="0"/>
          <w:color w:val="0B2447"/>
          <w:sz w:val="26"/>
        </w:rPr>
        <w:t>Exam Strategy</w:t>
      </w:r>
    </w:p>
    <w:p>
      <w:pPr>
        <w:pStyle w:val="CTABody"/>
      </w:pPr>
      <w:r>
        <w:rPr>
          <w:rFonts w:ascii="Lato" w:hAnsi="Lato" w:eastAsia="Lato"/>
          <w:b w:val="0"/>
          <w:i w:val="0"/>
        </w:rPr>
        <w:t>When a technology-risk question appears, use this order:</w:t>
      </w:r>
    </w:p>
    <w:p>
      <w:pPr>
        <w:pStyle w:val="CTABody"/>
        <w:spacing w:after="60"/>
        <w:ind w:left="432" w:hanging="317"/>
      </w:pPr>
      <w:r>
        <w:rPr>
          <w:rFonts w:ascii="Lato" w:hAnsi="Lato" w:eastAsia="Lato"/>
          <w:b/>
          <w:i w:val="0"/>
          <w:color w:val="0AA6A6"/>
        </w:rPr>
        <w:t xml:space="preserve">1. </w:t>
      </w:r>
      <w:r>
        <w:rPr>
          <w:rFonts w:ascii="Lato" w:hAnsi="Lato" w:eastAsia="Lato"/>
          <w:b w:val="0"/>
          <w:i w:val="0"/>
        </w:rPr>
        <w:t>CONTAIN - Stop or reduce ongoing exposure and protect immediate safety.</w:t>
      </w:r>
    </w:p>
    <w:p>
      <w:pPr>
        <w:pStyle w:val="CTABody"/>
        <w:spacing w:after="60"/>
        <w:ind w:left="432" w:hanging="317"/>
      </w:pPr>
      <w:r>
        <w:rPr>
          <w:rFonts w:ascii="Lato" w:hAnsi="Lato" w:eastAsia="Lato"/>
          <w:b/>
          <w:i w:val="0"/>
          <w:color w:val="0AA6A6"/>
        </w:rPr>
        <w:t xml:space="preserve">2. </w:t>
      </w:r>
      <w:r>
        <w:rPr>
          <w:rFonts w:ascii="Lato" w:hAnsi="Lato" w:eastAsia="Lato"/>
          <w:b w:val="0"/>
          <w:i w:val="0"/>
        </w:rPr>
        <w:t>PRESERVE - Keep the information needed to understand what happened.</w:t>
      </w:r>
    </w:p>
    <w:p>
      <w:pPr>
        <w:pStyle w:val="CTABody"/>
        <w:spacing w:after="60"/>
        <w:ind w:left="432" w:hanging="317"/>
      </w:pPr>
      <w:r>
        <w:rPr>
          <w:rFonts w:ascii="Lato" w:hAnsi="Lato" w:eastAsia="Lato"/>
          <w:b/>
          <w:i w:val="0"/>
          <w:color w:val="0AA6A6"/>
        </w:rPr>
        <w:t xml:space="preserve">3. </w:t>
      </w:r>
      <w:r>
        <w:rPr>
          <w:rFonts w:ascii="Lato" w:hAnsi="Lato" w:eastAsia="Lato"/>
          <w:b w:val="0"/>
          <w:i w:val="0"/>
        </w:rPr>
        <w:t>ASSESS - Identify data, people, systems, encryption, access, acquisition, and mitigation.</w:t>
      </w:r>
    </w:p>
    <w:p>
      <w:pPr>
        <w:pStyle w:val="CTABody"/>
        <w:spacing w:after="60"/>
        <w:ind w:left="432" w:hanging="317"/>
      </w:pPr>
      <w:r>
        <w:rPr>
          <w:rFonts w:ascii="Lato" w:hAnsi="Lato" w:eastAsia="Lato"/>
          <w:b/>
          <w:i w:val="0"/>
          <w:color w:val="0AA6A6"/>
        </w:rPr>
        <w:t xml:space="preserve">4. </w:t>
      </w:r>
      <w:r>
        <w:rPr>
          <w:rFonts w:ascii="Lato" w:hAnsi="Lato" w:eastAsia="Lato"/>
          <w:b w:val="0"/>
          <w:i w:val="0"/>
        </w:rPr>
        <w:t>CONSULT - Use policy and obtain appropriate legal, privacy, technical, supervisory, vendor, or insurance guidance.</w:t>
      </w:r>
    </w:p>
    <w:p>
      <w:pPr>
        <w:pStyle w:val="CTABody"/>
        <w:spacing w:after="60"/>
        <w:ind w:left="432" w:hanging="317"/>
      </w:pPr>
      <w:r>
        <w:rPr>
          <w:rFonts w:ascii="Lato" w:hAnsi="Lato" w:eastAsia="Lato"/>
          <w:b/>
          <w:i w:val="0"/>
          <w:color w:val="0AA6A6"/>
        </w:rPr>
        <w:t xml:space="preserve">5. </w:t>
      </w:r>
      <w:r>
        <w:rPr>
          <w:rFonts w:ascii="Lato" w:hAnsi="Lato" w:eastAsia="Lato"/>
          <w:b w:val="0"/>
          <w:i w:val="0"/>
        </w:rPr>
        <w:t>NOTIFY IF REQUIRED - Apply the governing law rather than guessing.</w:t>
      </w:r>
    </w:p>
    <w:p>
      <w:pPr>
        <w:pStyle w:val="CTABody"/>
        <w:spacing w:after="60"/>
        <w:ind w:left="432" w:hanging="317"/>
      </w:pPr>
      <w:r>
        <w:rPr>
          <w:rFonts w:ascii="Lato" w:hAnsi="Lato" w:eastAsia="Lato"/>
          <w:b/>
          <w:i w:val="0"/>
          <w:color w:val="0AA6A6"/>
        </w:rPr>
        <w:t xml:space="preserve">6. </w:t>
      </w:r>
      <w:r>
        <w:rPr>
          <w:rFonts w:ascii="Lato" w:hAnsi="Lato" w:eastAsia="Lato"/>
          <w:b w:val="0"/>
          <w:i w:val="0"/>
        </w:rPr>
        <w:t>CORRECT AND DOCUMENT - Fix the vulnerability, record decisions, and monitor follow-up.</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Aid</w:t>
            </w:r>
          </w:p>
          <w:p>
            <w:pPr>
              <w:spacing w:after="0" w:line="254" w:lineRule="auto"/>
            </w:pPr>
            <w:r>
              <w:rPr>
                <w:rFonts w:ascii="Lato" w:hAnsi="Lato" w:eastAsia="Lato"/>
                <w:b w:val="0"/>
                <w:i w:val="0"/>
                <w:sz w:val="20"/>
              </w:rPr>
              <w:t>CONTAIN -&gt; PRESERVE -&gt; ASSESS -&gt; CONSULT -&gt; NOTIFY IF REQUIRED -&gt; CORRECT AND DOCUMENT</w:t>
            </w:r>
          </w:p>
        </w:tc>
      </w:tr>
    </w:tbl>
    <w:p>
      <w:pPr>
        <w:pStyle w:val="CTAHeading2"/>
        <w:keepNext/>
      </w:pPr>
      <w:r>
        <w:rPr>
          <w:rFonts w:ascii="Lato" w:hAnsi="Lato" w:eastAsia="Lato"/>
          <w:b/>
          <w:i w:val="0"/>
          <w:color w:val="0B2447"/>
          <w:sz w:val="26"/>
        </w:rPr>
        <w:t>Chapter Snapshot</w:t>
      </w:r>
    </w:p>
    <w:p>
      <w:pPr>
        <w:pStyle w:val="CTABody"/>
        <w:spacing w:after="60"/>
        <w:ind w:left="403" w:hanging="259"/>
      </w:pPr>
      <w:r>
        <w:rPr>
          <w:rFonts w:ascii="Lato" w:hAnsi="Lato" w:eastAsia="Lato"/>
          <w:b/>
          <w:i w:val="0"/>
          <w:color w:val="0AA6A6"/>
        </w:rPr>
        <w:t xml:space="preserve">• </w:t>
      </w:r>
      <w:r>
        <w:rPr>
          <w:rFonts w:ascii="Lato" w:hAnsi="Lato" w:eastAsia="Lato"/>
          <w:b w:val="0"/>
          <w:i w:val="0"/>
        </w:rPr>
        <w:t>California BBS telehealth regulation requires compliance with applicable privacy, confidentiality, and security law each time telehealth is provided.</w:t>
      </w:r>
    </w:p>
    <w:p>
      <w:pPr>
        <w:pStyle w:val="CTABody"/>
        <w:spacing w:after="60"/>
        <w:ind w:left="403" w:hanging="259"/>
      </w:pPr>
      <w:r>
        <w:rPr>
          <w:rFonts w:ascii="Lato" w:hAnsi="Lato" w:eastAsia="Lato"/>
          <w:b/>
          <w:i w:val="0"/>
          <w:color w:val="0AA6A6"/>
        </w:rPr>
        <w:t xml:space="preserve">• </w:t>
      </w:r>
      <w:r>
        <w:rPr>
          <w:rFonts w:ascii="Lato" w:hAnsi="Lato" w:eastAsia="Lato"/>
          <w:b w:val="0"/>
          <w:i w:val="0"/>
        </w:rPr>
        <w:t>Security protects confidentiality, integrity, and availability.</w:t>
      </w:r>
    </w:p>
    <w:p>
      <w:pPr>
        <w:pStyle w:val="CTABody"/>
        <w:spacing w:after="60"/>
        <w:ind w:left="403" w:hanging="259"/>
      </w:pPr>
      <w:r>
        <w:rPr>
          <w:rFonts w:ascii="Lato" w:hAnsi="Lato" w:eastAsia="Lato"/>
          <w:b/>
          <w:i w:val="0"/>
          <w:color w:val="0AA6A6"/>
        </w:rPr>
        <w:t xml:space="preserve">• </w:t>
      </w:r>
      <w:r>
        <w:rPr>
          <w:rFonts w:ascii="Lato" w:hAnsi="Lato" w:eastAsia="Lato"/>
          <w:b w:val="0"/>
          <w:i w:val="0"/>
        </w:rPr>
        <w:t>Risk analysis identifies and evaluates risk; risk management reduces and monitors risk.</w:t>
      </w:r>
    </w:p>
    <w:p>
      <w:pPr>
        <w:pStyle w:val="CTABody"/>
        <w:spacing w:after="60"/>
        <w:ind w:left="403" w:hanging="259"/>
      </w:pPr>
      <w:r>
        <w:rPr>
          <w:rFonts w:ascii="Lato" w:hAnsi="Lato" w:eastAsia="Lato"/>
          <w:b/>
          <w:i w:val="0"/>
          <w:color w:val="0AA6A6"/>
        </w:rPr>
        <w:t xml:space="preserve">• </w:t>
      </w:r>
      <w:r>
        <w:rPr>
          <w:rFonts w:ascii="Lato" w:hAnsi="Lato" w:eastAsia="Lato"/>
          <w:b w:val="0"/>
          <w:i w:val="0"/>
        </w:rPr>
        <w:t>Administrative, physical, and technical safeguards work together.</w:t>
      </w:r>
    </w:p>
    <w:p>
      <w:pPr>
        <w:pStyle w:val="CTABody"/>
        <w:spacing w:after="60"/>
        <w:ind w:left="403" w:hanging="259"/>
      </w:pPr>
      <w:r>
        <w:rPr>
          <w:rFonts w:ascii="Lato" w:hAnsi="Lato" w:eastAsia="Lato"/>
          <w:b/>
          <w:i w:val="0"/>
          <w:color w:val="0AA6A6"/>
        </w:rPr>
        <w:t xml:space="preserve">• </w:t>
      </w:r>
      <w:r>
        <w:rPr>
          <w:rFonts w:ascii="Lato" w:hAnsi="Lato" w:eastAsia="Lato"/>
          <w:b w:val="0"/>
          <w:i w:val="0"/>
        </w:rPr>
        <w:t>Addressable HIPAA specifications require documented analysis; they are not simply optional.</w:t>
      </w:r>
    </w:p>
    <w:p>
      <w:pPr>
        <w:pStyle w:val="CTABody"/>
        <w:spacing w:after="60"/>
        <w:ind w:left="403" w:hanging="259"/>
      </w:pPr>
      <w:r>
        <w:rPr>
          <w:rFonts w:ascii="Lato" w:hAnsi="Lato" w:eastAsia="Lato"/>
          <w:b/>
          <w:i w:val="0"/>
          <w:color w:val="0AA6A6"/>
        </w:rPr>
        <w:t xml:space="preserve">• </w:t>
      </w:r>
      <w:r>
        <w:rPr>
          <w:rFonts w:ascii="Lato" w:hAnsi="Lato" w:eastAsia="Lato"/>
          <w:b w:val="0"/>
          <w:i w:val="0"/>
        </w:rPr>
        <w:t>A vendor contract or BAA does not replace due diligence.</w:t>
      </w:r>
    </w:p>
    <w:p>
      <w:pPr>
        <w:pStyle w:val="CTABody"/>
        <w:spacing w:after="60"/>
        <w:ind w:left="403" w:hanging="259"/>
      </w:pPr>
      <w:r>
        <w:rPr>
          <w:rFonts w:ascii="Lato" w:hAnsi="Lato" w:eastAsia="Lato"/>
          <w:b/>
          <w:i w:val="0"/>
          <w:color w:val="0AA6A6"/>
        </w:rPr>
        <w:t xml:space="preserve">• </w:t>
      </w:r>
      <w:r>
        <w:rPr>
          <w:rFonts w:ascii="Lato" w:hAnsi="Lato" w:eastAsia="Lato"/>
          <w:b w:val="0"/>
          <w:i w:val="0"/>
        </w:rPr>
        <w:t>Backups must be protected and tested for recovery.</w:t>
      </w:r>
    </w:p>
    <w:p>
      <w:pPr>
        <w:pStyle w:val="CTABody"/>
        <w:spacing w:after="60"/>
        <w:ind w:left="403" w:hanging="259"/>
      </w:pPr>
      <w:r>
        <w:rPr>
          <w:rFonts w:ascii="Lato" w:hAnsi="Lato" w:eastAsia="Lato"/>
          <w:b/>
          <w:i w:val="0"/>
          <w:color w:val="0AA6A6"/>
        </w:rPr>
        <w:t xml:space="preserve">• </w:t>
      </w:r>
      <w:r>
        <w:rPr>
          <w:rFonts w:ascii="Lato" w:hAnsi="Lato" w:eastAsia="Lato"/>
          <w:b w:val="0"/>
          <w:i w:val="0"/>
        </w:rPr>
        <w:t>A suspected incident requires prompt containment and assessment, but not every incident is automatically a legally reportable breach.</w:t>
      </w:r>
    </w:p>
    <w:p>
      <w:pPr>
        <w:pStyle w:val="CTABody"/>
        <w:spacing w:after="60"/>
        <w:ind w:left="403" w:hanging="259"/>
      </w:pPr>
      <w:r>
        <w:rPr>
          <w:rFonts w:ascii="Lato" w:hAnsi="Lato" w:eastAsia="Lato"/>
          <w:b/>
          <w:i w:val="0"/>
          <w:color w:val="0AA6A6"/>
        </w:rPr>
        <w:t xml:space="preserve">• </w:t>
      </w:r>
      <w:r>
        <w:rPr>
          <w:rFonts w:ascii="Lato" w:hAnsi="Lato" w:eastAsia="Lato"/>
          <w:b w:val="0"/>
          <w:i w:val="0"/>
        </w:rPr>
        <w:t>Proposed regulatory changes should not be taught as current law before finalization and the applicable compliance date.</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answer is usually proportional: protect, investigate, apply the correct rule, document, and correct the weakness.</w:t>
      </w:r>
    </w:p>
    <w:p>
      <w:r>
        <w:br w:type="page"/>
      </w:r>
    </w:p>
    <w:p>
      <w:pPr>
        <w:spacing w:before="2100"/>
        <w:jc w:val="center"/>
      </w:pPr>
      <w:r>
        <w:rPr>
          <w:rFonts w:ascii="Lato" w:hAnsi="Lato" w:eastAsia="Lato"/>
          <w:b/>
          <w:i w:val="0"/>
          <w:color w:val="0AA6A6"/>
          <w:sz w:val="28"/>
        </w:rPr>
        <w:t>SECTION III</w:t>
      </w:r>
    </w:p>
    <w:p>
      <w:pPr>
        <w:pStyle w:val="CTATitle"/>
        <w:jc w:val="center"/>
      </w:pPr>
      <w:r>
        <w:rPr>
          <w:rFonts w:ascii="Lato" w:hAnsi="Lato" w:eastAsia="Lato"/>
          <w:b/>
          <w:i w:val="0"/>
          <w:color w:val="0B2447"/>
          <w:sz w:val="44"/>
        </w:rPr>
        <w:t>Rapid Review</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6" w:color="0B2447"/>
              <w:left w:val="single" w:sz="6" w:color="0B2447"/>
              <w:bottom w:val="single" w:sz="6" w:color="0B2447"/>
              <w:right w:val="single" w:sz="6" w:color="0B2447"/>
            </w:tcBorders>
          </w:tcPr>
          <w:p>
            <w:pPr>
              <w:jc w:val="center"/>
            </w:pPr>
            <w:r>
              <w:rPr>
                <w:rFonts w:ascii="Lato" w:hAnsi="Lato" w:eastAsia="Lato"/>
                <w:b/>
                <w:i w:val="0"/>
                <w:color w:val="384250"/>
                <w:sz w:val="21"/>
              </w:rPr>
              <w:t>Chapter 7: Common Telehealth &amp; Technology Exam Traps</w:t>
            </w:r>
          </w:p>
          <w:p>
            <w:pPr>
              <w:jc w:val="center"/>
            </w:pPr>
            <w:r>
              <w:rPr>
                <w:rFonts w:ascii="Lato" w:hAnsi="Lato" w:eastAsia="Lato"/>
                <w:b/>
                <w:i w:val="0"/>
                <w:color w:val="384250"/>
                <w:sz w:val="21"/>
              </w:rPr>
              <w:t>Chapter 8: Top Telehealth &amp; Technology Concepts You Must Know</w:t>
            </w:r>
          </w:p>
          <w:p>
            <w:pPr>
              <w:jc w:val="center"/>
            </w:pPr>
            <w:r>
              <w:rPr>
                <w:rFonts w:ascii="Lato" w:hAnsi="Lato" w:eastAsia="Lato"/>
                <w:b/>
                <w:i w:val="0"/>
                <w:color w:val="384250"/>
                <w:sz w:val="21"/>
              </w:rPr>
              <w:t>Chapter 9: Telehealth &amp; Technology Memory Aids and Quick Review Charts</w:t>
            </w:r>
          </w:p>
        </w:tc>
      </w:tr>
    </w:tbl>
    <w:p>
      <w:r>
        <w:br w:type="page"/>
      </w:r>
    </w:p>
    <w:p>
      <w:pPr>
        <w:pStyle w:val="CTAHeading1"/>
        <w:keepNext/>
      </w:pPr>
      <w:r>
        <w:rPr>
          <w:rFonts w:ascii="Lato" w:hAnsi="Lato" w:eastAsia="Lato"/>
          <w:b/>
          <w:i w:val="0"/>
          <w:color w:val="0B2447"/>
          <w:sz w:val="32"/>
        </w:rPr>
        <w:t>Chapter 7: Common Telehealth &amp; Technology Exam Traps</w:t>
      </w:r>
    </w:p>
    <w:p>
      <w:pPr>
        <w:pStyle w:val="CTAHeading2"/>
        <w:keepNext/>
      </w:pPr>
      <w:r>
        <w:rPr>
          <w:rFonts w:ascii="Lato" w:hAnsi="Lato" w:eastAsia="Lato"/>
          <w:b/>
          <w:i w:val="0"/>
          <w:color w:val="0B2447"/>
          <w:sz w:val="26"/>
        </w:rPr>
        <w:t>Learning Objectives</w:t>
      </w:r>
    </w:p>
    <w:p>
      <w:pPr>
        <w:pStyle w:val="CTABody"/>
        <w:spacing w:after="60"/>
        <w:ind w:left="403" w:hanging="259"/>
      </w:pPr>
      <w:r>
        <w:rPr>
          <w:rFonts w:ascii="Lato" w:hAnsi="Lato" w:eastAsia="Lato"/>
          <w:b/>
          <w:i w:val="0"/>
          <w:color w:val="0AA6A6"/>
        </w:rPr>
        <w:t xml:space="preserve">• </w:t>
      </w:r>
      <w:r>
        <w:rPr>
          <w:rFonts w:ascii="Lato" w:hAnsi="Lato" w:eastAsia="Lato"/>
          <w:b w:val="0"/>
          <w:i w:val="0"/>
        </w:rPr>
        <w:t>Recognize the most common California telehealth and technology distractor patterns.</w:t>
      </w:r>
    </w:p>
    <w:p>
      <w:pPr>
        <w:pStyle w:val="CTABody"/>
        <w:spacing w:after="60"/>
        <w:ind w:left="403" w:hanging="259"/>
      </w:pPr>
      <w:r>
        <w:rPr>
          <w:rFonts w:ascii="Lato" w:hAnsi="Lato" w:eastAsia="Lato"/>
          <w:b/>
          <w:i w:val="0"/>
          <w:color w:val="0AA6A6"/>
        </w:rPr>
        <w:t xml:space="preserve">• </w:t>
      </w:r>
      <w:r>
        <w:rPr>
          <w:rFonts w:ascii="Lato" w:hAnsi="Lato" w:eastAsia="Lato"/>
          <w:b w:val="0"/>
          <w:i w:val="0"/>
        </w:rPr>
        <w:t>Distinguish mandatory California requirements from recommended clinical and risk-management practices.</w:t>
      </w:r>
    </w:p>
    <w:p>
      <w:pPr>
        <w:pStyle w:val="CTABody"/>
        <w:spacing w:after="60"/>
        <w:ind w:left="403" w:hanging="259"/>
      </w:pPr>
      <w:r>
        <w:rPr>
          <w:rFonts w:ascii="Lato" w:hAnsi="Lato" w:eastAsia="Lato"/>
          <w:b/>
          <w:i w:val="0"/>
          <w:color w:val="0AA6A6"/>
        </w:rPr>
        <w:t xml:space="preserve">• </w:t>
      </w:r>
      <w:r>
        <w:rPr>
          <w:rFonts w:ascii="Lato" w:hAnsi="Lato" w:eastAsia="Lato"/>
          <w:b w:val="0"/>
          <w:i w:val="0"/>
        </w:rPr>
        <w:t>Apply client-location, informed-consent, privacy, electronic-communication, social-media, and security rules to exam scenarios.</w:t>
      </w:r>
    </w:p>
    <w:p>
      <w:pPr>
        <w:pStyle w:val="CTABody"/>
        <w:spacing w:after="60"/>
        <w:ind w:left="403" w:hanging="259"/>
      </w:pPr>
      <w:r>
        <w:rPr>
          <w:rFonts w:ascii="Lato" w:hAnsi="Lato" w:eastAsia="Lato"/>
          <w:b/>
          <w:i w:val="0"/>
          <w:color w:val="0AA6A6"/>
        </w:rPr>
        <w:t xml:space="preserve">• </w:t>
      </w:r>
      <w:r>
        <w:rPr>
          <w:rFonts w:ascii="Lato" w:hAnsi="Lato" w:eastAsia="Lato"/>
          <w:b w:val="0"/>
          <w:i w:val="0"/>
        </w:rPr>
        <w:t>Identify when an answer is too automatic, extreme, convenient, or incomplete.</w:t>
      </w:r>
    </w:p>
    <w:p>
      <w:pPr>
        <w:pStyle w:val="CTABody"/>
        <w:spacing w:after="60"/>
        <w:ind w:left="403" w:hanging="259"/>
      </w:pPr>
      <w:r>
        <w:rPr>
          <w:rFonts w:ascii="Lato" w:hAnsi="Lato" w:eastAsia="Lato"/>
          <w:b/>
          <w:i w:val="0"/>
          <w:color w:val="0AA6A6"/>
        </w:rPr>
        <w:t xml:space="preserve">• </w:t>
      </w:r>
      <w:r>
        <w:rPr>
          <w:rFonts w:ascii="Lato" w:hAnsi="Lato" w:eastAsia="Lato"/>
          <w:b w:val="0"/>
          <w:i w:val="0"/>
        </w:rPr>
        <w:t>Use a consistent sequence to select the best response when several technology issues appear together.</w:t>
      </w:r>
    </w:p>
    <w:p>
      <w:pPr>
        <w:pStyle w:val="CTAHeading2"/>
        <w:keepNext/>
      </w:pPr>
      <w:r>
        <w:rPr>
          <w:rFonts w:ascii="Lato" w:hAnsi="Lato" w:eastAsia="Lato"/>
          <w:b/>
          <w:i w:val="0"/>
          <w:color w:val="0B2447"/>
          <w:sz w:val="26"/>
        </w:rPr>
        <w:t>Why This Chapter Matters</w:t>
      </w:r>
    </w:p>
    <w:p>
      <w:pPr>
        <w:pStyle w:val="CTABody"/>
      </w:pPr>
      <w:r>
        <w:rPr>
          <w:rFonts w:ascii="Lato" w:hAnsi="Lato" w:eastAsia="Lato"/>
          <w:b w:val="0"/>
          <w:i w:val="0"/>
        </w:rPr>
        <w:t>Telehealth and technology questions often look complicated because the facts include platforms, devices, messages, travel, social media, vendors, or security events. The examination usually becomes manageable once you identify the controlling issue and reject answers based on convenience, assumptions, or extreme action.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Big Idea</w:t>
            </w:r>
          </w:p>
          <w:p>
            <w:pPr>
              <w:spacing w:after="0" w:line="254" w:lineRule="auto"/>
            </w:pPr>
            <w:r>
              <w:rPr>
                <w:rFonts w:ascii="Lato" w:hAnsi="Lato" w:eastAsia="Lato"/>
                <w:b w:val="0"/>
                <w:i w:val="0"/>
                <w:sz w:val="20"/>
              </w:rPr>
              <w:t>The strongest exam answer identifies the controlling legal or professional duty, addresses the immediate risk proportionately, protects the client, and avoids assuming that one form, platform, policy, or automatic response solves everything.</w:t>
            </w:r>
          </w:p>
        </w:tc>
      </w:tr>
    </w:tbl>
    <w:p>
      <w:pPr>
        <w:pStyle w:val="CTAHeading2"/>
        <w:keepNext/>
      </w:pPr>
      <w:r>
        <w:rPr>
          <w:rFonts w:ascii="Lato" w:hAnsi="Lato" w:eastAsia="Lato"/>
          <w:b/>
          <w:i w:val="0"/>
          <w:color w:val="0B2447"/>
          <w:sz w:val="26"/>
        </w:rPr>
        <w:t>Trap 1: “Same Ethics” Means Identical Procedures</w:t>
      </w:r>
    </w:p>
    <w:p>
      <w:pPr>
        <w:pStyle w:val="CTABody"/>
      </w:pPr>
      <w:r>
        <w:rPr>
          <w:rFonts w:ascii="Lato" w:hAnsi="Lato" w:eastAsia="Lato"/>
          <w:b w:val="0"/>
          <w:i w:val="0"/>
        </w:rPr>
        <w:t>The same confidentiality, competence, boundaries, documentation, and client-welfare standards apply to telehealth. However, California telehealth practice also adds specific procedures, including initiation disclosures and each-session requirements.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Same professional standards + additional telehealth procedures.</w:t>
            </w:r>
          </w:p>
        </w:tc>
      </w:tr>
    </w:tbl>
    <w:p>
      <w:pPr>
        <w:pStyle w:val="CTAHeading2"/>
        <w:keepNext/>
      </w:pPr>
      <w:r>
        <w:rPr>
          <w:rFonts w:ascii="Lato" w:hAnsi="Lato" w:eastAsia="Lato"/>
          <w:b/>
          <w:i w:val="0"/>
          <w:color w:val="0B2447"/>
          <w:sz w:val="26"/>
        </w:rPr>
        <w:t>Trap 2: A California Credential Authorizes Practice Everywhere</w:t>
      </w:r>
    </w:p>
    <w:p>
      <w:pPr>
        <w:pStyle w:val="CTABody"/>
      </w:pPr>
      <w:r>
        <w:rPr>
          <w:rFonts w:ascii="Lato" w:hAnsi="Lato" w:eastAsia="Lato"/>
          <w:b w:val="0"/>
          <w:i w:val="0"/>
        </w:rPr>
        <w:t>A California license or registration does not create nationwide telehealth authority. The therapist must identify where the client is physically located and meet the requirements of that jurisdiction before providing services there. An established relationship or client waiver does not replace legal authority.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Rule</w:t>
            </w:r>
          </w:p>
          <w:p>
            <w:pPr>
              <w:spacing w:after="0" w:line="254" w:lineRule="auto"/>
            </w:pPr>
            <w:r>
              <w:rPr>
                <w:rFonts w:ascii="Lato" w:hAnsi="Lato" w:eastAsia="Lato"/>
                <w:b w:val="0"/>
                <w:i w:val="0"/>
                <w:sz w:val="20"/>
              </w:rPr>
              <w:t>Client location first. Jurisdiction second. Treatment decision third.</w:t>
            </w:r>
          </w:p>
        </w:tc>
      </w:tr>
    </w:tbl>
    <w:p>
      <w:pPr>
        <w:pStyle w:val="CTAHeading2"/>
        <w:keepNext/>
      </w:pPr>
      <w:r>
        <w:rPr>
          <w:rFonts w:ascii="Lato" w:hAnsi="Lato" w:eastAsia="Lato"/>
          <w:b/>
          <w:i w:val="0"/>
          <w:color w:val="0B2447"/>
          <w:sz w:val="26"/>
        </w:rPr>
        <w:t>Trap 3: The Permanent Address in the Chart Is Enough</w:t>
      </w:r>
    </w:p>
    <w:p>
      <w:pPr>
        <w:pStyle w:val="CTABody"/>
      </w:pPr>
      <w:r>
        <w:rPr>
          <w:rFonts w:ascii="Lato" w:hAnsi="Lato" w:eastAsia="Lato"/>
          <w:b w:val="0"/>
          <w:i w:val="0"/>
        </w:rPr>
        <w:t>At the beginning of each telehealth session, the therapist must verbally obtain and document the client’s full name and address of present location. “At home,” “same place,” or the intake address may be insufficient if the client is elsewhere.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Phrase</w:t>
            </w:r>
          </w:p>
          <w:p>
            <w:pPr>
              <w:spacing w:after="0" w:line="254" w:lineRule="auto"/>
            </w:pPr>
            <w:r>
              <w:rPr>
                <w:rFonts w:ascii="Lato" w:hAnsi="Lato" w:eastAsia="Lato"/>
                <w:b w:val="0"/>
                <w:i w:val="0"/>
                <w:sz w:val="20"/>
              </w:rPr>
              <w:t>Present location - not permanent residence.</w:t>
            </w:r>
          </w:p>
        </w:tc>
      </w:tr>
    </w:tbl>
    <w:p>
      <w:pPr>
        <w:pStyle w:val="CTAHeading2"/>
        <w:keepNext/>
      </w:pPr>
      <w:r>
        <w:rPr>
          <w:rFonts w:ascii="Lato" w:hAnsi="Lato" w:eastAsia="Lato"/>
          <w:b/>
          <w:i w:val="0"/>
          <w:color w:val="0B2447"/>
          <w:sz w:val="26"/>
        </w:rPr>
        <w:t>Trap 4: Appropriateness Is Decided Only at Intake</w:t>
      </w:r>
    </w:p>
    <w:p>
      <w:pPr>
        <w:pStyle w:val="CTABody"/>
      </w:pPr>
      <w:r>
        <w:rPr>
          <w:rFonts w:ascii="Lato" w:hAnsi="Lato" w:eastAsia="Lato"/>
          <w:b w:val="0"/>
          <w:i w:val="0"/>
        </w:rPr>
        <w:t>California requires the therapist to assess whether the client and the specific session are appropriate for telehealth each time services are provided. Changes in risk, intoxication, privacy, coercion, symptoms, communication quality, or environment may change the answer.</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Telehealth appropriateness is a session-by-session clinical decision.</w:t>
            </w:r>
          </w:p>
        </w:tc>
      </w:tr>
    </w:tbl>
    <w:p>
      <w:pPr>
        <w:pStyle w:val="CTAHeading2"/>
        <w:keepNext/>
      </w:pPr>
      <w:r>
        <w:rPr>
          <w:rFonts w:ascii="Lato" w:hAnsi="Lato" w:eastAsia="Lato"/>
          <w:b/>
          <w:i w:val="0"/>
          <w:color w:val="0B2447"/>
          <w:sz w:val="26"/>
        </w:rPr>
        <w:t>Trap 5: A Signed General Form Completes Telehealth Consent</w:t>
      </w:r>
    </w:p>
    <w:p>
      <w:pPr>
        <w:pStyle w:val="CTABody"/>
      </w:pPr>
      <w:r>
        <w:rPr>
          <w:rFonts w:ascii="Lato" w:hAnsi="Lato" w:eastAsia="Lato"/>
          <w:b w:val="0"/>
          <w:i w:val="0"/>
        </w:rPr>
        <w:t>A signature does not automatically establish legally sufficient or meaningful consent. When telehealth begins, the therapist must obtain and document verbal or written consent, discuss potential risks and limitations, provide credential type and number, and document reasonable efforts to identify relevant local resources, including emergency services.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Paperwork supports consent. It does not replace required information or client understanding.</w:t>
            </w:r>
          </w:p>
        </w:tc>
      </w:tr>
    </w:tbl>
    <w:p>
      <w:pPr>
        <w:pStyle w:val="CTAHeading2"/>
        <w:keepNext/>
      </w:pPr>
      <w:r>
        <w:rPr>
          <w:rFonts w:ascii="Lato" w:hAnsi="Lato" w:eastAsia="Lato"/>
          <w:b/>
          <w:i w:val="0"/>
          <w:color w:val="0B2447"/>
          <w:sz w:val="26"/>
        </w:rPr>
        <w:t>Trap 6: Consent to Telehealth Includes Recording or Transcription</w:t>
      </w:r>
    </w:p>
    <w:p>
      <w:pPr>
        <w:pStyle w:val="CTABody"/>
      </w:pPr>
      <w:r>
        <w:rPr>
          <w:rFonts w:ascii="Lato" w:hAnsi="Lato" w:eastAsia="Lato"/>
          <w:b w:val="0"/>
          <w:i w:val="0"/>
        </w:rPr>
        <w:t>Consent to receive telehealth is not automatically consent to record a confidential communication, create an automated transcript, or send session content to an artificial-intelligence tool. Recording and automated processing require separate legal, privacy, clinical, and vendor analysis. California generally requires all-party consent before intentionally recording a confidential communication.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Telehealth consent is not recording consent.</w:t>
            </w:r>
          </w:p>
        </w:tc>
      </w:tr>
    </w:tbl>
    <w:p>
      <w:pPr>
        <w:pStyle w:val="CTAHeading2"/>
        <w:keepNext/>
      </w:pPr>
      <w:r>
        <w:rPr>
          <w:rFonts w:ascii="Lato" w:hAnsi="Lato" w:eastAsia="Lato"/>
          <w:b/>
          <w:i w:val="0"/>
          <w:color w:val="0B2447"/>
          <w:sz w:val="26"/>
        </w:rPr>
        <w:t>Trap 7: Emergency Planning Can Wait Until a Crisis</w:t>
      </w:r>
    </w:p>
    <w:p>
      <w:pPr>
        <w:pStyle w:val="CTABody"/>
      </w:pPr>
      <w:r>
        <w:rPr>
          <w:rFonts w:ascii="Lato" w:hAnsi="Lato" w:eastAsia="Lato"/>
          <w:b w:val="0"/>
          <w:i w:val="0"/>
        </w:rPr>
        <w:t>Relevant local resources should be identified when telehealth begins. Clinically appropriate crisis procedures, emergency contacts, backup communication, and response expectations should be established before they are needed. During an actual emergency, the therapist should prioritize current location, immediate risk, and lawful safety action.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Prepare before the emergency; act on the present facts during the emergency.</w:t>
            </w:r>
          </w:p>
        </w:tc>
      </w:tr>
    </w:tbl>
    <w:p>
      <w:pPr>
        <w:pStyle w:val="CTAHeading2"/>
        <w:keepNext/>
      </w:pPr>
      <w:r>
        <w:rPr>
          <w:rFonts w:ascii="Lato" w:hAnsi="Lato" w:eastAsia="Lato"/>
          <w:b/>
          <w:i w:val="0"/>
          <w:color w:val="0B2447"/>
          <w:sz w:val="26"/>
        </w:rPr>
        <w:t>Trap 8: A Secure Platform Guarantees a Private Session</w:t>
      </w:r>
    </w:p>
    <w:p>
      <w:pPr>
        <w:pStyle w:val="CTABody"/>
      </w:pPr>
      <w:r>
        <w:rPr>
          <w:rFonts w:ascii="Lato" w:hAnsi="Lato" w:eastAsia="Lato"/>
          <w:b w:val="0"/>
          <w:i w:val="0"/>
        </w:rPr>
        <w:t>Platform security does not control the client’s room, therapist’s workspace, visible notifications, shared devices, smart speakers, hidden listeners, or coercive third parties. Privacy, confidentiality, and security are related but not identical.</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Rule</w:t>
            </w:r>
          </w:p>
          <w:p>
            <w:pPr>
              <w:spacing w:after="0" w:line="254" w:lineRule="auto"/>
            </w:pPr>
            <w:r>
              <w:rPr>
                <w:rFonts w:ascii="Lato" w:hAnsi="Lato" w:eastAsia="Lato"/>
                <w:b w:val="0"/>
                <w:i w:val="0"/>
                <w:sz w:val="20"/>
              </w:rPr>
              <w:t>Check both the technology and the environment.</w:t>
            </w:r>
          </w:p>
        </w:tc>
      </w:tr>
    </w:tbl>
    <w:p>
      <w:pPr>
        <w:pStyle w:val="CTAHeading2"/>
        <w:keepNext/>
      </w:pPr>
      <w:r>
        <w:rPr>
          <w:rFonts w:ascii="Lato" w:hAnsi="Lato" w:eastAsia="Lato"/>
          <w:b/>
          <w:i w:val="0"/>
          <w:color w:val="0B2447"/>
          <w:sz w:val="26"/>
        </w:rPr>
        <w:t>Trap 9: “HIPAA-Compliant” Marketing or a BAA Ends the Analysis</w:t>
      </w:r>
    </w:p>
    <w:p>
      <w:pPr>
        <w:pStyle w:val="CTABody"/>
      </w:pPr>
      <w:r>
        <w:rPr>
          <w:rFonts w:ascii="Lato" w:hAnsi="Lato" w:eastAsia="Lato"/>
          <w:b w:val="0"/>
          <w:i w:val="0"/>
        </w:rPr>
        <w:t>HHS does not certify products as universally compliant. A business associate agreement may be legally required in some HIPAA-regulated relationships, but the contract does not prove that a platform is properly configured, appropriate for the workflow, securely used, or consistent with California confidentiality duties.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Contract + configuration + actual use + professional judgment.</w:t>
            </w:r>
          </w:p>
        </w:tc>
      </w:tr>
    </w:tbl>
    <w:p>
      <w:pPr>
        <w:pStyle w:val="CTAHeading2"/>
        <w:keepNext/>
      </w:pPr>
      <w:r>
        <w:rPr>
          <w:rFonts w:ascii="Lato" w:hAnsi="Lato" w:eastAsia="Lato"/>
          <w:b/>
          <w:i w:val="0"/>
          <w:color w:val="0B2447"/>
          <w:sz w:val="26"/>
        </w:rPr>
        <w:t>Trap 10: Email and Texting Are Either Always Prohibited or Always Safe</w:t>
      </w:r>
    </w:p>
    <w:p>
      <w:pPr>
        <w:pStyle w:val="CTABody"/>
      </w:pPr>
      <w:r>
        <w:rPr>
          <w:rFonts w:ascii="Lato" w:hAnsi="Lato" w:eastAsia="Lato"/>
          <w:b w:val="0"/>
          <w:i w:val="0"/>
        </w:rPr>
        <w:t>Electronic communication is not automatically prohibited, but it creates risks involving recipients, forwarding, visible notifications, shared devices, response delays, and recordkeeping. The therapist should use reasonable safeguards, limit content when appropriate, and establish communication expectations.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Phrase</w:t>
            </w:r>
          </w:p>
          <w:p>
            <w:pPr>
              <w:spacing w:after="0" w:line="254" w:lineRule="auto"/>
            </w:pPr>
            <w:r>
              <w:rPr>
                <w:rFonts w:ascii="Lato" w:hAnsi="Lato" w:eastAsia="Lato"/>
                <w:b w:val="0"/>
                <w:i w:val="0"/>
                <w:sz w:val="20"/>
              </w:rPr>
              <w:t>Electronic communication may be permissible; careless electronic communication is not.</w:t>
            </w:r>
          </w:p>
        </w:tc>
      </w:tr>
    </w:tbl>
    <w:p>
      <w:pPr>
        <w:pStyle w:val="CTAHeading2"/>
        <w:keepNext/>
      </w:pPr>
      <w:r>
        <w:rPr>
          <w:rFonts w:ascii="Lato" w:hAnsi="Lato" w:eastAsia="Lato"/>
          <w:b/>
          <w:i w:val="0"/>
          <w:color w:val="0B2447"/>
          <w:sz w:val="26"/>
        </w:rPr>
        <w:t>Trap 11: The Therapist Must Monitor Messages 24/7 - or May Ignore Them</w:t>
      </w:r>
    </w:p>
    <w:p>
      <w:pPr>
        <w:pStyle w:val="CTABody"/>
      </w:pPr>
      <w:r>
        <w:rPr>
          <w:rFonts w:ascii="Lato" w:hAnsi="Lato" w:eastAsia="Lato"/>
          <w:b w:val="0"/>
          <w:i w:val="0"/>
        </w:rPr>
        <w:t>A therapist is not automatically required to monitor every channel continuously. Clients should understand response times and emergency alternatives. However, once the therapist actually reviews a message containing imminent-risk information, the therapist must respond according to the clinical facts rather than relying on the communication policy to ignore it.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Distinction</w:t>
            </w:r>
          </w:p>
          <w:p>
            <w:pPr>
              <w:spacing w:after="0" w:line="254" w:lineRule="auto"/>
            </w:pPr>
            <w:r>
              <w:rPr>
                <w:rFonts w:ascii="Lato" w:hAnsi="Lato" w:eastAsia="Lato"/>
                <w:b w:val="0"/>
                <w:i w:val="0"/>
                <w:sz w:val="20"/>
              </w:rPr>
              <w:t>Not continuously monitoring is different from failing to act after reading a high-risk message.</w:t>
            </w:r>
          </w:p>
        </w:tc>
      </w:tr>
    </w:tbl>
    <w:p>
      <w:pPr>
        <w:pStyle w:val="CTAHeading2"/>
        <w:keepNext/>
      </w:pPr>
      <w:r>
        <w:rPr>
          <w:rFonts w:ascii="Lato" w:hAnsi="Lato" w:eastAsia="Lato"/>
          <w:b/>
          <w:i w:val="0"/>
          <w:color w:val="0B2447"/>
          <w:sz w:val="26"/>
        </w:rPr>
        <w:t>Trap 12: Electronic Messages Do Not Belong in the Clinical Record</w:t>
      </w:r>
    </w:p>
    <w:p>
      <w:pPr>
        <w:pStyle w:val="CTABody"/>
      </w:pPr>
      <w:r>
        <w:rPr>
          <w:rFonts w:ascii="Lato" w:hAnsi="Lato" w:eastAsia="Lato"/>
          <w:b w:val="0"/>
          <w:i w:val="0"/>
        </w:rPr>
        <w:t>Not every administrative message must be copied into the record. Clinically significant disclosures, treatment decisions, risk information, safety actions, and communications affecting care should be documented or incorporated appropriately, regardless of the communication channel.</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Document clinical significance - not every keystroke.</w:t>
            </w:r>
          </w:p>
        </w:tc>
      </w:tr>
    </w:tbl>
    <w:p>
      <w:pPr>
        <w:pStyle w:val="CTAHeading2"/>
        <w:keepNext/>
      </w:pPr>
      <w:r>
        <w:rPr>
          <w:rFonts w:ascii="Lato" w:hAnsi="Lato" w:eastAsia="Lato"/>
          <w:b/>
          <w:i w:val="0"/>
          <w:color w:val="0B2447"/>
          <w:sz w:val="26"/>
        </w:rPr>
        <w:t>Trap 13: Popular, Convenient, or New Technology Is Automatically Appropriate</w:t>
      </w:r>
    </w:p>
    <w:p>
      <w:pPr>
        <w:pStyle w:val="CTABody"/>
      </w:pPr>
      <w:r>
        <w:rPr>
          <w:rFonts w:ascii="Lato" w:hAnsi="Lato" w:eastAsia="Lato"/>
          <w:b w:val="0"/>
          <w:i w:val="0"/>
        </w:rPr>
        <w:t>Popularity, price, novelty, or client preference does not establish competence or compliance. The therapist should understand the tool’s features, limitations, privacy settings, security protections, accessibility, data practices, and impact on treatment.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Using technology is not the same as understanding it.</w:t>
            </w:r>
          </w:p>
        </w:tc>
      </w:tr>
    </w:tbl>
    <w:p>
      <w:pPr>
        <w:pStyle w:val="CTAHeading2"/>
        <w:keepNext/>
      </w:pPr>
      <w:r>
        <w:rPr>
          <w:rFonts w:ascii="Lato" w:hAnsi="Lato" w:eastAsia="Lato"/>
          <w:b/>
          <w:i w:val="0"/>
          <w:color w:val="0B2447"/>
          <w:sz w:val="26"/>
        </w:rPr>
        <w:t>Trap 14: A Backup Plan Is Needed Only After Technology Fails</w:t>
      </w:r>
    </w:p>
    <w:p>
      <w:pPr>
        <w:pStyle w:val="CTABody"/>
      </w:pPr>
      <w:r>
        <w:rPr>
          <w:rFonts w:ascii="Lato" w:hAnsi="Lato" w:eastAsia="Lato"/>
          <w:b w:val="0"/>
          <w:i w:val="0"/>
        </w:rPr>
        <w:t>Internet outages, device failure, portal downtime, lost access, and corrupted data are foreseeable. The therapist should establish alternate communication, recovery, and continuity procedures and test backups rather than assuming that stored data can be restored.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Phrase</w:t>
            </w:r>
          </w:p>
          <w:p>
            <w:pPr>
              <w:spacing w:after="0" w:line="254" w:lineRule="auto"/>
            </w:pPr>
            <w:r>
              <w:rPr>
                <w:rFonts w:ascii="Lato" w:hAnsi="Lato" w:eastAsia="Lato"/>
                <w:b w:val="0"/>
                <w:i w:val="0"/>
                <w:sz w:val="20"/>
              </w:rPr>
              <w:t>A backup that has never been tested is only a hope.</w:t>
            </w:r>
          </w:p>
        </w:tc>
      </w:tr>
    </w:tbl>
    <w:p>
      <w:pPr>
        <w:pStyle w:val="CTAHeading2"/>
        <w:keepNext/>
      </w:pPr>
      <w:r>
        <w:rPr>
          <w:rFonts w:ascii="Lato" w:hAnsi="Lato" w:eastAsia="Lato"/>
          <w:b/>
          <w:i w:val="0"/>
          <w:color w:val="0B2447"/>
          <w:sz w:val="26"/>
        </w:rPr>
        <w:t>Trap 15: Friend Requests Have One Automatic Answer</w:t>
      </w:r>
    </w:p>
    <w:p>
      <w:pPr>
        <w:pStyle w:val="CTABody"/>
      </w:pPr>
      <w:r>
        <w:rPr>
          <w:rFonts w:ascii="Lato" w:hAnsi="Lato" w:eastAsia="Lato"/>
          <w:b w:val="0"/>
          <w:i w:val="0"/>
        </w:rPr>
        <w:t>California law does not create a universal rule requiring automatic acceptance, rejection, or blocking. The therapist should apply an established policy and evaluate boundaries, confidentiality, treatment impact, role confusion, and client welfare before responding.</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Better Reasoning</w:t>
            </w:r>
          </w:p>
          <w:p>
            <w:pPr>
              <w:spacing w:after="0" w:line="254" w:lineRule="auto"/>
            </w:pPr>
            <w:r>
              <w:rPr>
                <w:rFonts w:ascii="Lato" w:hAnsi="Lato" w:eastAsia="Lato"/>
                <w:b w:val="0"/>
                <w:i w:val="0"/>
                <w:sz w:val="20"/>
              </w:rPr>
              <w:t>Pause, analyze, apply policy, and address the clinical impact when appropriate.</w:t>
            </w:r>
          </w:p>
        </w:tc>
      </w:tr>
    </w:tbl>
    <w:p>
      <w:pPr>
        <w:pStyle w:val="CTAHeading2"/>
        <w:keepNext/>
      </w:pPr>
      <w:r>
        <w:rPr>
          <w:rFonts w:ascii="Lato" w:hAnsi="Lato" w:eastAsia="Lato"/>
          <w:b/>
          <w:i w:val="0"/>
          <w:color w:val="0B2447"/>
          <w:sz w:val="26"/>
        </w:rPr>
        <w:t>Trap 16: Public Client Information Is Free for Clinical Use</w:t>
      </w:r>
    </w:p>
    <w:p>
      <w:pPr>
        <w:pStyle w:val="CTABody"/>
      </w:pPr>
      <w:r>
        <w:rPr>
          <w:rFonts w:ascii="Lato" w:hAnsi="Lato" w:eastAsia="Lato"/>
          <w:b w:val="0"/>
          <w:i w:val="0"/>
        </w:rPr>
        <w:t>Public availability does not automatically establish clinical necessity, reliability, informed use, or appropriate boundaries. Before searching for or using online client information, consider the purpose, necessity, alternatives, impact on treatment, transparency, and documentation.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Question</w:t>
            </w:r>
          </w:p>
          <w:p>
            <w:pPr>
              <w:spacing w:after="0" w:line="254" w:lineRule="auto"/>
            </w:pPr>
            <w:r>
              <w:rPr>
                <w:rFonts w:ascii="Lato" w:hAnsi="Lato" w:eastAsia="Lato"/>
                <w:b w:val="0"/>
                <w:i w:val="0"/>
                <w:sz w:val="20"/>
              </w:rPr>
              <w:t>Why is the therapist looking - and how will the information be used?</w:t>
            </w:r>
          </w:p>
        </w:tc>
      </w:tr>
    </w:tbl>
    <w:p>
      <w:pPr>
        <w:pStyle w:val="CTAHeading2"/>
        <w:keepNext/>
      </w:pPr>
      <w:r>
        <w:rPr>
          <w:rFonts w:ascii="Lato" w:hAnsi="Lato" w:eastAsia="Lato"/>
          <w:b/>
          <w:i w:val="0"/>
          <w:color w:val="0B2447"/>
          <w:sz w:val="26"/>
        </w:rPr>
        <w:t>Trap 17: Removing the Client’s Name Eliminates Confidentiality Risk</w:t>
      </w:r>
    </w:p>
    <w:p>
      <w:pPr>
        <w:pStyle w:val="CTABody"/>
      </w:pPr>
      <w:r>
        <w:rPr>
          <w:rFonts w:ascii="Lato" w:hAnsi="Lato" w:eastAsia="Lato"/>
          <w:b w:val="0"/>
          <w:i w:val="0"/>
        </w:rPr>
        <w:t>A client may remain identifiable through occupation, location, family details, unusual events, timing, photographs, or combined facts. De-identification requires more than removing a name, and public case discussion may still be professionally inappropriate even when legal identifiers are removed.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Memory Phrase</w:t>
            </w:r>
          </w:p>
          <w:p>
            <w:pPr>
              <w:spacing w:after="0" w:line="254" w:lineRule="auto"/>
            </w:pPr>
            <w:r>
              <w:rPr>
                <w:rFonts w:ascii="Lato" w:hAnsi="Lato" w:eastAsia="Lato"/>
                <w:b w:val="0"/>
                <w:i w:val="0"/>
                <w:sz w:val="20"/>
              </w:rPr>
              <w:t>No name does not mean no identification.</w:t>
            </w:r>
          </w:p>
        </w:tc>
      </w:tr>
    </w:tbl>
    <w:p>
      <w:pPr>
        <w:pStyle w:val="CTAHeading2"/>
        <w:keepNext/>
      </w:pPr>
      <w:r>
        <w:rPr>
          <w:rFonts w:ascii="Lato" w:hAnsi="Lato" w:eastAsia="Lato"/>
          <w:b/>
          <w:i w:val="0"/>
          <w:color w:val="0B2447"/>
          <w:sz w:val="26"/>
        </w:rPr>
        <w:t>Trap 18: A Public Review Response May Confirm the Relationship</w:t>
      </w:r>
    </w:p>
    <w:p>
      <w:pPr>
        <w:pStyle w:val="CTABody"/>
      </w:pPr>
      <w:r>
        <w:rPr>
          <w:rFonts w:ascii="Lato" w:hAnsi="Lato" w:eastAsia="Lato"/>
          <w:b w:val="0"/>
          <w:i w:val="0"/>
        </w:rPr>
        <w:t>A therapist should not disclose confidential information or confirm that the reviewer is a client merely because the reviewer posted first. A neutral general response or no response may be safer, but the therapist must evaluate the actual wording and applicable policy.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High-Yield Rule</w:t>
            </w:r>
          </w:p>
          <w:p>
            <w:pPr>
              <w:spacing w:after="0" w:line="254" w:lineRule="auto"/>
            </w:pPr>
            <w:r>
              <w:rPr>
                <w:rFonts w:ascii="Lato" w:hAnsi="Lato" w:eastAsia="Lato"/>
                <w:b w:val="0"/>
                <w:i w:val="0"/>
                <w:sz w:val="20"/>
              </w:rPr>
              <w:t>The client may reveal the relationship; the therapist still protects confidentiality.</w:t>
            </w:r>
          </w:p>
        </w:tc>
      </w:tr>
    </w:tbl>
    <w:p>
      <w:pPr>
        <w:pStyle w:val="CTAHeading2"/>
        <w:keepNext/>
      </w:pPr>
      <w:r>
        <w:rPr>
          <w:rFonts w:ascii="Lato" w:hAnsi="Lato" w:eastAsia="Lato"/>
          <w:b/>
          <w:i w:val="0"/>
          <w:color w:val="0B2447"/>
          <w:sz w:val="26"/>
        </w:rPr>
        <w:t>Trap 19: Professional Social Media Is Exempt From Advertising Rules</w:t>
      </w:r>
    </w:p>
    <w:p>
      <w:pPr>
        <w:pStyle w:val="CTABody"/>
      </w:pPr>
      <w:r>
        <w:rPr>
          <w:rFonts w:ascii="Lato" w:hAnsi="Lato" w:eastAsia="Lato"/>
          <w:b w:val="0"/>
          <w:i w:val="0"/>
        </w:rPr>
        <w:t>Effective April 1, 2026, BBS requirements treat social media used to promote services as advertising. Required identifying information must appear on the social-media account or be easily accessible through a clear link. An ASW must include the Board-filed name, registration number, complete title ‘Registered Associate Clinical Social Worker,’ employer or volunteer entity, and a statement that the ASW is supervised by a licensed person.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Exam Pearl</w:t>
            </w:r>
          </w:p>
          <w:p>
            <w:pPr>
              <w:spacing w:after="0" w:line="254" w:lineRule="auto"/>
            </w:pPr>
            <w:r>
              <w:rPr>
                <w:rFonts w:ascii="Lato" w:hAnsi="Lato" w:eastAsia="Lato"/>
                <w:b w:val="0"/>
                <w:i w:val="0"/>
                <w:sz w:val="20"/>
              </w:rPr>
              <w:t>A personal-looking account used to market professional services may still be advertising.</w:t>
            </w:r>
          </w:p>
        </w:tc>
      </w:tr>
    </w:tbl>
    <w:p>
      <w:pPr>
        <w:pStyle w:val="CTAHeading2"/>
        <w:keepNext/>
      </w:pPr>
      <w:r>
        <w:rPr>
          <w:rFonts w:ascii="Lato" w:hAnsi="Lato" w:eastAsia="Lato"/>
          <w:b/>
          <w:i w:val="0"/>
          <w:color w:val="0B2447"/>
          <w:sz w:val="26"/>
        </w:rPr>
        <w:t>Trap 20: Every Incident Is a Breach - or Nothing Should Happen Until Harm Occurs</w:t>
      </w:r>
    </w:p>
    <w:p>
      <w:pPr>
        <w:pStyle w:val="CTABody"/>
      </w:pPr>
      <w:r>
        <w:rPr>
          <w:rFonts w:ascii="Lato" w:hAnsi="Lato" w:eastAsia="Lato"/>
          <w:b w:val="0"/>
          <w:i w:val="0"/>
        </w:rPr>
        <w:t>A lost device, wrong recipient, unauthorized access, or suspicious login requires prompt response, but it is not automatically a legally reportable breach. The therapist or organization should contain the event, preserve evidence, assess what information was involved and who may have accessed it, mitigate risk, document the analysis, consult when needed, and make notifications required by the applicable law. Deleting evidence or waiting for a complaint is poor risk management.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Incident Response Sequence</w:t>
            </w:r>
          </w:p>
          <w:p>
            <w:pPr>
              <w:spacing w:after="0" w:line="254" w:lineRule="auto"/>
            </w:pPr>
            <w:r>
              <w:rPr>
                <w:rFonts w:ascii="Lato" w:hAnsi="Lato" w:eastAsia="Lato"/>
                <w:b w:val="0"/>
                <w:i w:val="0"/>
                <w:sz w:val="20"/>
              </w:rPr>
              <w:t>CONTAIN -&gt; PRESERVE -&gt; ASSESS -&gt; MITIGATE -&gt; DOCUMENT -&gt; CONSULT/NOTIFY AS REQUIRED</w:t>
            </w:r>
          </w:p>
        </w:tc>
      </w:tr>
    </w:tbl>
    <w:p>
      <w:pPr>
        <w:pStyle w:val="CTAHeading2"/>
        <w:keepNext/>
      </w:pPr>
      <w:r>
        <w:rPr>
          <w:rFonts w:ascii="Lato" w:hAnsi="Lato" w:eastAsia="Lato"/>
          <w:b/>
          <w:i w:val="0"/>
          <w:color w:val="0B2447"/>
          <w:sz w:val="26"/>
        </w:rPr>
        <w:t>The Exam’s Central Decision Framework</w:t>
      </w:r>
    </w:p>
    <w:p>
      <w:pPr>
        <w:pStyle w:val="CTABody"/>
      </w:pPr>
      <w:r>
        <w:rPr>
          <w:rFonts w:ascii="Lato" w:hAnsi="Lato" w:eastAsia="Lato"/>
          <w:b w:val="0"/>
          <w:i w:val="0"/>
        </w:rPr>
        <w:t>When several telehealth or technology facts appear together, use this order:</w:t>
      </w:r>
    </w:p>
    <w:p>
      <w:pPr>
        <w:pStyle w:val="CTABody"/>
        <w:spacing w:after="60"/>
        <w:ind w:left="432" w:hanging="317"/>
      </w:pPr>
      <w:r>
        <w:rPr>
          <w:rFonts w:ascii="Lato" w:hAnsi="Lato" w:eastAsia="Lato"/>
          <w:b/>
          <w:i w:val="0"/>
          <w:color w:val="0AA6A6"/>
        </w:rPr>
        <w:t xml:space="preserve">1. </w:t>
      </w:r>
      <w:r>
        <w:rPr>
          <w:rFonts w:ascii="Lato" w:hAnsi="Lato" w:eastAsia="Lato"/>
          <w:b w:val="0"/>
          <w:i w:val="0"/>
        </w:rPr>
        <w:t>LOCATE: Where is the client physically located now?</w:t>
      </w:r>
    </w:p>
    <w:p>
      <w:pPr>
        <w:pStyle w:val="CTABody"/>
        <w:spacing w:after="60"/>
        <w:ind w:left="432" w:hanging="317"/>
      </w:pPr>
      <w:r>
        <w:rPr>
          <w:rFonts w:ascii="Lato" w:hAnsi="Lato" w:eastAsia="Lato"/>
          <w:b/>
          <w:i w:val="0"/>
          <w:color w:val="0AA6A6"/>
        </w:rPr>
        <w:t xml:space="preserve">2. </w:t>
      </w:r>
      <w:r>
        <w:rPr>
          <w:rFonts w:ascii="Lato" w:hAnsi="Lato" w:eastAsia="Lato"/>
          <w:b w:val="0"/>
          <w:i w:val="0"/>
        </w:rPr>
        <w:t>AUTHORIZE: Is the therapist legally permitted to provide the service there?</w:t>
      </w:r>
    </w:p>
    <w:p>
      <w:pPr>
        <w:pStyle w:val="CTABody"/>
        <w:spacing w:after="60"/>
        <w:ind w:left="432" w:hanging="317"/>
      </w:pPr>
      <w:r>
        <w:rPr>
          <w:rFonts w:ascii="Lato" w:hAnsi="Lato" w:eastAsia="Lato"/>
          <w:b/>
          <w:i w:val="0"/>
          <w:color w:val="0AA6A6"/>
        </w:rPr>
        <w:t xml:space="preserve">3. </w:t>
      </w:r>
      <w:r>
        <w:rPr>
          <w:rFonts w:ascii="Lato" w:hAnsi="Lato" w:eastAsia="Lato"/>
          <w:b w:val="0"/>
          <w:i w:val="0"/>
        </w:rPr>
        <w:t>CLASSIFY: Is the issue consent, appropriateness, privacy, communication, boundaries, advertising, security, or incident response?</w:t>
      </w:r>
    </w:p>
    <w:p>
      <w:pPr>
        <w:pStyle w:val="CTABody"/>
        <w:spacing w:after="60"/>
        <w:ind w:left="432" w:hanging="317"/>
      </w:pPr>
      <w:r>
        <w:rPr>
          <w:rFonts w:ascii="Lato" w:hAnsi="Lato" w:eastAsia="Lato"/>
          <w:b/>
          <w:i w:val="0"/>
          <w:color w:val="0AA6A6"/>
        </w:rPr>
        <w:t xml:space="preserve">4. </w:t>
      </w:r>
      <w:r>
        <w:rPr>
          <w:rFonts w:ascii="Lato" w:hAnsi="Lato" w:eastAsia="Lato"/>
          <w:b w:val="0"/>
          <w:i w:val="0"/>
        </w:rPr>
        <w:t>IDENTIFY THE RULE: What is legally required, and what additional clinical judgment is needed?</w:t>
      </w:r>
    </w:p>
    <w:p>
      <w:pPr>
        <w:pStyle w:val="CTABody"/>
        <w:spacing w:after="60"/>
        <w:ind w:left="432" w:hanging="317"/>
      </w:pPr>
      <w:r>
        <w:rPr>
          <w:rFonts w:ascii="Lato" w:hAnsi="Lato" w:eastAsia="Lato"/>
          <w:b/>
          <w:i w:val="0"/>
          <w:color w:val="0AA6A6"/>
        </w:rPr>
        <w:t xml:space="preserve">5. </w:t>
      </w:r>
      <w:r>
        <w:rPr>
          <w:rFonts w:ascii="Lato" w:hAnsi="Lato" w:eastAsia="Lato"/>
          <w:b w:val="0"/>
          <w:i w:val="0"/>
        </w:rPr>
        <w:t>ADDRESS THE IMMEDIATE RISK: Choose the first proportionate action rather than an extreme response.</w:t>
      </w:r>
    </w:p>
    <w:p>
      <w:pPr>
        <w:pStyle w:val="CTABody"/>
        <w:spacing w:after="60"/>
        <w:ind w:left="432" w:hanging="317"/>
      </w:pPr>
      <w:r>
        <w:rPr>
          <w:rFonts w:ascii="Lato" w:hAnsi="Lato" w:eastAsia="Lato"/>
          <w:b/>
          <w:i w:val="0"/>
          <w:color w:val="0AA6A6"/>
        </w:rPr>
        <w:t xml:space="preserve">6. </w:t>
      </w:r>
      <w:r>
        <w:rPr>
          <w:rFonts w:ascii="Lato" w:hAnsi="Lato" w:eastAsia="Lato"/>
          <w:b w:val="0"/>
          <w:i w:val="0"/>
        </w:rPr>
        <w:t>PROTECT AND DOCUMENT: Protect the client, confidentiality, continuity, and record; consult or notify when required.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Master Memory Aid</w:t>
            </w:r>
          </w:p>
          <w:p>
            <w:pPr>
              <w:spacing w:after="0" w:line="254" w:lineRule="auto"/>
            </w:pPr>
            <w:r>
              <w:rPr>
                <w:rFonts w:ascii="Lato" w:hAnsi="Lato" w:eastAsia="Lato"/>
                <w:b w:val="0"/>
                <w:i w:val="0"/>
                <w:sz w:val="20"/>
              </w:rPr>
              <w:t>LOCATE -&gt; AUTHORIZE -&gt; CLASSIFY -&gt; ACT -&gt; PROTECT</w:t>
            </w:r>
          </w:p>
        </w:tc>
      </w:tr>
    </w:tbl>
    <w:p>
      <w:pPr>
        <w:pStyle w:val="CTAHeading2"/>
        <w:keepNext/>
      </w:pPr>
      <w:r>
        <w:rPr>
          <w:rFonts w:ascii="Lato" w:hAnsi="Lato" w:eastAsia="Lato"/>
          <w:b/>
          <w:i w:val="0"/>
          <w:color w:val="0B2447"/>
          <w:sz w:val="26"/>
        </w:rPr>
        <w:t>Chapter Summary</w:t>
      </w:r>
    </w:p>
    <w:p>
      <w:pPr>
        <w:pStyle w:val="CTABody"/>
        <w:spacing w:after="60"/>
        <w:ind w:left="403" w:hanging="259"/>
      </w:pPr>
      <w:r>
        <w:rPr>
          <w:rFonts w:ascii="Lato" w:hAnsi="Lato" w:eastAsia="Lato"/>
          <w:b/>
          <w:i w:val="0"/>
          <w:color w:val="0AA6A6"/>
        </w:rPr>
        <w:t xml:space="preserve">• </w:t>
      </w:r>
      <w:r>
        <w:rPr>
          <w:rFonts w:ascii="Lato" w:hAnsi="Lato" w:eastAsia="Lato"/>
          <w:b w:val="0"/>
          <w:i w:val="0"/>
        </w:rPr>
        <w:t>Telehealth preserves professional standards and adds California-specific procedures.</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client’s present location controls jurisdiction and emergency planning.</w:t>
      </w:r>
    </w:p>
    <w:p>
      <w:pPr>
        <w:pStyle w:val="CTABody"/>
        <w:spacing w:after="60"/>
        <w:ind w:left="403" w:hanging="259"/>
      </w:pPr>
      <w:r>
        <w:rPr>
          <w:rFonts w:ascii="Lato" w:hAnsi="Lato" w:eastAsia="Lato"/>
          <w:b/>
          <w:i w:val="0"/>
          <w:color w:val="0AA6A6"/>
        </w:rPr>
        <w:t xml:space="preserve">• </w:t>
      </w:r>
      <w:r>
        <w:rPr>
          <w:rFonts w:ascii="Lato" w:hAnsi="Lato" w:eastAsia="Lato"/>
          <w:b w:val="0"/>
          <w:i w:val="0"/>
        </w:rPr>
        <w:t>Full name, present address, and appropriateness must be addressed each telehealth session.</w:t>
      </w:r>
    </w:p>
    <w:p>
      <w:pPr>
        <w:pStyle w:val="CTABody"/>
        <w:spacing w:after="60"/>
        <w:ind w:left="403" w:hanging="259"/>
      </w:pPr>
      <w:r>
        <w:rPr>
          <w:rFonts w:ascii="Lato" w:hAnsi="Lato" w:eastAsia="Lato"/>
          <w:b/>
          <w:i w:val="0"/>
          <w:color w:val="0AA6A6"/>
        </w:rPr>
        <w:t xml:space="preserve">• </w:t>
      </w:r>
      <w:r>
        <w:rPr>
          <w:rFonts w:ascii="Lato" w:hAnsi="Lato" w:eastAsia="Lato"/>
          <w:b w:val="0"/>
          <w:i w:val="0"/>
        </w:rPr>
        <w:t>Telehealth consent is not a blanket consent for recording, transcription, or secondary data use.</w:t>
      </w:r>
    </w:p>
    <w:p>
      <w:pPr>
        <w:pStyle w:val="CTABody"/>
        <w:spacing w:after="60"/>
        <w:ind w:left="403" w:hanging="259"/>
      </w:pPr>
      <w:r>
        <w:rPr>
          <w:rFonts w:ascii="Lato" w:hAnsi="Lato" w:eastAsia="Lato"/>
          <w:b/>
          <w:i w:val="0"/>
          <w:color w:val="0AA6A6"/>
        </w:rPr>
        <w:t xml:space="preserve">• </w:t>
      </w:r>
      <w:r>
        <w:rPr>
          <w:rFonts w:ascii="Lato" w:hAnsi="Lato" w:eastAsia="Lato"/>
          <w:b w:val="0"/>
          <w:i w:val="0"/>
        </w:rPr>
        <w:t>Privacy depends on technology, environment, access, and human behavior.</w:t>
      </w:r>
    </w:p>
    <w:p>
      <w:pPr>
        <w:pStyle w:val="CTABody"/>
        <w:spacing w:after="60"/>
        <w:ind w:left="403" w:hanging="259"/>
      </w:pPr>
      <w:r>
        <w:rPr>
          <w:rFonts w:ascii="Lato" w:hAnsi="Lato" w:eastAsia="Lato"/>
          <w:b/>
          <w:i w:val="0"/>
          <w:color w:val="0AA6A6"/>
        </w:rPr>
        <w:t xml:space="preserve">• </w:t>
      </w:r>
      <w:r>
        <w:rPr>
          <w:rFonts w:ascii="Lato" w:hAnsi="Lato" w:eastAsia="Lato"/>
          <w:b w:val="0"/>
          <w:i w:val="0"/>
        </w:rPr>
        <w:t>Electronic communication requires safeguards, expectations, and clinically appropriate documentation.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Social-media conduct may create boundary, confidentiality, advertising, and professional-identity issues.</w:t>
      </w:r>
    </w:p>
    <w:p>
      <w:pPr>
        <w:pStyle w:val="CTABody"/>
        <w:spacing w:after="60"/>
        <w:ind w:left="403" w:hanging="259"/>
      </w:pPr>
      <w:r>
        <w:rPr>
          <w:rFonts w:ascii="Lato" w:hAnsi="Lato" w:eastAsia="Lato"/>
          <w:b/>
          <w:i w:val="0"/>
          <w:color w:val="0AA6A6"/>
        </w:rPr>
        <w:t xml:space="preserve">• </w:t>
      </w:r>
      <w:r>
        <w:rPr>
          <w:rFonts w:ascii="Lato" w:hAnsi="Lato" w:eastAsia="Lato"/>
          <w:b w:val="0"/>
          <w:i w:val="0"/>
        </w:rPr>
        <w:t>Technology incidents require prompt assessment, but legal breach notification depends on the facts and governing law.</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answers are lawful, proportionate, protective, and clinically reasoned rather than automatic or extreme.</w:t>
      </w:r>
    </w:p>
    <w:p>
      <w:pPr>
        <w:pStyle w:val="CTAHeading1"/>
        <w:keepNext/>
        <w:pageBreakBefore/>
      </w:pPr>
      <w:r>
        <w:rPr>
          <w:rFonts w:ascii="Lato" w:hAnsi="Lato" w:eastAsia="Lato"/>
          <w:b/>
          <w:i w:val="0"/>
          <w:color w:val="0B2447"/>
          <w:sz w:val="32"/>
        </w:rPr>
        <w:t>Chapter 8: Top Telehealth &amp; Technology Concepts You Must Know</w:t>
      </w:r>
    </w:p>
    <w:p>
      <w:pPr>
        <w:pStyle w:val="CTAHeading2"/>
        <w:keepNext/>
      </w:pPr>
      <w:r>
        <w:rPr>
          <w:rFonts w:ascii="Lato" w:hAnsi="Lato" w:eastAsia="Lato"/>
          <w:b/>
          <w:i w:val="0"/>
          <w:color w:val="0B2447"/>
          <w:sz w:val="26"/>
        </w:rPr>
        <w:t>Why This Chapter Matters</w:t>
      </w:r>
    </w:p>
    <w:p>
      <w:pPr>
        <w:pStyle w:val="CTABody"/>
      </w:pPr>
      <w:r>
        <w:rPr>
          <w:rFonts w:ascii="Lato" w:hAnsi="Lato" w:eastAsia="Lato"/>
          <w:b w:val="0"/>
          <w:i w:val="0"/>
        </w:rPr>
        <w:t>This chapter is a final high-yield review of the legal, ethical, clinical, and examination concepts developed in Chapters 1-7. It does not replace the earlier chapters. It helps you recognize the controlling issue quickly, separate mandatory California requirements from broader risk-management practices, and select the best first response on the California LCSW Law and Ethics Examination.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Master Big Idea</w:t>
            </w:r>
          </w:p>
          <w:p>
            <w:pPr>
              <w:spacing w:after="0" w:line="254" w:lineRule="auto"/>
            </w:pPr>
            <w:r>
              <w:rPr>
                <w:rFonts w:ascii="Lato" w:hAnsi="Lato" w:eastAsia="Lato"/>
                <w:b w:val="0"/>
                <w:i w:val="0"/>
                <w:sz w:val="20"/>
              </w:rPr>
              <w:t>Telehealth questions become easier when you identify five things in order: the client's present location, the therapist's legal authority, the specific rule being tested, the immediate risk, and the response that best protects the client.</w:t>
            </w:r>
          </w:p>
        </w:tc>
      </w:tr>
    </w:tbl>
    <w:p>
      <w:pPr>
        <w:pStyle w:val="CTAHeading2"/>
        <w:keepNext/>
      </w:pPr>
      <w:r>
        <w:rPr>
          <w:rFonts w:ascii="Lato" w:hAnsi="Lato" w:eastAsia="Lato"/>
          <w:b/>
          <w:i w:val="0"/>
          <w:color w:val="0B2447"/>
          <w:sz w:val="26"/>
        </w:rPr>
        <w:t>1. Telehealth Is a Mode of Delivery - Not a New Scope of Practice</w:t>
      </w:r>
    </w:p>
    <w:p>
      <w:pPr>
        <w:pStyle w:val="CTABody"/>
      </w:pPr>
      <w:r>
        <w:rPr>
          <w:rFonts w:ascii="Lato" w:hAnsi="Lato" w:eastAsia="Lato"/>
          <w:b w:val="0"/>
          <w:i w:val="0"/>
        </w:rPr>
        <w:t>California defines telehealth broadly enough to include synchronous and asynchronous health-care delivery. The technology does not expand the therapist's lawful scope, erase competence limits, or reduce professional standards.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Different method. Same scope. Same accountability.</w:t>
            </w:r>
          </w:p>
        </w:tc>
      </w:tr>
    </w:tbl>
    <w:p>
      <w:pPr>
        <w:pStyle w:val="CTAHeading2"/>
        <w:keepNext/>
      </w:pPr>
      <w:r>
        <w:rPr>
          <w:rFonts w:ascii="Lato" w:hAnsi="Lato" w:eastAsia="Lato"/>
          <w:b/>
          <w:i w:val="0"/>
          <w:color w:val="0B2447"/>
          <w:sz w:val="26"/>
        </w:rPr>
        <w:t>2. The Client's Present Physical Location Controls the First Jurisdiction Question</w:t>
      </w:r>
    </w:p>
    <w:p>
      <w:pPr>
        <w:pStyle w:val="CTABody"/>
      </w:pPr>
      <w:r>
        <w:rPr>
          <w:rFonts w:ascii="Lato" w:hAnsi="Lato" w:eastAsia="Lato"/>
          <w:b w:val="0"/>
          <w:i w:val="0"/>
        </w:rPr>
        <w:t>The key location is where the client is physically located during the service, not the client's permanent residence, billing address, or the therapist's office. Location affects practice authority, emergency response, and documentation.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Present location - not permanent residence.</w:t>
            </w:r>
          </w:p>
        </w:tc>
      </w:tr>
    </w:tbl>
    <w:p>
      <w:pPr>
        <w:pStyle w:val="CTAHeading2"/>
        <w:keepNext/>
      </w:pPr>
      <w:r>
        <w:rPr>
          <w:rFonts w:ascii="Lato" w:hAnsi="Lato" w:eastAsia="Lato"/>
          <w:b/>
          <w:i w:val="0"/>
          <w:color w:val="0B2447"/>
          <w:sz w:val="26"/>
        </w:rPr>
        <w:t>3. A Client Physically in California Generally Requires California Authority</w:t>
      </w:r>
    </w:p>
    <w:p>
      <w:pPr>
        <w:pStyle w:val="CTABody"/>
      </w:pPr>
      <w:r>
        <w:rPr>
          <w:rFonts w:ascii="Lato" w:hAnsi="Lato" w:eastAsia="Lato"/>
          <w:b w:val="0"/>
          <w:i w:val="0"/>
        </w:rPr>
        <w:t>A person providing clinical social work services to a client physically located in California generally must hold a current and active California LCSW license or ASW registration unless a specific statutory exemption or supervised student/intern provision applies.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California client -&gt; California authority.</w:t>
            </w:r>
          </w:p>
        </w:tc>
      </w:tr>
    </w:tbl>
    <w:p>
      <w:pPr>
        <w:pStyle w:val="CTAHeading2"/>
        <w:keepNext/>
      </w:pPr>
      <w:r>
        <w:rPr>
          <w:rFonts w:ascii="Lato" w:hAnsi="Lato" w:eastAsia="Lato"/>
          <w:b/>
          <w:i w:val="0"/>
          <w:color w:val="0B2447"/>
          <w:sz w:val="26"/>
        </w:rPr>
        <w:t>4. A California Credential Is Not Nationwide Practice Authority</w:t>
      </w:r>
    </w:p>
    <w:p>
      <w:pPr>
        <w:pStyle w:val="CTABody"/>
      </w:pPr>
      <w:r>
        <w:rPr>
          <w:rFonts w:ascii="Lato" w:hAnsi="Lato" w:eastAsia="Lato"/>
          <w:b w:val="0"/>
          <w:i w:val="0"/>
        </w:rPr>
        <w:t>When a client is physically in another state or jurisdiction, the California therapist must determine whether that jurisdiction permits the service and whether the therapist meets its requirements. An established relationship, client waiver, or continuity concern does not automatically create authority.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Crossing a border triggers a new legal check.</w:t>
            </w:r>
          </w:p>
        </w:tc>
      </w:tr>
    </w:tbl>
    <w:p>
      <w:pPr>
        <w:pStyle w:val="CTAHeading2"/>
        <w:keepNext/>
      </w:pPr>
      <w:r>
        <w:rPr>
          <w:rFonts w:ascii="Lato" w:hAnsi="Lato" w:eastAsia="Lato"/>
          <w:b/>
          <w:i w:val="0"/>
          <w:color w:val="0B2447"/>
          <w:sz w:val="26"/>
        </w:rPr>
        <w:t>5. Therapist Travel Does Not Automatically End California Practice</w:t>
      </w:r>
    </w:p>
    <w:p>
      <w:pPr>
        <w:pStyle w:val="CTABody"/>
      </w:pPr>
      <w:r>
        <w:rPr>
          <w:rFonts w:ascii="Lato" w:hAnsi="Lato" w:eastAsia="Lato"/>
          <w:b w:val="0"/>
          <w:i w:val="0"/>
        </w:rPr>
        <w:t>From the BBS perspective, a California LCSW who is temporarily outside California may generally serve a client who is physically in California if the credential is current and active, the case is appropriate, and California telehealth rules are followed. Other laws where the therapist is located may also require review.</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Follow the client, then check the therapist's location too.</w:t>
            </w:r>
          </w:p>
        </w:tc>
      </w:tr>
    </w:tbl>
    <w:p>
      <w:pPr>
        <w:pStyle w:val="CTAHeading2"/>
        <w:keepNext/>
      </w:pPr>
      <w:r>
        <w:rPr>
          <w:rFonts w:ascii="Lato" w:hAnsi="Lato" w:eastAsia="Lato"/>
          <w:b/>
          <w:i w:val="0"/>
          <w:color w:val="0B2447"/>
          <w:sz w:val="26"/>
        </w:rPr>
        <w:t>6. The Temporary Practice Allowance Is Narrow and Not Automatic</w:t>
      </w:r>
    </w:p>
    <w:p>
      <w:pPr>
        <w:pStyle w:val="CTABody"/>
      </w:pPr>
      <w:r>
        <w:rPr>
          <w:rFonts w:ascii="Lato" w:hAnsi="Lato" w:eastAsia="Lato"/>
          <w:b w:val="0"/>
          <w:i w:val="0"/>
        </w:rPr>
        <w:t>A qualifying independently licensed out-of-state clinical social worker may use the statutory allowance only after applying through the BBS, submitting the required information and signed statement, and receiving the allowance before services begin. It is limited to 30 consecutive days once per calendar year for an established client temporarily in California and does not arise merely because the visit is short.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Existing client + qualifying licensee + advance approval.</w:t>
            </w:r>
          </w:p>
        </w:tc>
      </w:tr>
    </w:tbl>
    <w:p>
      <w:pPr>
        <w:pStyle w:val="CTAHeading2"/>
        <w:keepNext/>
      </w:pPr>
      <w:r>
        <w:rPr>
          <w:rFonts w:ascii="Lato" w:hAnsi="Lato" w:eastAsia="Lato"/>
          <w:b/>
          <w:i w:val="0"/>
          <w:color w:val="0B2447"/>
          <w:sz w:val="26"/>
        </w:rPr>
        <w:t>7. Telehealth Initiation Has a Required California Checklist</w:t>
      </w:r>
    </w:p>
    <w:p>
      <w:pPr>
        <w:pStyle w:val="CTABody"/>
      </w:pPr>
      <w:r>
        <w:rPr>
          <w:rFonts w:ascii="Lato" w:hAnsi="Lato" w:eastAsia="Lato"/>
          <w:b w:val="0"/>
          <w:i w:val="0"/>
        </w:rPr>
        <w:t>When telehealth begins, the therapist must obtain and document verbal or written consent, explain potential risks and limitations, provide the credential type and number, and document reasonable efforts to identify relevant local resources, including emergency services.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Consent + risks + credential + local resources.</w:t>
            </w:r>
          </w:p>
        </w:tc>
      </w:tr>
    </w:tbl>
    <w:p>
      <w:pPr>
        <w:pStyle w:val="CTAHeading2"/>
        <w:keepNext/>
      </w:pPr>
      <w:r>
        <w:rPr>
          <w:rFonts w:ascii="Lato" w:hAnsi="Lato" w:eastAsia="Lato"/>
          <w:b/>
          <w:i w:val="0"/>
          <w:color w:val="0B2447"/>
          <w:sz w:val="26"/>
        </w:rPr>
        <w:t>8. Telehealth Consent Is Not Just a Signature</w:t>
      </w:r>
    </w:p>
    <w:p>
      <w:pPr>
        <w:pStyle w:val="CTABody"/>
      </w:pPr>
      <w:r>
        <w:rPr>
          <w:rFonts w:ascii="Lato" w:hAnsi="Lato" w:eastAsia="Lato"/>
          <w:b w:val="0"/>
          <w:i w:val="0"/>
        </w:rPr>
        <w:t>A form may document consent, but meaningful informed consent requires the required information and an opportunity for the client to understand and decide. Material changes, new technology, or client misunderstanding may require an updated discussion.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Paperwork supports consent; it does not replace understanding.</w:t>
            </w:r>
          </w:p>
        </w:tc>
      </w:tr>
    </w:tbl>
    <w:p>
      <w:pPr>
        <w:pStyle w:val="CTAHeading2"/>
        <w:keepNext/>
      </w:pPr>
      <w:r>
        <w:rPr>
          <w:rFonts w:ascii="Lato" w:hAnsi="Lato" w:eastAsia="Lato"/>
          <w:b/>
          <w:i w:val="0"/>
          <w:color w:val="0B2447"/>
          <w:sz w:val="26"/>
        </w:rPr>
        <w:t>9. Each Session Begins With Full Name and Present Address</w:t>
      </w:r>
    </w:p>
    <w:p>
      <w:pPr>
        <w:pStyle w:val="CTABody"/>
      </w:pPr>
      <w:r>
        <w:rPr>
          <w:rFonts w:ascii="Lato" w:hAnsi="Lato" w:eastAsia="Lato"/>
          <w:b w:val="0"/>
          <w:i w:val="0"/>
        </w:rPr>
        <w:t>At the beginning of every telehealth session, the therapist must verbally obtain and document the client's full name and address of present location. “At home,” “same place,” or the intake address may be insufficient when the client is elsewhere.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Name + present address + every session.</w:t>
            </w:r>
          </w:p>
        </w:tc>
      </w:tr>
    </w:tbl>
    <w:p>
      <w:pPr>
        <w:pStyle w:val="CTAHeading2"/>
        <w:keepNext/>
      </w:pPr>
      <w:r>
        <w:rPr>
          <w:rFonts w:ascii="Lato" w:hAnsi="Lato" w:eastAsia="Lato"/>
          <w:b/>
          <w:i w:val="0"/>
          <w:color w:val="0B2447"/>
          <w:sz w:val="26"/>
        </w:rPr>
        <w:t>10. Telehealth Appropriateness Is Assessed Every Time</w:t>
      </w:r>
    </w:p>
    <w:p>
      <w:pPr>
        <w:pStyle w:val="CTABody"/>
      </w:pPr>
      <w:r>
        <w:rPr>
          <w:rFonts w:ascii="Lato" w:hAnsi="Lato" w:eastAsia="Lato"/>
          <w:b w:val="0"/>
          <w:i w:val="0"/>
        </w:rPr>
        <w:t>California requires the therapist to assess whether the client and the specific session are appropriate for telehealth each time services are provided. Risk, intoxication, coercion, privacy, symptoms, communication quality, or environment may change the answer.</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Appropriate once does not mean appropriate forever.</w:t>
            </w:r>
          </w:p>
        </w:tc>
      </w:tr>
    </w:tbl>
    <w:p>
      <w:pPr>
        <w:pStyle w:val="CTAHeading2"/>
        <w:keepNext/>
      </w:pPr>
      <w:r>
        <w:rPr>
          <w:rFonts w:ascii="Lato" w:hAnsi="Lato" w:eastAsia="Lato"/>
          <w:b/>
          <w:i w:val="0"/>
          <w:color w:val="0B2447"/>
          <w:sz w:val="26"/>
        </w:rPr>
        <w:t>11. Emergency Preparation Happens Before the Emergency</w:t>
      </w:r>
    </w:p>
    <w:p>
      <w:pPr>
        <w:pStyle w:val="CTABody"/>
      </w:pPr>
      <w:r>
        <w:rPr>
          <w:rFonts w:ascii="Lato" w:hAnsi="Lato" w:eastAsia="Lato"/>
          <w:b w:val="0"/>
          <w:i w:val="0"/>
        </w:rPr>
        <w:t>The therapist should identify local resources when telehealth begins and establish clinically appropriate crisis procedures, backup communication, and emergency expectations. During an actual crisis, current location, immediate risk, and lawful safety action take priority.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Prepare early; locate and act during the crisis.</w:t>
            </w:r>
          </w:p>
        </w:tc>
      </w:tr>
    </w:tbl>
    <w:p>
      <w:pPr>
        <w:pStyle w:val="CTAHeading2"/>
        <w:keepNext/>
      </w:pPr>
      <w:r>
        <w:rPr>
          <w:rFonts w:ascii="Lato" w:hAnsi="Lato" w:eastAsia="Lato"/>
          <w:b/>
          <w:i w:val="0"/>
          <w:color w:val="0B2447"/>
          <w:sz w:val="26"/>
        </w:rPr>
        <w:t>12. Privacy, Confidentiality, and Security Are Different Questions</w:t>
      </w:r>
    </w:p>
    <w:p>
      <w:pPr>
        <w:pStyle w:val="CTABody"/>
      </w:pPr>
      <w:r>
        <w:rPr>
          <w:rFonts w:ascii="Lato" w:hAnsi="Lato" w:eastAsia="Lato"/>
          <w:b w:val="0"/>
          <w:i w:val="0"/>
        </w:rPr>
        <w:t>Privacy concerns the treatment environment and unwanted observation. Confidentiality concerns the therapist's duty regarding client information. Security concerns safeguards against unauthorized access, alteration, loss, or disruption. A strong answer may need all three analyses.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Room + duty + safeguards.</w:t>
            </w:r>
          </w:p>
        </w:tc>
      </w:tr>
    </w:tbl>
    <w:p>
      <w:pPr>
        <w:pStyle w:val="CTAHeading2"/>
        <w:keepNext/>
      </w:pPr>
      <w:r>
        <w:rPr>
          <w:rFonts w:ascii="Lato" w:hAnsi="Lato" w:eastAsia="Lato"/>
          <w:b/>
          <w:i w:val="0"/>
          <w:color w:val="0B2447"/>
          <w:sz w:val="26"/>
        </w:rPr>
        <w:t>13. A Secure Platform Does Not Guarantee a Private Session</w:t>
      </w:r>
    </w:p>
    <w:p>
      <w:pPr>
        <w:pStyle w:val="CTABody"/>
      </w:pPr>
      <w:r>
        <w:rPr>
          <w:rFonts w:ascii="Lato" w:hAnsi="Lato" w:eastAsia="Lato"/>
          <w:b w:val="0"/>
          <w:i w:val="0"/>
        </w:rPr>
        <w:t>A platform cannot control hidden listeners, shared devices, visible notifications, public locations, smart speakers, therapist workspace, or coercive third parties. Evaluate both the technology and the environment.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Secure connection does not equal private setting.</w:t>
            </w:r>
          </w:p>
        </w:tc>
      </w:tr>
    </w:tbl>
    <w:p>
      <w:pPr>
        <w:pStyle w:val="CTAHeading2"/>
        <w:keepNext/>
      </w:pPr>
      <w:r>
        <w:rPr>
          <w:rFonts w:ascii="Lato" w:hAnsi="Lato" w:eastAsia="Lato"/>
          <w:b/>
          <w:i w:val="0"/>
          <w:color w:val="0B2447"/>
          <w:sz w:val="26"/>
        </w:rPr>
        <w:t>14. “HIPAA-Compliant” Marketing and a BAA Do Not Complete the Analysis</w:t>
      </w:r>
    </w:p>
    <w:p>
      <w:pPr>
        <w:pStyle w:val="CTABody"/>
      </w:pPr>
      <w:r>
        <w:rPr>
          <w:rFonts w:ascii="Lato" w:hAnsi="Lato" w:eastAsia="Lato"/>
          <w:b w:val="0"/>
          <w:i w:val="0"/>
        </w:rPr>
        <w:t>HHS does not certify a product as universally compliant. A business associate agreement may be required in some HIPAA-regulated relationships, but the therapist must still evaluate configuration, access, data practices, encryption, retention, workflow, and California duties.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Contract + configuration + actual use.</w:t>
            </w:r>
          </w:p>
        </w:tc>
      </w:tr>
    </w:tbl>
    <w:p>
      <w:pPr>
        <w:pStyle w:val="CTAHeading2"/>
        <w:keepNext/>
      </w:pPr>
      <w:r>
        <w:rPr>
          <w:rFonts w:ascii="Lato" w:hAnsi="Lato" w:eastAsia="Lato"/>
          <w:b/>
          <w:i w:val="0"/>
          <w:color w:val="0B2447"/>
          <w:sz w:val="26"/>
        </w:rPr>
        <w:t>15. Telehealth Consent Is Not Recording, Transcription, or AI Consent</w:t>
      </w:r>
    </w:p>
    <w:p>
      <w:pPr>
        <w:pStyle w:val="CTABody"/>
      </w:pPr>
      <w:r>
        <w:rPr>
          <w:rFonts w:ascii="Lato" w:hAnsi="Lato" w:eastAsia="Lato"/>
          <w:b w:val="0"/>
          <w:i w:val="0"/>
        </w:rPr>
        <w:t>Consent to receive telehealth does not automatically authorize intentional recording, automated transcription, AI summaries, or vendor processing of session content. California generally requires all-party consent to record a confidential communication, and AI use also requires privacy, vendor, retention, accuracy, and clinical analysis.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New data use -&gt; new consent and risk analysis.</w:t>
            </w:r>
          </w:p>
        </w:tc>
      </w:tr>
    </w:tbl>
    <w:p>
      <w:pPr>
        <w:pStyle w:val="CTAHeading2"/>
        <w:keepNext/>
      </w:pPr>
      <w:r>
        <w:rPr>
          <w:rFonts w:ascii="Lato" w:hAnsi="Lato" w:eastAsia="Lato"/>
          <w:b/>
          <w:i w:val="0"/>
          <w:color w:val="0B2447"/>
          <w:sz w:val="26"/>
        </w:rPr>
        <w:t>16. Electronic Communication Must Be Classified Before It Is Judged</w:t>
      </w:r>
    </w:p>
    <w:p>
      <w:pPr>
        <w:pStyle w:val="CTABody"/>
      </w:pPr>
      <w:r>
        <w:rPr>
          <w:rFonts w:ascii="Lato" w:hAnsi="Lato" w:eastAsia="Lato"/>
          <w:b w:val="0"/>
          <w:i w:val="0"/>
        </w:rPr>
        <w:t>An appointment reminder is different from a clinical intervention, risk disclosure, record transmission, or emergency message. Some asynchronous clinical exchanges may constitute telehealth, while routine administrative communication may not.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Classify the message before applying the rule.</w:t>
            </w:r>
          </w:p>
        </w:tc>
      </w:tr>
    </w:tbl>
    <w:p>
      <w:pPr>
        <w:pStyle w:val="CTAHeading2"/>
        <w:keepNext/>
      </w:pPr>
      <w:r>
        <w:rPr>
          <w:rFonts w:ascii="Lato" w:hAnsi="Lato" w:eastAsia="Lato"/>
          <w:b/>
          <w:i w:val="0"/>
          <w:color w:val="0B2447"/>
          <w:sz w:val="26"/>
        </w:rPr>
        <w:t>17. Communication Policies Clarify Limits - They Do Not Excuse Inaction</w:t>
      </w:r>
    </w:p>
    <w:p>
      <w:pPr>
        <w:pStyle w:val="CTABody"/>
      </w:pPr>
      <w:r>
        <w:rPr>
          <w:rFonts w:ascii="Lato" w:hAnsi="Lato" w:eastAsia="Lato"/>
          <w:b w:val="0"/>
          <w:i w:val="0"/>
        </w:rPr>
        <w:t>Clients should understand response times, monitored channels, emergency alternatives, and appropriate uses of email or text. A therapist need not monitor every channel continuously, but once a high-risk message is actually reviewed, the therapist must respond to the clinical facts.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Not 24/7 monitoring is not permission to ignore known risk.</w:t>
            </w:r>
          </w:p>
        </w:tc>
      </w:tr>
    </w:tbl>
    <w:p>
      <w:pPr>
        <w:pStyle w:val="CTAHeading2"/>
        <w:keepNext/>
      </w:pPr>
      <w:r>
        <w:rPr>
          <w:rFonts w:ascii="Lato" w:hAnsi="Lato" w:eastAsia="Lato"/>
          <w:b/>
          <w:i w:val="0"/>
          <w:color w:val="0B2447"/>
          <w:sz w:val="26"/>
        </w:rPr>
        <w:t>18. Clinically Significant Electronic Communication May Belong in the Record</w:t>
      </w:r>
    </w:p>
    <w:p>
      <w:pPr>
        <w:pStyle w:val="CTABody"/>
      </w:pPr>
      <w:r>
        <w:rPr>
          <w:rFonts w:ascii="Lato" w:hAnsi="Lato" w:eastAsia="Lato"/>
          <w:b w:val="0"/>
          <w:i w:val="0"/>
        </w:rPr>
        <w:t>Not every message needs to be copied into the record. Significant disclosures, risk information, treatment decisions, safety actions, and communications affecting care should be documented or incorporated appropriately.</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Document clinical significance - not every keystroke.</w:t>
            </w:r>
          </w:p>
        </w:tc>
      </w:tr>
    </w:tbl>
    <w:p>
      <w:pPr>
        <w:pStyle w:val="CTAHeading2"/>
        <w:keepNext/>
      </w:pPr>
      <w:r>
        <w:rPr>
          <w:rFonts w:ascii="Lato" w:hAnsi="Lato" w:eastAsia="Lato"/>
          <w:b/>
          <w:i w:val="0"/>
          <w:color w:val="0B2447"/>
          <w:sz w:val="26"/>
        </w:rPr>
        <w:t>19. Technology Competence Is Part of Professional Competence</w:t>
      </w:r>
    </w:p>
    <w:p>
      <w:pPr>
        <w:pStyle w:val="CTABody"/>
      </w:pPr>
      <w:r>
        <w:rPr>
          <w:rFonts w:ascii="Lato" w:hAnsi="Lato" w:eastAsia="Lato"/>
          <w:b w:val="0"/>
          <w:i w:val="0"/>
        </w:rPr>
        <w:t>The therapist should understand the tools used in practice, including features, limitations, privacy settings, access controls, data practices, failure points, accessibility, and impact on treatment. Popularity or client preference does not establish competence.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Using the tool is not understanding the tool.</w:t>
            </w:r>
          </w:p>
        </w:tc>
      </w:tr>
    </w:tbl>
    <w:p>
      <w:pPr>
        <w:pStyle w:val="CTAHeading2"/>
        <w:keepNext/>
      </w:pPr>
      <w:r>
        <w:rPr>
          <w:rFonts w:ascii="Lato" w:hAnsi="Lato" w:eastAsia="Lato"/>
          <w:b/>
          <w:i w:val="0"/>
          <w:color w:val="0B2447"/>
          <w:sz w:val="26"/>
        </w:rPr>
        <w:t>20. Backup and Recovery Plans Must Work, Not Merely Exist</w:t>
      </w:r>
    </w:p>
    <w:p>
      <w:pPr>
        <w:pStyle w:val="CTABody"/>
      </w:pPr>
      <w:r>
        <w:rPr>
          <w:rFonts w:ascii="Lato" w:hAnsi="Lato" w:eastAsia="Lato"/>
          <w:b w:val="0"/>
          <w:i w:val="0"/>
        </w:rPr>
        <w:t>Foreseeable failures include outages, device loss, portal downtime, corrupted data, and inaccessible records. Alternate communication, continuity, backup, recovery, and restoration procedures should be developed and tested.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Untested backup = unproven backup.</w:t>
            </w:r>
          </w:p>
        </w:tc>
      </w:tr>
    </w:tbl>
    <w:p>
      <w:pPr>
        <w:pStyle w:val="CTAHeading2"/>
        <w:keepNext/>
      </w:pPr>
      <w:r>
        <w:rPr>
          <w:rFonts w:ascii="Lato" w:hAnsi="Lato" w:eastAsia="Lato"/>
          <w:b/>
          <w:i w:val="0"/>
          <w:color w:val="0B2447"/>
          <w:sz w:val="26"/>
        </w:rPr>
        <w:t>21. Digital Boundaries Require Analysis, Not Automatic Clicking</w:t>
      </w:r>
    </w:p>
    <w:p>
      <w:pPr>
        <w:pStyle w:val="CTABody"/>
      </w:pPr>
      <w:r>
        <w:rPr>
          <w:rFonts w:ascii="Lato" w:hAnsi="Lato" w:eastAsia="Lato"/>
          <w:b w:val="0"/>
          <w:i w:val="0"/>
        </w:rPr>
        <w:t>Friend requests, follows, direct messages, tags, and personal-account contact should be evaluated for confidentiality, role confusion, treatment impact, policy consistency, and client welfare. California law does not create one universal response to every request.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Pause, analyze, apply policy.</w:t>
            </w:r>
          </w:p>
        </w:tc>
      </w:tr>
    </w:tbl>
    <w:p>
      <w:pPr>
        <w:pStyle w:val="CTAHeading2"/>
        <w:keepNext/>
      </w:pPr>
      <w:r>
        <w:rPr>
          <w:rFonts w:ascii="Lato" w:hAnsi="Lato" w:eastAsia="Lato"/>
          <w:b/>
          <w:i w:val="0"/>
          <w:color w:val="0B2447"/>
          <w:sz w:val="26"/>
        </w:rPr>
        <w:t>22. Public Information Is Not Automatically Clinically Appropriate Information</w:t>
      </w:r>
    </w:p>
    <w:p>
      <w:pPr>
        <w:pStyle w:val="CTABody"/>
      </w:pPr>
      <w:r>
        <w:rPr>
          <w:rFonts w:ascii="Lato" w:hAnsi="Lato" w:eastAsia="Lato"/>
          <w:b w:val="0"/>
          <w:i w:val="0"/>
        </w:rPr>
        <w:t>Before searching for or using online client information, consider clinical purpose, necessity, reliability, alternatives, transparency, treatment impact, and documentation. Curiosity is not a strong professional rationale.</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Why are you looking, and how will you use it?</w:t>
            </w:r>
          </w:p>
        </w:tc>
      </w:tr>
    </w:tbl>
    <w:p>
      <w:pPr>
        <w:pStyle w:val="CTAHeading2"/>
        <w:keepNext/>
      </w:pPr>
      <w:r>
        <w:rPr>
          <w:rFonts w:ascii="Lato" w:hAnsi="Lato" w:eastAsia="Lato"/>
          <w:b/>
          <w:i w:val="0"/>
          <w:color w:val="0B2447"/>
          <w:sz w:val="26"/>
        </w:rPr>
        <w:t>23. Online Confidentiality and Advertising Rules Still Apply</w:t>
      </w:r>
    </w:p>
    <w:p>
      <w:pPr>
        <w:pStyle w:val="CTABody"/>
      </w:pPr>
      <w:r>
        <w:rPr>
          <w:rFonts w:ascii="Lato" w:hAnsi="Lato" w:eastAsia="Lato"/>
          <w:b w:val="0"/>
          <w:i w:val="0"/>
        </w:rPr>
        <w:t>Removing a client's name may not prevent identification, and a public response to a review may improperly confirm the treatment relationship. Professional social-media accounts and posts used to market services are advertising; effective April 1, 2026, required identifying information must appear on the account or be easily accessible through a clear link.</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Public platform, professional duties.</w:t>
            </w:r>
          </w:p>
        </w:tc>
      </w:tr>
    </w:tbl>
    <w:p>
      <w:pPr>
        <w:pStyle w:val="CTAHeading2"/>
        <w:keepNext/>
      </w:pPr>
      <w:r>
        <w:rPr>
          <w:rFonts w:ascii="Lato" w:hAnsi="Lato" w:eastAsia="Lato"/>
          <w:b/>
          <w:i w:val="0"/>
          <w:color w:val="0B2447"/>
          <w:sz w:val="26"/>
        </w:rPr>
        <w:t>24. An Incident Requires Action, but Not Every Incident Is a Reportable Breach</w:t>
      </w:r>
    </w:p>
    <w:p>
      <w:pPr>
        <w:pStyle w:val="CTABody"/>
      </w:pPr>
      <w:r>
        <w:rPr>
          <w:rFonts w:ascii="Lato" w:hAnsi="Lato" w:eastAsia="Lato"/>
          <w:b w:val="0"/>
          <w:i w:val="0"/>
        </w:rPr>
        <w:t>A wrong recipient, lost device, unauthorized access, or suspicious login should trigger containment, preservation, assessment, mitigation, documentation, and consultation. Reportability depends on the applicable law and facts; deleting evidence, making an automatic conclusion, or waiting for a complaint is poor risk management.</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Quick Recall</w:t>
            </w:r>
          </w:p>
          <w:p>
            <w:pPr>
              <w:spacing w:after="0" w:line="254" w:lineRule="auto"/>
            </w:pPr>
            <w:r>
              <w:rPr>
                <w:rFonts w:ascii="Lato" w:hAnsi="Lato" w:eastAsia="Lato"/>
                <w:b w:val="0"/>
                <w:i w:val="0"/>
                <w:sz w:val="20"/>
              </w:rPr>
              <w:t>Contain -&gt; preserve -&gt; assess -&gt; mitigate -&gt; document -&gt; notify as required.</w:t>
            </w:r>
          </w:p>
        </w:tc>
      </w:tr>
    </w:tbl>
    <w:p>
      <w:pPr>
        <w:pStyle w:val="CTAHeading2"/>
        <w:keepNext/>
      </w:pPr>
      <w:r>
        <w:rPr>
          <w:rFonts w:ascii="Lato" w:hAnsi="Lato" w:eastAsia="Lato"/>
          <w:b/>
          <w:i w:val="0"/>
          <w:color w:val="0B2447"/>
          <w:sz w:val="26"/>
        </w:rPr>
        <w:t>Final Rapid-Review Matrix</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Topic</w:t>
            </w:r>
          </w:p>
        </w:tc>
        <w:tc>
          <w:tcPr>
            <w:tcW w:type="dxa" w:w="3320"/>
            <w:shd w:fill="0B2447"/>
          </w:tcPr>
          <w:p>
            <w:pPr>
              <w:jc w:val="center"/>
            </w:pPr>
            <w:r>
              <w:rPr>
                <w:rFonts w:ascii="Lato" w:hAnsi="Lato" w:eastAsia="Lato"/>
                <w:b/>
                <w:i w:val="0"/>
                <w:color w:val="FFFFFF"/>
                <w:sz w:val="18"/>
              </w:rPr>
              <w:t>High-Yield Rule</w:t>
            </w:r>
          </w:p>
        </w:tc>
        <w:tc>
          <w:tcPr>
            <w:tcW w:type="dxa" w:w="3320"/>
            <w:shd w:fill="0B2447"/>
          </w:tcPr>
          <w:p>
            <w:pPr>
              <w:jc w:val="center"/>
            </w:pPr>
            <w:r>
              <w:rPr>
                <w:rFonts w:ascii="Lato" w:hAnsi="Lato" w:eastAsia="Lato"/>
                <w:b/>
                <w:i w:val="0"/>
                <w:color w:val="FFFFFF"/>
                <w:sz w:val="18"/>
              </w:rPr>
              <w:t>Common Distractor</w:t>
            </w:r>
          </w:p>
        </w:tc>
      </w:tr>
      <w:tr>
        <w:trPr>
          <w:cantSplit w:val="1"/>
        </w:trPr>
        <w:tc>
          <w:tcPr>
            <w:tcW w:type="dxa" w:w="3320"/>
            <w:shd w:fill="EEF3F8"/>
            <w:vAlign w:val="top"/>
          </w:tcPr>
          <w:p>
            <w:pPr>
              <w:spacing w:after="0" w:line="245" w:lineRule="auto"/>
            </w:pPr>
            <w:r>
              <w:rPr>
                <w:rFonts w:ascii="Lato" w:hAnsi="Lato" w:eastAsia="Lato"/>
                <w:b/>
                <w:i w:val="0"/>
                <w:color w:val="0B2447"/>
                <w:sz w:val="17"/>
              </w:rPr>
              <w:t>Scope</w:t>
            </w:r>
          </w:p>
        </w:tc>
        <w:tc>
          <w:tcPr>
            <w:tcW w:type="dxa" w:w="3320"/>
            <w:vAlign w:val="top"/>
          </w:tcPr>
          <w:p>
            <w:pPr>
              <w:spacing w:after="0" w:line="245" w:lineRule="auto"/>
            </w:pPr>
            <w:r>
              <w:rPr>
                <w:rFonts w:ascii="Lato" w:hAnsi="Lato" w:eastAsia="Lato"/>
                <w:b w:val="0"/>
                <w:i w:val="0"/>
                <w:color w:val="111827"/>
                <w:sz w:val="17"/>
              </w:rPr>
              <w:t>Telehealth does not expand lawful scope or competence.</w:t>
            </w:r>
          </w:p>
        </w:tc>
        <w:tc>
          <w:tcPr>
            <w:tcW w:type="dxa" w:w="3320"/>
            <w:vAlign w:val="top"/>
          </w:tcPr>
          <w:p>
            <w:pPr>
              <w:spacing w:after="0" w:line="245" w:lineRule="auto"/>
            </w:pPr>
            <w:r>
              <w:rPr>
                <w:rFonts w:ascii="Lato" w:hAnsi="Lato" w:eastAsia="Lato"/>
                <w:b w:val="0"/>
                <w:i w:val="0"/>
                <w:color w:val="111827"/>
                <w:sz w:val="17"/>
              </w:rPr>
              <w:t>Technology makes the service permissible.</w:t>
            </w:r>
          </w:p>
        </w:tc>
      </w:tr>
      <w:tr>
        <w:trPr>
          <w:cantSplit w:val="1"/>
        </w:trPr>
        <w:tc>
          <w:tcPr>
            <w:tcW w:type="dxa" w:w="3320"/>
            <w:shd w:fill="EEF3F8"/>
            <w:vAlign w:val="top"/>
          </w:tcPr>
          <w:p>
            <w:pPr>
              <w:spacing w:after="0" w:line="245" w:lineRule="auto"/>
            </w:pPr>
            <w:r>
              <w:rPr>
                <w:rFonts w:ascii="Lato" w:hAnsi="Lato" w:eastAsia="Lato"/>
                <w:b/>
                <w:i w:val="0"/>
                <w:color w:val="0B2447"/>
                <w:sz w:val="17"/>
              </w:rPr>
              <w:t>Location</w:t>
            </w:r>
          </w:p>
        </w:tc>
        <w:tc>
          <w:tcPr>
            <w:tcW w:type="dxa" w:w="3320"/>
            <w:vAlign w:val="top"/>
          </w:tcPr>
          <w:p>
            <w:pPr>
              <w:spacing w:after="0" w:line="245" w:lineRule="auto"/>
            </w:pPr>
            <w:r>
              <w:rPr>
                <w:rFonts w:ascii="Lato" w:hAnsi="Lato" w:eastAsia="Lato"/>
                <w:b w:val="0"/>
                <w:i w:val="0"/>
                <w:color w:val="111827"/>
                <w:sz w:val="17"/>
              </w:rPr>
              <w:t>Use the client's present physical location.</w:t>
            </w:r>
          </w:p>
        </w:tc>
        <w:tc>
          <w:tcPr>
            <w:tcW w:type="dxa" w:w="3320"/>
            <w:vAlign w:val="top"/>
          </w:tcPr>
          <w:p>
            <w:pPr>
              <w:spacing w:after="0" w:line="245" w:lineRule="auto"/>
            </w:pPr>
            <w:r>
              <w:rPr>
                <w:rFonts w:ascii="Lato" w:hAnsi="Lato" w:eastAsia="Lato"/>
                <w:b w:val="0"/>
                <w:i w:val="0"/>
                <w:color w:val="111827"/>
                <w:sz w:val="17"/>
              </w:rPr>
              <w:t>Use permanent residence or intake address.</w:t>
            </w:r>
          </w:p>
        </w:tc>
      </w:tr>
      <w:tr>
        <w:trPr>
          <w:cantSplit w:val="1"/>
        </w:trPr>
        <w:tc>
          <w:tcPr>
            <w:tcW w:type="dxa" w:w="3320"/>
            <w:shd w:fill="EEF3F8"/>
            <w:vAlign w:val="top"/>
          </w:tcPr>
          <w:p>
            <w:pPr>
              <w:spacing w:after="0" w:line="245" w:lineRule="auto"/>
            </w:pPr>
            <w:r>
              <w:rPr>
                <w:rFonts w:ascii="Lato" w:hAnsi="Lato" w:eastAsia="Lato"/>
                <w:b/>
                <w:i w:val="0"/>
                <w:color w:val="0B2447"/>
                <w:sz w:val="17"/>
              </w:rPr>
              <w:t>Interstate practice</w:t>
            </w:r>
          </w:p>
        </w:tc>
        <w:tc>
          <w:tcPr>
            <w:tcW w:type="dxa" w:w="3320"/>
            <w:vAlign w:val="top"/>
          </w:tcPr>
          <w:p>
            <w:pPr>
              <w:spacing w:after="0" w:line="245" w:lineRule="auto"/>
            </w:pPr>
            <w:r>
              <w:rPr>
                <w:rFonts w:ascii="Lato" w:hAnsi="Lato" w:eastAsia="Lato"/>
                <w:b w:val="0"/>
                <w:i w:val="0"/>
                <w:color w:val="111827"/>
                <w:sz w:val="17"/>
              </w:rPr>
              <w:t>Verify authority in the client's jurisdiction.</w:t>
            </w:r>
          </w:p>
        </w:tc>
        <w:tc>
          <w:tcPr>
            <w:tcW w:type="dxa" w:w="3320"/>
            <w:vAlign w:val="top"/>
          </w:tcPr>
          <w:p>
            <w:pPr>
              <w:spacing w:after="0" w:line="245" w:lineRule="auto"/>
            </w:pPr>
            <w:r>
              <w:rPr>
                <w:rFonts w:ascii="Lato" w:hAnsi="Lato" w:eastAsia="Lato"/>
                <w:b w:val="0"/>
                <w:i w:val="0"/>
                <w:color w:val="111827"/>
                <w:sz w:val="17"/>
              </w:rPr>
              <w:t>California license works nationwide.</w:t>
            </w:r>
          </w:p>
        </w:tc>
      </w:tr>
      <w:tr>
        <w:trPr>
          <w:cantSplit w:val="1"/>
        </w:trPr>
        <w:tc>
          <w:tcPr>
            <w:tcW w:type="dxa" w:w="3320"/>
            <w:shd w:fill="EEF3F8"/>
            <w:vAlign w:val="top"/>
          </w:tcPr>
          <w:p>
            <w:pPr>
              <w:spacing w:after="0" w:line="245" w:lineRule="auto"/>
            </w:pPr>
            <w:r>
              <w:rPr>
                <w:rFonts w:ascii="Lato" w:hAnsi="Lato" w:eastAsia="Lato"/>
                <w:b/>
                <w:i w:val="0"/>
                <w:color w:val="0B2447"/>
                <w:sz w:val="17"/>
              </w:rPr>
              <w:t>Initiation</w:t>
            </w:r>
          </w:p>
        </w:tc>
        <w:tc>
          <w:tcPr>
            <w:tcW w:type="dxa" w:w="3320"/>
            <w:vAlign w:val="top"/>
          </w:tcPr>
          <w:p>
            <w:pPr>
              <w:spacing w:after="0" w:line="245" w:lineRule="auto"/>
            </w:pPr>
            <w:r>
              <w:rPr>
                <w:rFonts w:ascii="Lato" w:hAnsi="Lato" w:eastAsia="Lato"/>
                <w:b w:val="0"/>
                <w:i w:val="0"/>
                <w:color w:val="111827"/>
                <w:sz w:val="17"/>
              </w:rPr>
              <w:t>Consent + risks/limitations + credential + local resources.</w:t>
            </w:r>
          </w:p>
        </w:tc>
        <w:tc>
          <w:tcPr>
            <w:tcW w:type="dxa" w:w="3320"/>
            <w:vAlign w:val="top"/>
          </w:tcPr>
          <w:p>
            <w:pPr>
              <w:spacing w:after="0" w:line="245" w:lineRule="auto"/>
            </w:pPr>
            <w:r>
              <w:rPr>
                <w:rFonts w:ascii="Lato" w:hAnsi="Lato" w:eastAsia="Lato"/>
                <w:b w:val="0"/>
                <w:i w:val="0"/>
                <w:color w:val="111827"/>
                <w:sz w:val="17"/>
              </w:rPr>
              <w:t>A signed general form is enough.</w:t>
            </w:r>
          </w:p>
        </w:tc>
      </w:tr>
      <w:tr>
        <w:trPr>
          <w:cantSplit w:val="1"/>
        </w:trPr>
        <w:tc>
          <w:tcPr>
            <w:tcW w:type="dxa" w:w="3320"/>
            <w:shd w:fill="EEF3F8"/>
            <w:vAlign w:val="top"/>
          </w:tcPr>
          <w:p>
            <w:pPr>
              <w:spacing w:after="0" w:line="245" w:lineRule="auto"/>
            </w:pPr>
            <w:r>
              <w:rPr>
                <w:rFonts w:ascii="Lato" w:hAnsi="Lato" w:eastAsia="Lato"/>
                <w:b/>
                <w:i w:val="0"/>
                <w:color w:val="0B2447"/>
                <w:sz w:val="17"/>
              </w:rPr>
              <w:t>Each session</w:t>
            </w:r>
          </w:p>
        </w:tc>
        <w:tc>
          <w:tcPr>
            <w:tcW w:type="dxa" w:w="3320"/>
            <w:vAlign w:val="top"/>
          </w:tcPr>
          <w:p>
            <w:pPr>
              <w:spacing w:after="0" w:line="245" w:lineRule="auto"/>
            </w:pPr>
            <w:r>
              <w:rPr>
                <w:rFonts w:ascii="Lato" w:hAnsi="Lato" w:eastAsia="Lato"/>
                <w:b w:val="0"/>
                <w:i w:val="0"/>
                <w:color w:val="111827"/>
                <w:sz w:val="17"/>
              </w:rPr>
              <w:t>Full name + present address + appropriateness assessment.</w:t>
            </w:r>
          </w:p>
        </w:tc>
        <w:tc>
          <w:tcPr>
            <w:tcW w:type="dxa" w:w="3320"/>
            <w:vAlign w:val="top"/>
          </w:tcPr>
          <w:p>
            <w:pPr>
              <w:spacing w:after="0" w:line="245" w:lineRule="auto"/>
            </w:pPr>
            <w:r>
              <w:rPr>
                <w:rFonts w:ascii="Lato" w:hAnsi="Lato" w:eastAsia="Lato"/>
                <w:b w:val="0"/>
                <w:i w:val="0"/>
                <w:color w:val="111827"/>
                <w:sz w:val="17"/>
              </w:rPr>
              <w:t>Location and appropriateness are one-time tasks.</w:t>
            </w:r>
          </w:p>
        </w:tc>
      </w:tr>
      <w:tr>
        <w:trPr>
          <w:cantSplit w:val="1"/>
        </w:trPr>
        <w:tc>
          <w:tcPr>
            <w:tcW w:type="dxa" w:w="3320"/>
            <w:shd w:fill="EEF3F8"/>
            <w:vAlign w:val="top"/>
          </w:tcPr>
          <w:p>
            <w:pPr>
              <w:spacing w:after="0" w:line="245" w:lineRule="auto"/>
            </w:pPr>
            <w:r>
              <w:rPr>
                <w:rFonts w:ascii="Lato" w:hAnsi="Lato" w:eastAsia="Lato"/>
                <w:b/>
                <w:i w:val="0"/>
                <w:color w:val="0B2447"/>
                <w:sz w:val="17"/>
              </w:rPr>
              <w:t>Emergency</w:t>
            </w:r>
          </w:p>
        </w:tc>
        <w:tc>
          <w:tcPr>
            <w:tcW w:type="dxa" w:w="3320"/>
            <w:vAlign w:val="top"/>
          </w:tcPr>
          <w:p>
            <w:pPr>
              <w:spacing w:after="0" w:line="245" w:lineRule="auto"/>
            </w:pPr>
            <w:r>
              <w:rPr>
                <w:rFonts w:ascii="Lato" w:hAnsi="Lato" w:eastAsia="Lato"/>
                <w:b w:val="0"/>
                <w:i w:val="0"/>
                <w:color w:val="111827"/>
                <w:sz w:val="17"/>
              </w:rPr>
              <w:t>Prepare beforehand; locate and act on present risk.</w:t>
            </w:r>
          </w:p>
        </w:tc>
        <w:tc>
          <w:tcPr>
            <w:tcW w:type="dxa" w:w="3320"/>
            <w:vAlign w:val="top"/>
          </w:tcPr>
          <w:p>
            <w:pPr>
              <w:spacing w:after="0" w:line="245" w:lineRule="auto"/>
            </w:pPr>
            <w:r>
              <w:rPr>
                <w:rFonts w:ascii="Lato" w:hAnsi="Lato" w:eastAsia="Lato"/>
                <w:b w:val="0"/>
                <w:i w:val="0"/>
                <w:color w:val="111827"/>
                <w:sz w:val="17"/>
              </w:rPr>
              <w:t>Wait until crisis or use permanent address.</w:t>
            </w:r>
          </w:p>
        </w:tc>
      </w:tr>
      <w:tr>
        <w:trPr>
          <w:cantSplit w:val="1"/>
        </w:trPr>
        <w:tc>
          <w:tcPr>
            <w:tcW w:type="dxa" w:w="3320"/>
            <w:shd w:fill="EEF3F8"/>
            <w:vAlign w:val="top"/>
          </w:tcPr>
          <w:p>
            <w:pPr>
              <w:spacing w:after="0" w:line="245" w:lineRule="auto"/>
            </w:pPr>
            <w:r>
              <w:rPr>
                <w:rFonts w:ascii="Lato" w:hAnsi="Lato" w:eastAsia="Lato"/>
                <w:b/>
                <w:i w:val="0"/>
                <w:color w:val="0B2447"/>
                <w:sz w:val="17"/>
              </w:rPr>
              <w:t>Privacy</w:t>
            </w:r>
          </w:p>
        </w:tc>
        <w:tc>
          <w:tcPr>
            <w:tcW w:type="dxa" w:w="3320"/>
            <w:vAlign w:val="top"/>
          </w:tcPr>
          <w:p>
            <w:pPr>
              <w:spacing w:after="0" w:line="245" w:lineRule="auto"/>
            </w:pPr>
            <w:r>
              <w:rPr>
                <w:rFonts w:ascii="Lato" w:hAnsi="Lato" w:eastAsia="Lato"/>
                <w:b w:val="0"/>
                <w:i w:val="0"/>
                <w:color w:val="111827"/>
                <w:sz w:val="17"/>
              </w:rPr>
              <w:t>Evaluate both environment and technology.</w:t>
            </w:r>
          </w:p>
        </w:tc>
        <w:tc>
          <w:tcPr>
            <w:tcW w:type="dxa" w:w="3320"/>
            <w:vAlign w:val="top"/>
          </w:tcPr>
          <w:p>
            <w:pPr>
              <w:spacing w:after="0" w:line="245" w:lineRule="auto"/>
            </w:pPr>
            <w:r>
              <w:rPr>
                <w:rFonts w:ascii="Lato" w:hAnsi="Lato" w:eastAsia="Lato"/>
                <w:b w:val="0"/>
                <w:i w:val="0"/>
                <w:color w:val="111827"/>
                <w:sz w:val="17"/>
              </w:rPr>
              <w:t>Secure platform guarantees privacy.</w:t>
            </w:r>
          </w:p>
        </w:tc>
      </w:tr>
      <w:tr>
        <w:trPr>
          <w:cantSplit w:val="1"/>
        </w:trPr>
        <w:tc>
          <w:tcPr>
            <w:tcW w:type="dxa" w:w="3320"/>
            <w:shd w:fill="EEF3F8"/>
            <w:vAlign w:val="top"/>
          </w:tcPr>
          <w:p>
            <w:pPr>
              <w:spacing w:after="0" w:line="245" w:lineRule="auto"/>
            </w:pPr>
            <w:r>
              <w:rPr>
                <w:rFonts w:ascii="Lato" w:hAnsi="Lato" w:eastAsia="Lato"/>
                <w:b/>
                <w:i w:val="0"/>
                <w:color w:val="0B2447"/>
                <w:sz w:val="17"/>
              </w:rPr>
              <w:t>Vendor/BAA</w:t>
            </w:r>
          </w:p>
        </w:tc>
        <w:tc>
          <w:tcPr>
            <w:tcW w:type="dxa" w:w="3320"/>
            <w:vAlign w:val="top"/>
          </w:tcPr>
          <w:p>
            <w:pPr>
              <w:spacing w:after="0" w:line="245" w:lineRule="auto"/>
            </w:pPr>
            <w:r>
              <w:rPr>
                <w:rFonts w:ascii="Lato" w:hAnsi="Lato" w:eastAsia="Lato"/>
                <w:b w:val="0"/>
                <w:i w:val="0"/>
                <w:color w:val="111827"/>
                <w:sz w:val="17"/>
              </w:rPr>
              <w:t>Contract and marketing do not replace risk analysis.</w:t>
            </w:r>
          </w:p>
        </w:tc>
        <w:tc>
          <w:tcPr>
            <w:tcW w:type="dxa" w:w="3320"/>
            <w:vAlign w:val="top"/>
          </w:tcPr>
          <w:p>
            <w:pPr>
              <w:spacing w:after="0" w:line="245" w:lineRule="auto"/>
            </w:pPr>
            <w:r>
              <w:rPr>
                <w:rFonts w:ascii="Lato" w:hAnsi="Lato" w:eastAsia="Lato"/>
                <w:b w:val="0"/>
                <w:i w:val="0"/>
                <w:color w:val="111827"/>
                <w:sz w:val="17"/>
              </w:rPr>
              <w:t>BAA proves universal compliance.</w:t>
            </w:r>
          </w:p>
        </w:tc>
      </w:tr>
      <w:tr>
        <w:trPr>
          <w:cantSplit w:val="1"/>
        </w:trPr>
        <w:tc>
          <w:tcPr>
            <w:tcW w:type="dxa" w:w="3320"/>
            <w:shd w:fill="EEF3F8"/>
            <w:vAlign w:val="top"/>
          </w:tcPr>
          <w:p>
            <w:pPr>
              <w:spacing w:after="0" w:line="245" w:lineRule="auto"/>
            </w:pPr>
            <w:r>
              <w:rPr>
                <w:rFonts w:ascii="Lato" w:hAnsi="Lato" w:eastAsia="Lato"/>
                <w:b/>
                <w:i w:val="0"/>
                <w:color w:val="0B2447"/>
                <w:sz w:val="17"/>
              </w:rPr>
              <w:t>Recording/AI</w:t>
            </w:r>
          </w:p>
        </w:tc>
        <w:tc>
          <w:tcPr>
            <w:tcW w:type="dxa" w:w="3320"/>
            <w:vAlign w:val="top"/>
          </w:tcPr>
          <w:p>
            <w:pPr>
              <w:spacing w:after="0" w:line="245" w:lineRule="auto"/>
            </w:pPr>
            <w:r>
              <w:rPr>
                <w:rFonts w:ascii="Lato" w:hAnsi="Lato" w:eastAsia="Lato"/>
                <w:b w:val="0"/>
                <w:i w:val="0"/>
                <w:color w:val="111827"/>
                <w:sz w:val="17"/>
              </w:rPr>
              <w:t>Separate consent and data-use analysis.</w:t>
            </w:r>
          </w:p>
        </w:tc>
        <w:tc>
          <w:tcPr>
            <w:tcW w:type="dxa" w:w="3320"/>
            <w:vAlign w:val="top"/>
          </w:tcPr>
          <w:p>
            <w:pPr>
              <w:spacing w:after="0" w:line="245" w:lineRule="auto"/>
            </w:pPr>
            <w:r>
              <w:rPr>
                <w:rFonts w:ascii="Lato" w:hAnsi="Lato" w:eastAsia="Lato"/>
                <w:b w:val="0"/>
                <w:i w:val="0"/>
                <w:color w:val="111827"/>
                <w:sz w:val="17"/>
              </w:rPr>
              <w:t>Telehealth consent covers all processing.</w:t>
            </w:r>
          </w:p>
        </w:tc>
      </w:tr>
      <w:tr>
        <w:trPr>
          <w:cantSplit w:val="1"/>
        </w:trPr>
        <w:tc>
          <w:tcPr>
            <w:tcW w:type="dxa" w:w="3320"/>
            <w:shd w:fill="EEF3F8"/>
            <w:vAlign w:val="top"/>
          </w:tcPr>
          <w:p>
            <w:pPr>
              <w:spacing w:after="0" w:line="245" w:lineRule="auto"/>
            </w:pPr>
            <w:r>
              <w:rPr>
                <w:rFonts w:ascii="Lato" w:hAnsi="Lato" w:eastAsia="Lato"/>
                <w:b/>
                <w:i w:val="0"/>
                <w:color w:val="0B2447"/>
                <w:sz w:val="17"/>
              </w:rPr>
              <w:t>Messages</w:t>
            </w:r>
          </w:p>
        </w:tc>
        <w:tc>
          <w:tcPr>
            <w:tcW w:type="dxa" w:w="3320"/>
            <w:vAlign w:val="top"/>
          </w:tcPr>
          <w:p>
            <w:pPr>
              <w:spacing w:after="0" w:line="245" w:lineRule="auto"/>
            </w:pPr>
            <w:r>
              <w:rPr>
                <w:rFonts w:ascii="Lato" w:hAnsi="Lato" w:eastAsia="Lato"/>
                <w:b w:val="0"/>
                <w:i w:val="0"/>
                <w:color w:val="111827"/>
                <w:sz w:val="17"/>
              </w:rPr>
              <w:t>Classify use; establish limits; respond to known risk.</w:t>
            </w:r>
          </w:p>
        </w:tc>
        <w:tc>
          <w:tcPr>
            <w:tcW w:type="dxa" w:w="3320"/>
            <w:vAlign w:val="top"/>
          </w:tcPr>
          <w:p>
            <w:pPr>
              <w:spacing w:after="0" w:line="245" w:lineRule="auto"/>
            </w:pPr>
            <w:r>
              <w:rPr>
                <w:rFonts w:ascii="Lato" w:hAnsi="Lato" w:eastAsia="Lato"/>
                <w:b w:val="0"/>
                <w:i w:val="0"/>
                <w:color w:val="111827"/>
                <w:sz w:val="17"/>
              </w:rPr>
              <w:t>Always prohibited or always safe.</w:t>
            </w:r>
          </w:p>
        </w:tc>
      </w:tr>
      <w:tr>
        <w:trPr>
          <w:cantSplit w:val="1"/>
        </w:trPr>
        <w:tc>
          <w:tcPr>
            <w:tcW w:type="dxa" w:w="3320"/>
            <w:shd w:fill="EEF3F8"/>
            <w:vAlign w:val="top"/>
          </w:tcPr>
          <w:p>
            <w:pPr>
              <w:spacing w:after="0" w:line="245" w:lineRule="auto"/>
            </w:pPr>
            <w:r>
              <w:rPr>
                <w:rFonts w:ascii="Lato" w:hAnsi="Lato" w:eastAsia="Lato"/>
                <w:b/>
                <w:i w:val="0"/>
                <w:color w:val="0B2447"/>
                <w:sz w:val="17"/>
              </w:rPr>
              <w:t>Documentation</w:t>
            </w:r>
          </w:p>
        </w:tc>
        <w:tc>
          <w:tcPr>
            <w:tcW w:type="dxa" w:w="3320"/>
            <w:vAlign w:val="top"/>
          </w:tcPr>
          <w:p>
            <w:pPr>
              <w:spacing w:after="0" w:line="245" w:lineRule="auto"/>
            </w:pPr>
            <w:r>
              <w:rPr>
                <w:rFonts w:ascii="Lato" w:hAnsi="Lato" w:eastAsia="Lato"/>
                <w:b w:val="0"/>
                <w:i w:val="0"/>
                <w:color w:val="111827"/>
                <w:sz w:val="17"/>
              </w:rPr>
              <w:t>Record clinically significant communications and actions.</w:t>
            </w:r>
          </w:p>
        </w:tc>
        <w:tc>
          <w:tcPr>
            <w:tcW w:type="dxa" w:w="3320"/>
            <w:vAlign w:val="top"/>
          </w:tcPr>
          <w:p>
            <w:pPr>
              <w:spacing w:after="0" w:line="245" w:lineRule="auto"/>
            </w:pPr>
            <w:r>
              <w:rPr>
                <w:rFonts w:ascii="Lato" w:hAnsi="Lato" w:eastAsia="Lato"/>
                <w:b w:val="0"/>
                <w:i w:val="0"/>
                <w:color w:val="111827"/>
                <w:sz w:val="17"/>
              </w:rPr>
              <w:t>Electronic messages never belong in the record.</w:t>
            </w:r>
          </w:p>
        </w:tc>
      </w:tr>
      <w:tr>
        <w:trPr>
          <w:cantSplit w:val="1"/>
        </w:trPr>
        <w:tc>
          <w:tcPr>
            <w:tcW w:type="dxa" w:w="3320"/>
            <w:shd w:fill="EEF3F8"/>
            <w:vAlign w:val="top"/>
          </w:tcPr>
          <w:p>
            <w:pPr>
              <w:spacing w:after="0" w:line="245" w:lineRule="auto"/>
            </w:pPr>
            <w:r>
              <w:rPr>
                <w:rFonts w:ascii="Lato" w:hAnsi="Lato" w:eastAsia="Lato"/>
                <w:b/>
                <w:i w:val="0"/>
                <w:color w:val="0B2447"/>
                <w:sz w:val="17"/>
              </w:rPr>
              <w:t>Competence</w:t>
            </w:r>
          </w:p>
        </w:tc>
        <w:tc>
          <w:tcPr>
            <w:tcW w:type="dxa" w:w="3320"/>
            <w:vAlign w:val="top"/>
          </w:tcPr>
          <w:p>
            <w:pPr>
              <w:spacing w:after="0" w:line="245" w:lineRule="auto"/>
            </w:pPr>
            <w:r>
              <w:rPr>
                <w:rFonts w:ascii="Lato" w:hAnsi="Lato" w:eastAsia="Lato"/>
                <w:b w:val="0"/>
                <w:i w:val="0"/>
                <w:color w:val="111827"/>
                <w:sz w:val="17"/>
              </w:rPr>
              <w:t>Understand features, limits, settings, and impact.</w:t>
            </w:r>
          </w:p>
        </w:tc>
        <w:tc>
          <w:tcPr>
            <w:tcW w:type="dxa" w:w="3320"/>
            <w:vAlign w:val="top"/>
          </w:tcPr>
          <w:p>
            <w:pPr>
              <w:spacing w:after="0" w:line="245" w:lineRule="auto"/>
            </w:pPr>
            <w:r>
              <w:rPr>
                <w:rFonts w:ascii="Lato" w:hAnsi="Lato" w:eastAsia="Lato"/>
                <w:b w:val="0"/>
                <w:i w:val="0"/>
                <w:color w:val="111827"/>
                <w:sz w:val="17"/>
              </w:rPr>
              <w:t>Licensure or popularity proves competence.</w:t>
            </w:r>
          </w:p>
        </w:tc>
      </w:tr>
      <w:tr>
        <w:trPr>
          <w:cantSplit w:val="1"/>
        </w:trPr>
        <w:tc>
          <w:tcPr>
            <w:tcW w:type="dxa" w:w="3320"/>
            <w:shd w:fill="EEF3F8"/>
            <w:vAlign w:val="top"/>
          </w:tcPr>
          <w:p>
            <w:pPr>
              <w:spacing w:after="0" w:line="245" w:lineRule="auto"/>
            </w:pPr>
            <w:r>
              <w:rPr>
                <w:rFonts w:ascii="Lato" w:hAnsi="Lato" w:eastAsia="Lato"/>
                <w:b/>
                <w:i w:val="0"/>
                <w:color w:val="0B2447"/>
                <w:sz w:val="17"/>
              </w:rPr>
              <w:t>Social media</w:t>
            </w:r>
          </w:p>
        </w:tc>
        <w:tc>
          <w:tcPr>
            <w:tcW w:type="dxa" w:w="3320"/>
            <w:vAlign w:val="top"/>
          </w:tcPr>
          <w:p>
            <w:pPr>
              <w:spacing w:after="0" w:line="245" w:lineRule="auto"/>
            </w:pPr>
            <w:r>
              <w:rPr>
                <w:rFonts w:ascii="Lato" w:hAnsi="Lato" w:eastAsia="Lato"/>
                <w:b w:val="0"/>
                <w:i w:val="0"/>
                <w:color w:val="111827"/>
                <w:sz w:val="17"/>
              </w:rPr>
              <w:t>Boundaries, confidentiality, and advertising rules continue.</w:t>
            </w:r>
          </w:p>
        </w:tc>
        <w:tc>
          <w:tcPr>
            <w:tcW w:type="dxa" w:w="3320"/>
            <w:vAlign w:val="top"/>
          </w:tcPr>
          <w:p>
            <w:pPr>
              <w:spacing w:after="0" w:line="245" w:lineRule="auto"/>
            </w:pPr>
            <w:r>
              <w:rPr>
                <w:rFonts w:ascii="Lato" w:hAnsi="Lato" w:eastAsia="Lato"/>
                <w:b w:val="0"/>
                <w:i w:val="0"/>
                <w:color w:val="111827"/>
                <w:sz w:val="17"/>
              </w:rPr>
              <w:t>Online activity is separate from practice.</w:t>
            </w:r>
          </w:p>
        </w:tc>
      </w:tr>
      <w:tr>
        <w:trPr>
          <w:cantSplit w:val="1"/>
        </w:trPr>
        <w:tc>
          <w:tcPr>
            <w:tcW w:type="dxa" w:w="3320"/>
            <w:shd w:fill="EEF3F8"/>
            <w:vAlign w:val="top"/>
          </w:tcPr>
          <w:p>
            <w:pPr>
              <w:spacing w:after="0" w:line="245" w:lineRule="auto"/>
            </w:pPr>
            <w:r>
              <w:rPr>
                <w:rFonts w:ascii="Lato" w:hAnsi="Lato" w:eastAsia="Lato"/>
                <w:b/>
                <w:i w:val="0"/>
                <w:color w:val="0B2447"/>
                <w:sz w:val="17"/>
              </w:rPr>
              <w:t>Incident response</w:t>
            </w:r>
          </w:p>
        </w:tc>
        <w:tc>
          <w:tcPr>
            <w:tcW w:type="dxa" w:w="3320"/>
            <w:vAlign w:val="top"/>
          </w:tcPr>
          <w:p>
            <w:pPr>
              <w:spacing w:after="0" w:line="245" w:lineRule="auto"/>
            </w:pPr>
            <w:r>
              <w:rPr>
                <w:rFonts w:ascii="Lato" w:hAnsi="Lato" w:eastAsia="Lato"/>
                <w:b w:val="0"/>
                <w:i w:val="0"/>
                <w:color w:val="111827"/>
                <w:sz w:val="17"/>
              </w:rPr>
              <w:t>Contain and assess before deciding notification.</w:t>
            </w:r>
          </w:p>
        </w:tc>
        <w:tc>
          <w:tcPr>
            <w:tcW w:type="dxa" w:w="3320"/>
            <w:vAlign w:val="top"/>
          </w:tcPr>
          <w:p>
            <w:pPr>
              <w:spacing w:after="0" w:line="245" w:lineRule="auto"/>
            </w:pPr>
            <w:r>
              <w:rPr>
                <w:rFonts w:ascii="Lato" w:hAnsi="Lato" w:eastAsia="Lato"/>
                <w:b w:val="0"/>
                <w:i w:val="0"/>
                <w:color w:val="111827"/>
                <w:sz w:val="17"/>
              </w:rPr>
              <w:t>Every incident is a breach - or no action until harm.</w:t>
            </w:r>
          </w:p>
        </w:tc>
      </w:tr>
    </w:tbl>
    <w:p>
      <w:pPr>
        <w:pStyle w:val="CTAHeading2"/>
        <w:keepNext/>
      </w:pPr>
      <w:r>
        <w:rPr>
          <w:rFonts w:ascii="Lato" w:hAnsi="Lato" w:eastAsia="Lato"/>
          <w:b/>
          <w:i w:val="0"/>
          <w:color w:val="0B2447"/>
          <w:sz w:val="26"/>
        </w:rPr>
        <w:t>The Five-Step Exam Framework</w:t>
      </w:r>
    </w:p>
    <w:p>
      <w:pPr>
        <w:pStyle w:val="CTABody"/>
        <w:spacing w:after="60"/>
        <w:ind w:left="432" w:hanging="317"/>
      </w:pPr>
      <w:r>
        <w:rPr>
          <w:rFonts w:ascii="Lato" w:hAnsi="Lato" w:eastAsia="Lato"/>
          <w:b/>
          <w:i w:val="0"/>
          <w:color w:val="0AA6A6"/>
        </w:rPr>
        <w:t xml:space="preserve">1. </w:t>
      </w:r>
      <w:r>
        <w:rPr>
          <w:rFonts w:ascii="Lato" w:hAnsi="Lato" w:eastAsia="Lato"/>
          <w:b w:val="0"/>
          <w:i w:val="0"/>
        </w:rPr>
        <w:t>LOCATE: Where is the client physically located right now?</w:t>
      </w:r>
    </w:p>
    <w:p>
      <w:pPr>
        <w:pStyle w:val="CTABody"/>
        <w:spacing w:after="60"/>
        <w:ind w:left="432" w:hanging="317"/>
      </w:pPr>
      <w:r>
        <w:rPr>
          <w:rFonts w:ascii="Lato" w:hAnsi="Lato" w:eastAsia="Lato"/>
          <w:b/>
          <w:i w:val="0"/>
          <w:color w:val="0AA6A6"/>
        </w:rPr>
        <w:t xml:space="preserve">2. </w:t>
      </w:r>
      <w:r>
        <w:rPr>
          <w:rFonts w:ascii="Lato" w:hAnsi="Lato" w:eastAsia="Lato"/>
          <w:b w:val="0"/>
          <w:i w:val="0"/>
        </w:rPr>
        <w:t>AUTHORIZE: Is the therapist legally permitted to provide the service there?</w:t>
      </w:r>
    </w:p>
    <w:p>
      <w:pPr>
        <w:pStyle w:val="CTABody"/>
        <w:spacing w:after="60"/>
        <w:ind w:left="432" w:hanging="317"/>
      </w:pPr>
      <w:r>
        <w:rPr>
          <w:rFonts w:ascii="Lato" w:hAnsi="Lato" w:eastAsia="Lato"/>
          <w:b/>
          <w:i w:val="0"/>
          <w:color w:val="0AA6A6"/>
        </w:rPr>
        <w:t xml:space="preserve">3. </w:t>
      </w:r>
      <w:r>
        <w:rPr>
          <w:rFonts w:ascii="Lato" w:hAnsi="Lato" w:eastAsia="Lato"/>
          <w:b w:val="0"/>
          <w:i w:val="0"/>
        </w:rPr>
        <w:t>CLASSIFY: What category is being tested - consent, appropriateness, privacy, communication, boundaries, advertising, security, or incident response?</w:t>
      </w:r>
    </w:p>
    <w:p>
      <w:pPr>
        <w:pStyle w:val="CTABody"/>
        <w:spacing w:after="60"/>
        <w:ind w:left="432" w:hanging="317"/>
      </w:pPr>
      <w:r>
        <w:rPr>
          <w:rFonts w:ascii="Lato" w:hAnsi="Lato" w:eastAsia="Lato"/>
          <w:b/>
          <w:i w:val="0"/>
          <w:color w:val="0AA6A6"/>
        </w:rPr>
        <w:t xml:space="preserve">4. </w:t>
      </w:r>
      <w:r>
        <w:rPr>
          <w:rFonts w:ascii="Lato" w:hAnsi="Lato" w:eastAsia="Lato"/>
          <w:b w:val="0"/>
          <w:i w:val="0"/>
        </w:rPr>
        <w:t>ACT: What is the first proportionate action that addresses the immediate risk and legal requirement?</w:t>
      </w:r>
    </w:p>
    <w:p>
      <w:pPr>
        <w:pStyle w:val="CTABody"/>
        <w:spacing w:after="60"/>
        <w:ind w:left="432" w:hanging="317"/>
      </w:pPr>
      <w:r>
        <w:rPr>
          <w:rFonts w:ascii="Lato" w:hAnsi="Lato" w:eastAsia="Lato"/>
          <w:b/>
          <w:i w:val="0"/>
          <w:color w:val="0AA6A6"/>
        </w:rPr>
        <w:t xml:space="preserve">5. </w:t>
      </w:r>
      <w:r>
        <w:rPr>
          <w:rFonts w:ascii="Lato" w:hAnsi="Lato" w:eastAsia="Lato"/>
          <w:b w:val="0"/>
          <w:i w:val="0"/>
        </w:rPr>
        <w:t>PROTECT: Which response best protects client welfare, confidentiality, continuity, competence, and the record?</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after="60"/>
            </w:pPr>
            <w:r>
              <w:rPr>
                <w:rFonts w:ascii="Lato" w:hAnsi="Lato" w:eastAsia="Lato"/>
                <w:b/>
                <w:i w:val="0"/>
                <w:color w:val="0B2447"/>
                <w:sz w:val="22"/>
              </w:rPr>
              <w:t>Master Memory Aid</w:t>
            </w:r>
          </w:p>
          <w:p>
            <w:pPr>
              <w:spacing w:after="0" w:line="254" w:lineRule="auto"/>
            </w:pPr>
            <w:r>
              <w:rPr>
                <w:rFonts w:ascii="Lato" w:hAnsi="Lato" w:eastAsia="Lato"/>
                <w:b w:val="0"/>
                <w:i w:val="0"/>
                <w:sz w:val="20"/>
              </w:rPr>
              <w:t>LOCATE -&gt; AUTHORIZE -&gt; CLASSIFY -&gt; ACT -&gt; PROTECT</w:t>
            </w:r>
          </w:p>
        </w:tc>
      </w:tr>
    </w:tbl>
    <w:p>
      <w:pPr>
        <w:pStyle w:val="CTAHeading2"/>
        <w:keepNext/>
      </w:pPr>
      <w:r>
        <w:rPr>
          <w:rFonts w:ascii="Lato" w:hAnsi="Lato" w:eastAsia="Lato"/>
          <w:b/>
          <w:i w:val="0"/>
          <w:color w:val="0B2447"/>
          <w:sz w:val="26"/>
        </w:rPr>
        <w:t>Chapter Summary</w:t>
      </w:r>
    </w:p>
    <w:p>
      <w:pPr>
        <w:pStyle w:val="CTABody"/>
        <w:spacing w:after="60"/>
        <w:ind w:left="403" w:hanging="259"/>
      </w:pPr>
      <w:r>
        <w:rPr>
          <w:rFonts w:ascii="Lato" w:hAnsi="Lato" w:eastAsia="Lato"/>
          <w:b/>
          <w:i w:val="0"/>
          <w:color w:val="0AA6A6"/>
        </w:rPr>
        <w:t xml:space="preserve">• </w:t>
      </w:r>
      <w:r>
        <w:rPr>
          <w:rFonts w:ascii="Lato" w:hAnsi="Lato" w:eastAsia="Lato"/>
          <w:b w:val="0"/>
          <w:i w:val="0"/>
        </w:rPr>
        <w:t>Telehealth is a delivery method, not an expanded scope of practice.</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client's present physical location controls the first jurisdiction analysis.</w:t>
      </w:r>
    </w:p>
    <w:p>
      <w:pPr>
        <w:pStyle w:val="CTABody"/>
        <w:spacing w:after="60"/>
        <w:ind w:left="403" w:hanging="259"/>
      </w:pPr>
      <w:r>
        <w:rPr>
          <w:rFonts w:ascii="Lato" w:hAnsi="Lato" w:eastAsia="Lato"/>
          <w:b/>
          <w:i w:val="0"/>
          <w:color w:val="0AA6A6"/>
        </w:rPr>
        <w:t xml:space="preserve">• </w:t>
      </w:r>
      <w:r>
        <w:rPr>
          <w:rFonts w:ascii="Lato" w:hAnsi="Lato" w:eastAsia="Lato"/>
          <w:b w:val="0"/>
          <w:i w:val="0"/>
        </w:rPr>
        <w:t>California initiation and each-session requirements are specific and documentable.</w:t>
      </w:r>
    </w:p>
    <w:p>
      <w:pPr>
        <w:pStyle w:val="CTABody"/>
        <w:spacing w:after="60"/>
        <w:ind w:left="403" w:hanging="259"/>
      </w:pPr>
      <w:r>
        <w:rPr>
          <w:rFonts w:ascii="Lato" w:hAnsi="Lato" w:eastAsia="Lato"/>
          <w:b/>
          <w:i w:val="0"/>
          <w:color w:val="0AA6A6"/>
        </w:rPr>
        <w:t xml:space="preserve">• </w:t>
      </w:r>
      <w:r>
        <w:rPr>
          <w:rFonts w:ascii="Lato" w:hAnsi="Lato" w:eastAsia="Lato"/>
          <w:b w:val="0"/>
          <w:i w:val="0"/>
        </w:rPr>
        <w:t>Telehealth appropriateness must be reassessed for every client and every session.</w:t>
      </w:r>
    </w:p>
    <w:p>
      <w:pPr>
        <w:pStyle w:val="CTABody"/>
        <w:spacing w:after="60"/>
        <w:ind w:left="403" w:hanging="259"/>
      </w:pPr>
      <w:r>
        <w:rPr>
          <w:rFonts w:ascii="Lato" w:hAnsi="Lato" w:eastAsia="Lato"/>
          <w:b/>
          <w:i w:val="0"/>
          <w:color w:val="0AA6A6"/>
        </w:rPr>
        <w:t xml:space="preserve">• </w:t>
      </w:r>
      <w:r>
        <w:rPr>
          <w:rFonts w:ascii="Lato" w:hAnsi="Lato" w:eastAsia="Lato"/>
          <w:b w:val="0"/>
          <w:i w:val="0"/>
        </w:rPr>
        <w:t>Privacy, confidentiality, security, consent, and recording are related but distinct issues.</w:t>
      </w:r>
    </w:p>
    <w:p>
      <w:pPr>
        <w:pStyle w:val="CTABody"/>
        <w:spacing w:after="60"/>
        <w:ind w:left="403" w:hanging="259"/>
      </w:pPr>
      <w:r>
        <w:rPr>
          <w:rFonts w:ascii="Lato" w:hAnsi="Lato" w:eastAsia="Lato"/>
          <w:b/>
          <w:i w:val="0"/>
          <w:color w:val="0AA6A6"/>
        </w:rPr>
        <w:t xml:space="preserve">• </w:t>
      </w:r>
      <w:r>
        <w:rPr>
          <w:rFonts w:ascii="Lato" w:hAnsi="Lato" w:eastAsia="Lato"/>
          <w:b w:val="0"/>
          <w:i w:val="0"/>
        </w:rPr>
        <w:t>Electronic communication, social media, AI tools, and vendors require classification and professional judgment.</w:t>
      </w:r>
    </w:p>
    <w:p>
      <w:pPr>
        <w:pStyle w:val="CTABody"/>
        <w:spacing w:after="60"/>
        <w:ind w:left="403" w:hanging="259"/>
      </w:pPr>
      <w:r>
        <w:rPr>
          <w:rFonts w:ascii="Lato" w:hAnsi="Lato" w:eastAsia="Lato"/>
          <w:b/>
          <w:i w:val="0"/>
          <w:color w:val="0AA6A6"/>
        </w:rPr>
        <w:t xml:space="preserve">• </w:t>
      </w:r>
      <w:r>
        <w:rPr>
          <w:rFonts w:ascii="Lato" w:hAnsi="Lato" w:eastAsia="Lato"/>
          <w:b w:val="0"/>
          <w:i w:val="0"/>
        </w:rPr>
        <w:t>Risk management emphasizes prevention, competence, tested safeguards, prompt response, and documentation.</w:t>
      </w:r>
    </w:p>
    <w:p>
      <w:pPr>
        <w:pStyle w:val="CTABody"/>
        <w:spacing w:after="60"/>
        <w:ind w:left="403" w:hanging="259"/>
      </w:pPr>
      <w:r>
        <w:rPr>
          <w:rFonts w:ascii="Lato" w:hAnsi="Lato" w:eastAsia="Lato"/>
          <w:b/>
          <w:i w:val="0"/>
          <w:color w:val="0AA6A6"/>
        </w:rPr>
        <w:t xml:space="preserve">• </w:t>
      </w:r>
      <w:r>
        <w:rPr>
          <w:rFonts w:ascii="Lato" w:hAnsi="Lato" w:eastAsia="Lato"/>
          <w:b w:val="0"/>
          <w:i w:val="0"/>
        </w:rPr>
        <w:t>The strongest exam answer is usually lawful, proportionate, clinically protective, and less extreme than the distractors.</w:t>
      </w:r>
    </w:p>
    <w:p>
      <w:r>
        <w:br w:type="page"/>
      </w:r>
    </w:p>
    <w:p>
      <w:pPr>
        <w:pStyle w:val="CTAHeading1"/>
        <w:keepNext/>
      </w:pPr>
      <w:r>
        <w:rPr>
          <w:rFonts w:ascii="Lato" w:hAnsi="Lato" w:eastAsia="Lato"/>
          <w:b/>
          <w:i w:val="0"/>
          <w:color w:val="0B2447"/>
          <w:sz w:val="32"/>
        </w:rPr>
        <w:t>Chapter 9: Telehealth &amp; Technology Memory Aids and Quick Review Charts</w:t>
      </w:r>
    </w:p>
    <w:p>
      <w:pPr>
        <w:pStyle w:val="CTAHeading2"/>
        <w:keepNext/>
      </w:pPr>
      <w:r>
        <w:rPr>
          <w:rFonts w:ascii="Lato" w:hAnsi="Lato" w:eastAsia="Lato"/>
          <w:b/>
          <w:i w:val="0"/>
          <w:color w:val="0B2447"/>
          <w:sz w:val="26"/>
        </w:rPr>
        <w:t>Why This Chapter Matters</w:t>
      </w:r>
    </w:p>
    <w:p>
      <w:pPr>
        <w:pStyle w:val="CTABody"/>
      </w:pPr>
      <w:r>
        <w:rPr>
          <w:rFonts w:ascii="Lato" w:hAnsi="Lato" w:eastAsia="Lato"/>
          <w:b w:val="0"/>
          <w:i w:val="0"/>
        </w:rPr>
        <w:t>This chapter is designed for final review. It does not introduce new material. Instead, it organizes the corrected California telehealth and technology rules from Chapters 1–8 into short formulas, decision tools, and quick-reference charts for practice examinations and the California LCSW Law and Ethics Examination.</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Big Idea</w:t>
            </w:r>
          </w:p>
          <w:p>
            <w:pPr>
              <w:spacing w:before="0" w:after="0" w:line="259" w:lineRule="auto"/>
            </w:pPr>
            <w:r>
              <w:rPr>
                <w:rFonts w:ascii="Lato" w:hAnsi="Lato" w:eastAsia="Lato"/>
                <w:b w:val="0"/>
                <w:i w:val="0"/>
                <w:sz w:val="20"/>
              </w:rPr>
              <w:t>Most telehealth questions become manageable when you identify the client’s present location, confirm legal authority, complete the required telehealth steps, and choose the most proportionate action that protects the client and the record.</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w:t>
            </w:r>
          </w:p>
        </w:tc>
        <w:tc>
          <w:tcPr>
            <w:tcW w:type="dxa" w:w="8496"/>
            <w:shd w:fill="0B2447"/>
          </w:tcPr>
          <w:p>
            <w:r>
              <w:rPr>
                <w:rFonts w:ascii="Lato" w:hAnsi="Lato" w:eastAsia="Lato"/>
                <w:b/>
                <w:i w:val="0"/>
                <w:color w:val="FFFFFF"/>
                <w:sz w:val="24"/>
              </w:rPr>
              <w:t>Same Standards — Additional Procedures</w:t>
            </w:r>
          </w:p>
          <w:p>
            <w:pPr>
              <w:spacing w:before="0" w:after="0" w:line="259" w:lineRule="auto"/>
            </w:pPr>
            <w:r>
              <w:rPr>
                <w:rFonts w:ascii="Lato" w:hAnsi="Lato" w:eastAsia="Lato"/>
                <w:b w:val="0"/>
                <w:i/>
                <w:color w:val="DDEBF7"/>
                <w:sz w:val="18"/>
              </w:rPr>
              <w:t>Telehealth does not expand scope or reduce professional responsibility.</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In-Person and Telehealth Both Require</w:t>
            </w:r>
          </w:p>
        </w:tc>
        <w:tc>
          <w:tcPr>
            <w:tcW w:type="dxa" w:w="4980"/>
            <w:shd w:fill="0B2447"/>
          </w:tcPr>
          <w:p>
            <w:pPr>
              <w:jc w:val="center"/>
            </w:pPr>
            <w:r>
              <w:rPr>
                <w:rFonts w:ascii="Lato" w:hAnsi="Lato" w:eastAsia="Lato"/>
                <w:b/>
                <w:i w:val="0"/>
                <w:color w:val="FFFFFF"/>
                <w:sz w:val="18"/>
              </w:rPr>
              <w:t>Telehealth Adds Specific California Procedures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Confidentiality</w:t>
            </w:r>
          </w:p>
        </w:tc>
        <w:tc>
          <w:tcPr>
            <w:tcW w:type="dxa" w:w="4980"/>
            <w:vAlign w:val="top"/>
          </w:tcPr>
          <w:p>
            <w:pPr>
              <w:spacing w:before="0" w:after="0" w:line="259" w:lineRule="auto"/>
            </w:pPr>
            <w:r>
              <w:rPr>
                <w:rFonts w:ascii="Lato" w:hAnsi="Lato" w:eastAsia="Lato"/>
                <w:b w:val="0"/>
                <w:i w:val="0"/>
                <w:color w:val="111827"/>
                <w:sz w:val="18"/>
              </w:rPr>
              <w:t>Initiation disclosures and documented telehealth consent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Competence</w:t>
            </w:r>
          </w:p>
        </w:tc>
        <w:tc>
          <w:tcPr>
            <w:tcW w:type="dxa" w:w="4980"/>
            <w:vAlign w:val="top"/>
          </w:tcPr>
          <w:p>
            <w:pPr>
              <w:spacing w:before="0" w:after="0" w:line="259" w:lineRule="auto"/>
            </w:pPr>
            <w:r>
              <w:rPr>
                <w:rFonts w:ascii="Lato" w:hAnsi="Lato" w:eastAsia="Lato"/>
                <w:b w:val="0"/>
                <w:i w:val="0"/>
                <w:color w:val="111827"/>
                <w:sz w:val="18"/>
              </w:rPr>
              <w:t>Full name and present address at each session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Professional boundaries</w:t>
            </w:r>
          </w:p>
        </w:tc>
        <w:tc>
          <w:tcPr>
            <w:tcW w:type="dxa" w:w="4980"/>
            <w:vAlign w:val="top"/>
          </w:tcPr>
          <w:p>
            <w:pPr>
              <w:spacing w:before="0" w:after="0" w:line="259" w:lineRule="auto"/>
            </w:pPr>
            <w:r>
              <w:rPr>
                <w:rFonts w:ascii="Lato" w:hAnsi="Lato" w:eastAsia="Lato"/>
                <w:b w:val="0"/>
                <w:i w:val="0"/>
                <w:color w:val="111827"/>
                <w:sz w:val="18"/>
              </w:rPr>
              <w:t>An appropriateness assessment each time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Documentation</w:t>
            </w:r>
          </w:p>
        </w:tc>
        <w:tc>
          <w:tcPr>
            <w:tcW w:type="dxa" w:w="4980"/>
            <w:vAlign w:val="top"/>
          </w:tcPr>
          <w:p>
            <w:pPr>
              <w:spacing w:before="0" w:after="0" w:line="259" w:lineRule="auto"/>
            </w:pPr>
            <w:r>
              <w:rPr>
                <w:rFonts w:ascii="Lato" w:hAnsi="Lato" w:eastAsia="Lato"/>
                <w:b w:val="0"/>
                <w:i w:val="0"/>
                <w:color w:val="111827"/>
                <w:sz w:val="18"/>
              </w:rPr>
              <w:t>Telehealth privacy, confidentiality, and security safeguards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Client welfare</w:t>
            </w:r>
          </w:p>
        </w:tc>
        <w:tc>
          <w:tcPr>
            <w:tcW w:type="dxa" w:w="4980"/>
            <w:vAlign w:val="top"/>
          </w:tcPr>
          <w:p>
            <w:pPr>
              <w:spacing w:before="0" w:after="0" w:line="259" w:lineRule="auto"/>
            </w:pPr>
            <w:r>
              <w:rPr>
                <w:rFonts w:ascii="Lato" w:hAnsi="Lato" w:eastAsia="Lato"/>
                <w:b w:val="0"/>
                <w:i w:val="0"/>
                <w:color w:val="111827"/>
                <w:sz w:val="18"/>
              </w:rPr>
              <w:t>Jurisdiction analysis based on the client’s present location</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Same standards. Additional steps.</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2</w:t>
            </w:r>
          </w:p>
        </w:tc>
        <w:tc>
          <w:tcPr>
            <w:tcW w:type="dxa" w:w="8496"/>
            <w:shd w:fill="0B2447"/>
          </w:tcPr>
          <w:p>
            <w:r>
              <w:rPr>
                <w:rFonts w:ascii="Lato" w:hAnsi="Lato" w:eastAsia="Lato"/>
                <w:b/>
                <w:i w:val="0"/>
                <w:color w:val="FFFFFF"/>
                <w:sz w:val="24"/>
              </w:rPr>
              <w:t>The Master Telehealth Exam Sequence</w:t>
            </w:r>
          </w:p>
          <w:p>
            <w:pPr>
              <w:spacing w:before="0" w:after="0" w:line="259" w:lineRule="auto"/>
            </w:pPr>
            <w:r>
              <w:rPr>
                <w:rFonts w:ascii="Lato" w:hAnsi="Lato" w:eastAsia="Lato"/>
                <w:b w:val="0"/>
                <w:i/>
                <w:color w:val="DDEBF7"/>
                <w:sz w:val="18"/>
              </w:rPr>
              <w:t>Use this order before evaluating the answer choices.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LOCATE — Where is the client physically located now?</w:t>
            </w:r>
            <w:r>
              <w:rPr>
                <w:rFonts w:ascii="Lato" w:hAnsi="Lato" w:eastAsia="Lato"/>
                <w:b/>
                <w:i w:val="0"/>
                <w:color w:val="0AA6A6"/>
                <w:sz w:val="24"/>
              </w:rPr>
              <w:br/>
              <w:t>↓</w:t>
              <w:br/>
            </w:r>
            <w:r>
              <w:rPr>
                <w:rFonts w:ascii="Lato" w:hAnsi="Lato" w:eastAsia="Lato"/>
                <w:b/>
                <w:i w:val="0"/>
                <w:color w:val="0B2447"/>
                <w:sz w:val="20"/>
              </w:rPr>
              <w:t>AUTHORIZE — May the therapist lawfully practice there?</w:t>
            </w:r>
            <w:r>
              <w:rPr>
                <w:rFonts w:ascii="Lato" w:hAnsi="Lato" w:eastAsia="Lato"/>
                <w:b/>
                <w:i w:val="0"/>
                <w:color w:val="0AA6A6"/>
                <w:sz w:val="24"/>
              </w:rPr>
              <w:br/>
              <w:t>↓</w:t>
              <w:br/>
            </w:r>
            <w:r>
              <w:rPr>
                <w:rFonts w:ascii="Lato" w:hAnsi="Lato" w:eastAsia="Lato"/>
                <w:b/>
                <w:i w:val="0"/>
                <w:color w:val="0B2447"/>
                <w:sz w:val="20"/>
              </w:rPr>
              <w:t>IDENTIFY — Were full name and present address obtained and documented?</w:t>
            </w:r>
            <w:r>
              <w:rPr>
                <w:rFonts w:ascii="Lato" w:hAnsi="Lato" w:eastAsia="Lato"/>
                <w:b/>
                <w:i w:val="0"/>
                <w:color w:val="0AA6A6"/>
                <w:sz w:val="24"/>
              </w:rPr>
              <w:br/>
              <w:t>↓</w:t>
              <w:br/>
            </w:r>
            <w:r>
              <w:rPr>
                <w:rFonts w:ascii="Lato" w:hAnsi="Lato" w:eastAsia="Lato"/>
                <w:b/>
                <w:i w:val="0"/>
                <w:color w:val="0B2447"/>
                <w:sz w:val="20"/>
              </w:rPr>
              <w:t>ASSESS — Is this client and session appropriate for telehealth?</w:t>
            </w:r>
            <w:r>
              <w:rPr>
                <w:rFonts w:ascii="Lato" w:hAnsi="Lato" w:eastAsia="Lato"/>
                <w:b/>
                <w:i w:val="0"/>
                <w:color w:val="0AA6A6"/>
                <w:sz w:val="24"/>
              </w:rPr>
              <w:br/>
              <w:t>↓</w:t>
              <w:br/>
            </w:r>
            <w:r>
              <w:rPr>
                <w:rFonts w:ascii="Lato" w:hAnsi="Lato" w:eastAsia="Lato"/>
                <w:b/>
                <w:i w:val="0"/>
                <w:color w:val="0B2447"/>
                <w:sz w:val="20"/>
              </w:rPr>
              <w:t>PROTECT — What action best protects safety, confidentiality, continuity, and the record?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Quick Recall</w:t>
            </w:r>
          </w:p>
          <w:p>
            <w:pPr>
              <w:spacing w:before="0" w:after="0" w:line="259" w:lineRule="auto"/>
            </w:pPr>
            <w:r>
              <w:rPr>
                <w:rFonts w:ascii="Lato" w:hAnsi="Lato" w:eastAsia="Lato"/>
                <w:b w:val="0"/>
                <w:i w:val="0"/>
                <w:sz w:val="20"/>
              </w:rPr>
              <w:t>LOCATE → AUTHORIZE → IDENTIFY → ASSESS → PROTECT</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3</w:t>
            </w:r>
          </w:p>
        </w:tc>
        <w:tc>
          <w:tcPr>
            <w:tcW w:type="dxa" w:w="8496"/>
            <w:shd w:fill="0B2447"/>
          </w:tcPr>
          <w:p>
            <w:r>
              <w:rPr>
                <w:rFonts w:ascii="Lato" w:hAnsi="Lato" w:eastAsia="Lato"/>
                <w:b/>
                <w:i w:val="0"/>
                <w:color w:val="FFFFFF"/>
                <w:sz w:val="24"/>
              </w:rPr>
              <w:t>Client Location and Practice Authority</w:t>
            </w:r>
          </w:p>
          <w:p>
            <w:pPr>
              <w:spacing w:before="0" w:after="0" w:line="259" w:lineRule="auto"/>
            </w:pPr>
            <w:r>
              <w:rPr>
                <w:rFonts w:ascii="Lato" w:hAnsi="Lato" w:eastAsia="Lato"/>
                <w:b w:val="0"/>
                <w:i/>
                <w:color w:val="DDEBF7"/>
                <w:sz w:val="18"/>
              </w:rPr>
              <w:t>Permanent residence and therapist convenience do not control the first analysis.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Where the Client Is Physically Located</w:t>
            </w:r>
          </w:p>
        </w:tc>
        <w:tc>
          <w:tcPr>
            <w:tcW w:type="dxa" w:w="4980"/>
            <w:shd w:fill="0B2447"/>
          </w:tcPr>
          <w:p>
            <w:pPr>
              <w:jc w:val="center"/>
            </w:pPr>
            <w:r>
              <w:rPr>
                <w:rFonts w:ascii="Lato" w:hAnsi="Lato" w:eastAsia="Lato"/>
                <w:b/>
                <w:i w:val="0"/>
                <w:color w:val="FFFFFF"/>
                <w:sz w:val="18"/>
              </w:rPr>
              <w:t>First Legal Question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California</w:t>
            </w:r>
          </w:p>
        </w:tc>
        <w:tc>
          <w:tcPr>
            <w:tcW w:type="dxa" w:w="4980"/>
            <w:vAlign w:val="top"/>
          </w:tcPr>
          <w:p>
            <w:pPr>
              <w:spacing w:before="0" w:after="0" w:line="259" w:lineRule="auto"/>
            </w:pPr>
            <w:r>
              <w:rPr>
                <w:rFonts w:ascii="Lato" w:hAnsi="Lato" w:eastAsia="Lato"/>
                <w:b w:val="0"/>
                <w:i w:val="0"/>
                <w:color w:val="111827"/>
                <w:sz w:val="18"/>
              </w:rPr>
              <w:t>Does the provider hold a current and active California BBS license or registration, or fall within a lawful exception?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Another state or jurisdiction</w:t>
            </w:r>
          </w:p>
        </w:tc>
        <w:tc>
          <w:tcPr>
            <w:tcW w:type="dxa" w:w="4980"/>
            <w:vAlign w:val="top"/>
          </w:tcPr>
          <w:p>
            <w:pPr>
              <w:spacing w:before="0" w:after="0" w:line="259" w:lineRule="auto"/>
            </w:pPr>
            <w:r>
              <w:rPr>
                <w:rFonts w:ascii="Lato" w:hAnsi="Lato" w:eastAsia="Lato"/>
                <w:b w:val="0"/>
                <w:i w:val="0"/>
                <w:color w:val="111827"/>
                <w:sz w:val="18"/>
              </w:rPr>
              <w:t>Does that jurisdiction allow the service, and does the California provider meet its requirements?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California while the therapist is traveling</w:t>
            </w:r>
          </w:p>
        </w:tc>
        <w:tc>
          <w:tcPr>
            <w:tcW w:type="dxa" w:w="4980"/>
            <w:vAlign w:val="top"/>
          </w:tcPr>
          <w:p>
            <w:pPr>
              <w:spacing w:before="0" w:after="0" w:line="259" w:lineRule="auto"/>
            </w:pPr>
            <w:r>
              <w:rPr>
                <w:rFonts w:ascii="Lato" w:hAnsi="Lato" w:eastAsia="Lato"/>
                <w:b w:val="0"/>
                <w:i w:val="0"/>
                <w:color w:val="111827"/>
                <w:sz w:val="18"/>
              </w:rPr>
              <w:t>Is the California credential current and active, is the session appropriate, and are California telehealth rules followed?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The service follows the client’s present location.</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4</w:t>
            </w:r>
          </w:p>
        </w:tc>
        <w:tc>
          <w:tcPr>
            <w:tcW w:type="dxa" w:w="8496"/>
            <w:shd w:fill="0B2447"/>
          </w:tcPr>
          <w:p>
            <w:r>
              <w:rPr>
                <w:rFonts w:ascii="Lato" w:hAnsi="Lato" w:eastAsia="Lato"/>
                <w:b/>
                <w:i w:val="0"/>
                <w:color w:val="FFFFFF"/>
                <w:sz w:val="24"/>
              </w:rPr>
              <w:t>Temporary Practice Allowance</w:t>
            </w:r>
          </w:p>
          <w:p>
            <w:pPr>
              <w:spacing w:before="0" w:after="0" w:line="259" w:lineRule="auto"/>
            </w:pPr>
            <w:r>
              <w:rPr>
                <w:rFonts w:ascii="Lato" w:hAnsi="Lato" w:eastAsia="Lato"/>
                <w:b w:val="0"/>
                <w:i/>
                <w:color w:val="DDEBF7"/>
                <w:sz w:val="18"/>
              </w:rPr>
              <w:t>A narrow continuity exception — never an automatic grace period.</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Requirement</w:t>
            </w:r>
          </w:p>
        </w:tc>
        <w:tc>
          <w:tcPr>
            <w:tcW w:type="dxa" w:w="4980"/>
            <w:shd w:fill="0B2447"/>
          </w:tcPr>
          <w:p>
            <w:pPr>
              <w:jc w:val="center"/>
            </w:pPr>
            <w:r>
              <w:rPr>
                <w:rFonts w:ascii="Lato" w:hAnsi="Lato" w:eastAsia="Lato"/>
                <w:b/>
                <w:i w:val="0"/>
                <w:color w:val="FFFFFF"/>
                <w:sz w:val="18"/>
              </w:rPr>
              <w:t>High-Yield Rule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Who</w:t>
            </w:r>
          </w:p>
        </w:tc>
        <w:tc>
          <w:tcPr>
            <w:tcW w:type="dxa" w:w="4980"/>
            <w:vAlign w:val="top"/>
          </w:tcPr>
          <w:p>
            <w:r>
              <w:t>A qualifying independently licensed out-of-state clinical social worker - not an ASW</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Client</w:t>
            </w:r>
          </w:p>
        </w:tc>
        <w:tc>
          <w:tcPr>
            <w:tcW w:type="dxa" w:w="4980"/>
            <w:vAlign w:val="top"/>
          </w:tcPr>
          <w:p>
            <w:pPr>
              <w:spacing w:before="0" w:after="0" w:line="259" w:lineRule="auto"/>
            </w:pPr>
            <w:r>
              <w:rPr>
                <w:rFonts w:ascii="Lato" w:hAnsi="Lato" w:eastAsia="Lato"/>
                <w:b w:val="0"/>
                <w:i w:val="0"/>
                <w:color w:val="111827"/>
                <w:sz w:val="18"/>
              </w:rPr>
              <w:t>An existing client with an established, ongoing relationship</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Timing</w:t>
            </w:r>
          </w:p>
        </w:tc>
        <w:tc>
          <w:tcPr>
            <w:tcW w:type="dxa" w:w="4980"/>
            <w:vAlign w:val="top"/>
          </w:tcPr>
          <w:p>
            <w:pPr>
              <w:spacing w:before="0" w:after="0" w:line="259" w:lineRule="auto"/>
            </w:pPr>
            <w:r>
              <w:rPr>
                <w:rFonts w:ascii="Lato" w:hAnsi="Lato" w:eastAsia="Lato"/>
                <w:b w:val="0"/>
                <w:i w:val="0"/>
                <w:color w:val="111827"/>
                <w:sz w:val="18"/>
              </w:rPr>
              <w:t>30 consecutive days, once per calendar year</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Approval</w:t>
            </w:r>
          </w:p>
        </w:tc>
        <w:tc>
          <w:tcPr>
            <w:tcW w:type="dxa" w:w="4980"/>
            <w:vAlign w:val="top"/>
          </w:tcPr>
          <w:p>
            <w:r>
              <w:t>Apply through the BBS, submit the required information and signed statement, and receive the allowance before services begin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Duties</w:t>
            </w:r>
          </w:p>
        </w:tc>
        <w:tc>
          <w:tcPr>
            <w:tcW w:type="dxa" w:w="4980"/>
            <w:vAlign w:val="top"/>
          </w:tcPr>
          <w:p>
            <w:pPr>
              <w:spacing w:before="0" w:after="0" w:line="259" w:lineRule="auto"/>
            </w:pPr>
            <w:r>
              <w:rPr>
                <w:rFonts w:ascii="Lato" w:hAnsi="Lato" w:eastAsia="Lato"/>
                <w:b w:val="0"/>
                <w:i w:val="0"/>
                <w:color w:val="111827"/>
                <w:sz w:val="18"/>
              </w:rPr>
              <w:t>The provider becomes subject to California BBS jurisdiction and California law</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Existing client + advance approval + 30 consecutive days + once per year.</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5</w:t>
            </w:r>
          </w:p>
        </w:tc>
        <w:tc>
          <w:tcPr>
            <w:tcW w:type="dxa" w:w="8496"/>
            <w:shd w:fill="0B2447"/>
          </w:tcPr>
          <w:p>
            <w:r>
              <w:rPr>
                <w:rFonts w:ascii="Lato" w:hAnsi="Lato" w:eastAsia="Lato"/>
                <w:b/>
                <w:i w:val="0"/>
                <w:color w:val="FFFFFF"/>
                <w:sz w:val="24"/>
              </w:rPr>
              <w:t>Telehealth Initiation Checklist: C-R-C-R</w:t>
            </w:r>
          </w:p>
          <w:p>
            <w:pPr>
              <w:spacing w:before="0" w:after="0" w:line="259" w:lineRule="auto"/>
            </w:pPr>
            <w:r>
              <w:rPr>
                <w:rFonts w:ascii="Lato" w:hAnsi="Lato" w:eastAsia="Lato"/>
                <w:b w:val="0"/>
                <w:i/>
                <w:color w:val="DDEBF7"/>
                <w:sz w:val="18"/>
              </w:rPr>
              <w:t>Complete these steps when telehealth begins.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Letter</w:t>
            </w:r>
          </w:p>
        </w:tc>
        <w:tc>
          <w:tcPr>
            <w:tcW w:type="dxa" w:w="4980"/>
            <w:shd w:fill="0B2447"/>
          </w:tcPr>
          <w:p>
            <w:pPr>
              <w:jc w:val="center"/>
            </w:pPr>
            <w:r>
              <w:rPr>
                <w:rFonts w:ascii="Lato" w:hAnsi="Lato" w:eastAsia="Lato"/>
                <w:b/>
                <w:i w:val="0"/>
                <w:color w:val="FFFFFF"/>
                <w:sz w:val="18"/>
              </w:rPr>
              <w:t>Requirement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 — Consent</w:t>
            </w:r>
          </w:p>
        </w:tc>
        <w:tc>
          <w:tcPr>
            <w:tcW w:type="dxa" w:w="4980"/>
            <w:vAlign w:val="top"/>
          </w:tcPr>
          <w:p>
            <w:pPr>
              <w:spacing w:before="0" w:after="0" w:line="259" w:lineRule="auto"/>
            </w:pPr>
            <w:r>
              <w:rPr>
                <w:rFonts w:ascii="Lato" w:hAnsi="Lato" w:eastAsia="Lato"/>
                <w:b w:val="0"/>
                <w:i w:val="0"/>
                <w:color w:val="111827"/>
                <w:sz w:val="18"/>
              </w:rPr>
              <w:t>Obtain verbal or written consent to use telehealth and document it.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R — Risks</w:t>
            </w:r>
          </w:p>
        </w:tc>
        <w:tc>
          <w:tcPr>
            <w:tcW w:type="dxa" w:w="4980"/>
            <w:vAlign w:val="top"/>
          </w:tcPr>
          <w:p>
            <w:pPr>
              <w:spacing w:before="0" w:after="0" w:line="259" w:lineRule="auto"/>
            </w:pPr>
            <w:r>
              <w:rPr>
                <w:rFonts w:ascii="Lato" w:hAnsi="Lato" w:eastAsia="Lato"/>
                <w:b w:val="0"/>
                <w:i w:val="0"/>
                <w:color w:val="111827"/>
                <w:sz w:val="18"/>
              </w:rPr>
              <w:t>Inform the client of potential risks and limitations.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 — Credential</w:t>
            </w:r>
          </w:p>
        </w:tc>
        <w:tc>
          <w:tcPr>
            <w:tcW w:type="dxa" w:w="4980"/>
            <w:vAlign w:val="top"/>
          </w:tcPr>
          <w:p>
            <w:pPr>
              <w:spacing w:before="0" w:after="0" w:line="259" w:lineRule="auto"/>
            </w:pPr>
            <w:r>
              <w:rPr>
                <w:rFonts w:ascii="Lato" w:hAnsi="Lato" w:eastAsia="Lato"/>
                <w:b w:val="0"/>
                <w:i w:val="0"/>
                <w:color w:val="111827"/>
                <w:sz w:val="18"/>
              </w:rPr>
              <w:t>Provide the type of license or registration and the number.</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R — Resources</w:t>
            </w:r>
          </w:p>
        </w:tc>
        <w:tc>
          <w:tcPr>
            <w:tcW w:type="dxa" w:w="4980"/>
            <w:vAlign w:val="top"/>
          </w:tcPr>
          <w:p>
            <w:pPr>
              <w:spacing w:before="0" w:after="0" w:line="259" w:lineRule="auto"/>
            </w:pPr>
            <w:r>
              <w:rPr>
                <w:rFonts w:ascii="Lato" w:hAnsi="Lato" w:eastAsia="Lato"/>
                <w:b w:val="0"/>
                <w:i w:val="0"/>
                <w:color w:val="111827"/>
                <w:sz w:val="18"/>
              </w:rPr>
              <w:t>Document reasonable efforts to identify relevant resources, including emergency services, in the client’s geographic area.</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Exam Reminder</w:t>
            </w:r>
          </w:p>
          <w:p>
            <w:pPr>
              <w:spacing w:before="0" w:after="0" w:line="259" w:lineRule="auto"/>
            </w:pPr>
            <w:r>
              <w:rPr>
                <w:rFonts w:ascii="Lato" w:hAnsi="Lato" w:eastAsia="Lato"/>
                <w:b w:val="0"/>
                <w:i w:val="0"/>
                <w:sz w:val="20"/>
              </w:rPr>
              <w:t>Telehealth consent is not limited to a signature, and agreement to telehealth does not prevent later in-person care.</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6</w:t>
            </w:r>
          </w:p>
        </w:tc>
        <w:tc>
          <w:tcPr>
            <w:tcW w:type="dxa" w:w="8496"/>
            <w:shd w:fill="0B2447"/>
          </w:tcPr>
          <w:p>
            <w:r>
              <w:rPr>
                <w:rFonts w:ascii="Lato" w:hAnsi="Lato" w:eastAsia="Lato"/>
                <w:b/>
                <w:i w:val="0"/>
                <w:color w:val="FFFFFF"/>
                <w:sz w:val="24"/>
              </w:rPr>
              <w:t>Each-Session NAPS Check</w:t>
            </w:r>
          </w:p>
          <w:p>
            <w:pPr>
              <w:spacing w:before="0" w:after="0" w:line="259" w:lineRule="auto"/>
            </w:pPr>
            <w:r>
              <w:rPr>
                <w:rFonts w:ascii="Lato" w:hAnsi="Lato" w:eastAsia="Lato"/>
                <w:b w:val="0"/>
                <w:i/>
                <w:color w:val="DDEBF7"/>
                <w:sz w:val="18"/>
              </w:rPr>
              <w:t>California requires a new check every time telehealth is provided.</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Letter</w:t>
            </w:r>
          </w:p>
        </w:tc>
        <w:tc>
          <w:tcPr>
            <w:tcW w:type="dxa" w:w="4980"/>
            <w:shd w:fill="0B2447"/>
          </w:tcPr>
          <w:p>
            <w:pPr>
              <w:jc w:val="center"/>
            </w:pPr>
            <w:r>
              <w:rPr>
                <w:rFonts w:ascii="Lato" w:hAnsi="Lato" w:eastAsia="Lato"/>
                <w:b/>
                <w:i w:val="0"/>
                <w:color w:val="FFFFFF"/>
                <w:sz w:val="18"/>
              </w:rPr>
              <w:t>Each-Session Duty</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N — Name</w:t>
            </w:r>
          </w:p>
        </w:tc>
        <w:tc>
          <w:tcPr>
            <w:tcW w:type="dxa" w:w="4980"/>
            <w:vAlign w:val="top"/>
          </w:tcPr>
          <w:p>
            <w:pPr>
              <w:spacing w:before="0" w:after="0" w:line="259" w:lineRule="auto"/>
            </w:pPr>
            <w:r>
              <w:rPr>
                <w:rFonts w:ascii="Lato" w:hAnsi="Lato" w:eastAsia="Lato"/>
                <w:b w:val="0"/>
                <w:i w:val="0"/>
                <w:color w:val="111827"/>
                <w:sz w:val="18"/>
              </w:rPr>
              <w:t>Verbally obtain and document the client’s full name.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 — Address</w:t>
            </w:r>
          </w:p>
        </w:tc>
        <w:tc>
          <w:tcPr>
            <w:tcW w:type="dxa" w:w="4980"/>
            <w:vAlign w:val="top"/>
          </w:tcPr>
          <w:p>
            <w:pPr>
              <w:spacing w:before="0" w:after="0" w:line="259" w:lineRule="auto"/>
            </w:pPr>
            <w:r>
              <w:rPr>
                <w:rFonts w:ascii="Lato" w:hAnsi="Lato" w:eastAsia="Lato"/>
                <w:b w:val="0"/>
                <w:i w:val="0"/>
                <w:color w:val="111827"/>
                <w:sz w:val="18"/>
              </w:rPr>
              <w:t>Verbally obtain and document the address of the client’s present location.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P — Proper Today?</w:t>
            </w:r>
          </w:p>
        </w:tc>
        <w:tc>
          <w:tcPr>
            <w:tcW w:type="dxa" w:w="4980"/>
            <w:vAlign w:val="top"/>
          </w:tcPr>
          <w:p>
            <w:pPr>
              <w:spacing w:before="0" w:after="0" w:line="259" w:lineRule="auto"/>
            </w:pPr>
            <w:r>
              <w:rPr>
                <w:rFonts w:ascii="Lato" w:hAnsi="Lato" w:eastAsia="Lato"/>
                <w:b w:val="0"/>
                <w:i w:val="0"/>
                <w:color w:val="111827"/>
                <w:sz w:val="18"/>
              </w:rPr>
              <w:t>Assess whether the client and this specific session are appropriate for telehealth, including the psychosocial situation.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S — Safeguards</w:t>
            </w:r>
          </w:p>
        </w:tc>
        <w:tc>
          <w:tcPr>
            <w:tcW w:type="dxa" w:w="4980"/>
            <w:vAlign w:val="top"/>
          </w:tcPr>
          <w:p>
            <w:pPr>
              <w:spacing w:before="0" w:after="0" w:line="259" w:lineRule="auto"/>
            </w:pPr>
            <w:r>
              <w:rPr>
                <w:rFonts w:ascii="Lato" w:hAnsi="Lato" w:eastAsia="Lato"/>
                <w:b w:val="0"/>
                <w:i w:val="0"/>
                <w:color w:val="111827"/>
                <w:sz w:val="18"/>
              </w:rPr>
              <w:t>Use industry best practices and comply with applicable privacy, confidentiality, and security requirements.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NAPS happens every session: Name, Address, Proper today, Safeguards.</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7</w:t>
            </w:r>
          </w:p>
        </w:tc>
        <w:tc>
          <w:tcPr>
            <w:tcW w:type="dxa" w:w="8496"/>
            <w:shd w:fill="0B2447"/>
          </w:tcPr>
          <w:p>
            <w:r>
              <w:rPr>
                <w:rFonts w:ascii="Lato" w:hAnsi="Lato" w:eastAsia="Lato"/>
                <w:b/>
                <w:i w:val="0"/>
                <w:color w:val="FFFFFF"/>
                <w:sz w:val="24"/>
              </w:rPr>
              <w:t>Emergency Preparation and Crisis Response</w:t>
            </w:r>
          </w:p>
          <w:p>
            <w:pPr>
              <w:spacing w:before="0" w:after="0" w:line="259" w:lineRule="auto"/>
            </w:pPr>
            <w:r>
              <w:rPr>
                <w:rFonts w:ascii="Lato" w:hAnsi="Lato" w:eastAsia="Lato"/>
                <w:b w:val="0"/>
                <w:i/>
                <w:color w:val="DDEBF7"/>
                <w:sz w:val="18"/>
              </w:rPr>
              <w:t>Preparation occurs before the emergency; location drives the response during it.</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INITIATION — Identify relevant resources in the client’s geographic area</w:t>
            </w:r>
            <w:r>
              <w:rPr>
                <w:rFonts w:ascii="Lato" w:hAnsi="Lato" w:eastAsia="Lato"/>
                <w:b/>
                <w:i w:val="0"/>
                <w:color w:val="0AA6A6"/>
                <w:sz w:val="24"/>
              </w:rPr>
              <w:br/>
              <w:t>↓</w:t>
              <w:br/>
            </w:r>
            <w:r>
              <w:rPr>
                <w:rFonts w:ascii="Lato" w:hAnsi="Lato" w:eastAsia="Lato"/>
                <w:b/>
                <w:i w:val="0"/>
                <w:color w:val="0B2447"/>
                <w:sz w:val="20"/>
              </w:rPr>
              <w:t>PLANNING — Establish clinically appropriate emergency contacts, crisis procedures, response expectations, and backup communication</w:t>
            </w:r>
            <w:r>
              <w:rPr>
                <w:rFonts w:ascii="Lato" w:hAnsi="Lato" w:eastAsia="Lato"/>
                <w:b/>
                <w:i w:val="0"/>
                <w:color w:val="0AA6A6"/>
                <w:sz w:val="24"/>
              </w:rPr>
              <w:br/>
              <w:t>↓</w:t>
              <w:br/>
            </w:r>
            <w:r>
              <w:rPr>
                <w:rFonts w:ascii="Lato" w:hAnsi="Lato" w:eastAsia="Lato"/>
                <w:b/>
                <w:i w:val="0"/>
                <w:color w:val="0B2447"/>
                <w:sz w:val="20"/>
              </w:rPr>
              <w:t>CRISIS — Confirm exact present location, assess immediate risk, and take proportionate lawful safety action</w:t>
            </w:r>
            <w:r>
              <w:rPr>
                <w:rFonts w:ascii="Lato" w:hAnsi="Lato" w:eastAsia="Lato"/>
                <w:b/>
                <w:i w:val="0"/>
                <w:color w:val="0AA6A6"/>
                <w:sz w:val="24"/>
              </w:rPr>
              <w:br/>
              <w:t>=</w:t>
              <w:br/>
            </w:r>
            <w:r>
              <w:rPr>
                <w:rFonts w:ascii="Lato" w:hAnsi="Lato" w:eastAsia="Lato"/>
                <w:b/>
                <w:i w:val="0"/>
                <w:color w:val="1F6B45"/>
                <w:sz w:val="20"/>
              </w:rPr>
              <w:t>Prepared and location-based response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Quick Recall</w:t>
            </w:r>
          </w:p>
          <w:p>
            <w:pPr>
              <w:spacing w:before="0" w:after="0" w:line="259" w:lineRule="auto"/>
            </w:pPr>
            <w:r>
              <w:rPr>
                <w:rFonts w:ascii="Lato" w:hAnsi="Lato" w:eastAsia="Lato"/>
                <w:b w:val="0"/>
                <w:i w:val="0"/>
                <w:sz w:val="20"/>
              </w:rPr>
              <w:t>Local resources before the crisis. Exact location during the crisis.</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8</w:t>
            </w:r>
          </w:p>
        </w:tc>
        <w:tc>
          <w:tcPr>
            <w:tcW w:type="dxa" w:w="8496"/>
            <w:shd w:fill="0B2447"/>
          </w:tcPr>
          <w:p>
            <w:r>
              <w:rPr>
                <w:rFonts w:ascii="Lato" w:hAnsi="Lato" w:eastAsia="Lato"/>
                <w:b/>
                <w:i w:val="0"/>
                <w:color w:val="FFFFFF"/>
                <w:sz w:val="24"/>
              </w:rPr>
              <w:t>Privacy vs. Confidentiality vs. Security</w:t>
            </w:r>
          </w:p>
          <w:p>
            <w:pPr>
              <w:spacing w:before="0" w:after="0" w:line="259" w:lineRule="auto"/>
            </w:pPr>
            <w:r>
              <w:rPr>
                <w:rFonts w:ascii="Lato" w:hAnsi="Lato" w:eastAsia="Lato"/>
                <w:b w:val="0"/>
                <w:i/>
                <w:color w:val="DDEBF7"/>
                <w:sz w:val="18"/>
              </w:rPr>
              <w:t>Related concepts answer different questions.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3320"/>
        <w:gridCol w:w="3320"/>
        <w:gridCol w:w="3320"/>
      </w:tblGrid>
      <w:tr>
        <w:trPr>
          <w:cantSplit w:val="1"/>
          <w:tblHeader w:val="1"/>
        </w:trPr>
        <w:tc>
          <w:tcPr>
            <w:tcW w:type="dxa" w:w="3320"/>
            <w:shd w:fill="0B2447"/>
          </w:tcPr>
          <w:p>
            <w:pPr>
              <w:jc w:val="center"/>
            </w:pPr>
            <w:r>
              <w:rPr>
                <w:rFonts w:ascii="Lato" w:hAnsi="Lato" w:eastAsia="Lato"/>
                <w:b/>
                <w:i w:val="0"/>
                <w:color w:val="FFFFFF"/>
                <w:sz w:val="18"/>
              </w:rPr>
              <w:t>Concept</w:t>
            </w:r>
          </w:p>
        </w:tc>
        <w:tc>
          <w:tcPr>
            <w:tcW w:type="dxa" w:w="3320"/>
            <w:shd w:fill="0B2447"/>
          </w:tcPr>
          <w:p>
            <w:pPr>
              <w:jc w:val="center"/>
            </w:pPr>
            <w:r>
              <w:rPr>
                <w:rFonts w:ascii="Lato" w:hAnsi="Lato" w:eastAsia="Lato"/>
                <w:b/>
                <w:i w:val="0"/>
                <w:color w:val="FFFFFF"/>
                <w:sz w:val="18"/>
              </w:rPr>
              <w:t>Question</w:t>
            </w:r>
          </w:p>
        </w:tc>
        <w:tc>
          <w:tcPr>
            <w:tcW w:type="dxa" w:w="3320"/>
            <w:shd w:fill="0B2447"/>
          </w:tcPr>
          <w:p>
            <w:pPr>
              <w:jc w:val="center"/>
            </w:pPr>
            <w:r>
              <w:rPr>
                <w:rFonts w:ascii="Lato" w:hAnsi="Lato" w:eastAsia="Lato"/>
                <w:b/>
                <w:i w:val="0"/>
                <w:color w:val="FFFFFF"/>
                <w:sz w:val="18"/>
              </w:rPr>
              <w:t>Example</w:t>
            </w:r>
          </w:p>
        </w:tc>
      </w:tr>
      <w:tr>
        <w:trPr>
          <w:cantSplit w:val="1"/>
        </w:trPr>
        <w:tc>
          <w:tcPr>
            <w:tcW w:type="dxa" w:w="3320"/>
            <w:shd w:fill="EEF3F8"/>
            <w:vAlign w:val="top"/>
          </w:tcPr>
          <w:p>
            <w:pPr>
              <w:spacing w:before="0" w:after="0" w:line="259" w:lineRule="auto"/>
            </w:pPr>
            <w:r>
              <w:rPr>
                <w:rFonts w:ascii="Lato" w:hAnsi="Lato" w:eastAsia="Lato"/>
                <w:b/>
                <w:i w:val="0"/>
                <w:color w:val="0B2447"/>
                <w:sz w:val="17"/>
              </w:rPr>
              <w:t>Privacy</w:t>
            </w:r>
          </w:p>
        </w:tc>
        <w:tc>
          <w:tcPr>
            <w:tcW w:type="dxa" w:w="3320"/>
            <w:vAlign w:val="top"/>
          </w:tcPr>
          <w:p>
            <w:pPr>
              <w:spacing w:before="0" w:after="0" w:line="259" w:lineRule="auto"/>
            </w:pPr>
            <w:r>
              <w:rPr>
                <w:rFonts w:ascii="Lato" w:hAnsi="Lato" w:eastAsia="Lato"/>
                <w:b w:val="0"/>
                <w:i w:val="0"/>
                <w:color w:val="111827"/>
                <w:sz w:val="17"/>
              </w:rPr>
              <w:t>Who can see or hear the interaction?</w:t>
            </w:r>
          </w:p>
        </w:tc>
        <w:tc>
          <w:tcPr>
            <w:tcW w:type="dxa" w:w="3320"/>
            <w:vAlign w:val="top"/>
          </w:tcPr>
          <w:p>
            <w:pPr>
              <w:spacing w:before="0" w:after="0" w:line="259" w:lineRule="auto"/>
            </w:pPr>
            <w:r>
              <w:rPr>
                <w:rFonts w:ascii="Lato" w:hAnsi="Lato" w:eastAsia="Lato"/>
                <w:b w:val="0"/>
                <w:i w:val="0"/>
                <w:color w:val="111827"/>
                <w:sz w:val="17"/>
              </w:rPr>
              <w:t>Roommates, hidden listeners, public locations, visible screens</w:t>
            </w:r>
          </w:p>
        </w:tc>
      </w:tr>
      <w:tr>
        <w:trPr>
          <w:cantSplit w:val="1"/>
        </w:trPr>
        <w:tc>
          <w:tcPr>
            <w:tcW w:type="dxa" w:w="3320"/>
            <w:shd w:fill="EEF3F8"/>
            <w:vAlign w:val="top"/>
          </w:tcPr>
          <w:p>
            <w:pPr>
              <w:spacing w:before="0" w:after="0" w:line="259" w:lineRule="auto"/>
            </w:pPr>
            <w:r>
              <w:rPr>
                <w:rFonts w:ascii="Lato" w:hAnsi="Lato" w:eastAsia="Lato"/>
                <w:b/>
                <w:i w:val="0"/>
                <w:color w:val="0B2447"/>
                <w:sz w:val="17"/>
              </w:rPr>
              <w:t>Confidentiality</w:t>
            </w:r>
          </w:p>
        </w:tc>
        <w:tc>
          <w:tcPr>
            <w:tcW w:type="dxa" w:w="3320"/>
            <w:vAlign w:val="top"/>
          </w:tcPr>
          <w:p>
            <w:pPr>
              <w:spacing w:before="0" w:after="0" w:line="259" w:lineRule="auto"/>
            </w:pPr>
            <w:r>
              <w:rPr>
                <w:rFonts w:ascii="Lato" w:hAnsi="Lato" w:eastAsia="Lato"/>
                <w:b w:val="0"/>
                <w:i w:val="0"/>
                <w:color w:val="111827"/>
                <w:sz w:val="17"/>
              </w:rPr>
              <w:t>What information may the therapist use or disclose?</w:t>
            </w:r>
          </w:p>
        </w:tc>
        <w:tc>
          <w:tcPr>
            <w:tcW w:type="dxa" w:w="3320"/>
            <w:vAlign w:val="top"/>
          </w:tcPr>
          <w:p>
            <w:pPr>
              <w:spacing w:before="0" w:after="0" w:line="259" w:lineRule="auto"/>
            </w:pPr>
            <w:r>
              <w:rPr>
                <w:rFonts w:ascii="Lato" w:hAnsi="Lato" w:eastAsia="Lato"/>
                <w:b w:val="0"/>
                <w:i w:val="0"/>
                <w:color w:val="111827"/>
                <w:sz w:val="17"/>
              </w:rPr>
              <w:t>Client identity, treatment participation, clinical information</w:t>
            </w:r>
          </w:p>
        </w:tc>
      </w:tr>
      <w:tr>
        <w:trPr>
          <w:cantSplit w:val="1"/>
        </w:trPr>
        <w:tc>
          <w:tcPr>
            <w:tcW w:type="dxa" w:w="3320"/>
            <w:shd w:fill="EEF3F8"/>
            <w:vAlign w:val="top"/>
          </w:tcPr>
          <w:p>
            <w:pPr>
              <w:spacing w:before="0" w:after="0" w:line="259" w:lineRule="auto"/>
            </w:pPr>
            <w:r>
              <w:rPr>
                <w:rFonts w:ascii="Lato" w:hAnsi="Lato" w:eastAsia="Lato"/>
                <w:b/>
                <w:i w:val="0"/>
                <w:color w:val="0B2447"/>
                <w:sz w:val="17"/>
              </w:rPr>
              <w:t>Security</w:t>
            </w:r>
          </w:p>
        </w:tc>
        <w:tc>
          <w:tcPr>
            <w:tcW w:type="dxa" w:w="3320"/>
            <w:vAlign w:val="top"/>
          </w:tcPr>
          <w:p>
            <w:pPr>
              <w:spacing w:before="0" w:after="0" w:line="259" w:lineRule="auto"/>
            </w:pPr>
            <w:r>
              <w:rPr>
                <w:rFonts w:ascii="Lato" w:hAnsi="Lato" w:eastAsia="Lato"/>
                <w:b w:val="0"/>
                <w:i w:val="0"/>
                <w:color w:val="111827"/>
                <w:sz w:val="17"/>
              </w:rPr>
              <w:t>How is information protected from unauthorized access, alteration, loss, or disruption?</w:t>
            </w:r>
          </w:p>
        </w:tc>
        <w:tc>
          <w:tcPr>
            <w:tcW w:type="dxa" w:w="3320"/>
            <w:vAlign w:val="top"/>
          </w:tcPr>
          <w:p>
            <w:pPr>
              <w:spacing w:before="0" w:after="0" w:line="259" w:lineRule="auto"/>
            </w:pPr>
            <w:r>
              <w:rPr>
                <w:rFonts w:ascii="Lato" w:hAnsi="Lato" w:eastAsia="Lato"/>
                <w:b w:val="0"/>
                <w:i w:val="0"/>
                <w:color w:val="111827"/>
                <w:sz w:val="17"/>
              </w:rPr>
              <w:t>Access controls, encryption, device protection, backup and recovery</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Privacy = environment. Confidentiality = disclosure. Security = protection.</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9</w:t>
            </w:r>
          </w:p>
        </w:tc>
        <w:tc>
          <w:tcPr>
            <w:tcW w:type="dxa" w:w="8496"/>
            <w:shd w:fill="0B2447"/>
          </w:tcPr>
          <w:p>
            <w:r>
              <w:rPr>
                <w:rFonts w:ascii="Lato" w:hAnsi="Lato" w:eastAsia="Lato"/>
                <w:b/>
                <w:i w:val="0"/>
                <w:color w:val="FFFFFF"/>
                <w:sz w:val="24"/>
              </w:rPr>
              <w:t>Platform and Vendor Test: Contract + Configuration + Conduct</w:t>
            </w:r>
          </w:p>
          <w:p>
            <w:pPr>
              <w:spacing w:before="0" w:after="0" w:line="259" w:lineRule="auto"/>
            </w:pPr>
            <w:r>
              <w:rPr>
                <w:rFonts w:ascii="Lato" w:hAnsi="Lato" w:eastAsia="Lato"/>
                <w:b w:val="0"/>
                <w:i/>
                <w:color w:val="DDEBF7"/>
                <w:sz w:val="18"/>
              </w:rPr>
              <w:t>A label or contract never completes the analysis.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Question</w:t>
            </w:r>
          </w:p>
        </w:tc>
        <w:tc>
          <w:tcPr>
            <w:tcW w:type="dxa" w:w="4980"/>
            <w:shd w:fill="0B2447"/>
          </w:tcPr>
          <w:p>
            <w:pPr>
              <w:jc w:val="center"/>
            </w:pPr>
            <w:r>
              <w:rPr>
                <w:rFonts w:ascii="Lato" w:hAnsi="Lato" w:eastAsia="Lato"/>
                <w:b/>
                <w:i w:val="0"/>
                <w:color w:val="FFFFFF"/>
                <w:sz w:val="18"/>
              </w:rPr>
              <w:t>Ask</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Contract</w:t>
            </w:r>
          </w:p>
        </w:tc>
        <w:tc>
          <w:tcPr>
            <w:tcW w:type="dxa" w:w="4980"/>
            <w:vAlign w:val="top"/>
          </w:tcPr>
          <w:p>
            <w:pPr>
              <w:spacing w:before="0" w:after="0" w:line="259" w:lineRule="auto"/>
            </w:pPr>
            <w:r>
              <w:rPr>
                <w:rFonts w:ascii="Lato" w:hAnsi="Lato" w:eastAsia="Lato"/>
                <w:b w:val="0"/>
                <w:i w:val="0"/>
                <w:color w:val="111827"/>
                <w:sz w:val="18"/>
              </w:rPr>
              <w:t>Is a business associate agreement or other agreement required, and what does it actually cover?</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Configuration</w:t>
            </w:r>
          </w:p>
        </w:tc>
        <w:tc>
          <w:tcPr>
            <w:tcW w:type="dxa" w:w="4980"/>
            <w:vAlign w:val="top"/>
          </w:tcPr>
          <w:p>
            <w:pPr>
              <w:spacing w:before="0" w:after="0" w:line="259" w:lineRule="auto"/>
            </w:pPr>
            <w:r>
              <w:rPr>
                <w:rFonts w:ascii="Lato" w:hAnsi="Lato" w:eastAsia="Lato"/>
                <w:b w:val="0"/>
                <w:i w:val="0"/>
                <w:color w:val="111827"/>
                <w:sz w:val="18"/>
              </w:rPr>
              <w:t>Are access, recording, retention, sharing, authentication, and privacy settings configured appropriately?</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Conduct</w:t>
            </w:r>
          </w:p>
        </w:tc>
        <w:tc>
          <w:tcPr>
            <w:tcW w:type="dxa" w:w="4980"/>
            <w:vAlign w:val="top"/>
          </w:tcPr>
          <w:p>
            <w:pPr>
              <w:spacing w:before="0" w:after="0" w:line="259" w:lineRule="auto"/>
            </w:pPr>
            <w:r>
              <w:rPr>
                <w:rFonts w:ascii="Lato" w:hAnsi="Lato" w:eastAsia="Lato"/>
                <w:b w:val="0"/>
                <w:i w:val="0"/>
                <w:color w:val="111827"/>
                <w:sz w:val="18"/>
              </w:rPr>
              <w:t>Are clinicians and staff using the technology competently and consistently with policy and law?</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Exam Trap</w:t>
            </w:r>
          </w:p>
          <w:p>
            <w:pPr>
              <w:spacing w:before="0" w:after="0" w:line="259" w:lineRule="auto"/>
            </w:pPr>
            <w:r>
              <w:rPr>
                <w:rFonts w:ascii="Lato" w:hAnsi="Lato" w:eastAsia="Lato"/>
                <w:b w:val="0"/>
                <w:i w:val="0"/>
                <w:sz w:val="20"/>
              </w:rPr>
              <w:t>“HIPAA-compliant” marketing or a signed BAA does not prove that every use of the technology is compliant.</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10</w:t>
            </w:r>
          </w:p>
        </w:tc>
        <w:tc>
          <w:tcPr>
            <w:tcW w:type="dxa" w:w="8496"/>
            <w:shd w:fill="0B2447"/>
          </w:tcPr>
          <w:p>
            <w:r>
              <w:rPr>
                <w:rFonts w:ascii="Lato" w:hAnsi="Lato" w:eastAsia="Lato"/>
                <w:b/>
                <w:i w:val="0"/>
                <w:color w:val="FFFFFF"/>
                <w:sz w:val="24"/>
              </w:rPr>
              <w:t>Telehealth Consent Is Not Recording or AI Consent</w:t>
            </w:r>
          </w:p>
          <w:p>
            <w:pPr>
              <w:spacing w:before="0" w:after="0" w:line="259" w:lineRule="auto"/>
            </w:pPr>
            <w:r>
              <w:rPr>
                <w:rFonts w:ascii="Lato" w:hAnsi="Lato" w:eastAsia="Lato"/>
                <w:b w:val="0"/>
                <w:i/>
                <w:color w:val="DDEBF7"/>
                <w:sz w:val="18"/>
              </w:rPr>
              <w:t>Treat recording, transcription, summaries, and vendor processing as separate decisions.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Review Area</w:t>
            </w:r>
          </w:p>
        </w:tc>
        <w:tc>
          <w:tcPr>
            <w:tcW w:type="dxa" w:w="4980"/>
            <w:shd w:fill="0B2447"/>
          </w:tcPr>
          <w:p>
            <w:pPr>
              <w:jc w:val="center"/>
            </w:pPr>
            <w:r>
              <w:rPr>
                <w:rFonts w:ascii="Lato" w:hAnsi="Lato" w:eastAsia="Lato"/>
                <w:b/>
                <w:i w:val="0"/>
                <w:color w:val="FFFFFF"/>
                <w:sz w:val="18"/>
              </w:rPr>
              <w:t>Key Question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Recording law</w:t>
            </w:r>
          </w:p>
        </w:tc>
        <w:tc>
          <w:tcPr>
            <w:tcW w:type="dxa" w:w="4980"/>
            <w:vAlign w:val="top"/>
          </w:tcPr>
          <w:p>
            <w:pPr>
              <w:spacing w:before="0" w:after="0" w:line="259" w:lineRule="auto"/>
            </w:pPr>
            <w:r>
              <w:rPr>
                <w:rFonts w:ascii="Lato" w:hAnsi="Lato" w:eastAsia="Lato"/>
                <w:b w:val="0"/>
                <w:i w:val="0"/>
                <w:color w:val="111827"/>
                <w:sz w:val="17"/>
              </w:rPr>
              <w:t>Has legally sufficient consent been obtained before intentionally recording a confidential communication?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Client understanding</w:t>
            </w:r>
          </w:p>
        </w:tc>
        <w:tc>
          <w:tcPr>
            <w:tcW w:type="dxa" w:w="4980"/>
            <w:vAlign w:val="top"/>
          </w:tcPr>
          <w:p>
            <w:pPr>
              <w:spacing w:before="0" w:after="0" w:line="259" w:lineRule="auto"/>
            </w:pPr>
            <w:r>
              <w:rPr>
                <w:rFonts w:ascii="Lato" w:hAnsi="Lato" w:eastAsia="Lato"/>
                <w:b w:val="0"/>
                <w:i w:val="0"/>
                <w:color w:val="111827"/>
                <w:sz w:val="17"/>
              </w:rPr>
              <w:t>Does the client understand what is created, why it is used, and who may receive it?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Vendor and data use</w:t>
            </w:r>
          </w:p>
        </w:tc>
        <w:tc>
          <w:tcPr>
            <w:tcW w:type="dxa" w:w="4980"/>
            <w:vAlign w:val="top"/>
          </w:tcPr>
          <w:p>
            <w:pPr>
              <w:spacing w:before="0" w:after="0" w:line="259" w:lineRule="auto"/>
            </w:pPr>
            <w:r>
              <w:rPr>
                <w:rFonts w:ascii="Lato" w:hAnsi="Lato" w:eastAsia="Lato"/>
                <w:b w:val="0"/>
                <w:i w:val="0"/>
                <w:color w:val="111827"/>
                <w:sz w:val="17"/>
              </w:rPr>
              <w:t>Where is the information sent, retained, trained on, shared, or deleted?</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Accuracy and clinical judgment</w:t>
            </w:r>
          </w:p>
        </w:tc>
        <w:tc>
          <w:tcPr>
            <w:tcW w:type="dxa" w:w="4980"/>
            <w:vAlign w:val="top"/>
          </w:tcPr>
          <w:p>
            <w:pPr>
              <w:spacing w:before="0" w:after="0" w:line="259" w:lineRule="auto"/>
            </w:pPr>
            <w:r>
              <w:rPr>
                <w:rFonts w:ascii="Lato" w:hAnsi="Lato" w:eastAsia="Lato"/>
                <w:b w:val="0"/>
                <w:i w:val="0"/>
                <w:color w:val="111827"/>
                <w:sz w:val="17"/>
              </w:rPr>
              <w:t>Will a qualified human review the output before relying on it?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Record management</w:t>
            </w:r>
          </w:p>
        </w:tc>
        <w:tc>
          <w:tcPr>
            <w:tcW w:type="dxa" w:w="4980"/>
            <w:vAlign w:val="top"/>
          </w:tcPr>
          <w:p>
            <w:pPr>
              <w:spacing w:before="0" w:after="0" w:line="259" w:lineRule="auto"/>
            </w:pPr>
            <w:r>
              <w:rPr>
                <w:rFonts w:ascii="Lato" w:hAnsi="Lato" w:eastAsia="Lato"/>
                <w:b w:val="0"/>
                <w:i w:val="0"/>
                <w:color w:val="111827"/>
                <w:sz w:val="17"/>
              </w:rPr>
              <w:t>What becomes part of the clinical record, and how will it be protected and retained?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Consent to treatment ≠ consent to record, transcribe, summarize, or train a system.</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11</w:t>
            </w:r>
          </w:p>
        </w:tc>
        <w:tc>
          <w:tcPr>
            <w:tcW w:type="dxa" w:w="8496"/>
            <w:shd w:fill="0B2447"/>
          </w:tcPr>
          <w:p>
            <w:r>
              <w:rPr>
                <w:rFonts w:ascii="Lato" w:hAnsi="Lato" w:eastAsia="Lato"/>
                <w:b/>
                <w:i w:val="0"/>
                <w:color w:val="FFFFFF"/>
                <w:sz w:val="24"/>
              </w:rPr>
              <w:t>Technology Failure Plan: B-A-C-K</w:t>
            </w:r>
          </w:p>
          <w:p>
            <w:pPr>
              <w:spacing w:before="0" w:after="0" w:line="259" w:lineRule="auto"/>
            </w:pPr>
            <w:r>
              <w:rPr>
                <w:rFonts w:ascii="Lato" w:hAnsi="Lato" w:eastAsia="Lato"/>
                <w:b w:val="0"/>
                <w:i/>
                <w:color w:val="DDEBF7"/>
                <w:sz w:val="18"/>
              </w:rPr>
              <w:t>A backup plan should preserve safety and continuity — not merely reconnect the call.</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Letter</w:t>
            </w:r>
          </w:p>
        </w:tc>
        <w:tc>
          <w:tcPr>
            <w:tcW w:type="dxa" w:w="4980"/>
            <w:shd w:fill="0B2447"/>
          </w:tcPr>
          <w:p>
            <w:pPr>
              <w:jc w:val="center"/>
            </w:pPr>
            <w:r>
              <w:rPr>
                <w:rFonts w:ascii="Lato" w:hAnsi="Lato" w:eastAsia="Lato"/>
                <w:b/>
                <w:i w:val="0"/>
                <w:color w:val="FFFFFF"/>
                <w:sz w:val="18"/>
              </w:rPr>
              <w:t>Plan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B — Backup contact</w:t>
            </w:r>
          </w:p>
        </w:tc>
        <w:tc>
          <w:tcPr>
            <w:tcW w:type="dxa" w:w="4980"/>
            <w:vAlign w:val="top"/>
          </w:tcPr>
          <w:p>
            <w:pPr>
              <w:spacing w:before="0" w:after="0" w:line="259" w:lineRule="auto"/>
            </w:pPr>
            <w:r>
              <w:rPr>
                <w:rFonts w:ascii="Lato" w:hAnsi="Lato" w:eastAsia="Lato"/>
                <w:b w:val="0"/>
                <w:i w:val="0"/>
                <w:color w:val="111827"/>
                <w:sz w:val="18"/>
              </w:rPr>
              <w:t>Know how therapist and client will reconnect.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 — Alternative method</w:t>
            </w:r>
          </w:p>
        </w:tc>
        <w:tc>
          <w:tcPr>
            <w:tcW w:type="dxa" w:w="4980"/>
            <w:vAlign w:val="top"/>
          </w:tcPr>
          <w:p>
            <w:pPr>
              <w:spacing w:before="0" w:after="0" w:line="259" w:lineRule="auto"/>
            </w:pPr>
            <w:r>
              <w:rPr>
                <w:rFonts w:ascii="Lato" w:hAnsi="Lato" w:eastAsia="Lato"/>
                <w:b w:val="0"/>
                <w:i w:val="0"/>
                <w:color w:val="111827"/>
                <w:sz w:val="18"/>
              </w:rPr>
              <w:t>Determine whether telephone, portal, rescheduling, or in-person care is lawful and clinically appropriate.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 — Client safety</w:t>
            </w:r>
          </w:p>
        </w:tc>
        <w:tc>
          <w:tcPr>
            <w:tcW w:type="dxa" w:w="4980"/>
            <w:vAlign w:val="top"/>
          </w:tcPr>
          <w:p>
            <w:pPr>
              <w:spacing w:before="0" w:after="0" w:line="259" w:lineRule="auto"/>
            </w:pPr>
            <w:r>
              <w:rPr>
                <w:rFonts w:ascii="Lato" w:hAnsi="Lato" w:eastAsia="Lato"/>
                <w:b w:val="0"/>
                <w:i w:val="0"/>
                <w:color w:val="111827"/>
                <w:sz w:val="18"/>
              </w:rPr>
              <w:t>Maintain access to current location, crisis resources, and safety procedures.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K — Keep records available</w:t>
            </w:r>
          </w:p>
        </w:tc>
        <w:tc>
          <w:tcPr>
            <w:tcW w:type="dxa" w:w="4980"/>
            <w:vAlign w:val="top"/>
          </w:tcPr>
          <w:p>
            <w:pPr>
              <w:spacing w:before="0" w:after="0" w:line="259" w:lineRule="auto"/>
            </w:pPr>
            <w:r>
              <w:rPr>
                <w:rFonts w:ascii="Lato" w:hAnsi="Lato" w:eastAsia="Lato"/>
                <w:b w:val="0"/>
                <w:i w:val="0"/>
                <w:color w:val="111827"/>
                <w:sz w:val="18"/>
              </w:rPr>
              <w:t>Use tested backup, recovery, and restoration procedures for needed information.</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When technology fails, use B-A-C-K.</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12</w:t>
            </w:r>
          </w:p>
        </w:tc>
        <w:tc>
          <w:tcPr>
            <w:tcW w:type="dxa" w:w="8496"/>
            <w:shd w:fill="0B2447"/>
          </w:tcPr>
          <w:p>
            <w:r>
              <w:rPr>
                <w:rFonts w:ascii="Lato" w:hAnsi="Lato" w:eastAsia="Lato"/>
                <w:b/>
                <w:i w:val="0"/>
                <w:color w:val="FFFFFF"/>
                <w:sz w:val="24"/>
              </w:rPr>
              <w:t>Classify Electronic Communication Before Judging It</w:t>
            </w:r>
          </w:p>
          <w:p>
            <w:pPr>
              <w:spacing w:before="0" w:after="0" w:line="259" w:lineRule="auto"/>
            </w:pPr>
            <w:r>
              <w:rPr>
                <w:rFonts w:ascii="Lato" w:hAnsi="Lato" w:eastAsia="Lato"/>
                <w:b w:val="0"/>
                <w:i/>
                <w:color w:val="DDEBF7"/>
                <w:sz w:val="18"/>
              </w:rPr>
              <w:t>The same device can carry very different professional communications.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Communication Type</w:t>
            </w:r>
          </w:p>
        </w:tc>
        <w:tc>
          <w:tcPr>
            <w:tcW w:type="dxa" w:w="4980"/>
            <w:shd w:fill="0B2447"/>
          </w:tcPr>
          <w:p>
            <w:pPr>
              <w:jc w:val="center"/>
            </w:pPr>
            <w:r>
              <w:rPr>
                <w:rFonts w:ascii="Lato" w:hAnsi="Lato" w:eastAsia="Lato"/>
                <w:b/>
                <w:i w:val="0"/>
                <w:color w:val="FFFFFF"/>
                <w:sz w:val="18"/>
              </w:rPr>
              <w:t>Primary Analysis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Administrative</w:t>
            </w:r>
          </w:p>
        </w:tc>
        <w:tc>
          <w:tcPr>
            <w:tcW w:type="dxa" w:w="4980"/>
            <w:vAlign w:val="top"/>
          </w:tcPr>
          <w:p>
            <w:pPr>
              <w:spacing w:before="0" w:after="0" w:line="259" w:lineRule="auto"/>
            </w:pPr>
            <w:r>
              <w:rPr>
                <w:rFonts w:ascii="Lato" w:hAnsi="Lato" w:eastAsia="Lato"/>
                <w:b w:val="0"/>
                <w:i w:val="0"/>
                <w:color w:val="111827"/>
                <w:sz w:val="18"/>
              </w:rPr>
              <w:t>Scheduling, reminders, fees, and logistics — use reasonable safeguards and clear expectations.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Clinical</w:t>
            </w:r>
          </w:p>
        </w:tc>
        <w:tc>
          <w:tcPr>
            <w:tcW w:type="dxa" w:w="4980"/>
            <w:vAlign w:val="top"/>
          </w:tcPr>
          <w:p>
            <w:pPr>
              <w:spacing w:before="0" w:after="0" w:line="259" w:lineRule="auto"/>
            </w:pPr>
            <w:r>
              <w:rPr>
                <w:rFonts w:ascii="Lato" w:hAnsi="Lato" w:eastAsia="Lato"/>
                <w:b w:val="0"/>
                <w:i w:val="0"/>
                <w:color w:val="111827"/>
                <w:sz w:val="18"/>
              </w:rPr>
              <w:t>Assessment, intervention, treatment discussion, or significant disclosure — consider whether it constitutes telehealth and whether documentation is needed.</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Records-related</w:t>
            </w:r>
          </w:p>
        </w:tc>
        <w:tc>
          <w:tcPr>
            <w:tcW w:type="dxa" w:w="4980"/>
            <w:vAlign w:val="top"/>
          </w:tcPr>
          <w:p>
            <w:pPr>
              <w:spacing w:before="0" w:after="0" w:line="259" w:lineRule="auto"/>
            </w:pPr>
            <w:r>
              <w:rPr>
                <w:rFonts w:ascii="Lato" w:hAnsi="Lato" w:eastAsia="Lato"/>
                <w:b w:val="0"/>
                <w:i w:val="0"/>
                <w:color w:val="111827"/>
                <w:sz w:val="18"/>
              </w:rPr>
              <w:t>Authorization, recipient verification, secure transmission, and record-access rules.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Urgent or emergency</w:t>
            </w:r>
          </w:p>
        </w:tc>
        <w:tc>
          <w:tcPr>
            <w:tcW w:type="dxa" w:w="4980"/>
            <w:vAlign w:val="top"/>
          </w:tcPr>
          <w:p>
            <w:pPr>
              <w:spacing w:before="0" w:after="0" w:line="259" w:lineRule="auto"/>
            </w:pPr>
            <w:r>
              <w:rPr>
                <w:rFonts w:ascii="Lato" w:hAnsi="Lato" w:eastAsia="Lato"/>
                <w:b w:val="0"/>
                <w:i w:val="0"/>
                <w:color w:val="111827"/>
                <w:sz w:val="18"/>
              </w:rPr>
              <w:t>Response limitations, actual receipt, current risk, location, and emergency procedures.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Classify first. Then apply the correct rule.</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13</w:t>
            </w:r>
          </w:p>
        </w:tc>
        <w:tc>
          <w:tcPr>
            <w:tcW w:type="dxa" w:w="8496"/>
            <w:shd w:fill="0B2447"/>
          </w:tcPr>
          <w:p>
            <w:r>
              <w:rPr>
                <w:rFonts w:ascii="Lato" w:hAnsi="Lato" w:eastAsia="Lato"/>
                <w:b/>
                <w:i w:val="0"/>
                <w:color w:val="FFFFFF"/>
                <w:sz w:val="24"/>
              </w:rPr>
              <w:t>Verify Before You Send</w:t>
            </w:r>
          </w:p>
          <w:p>
            <w:pPr>
              <w:spacing w:before="0" w:after="0" w:line="259" w:lineRule="auto"/>
            </w:pPr>
            <w:r>
              <w:rPr>
                <w:rFonts w:ascii="Lato" w:hAnsi="Lato" w:eastAsia="Lato"/>
                <w:b w:val="0"/>
                <w:i/>
                <w:color w:val="DDEBF7"/>
                <w:sz w:val="18"/>
              </w:rPr>
              <w:t>Human error is a major technology risk.</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Check</w:t>
            </w:r>
          </w:p>
        </w:tc>
        <w:tc>
          <w:tcPr>
            <w:tcW w:type="dxa" w:w="4980"/>
            <w:shd w:fill="0B2447"/>
          </w:tcPr>
          <w:p>
            <w:pPr>
              <w:jc w:val="center"/>
            </w:pPr>
            <w:r>
              <w:rPr>
                <w:rFonts w:ascii="Lato" w:hAnsi="Lato" w:eastAsia="Lato"/>
                <w:b/>
                <w:i w:val="0"/>
                <w:color w:val="FFFFFF"/>
                <w:sz w:val="18"/>
              </w:rPr>
              <w:t>Question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Recipient</w:t>
            </w:r>
          </w:p>
        </w:tc>
        <w:tc>
          <w:tcPr>
            <w:tcW w:type="dxa" w:w="4980"/>
            <w:vAlign w:val="top"/>
          </w:tcPr>
          <w:p>
            <w:pPr>
              <w:spacing w:before="0" w:after="0" w:line="259" w:lineRule="auto"/>
            </w:pPr>
            <w:r>
              <w:rPr>
                <w:rFonts w:ascii="Lato" w:hAnsi="Lato" w:eastAsia="Lato"/>
                <w:b w:val="0"/>
                <w:i w:val="0"/>
                <w:color w:val="111827"/>
                <w:sz w:val="18"/>
              </w:rPr>
              <w:t>Is this the correct person or organization?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Address or number</w:t>
            </w:r>
          </w:p>
        </w:tc>
        <w:tc>
          <w:tcPr>
            <w:tcW w:type="dxa" w:w="4980"/>
            <w:vAlign w:val="top"/>
          </w:tcPr>
          <w:p>
            <w:pPr>
              <w:spacing w:before="0" w:after="0" w:line="259" w:lineRule="auto"/>
            </w:pPr>
            <w:r>
              <w:rPr>
                <w:rFonts w:ascii="Lato" w:hAnsi="Lato" w:eastAsia="Lato"/>
                <w:b w:val="0"/>
                <w:i w:val="0"/>
                <w:color w:val="111827"/>
                <w:sz w:val="18"/>
              </w:rPr>
              <w:t>Is the email address, portal destination, or phone number correct?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Authorization</w:t>
            </w:r>
          </w:p>
        </w:tc>
        <w:tc>
          <w:tcPr>
            <w:tcW w:type="dxa" w:w="4980"/>
            <w:vAlign w:val="top"/>
          </w:tcPr>
          <w:p>
            <w:pPr>
              <w:spacing w:before="0" w:after="0" w:line="259" w:lineRule="auto"/>
            </w:pPr>
            <w:r>
              <w:rPr>
                <w:rFonts w:ascii="Lato" w:hAnsi="Lato" w:eastAsia="Lato"/>
                <w:b w:val="0"/>
                <w:i w:val="0"/>
                <w:color w:val="111827"/>
                <w:sz w:val="18"/>
              </w:rPr>
              <w:t>Is the communication permitted and within the authorized scope?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Attachment</w:t>
            </w:r>
          </w:p>
        </w:tc>
        <w:tc>
          <w:tcPr>
            <w:tcW w:type="dxa" w:w="4980"/>
            <w:vAlign w:val="top"/>
          </w:tcPr>
          <w:p>
            <w:pPr>
              <w:spacing w:before="0" w:after="0" w:line="259" w:lineRule="auto"/>
            </w:pPr>
            <w:r>
              <w:rPr>
                <w:rFonts w:ascii="Lato" w:hAnsi="Lato" w:eastAsia="Lato"/>
                <w:b w:val="0"/>
                <w:i w:val="0"/>
                <w:color w:val="111827"/>
                <w:sz w:val="18"/>
              </w:rPr>
              <w:t>Is the correct file attached, and does it contain another client’s information?</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Content and method</w:t>
            </w:r>
          </w:p>
        </w:tc>
        <w:tc>
          <w:tcPr>
            <w:tcW w:type="dxa" w:w="4980"/>
            <w:vAlign w:val="top"/>
          </w:tcPr>
          <w:p>
            <w:pPr>
              <w:spacing w:before="0" w:after="0" w:line="259" w:lineRule="auto"/>
            </w:pPr>
            <w:r>
              <w:rPr>
                <w:rFonts w:ascii="Lato" w:hAnsi="Lato" w:eastAsia="Lato"/>
                <w:b w:val="0"/>
                <w:i w:val="0"/>
                <w:color w:val="111827"/>
                <w:sz w:val="18"/>
              </w:rPr>
              <w:t>Is the amount of information appropriate for this communication channel?</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Recipient + authorization + attachment + content + method — then send.</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14</w:t>
            </w:r>
          </w:p>
        </w:tc>
        <w:tc>
          <w:tcPr>
            <w:tcW w:type="dxa" w:w="8496"/>
            <w:shd w:fill="0B2447"/>
          </w:tcPr>
          <w:p>
            <w:r>
              <w:rPr>
                <w:rFonts w:ascii="Lato" w:hAnsi="Lato" w:eastAsia="Lato"/>
                <w:b/>
                <w:i w:val="0"/>
                <w:color w:val="FFFFFF"/>
                <w:sz w:val="24"/>
              </w:rPr>
              <w:t>Response Expectations Do Not Excuse Inaction</w:t>
            </w:r>
          </w:p>
          <w:p>
            <w:pPr>
              <w:spacing w:before="0" w:after="0" w:line="259" w:lineRule="auto"/>
            </w:pPr>
            <w:r>
              <w:rPr>
                <w:rFonts w:ascii="Lato" w:hAnsi="Lato" w:eastAsia="Lato"/>
                <w:b w:val="0"/>
                <w:i/>
                <w:color w:val="DDEBF7"/>
                <w:sz w:val="18"/>
              </w:rPr>
              <w:t>A policy defines the channel; the clinical facts determine the response once a message is seen.</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Situation</w:t>
            </w:r>
          </w:p>
        </w:tc>
        <w:tc>
          <w:tcPr>
            <w:tcW w:type="dxa" w:w="4980"/>
            <w:shd w:fill="0B2447"/>
          </w:tcPr>
          <w:p>
            <w:pPr>
              <w:jc w:val="center"/>
            </w:pPr>
            <w:r>
              <w:rPr>
                <w:rFonts w:ascii="Lato" w:hAnsi="Lato" w:eastAsia="Lato"/>
                <w:b/>
                <w:i w:val="0"/>
                <w:color w:val="FFFFFF"/>
                <w:sz w:val="18"/>
              </w:rPr>
              <w:t>Best Reasoning</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Routine message</w:t>
            </w:r>
          </w:p>
        </w:tc>
        <w:tc>
          <w:tcPr>
            <w:tcW w:type="dxa" w:w="4980"/>
            <w:vAlign w:val="top"/>
          </w:tcPr>
          <w:p>
            <w:pPr>
              <w:spacing w:before="0" w:after="0" w:line="259" w:lineRule="auto"/>
            </w:pPr>
            <w:r>
              <w:rPr>
                <w:rFonts w:ascii="Lato" w:hAnsi="Lato" w:eastAsia="Lato"/>
                <w:b w:val="0"/>
                <w:i w:val="0"/>
                <w:color w:val="111827"/>
                <w:sz w:val="18"/>
              </w:rPr>
              <w:t>Follow the disclosed response timeframe and communication policy.</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Message not yet reviewed</w:t>
            </w:r>
          </w:p>
        </w:tc>
        <w:tc>
          <w:tcPr>
            <w:tcW w:type="dxa" w:w="4980"/>
            <w:vAlign w:val="top"/>
          </w:tcPr>
          <w:p>
            <w:pPr>
              <w:spacing w:before="0" w:after="0" w:line="259" w:lineRule="auto"/>
            </w:pPr>
            <w:r>
              <w:rPr>
                <w:rFonts w:ascii="Lato" w:hAnsi="Lato" w:eastAsia="Lato"/>
                <w:b w:val="0"/>
                <w:i w:val="0"/>
                <w:color w:val="111827"/>
                <w:sz w:val="18"/>
              </w:rPr>
              <w:t>The therapist is not automatically required to monitor every channel continuously.</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High-risk message actually reviewed</w:t>
            </w:r>
          </w:p>
        </w:tc>
        <w:tc>
          <w:tcPr>
            <w:tcW w:type="dxa" w:w="4980"/>
            <w:vAlign w:val="top"/>
          </w:tcPr>
          <w:p>
            <w:pPr>
              <w:spacing w:before="0" w:after="0" w:line="259" w:lineRule="auto"/>
            </w:pPr>
            <w:r>
              <w:rPr>
                <w:rFonts w:ascii="Lato" w:hAnsi="Lato" w:eastAsia="Lato"/>
                <w:b w:val="0"/>
                <w:i w:val="0"/>
                <w:color w:val="111827"/>
                <w:sz w:val="18"/>
              </w:rPr>
              <w:t>Assess and respond according to the current clinical and safety facts.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Emergency communication</w:t>
            </w:r>
          </w:p>
        </w:tc>
        <w:tc>
          <w:tcPr>
            <w:tcW w:type="dxa" w:w="4980"/>
            <w:vAlign w:val="top"/>
          </w:tcPr>
          <w:p>
            <w:pPr>
              <w:spacing w:before="0" w:after="0" w:line="259" w:lineRule="auto"/>
            </w:pPr>
            <w:r>
              <w:rPr>
                <w:rFonts w:ascii="Lato" w:hAnsi="Lato" w:eastAsia="Lato"/>
                <w:b w:val="0"/>
                <w:i w:val="0"/>
                <w:color w:val="111827"/>
                <w:sz w:val="18"/>
              </w:rPr>
              <w:t>Use location-based emergency procedures rather than treating email or text as emergency services.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Not always monitored. Never ignore imminent risk once seen.</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15</w:t>
            </w:r>
          </w:p>
        </w:tc>
        <w:tc>
          <w:tcPr>
            <w:tcW w:type="dxa" w:w="8496"/>
            <w:shd w:fill="0B2447"/>
          </w:tcPr>
          <w:p>
            <w:r>
              <w:rPr>
                <w:rFonts w:ascii="Lato" w:hAnsi="Lato" w:eastAsia="Lato"/>
                <w:b/>
                <w:i w:val="0"/>
                <w:color w:val="FFFFFF"/>
                <w:sz w:val="24"/>
              </w:rPr>
              <w:t>Electronic Documentation Rule</w:t>
            </w:r>
          </w:p>
          <w:p>
            <w:pPr>
              <w:spacing w:before="0" w:after="0" w:line="259" w:lineRule="auto"/>
            </w:pPr>
            <w:r>
              <w:rPr>
                <w:rFonts w:ascii="Lato" w:hAnsi="Lato" w:eastAsia="Lato"/>
                <w:b w:val="0"/>
                <w:i/>
                <w:color w:val="DDEBF7"/>
                <w:sz w:val="18"/>
              </w:rPr>
              <w:t>The channel does not determine whether information is clinically significant.</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Did the message affect assessment, risk, treatment, consent, safety, or a clinical decision?</w:t>
            </w:r>
            <w:r>
              <w:rPr>
                <w:rFonts w:ascii="Lato" w:hAnsi="Lato" w:eastAsia="Lato"/>
                <w:b/>
                <w:i w:val="0"/>
                <w:color w:val="0AA6A6"/>
                <w:sz w:val="24"/>
              </w:rPr>
              <w:br/>
              <w:t>↓</w:t>
              <w:br/>
            </w:r>
            <w:r>
              <w:rPr>
                <w:rFonts w:ascii="Lato" w:hAnsi="Lato" w:eastAsia="Lato"/>
                <w:b/>
                <w:i w:val="0"/>
                <w:color w:val="0B2447"/>
                <w:sz w:val="20"/>
              </w:rPr>
              <w:t>YES — document or incorporate it appropriately</w:t>
            </w:r>
            <w:r>
              <w:rPr>
                <w:rFonts w:ascii="Lato" w:hAnsi="Lato" w:eastAsia="Lato"/>
                <w:b/>
                <w:i w:val="0"/>
                <w:color w:val="0AA6A6"/>
                <w:sz w:val="24"/>
              </w:rPr>
              <w:br/>
              <w:t>↓</w:t>
              <w:br/>
            </w:r>
            <w:r>
              <w:rPr>
                <w:rFonts w:ascii="Lato" w:hAnsi="Lato" w:eastAsia="Lato"/>
                <w:b/>
                <w:i w:val="0"/>
                <w:color w:val="0B2447"/>
                <w:sz w:val="20"/>
              </w:rPr>
              <w:t>NO — manage it according to administrative and records policies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If it changes care, document it.</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16</w:t>
            </w:r>
          </w:p>
        </w:tc>
        <w:tc>
          <w:tcPr>
            <w:tcW w:type="dxa" w:w="8496"/>
            <w:shd w:fill="0B2447"/>
          </w:tcPr>
          <w:p>
            <w:r>
              <w:rPr>
                <w:rFonts w:ascii="Lato" w:hAnsi="Lato" w:eastAsia="Lato"/>
                <w:b/>
                <w:i w:val="0"/>
                <w:color w:val="FFFFFF"/>
                <w:sz w:val="24"/>
              </w:rPr>
              <w:t>Digital Boundary Framework</w:t>
            </w:r>
          </w:p>
          <w:p>
            <w:pPr>
              <w:spacing w:before="0" w:after="0" w:line="259" w:lineRule="auto"/>
            </w:pPr>
            <w:r>
              <w:rPr>
                <w:rFonts w:ascii="Lato" w:hAnsi="Lato" w:eastAsia="Lato"/>
                <w:b w:val="0"/>
                <w:i/>
                <w:color w:val="DDEBF7"/>
                <w:sz w:val="18"/>
              </w:rPr>
              <w:t>Friend requests, follows, tags, direct messages, and personal accounts require analysis.</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Ask</w:t>
            </w:r>
          </w:p>
        </w:tc>
        <w:tc>
          <w:tcPr>
            <w:tcW w:type="dxa" w:w="4980"/>
            <w:shd w:fill="0B2447"/>
          </w:tcPr>
          <w:p>
            <w:pPr>
              <w:jc w:val="center"/>
            </w:pPr>
            <w:r>
              <w:rPr>
                <w:rFonts w:ascii="Lato" w:hAnsi="Lato" w:eastAsia="Lato"/>
                <w:b/>
                <w:i w:val="0"/>
                <w:color w:val="FFFFFF"/>
                <w:sz w:val="18"/>
              </w:rPr>
              <w:t>Why It Matters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What is the treatment impact?</w:t>
            </w:r>
          </w:p>
        </w:tc>
        <w:tc>
          <w:tcPr>
            <w:tcW w:type="dxa" w:w="4980"/>
            <w:vAlign w:val="top"/>
          </w:tcPr>
          <w:p>
            <w:pPr>
              <w:spacing w:before="0" w:after="0" w:line="259" w:lineRule="auto"/>
            </w:pPr>
            <w:r>
              <w:rPr>
                <w:rFonts w:ascii="Lato" w:hAnsi="Lato" w:eastAsia="Lato"/>
                <w:b w:val="0"/>
                <w:i w:val="0"/>
                <w:color w:val="111827"/>
                <w:sz w:val="17"/>
              </w:rPr>
              <w:t>Online contact may change role clarity, disclosure, or expectations.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Could confidentiality be affected?</w:t>
            </w:r>
          </w:p>
        </w:tc>
        <w:tc>
          <w:tcPr>
            <w:tcW w:type="dxa" w:w="4980"/>
            <w:vAlign w:val="top"/>
          </w:tcPr>
          <w:p>
            <w:pPr>
              <w:spacing w:before="0" w:after="0" w:line="259" w:lineRule="auto"/>
            </w:pPr>
            <w:r>
              <w:rPr>
                <w:rFonts w:ascii="Lato" w:hAnsi="Lato" w:eastAsia="Lato"/>
                <w:b w:val="0"/>
                <w:i w:val="0"/>
                <w:color w:val="111827"/>
                <w:sz w:val="17"/>
              </w:rPr>
              <w:t>The interaction may reveal or suggest the professional relationship.</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What does the policy say?</w:t>
            </w:r>
          </w:p>
        </w:tc>
        <w:tc>
          <w:tcPr>
            <w:tcW w:type="dxa" w:w="4980"/>
            <w:vAlign w:val="top"/>
          </w:tcPr>
          <w:p>
            <w:pPr>
              <w:spacing w:before="0" w:after="0" w:line="259" w:lineRule="auto"/>
            </w:pPr>
            <w:r>
              <w:rPr>
                <w:rFonts w:ascii="Lato" w:hAnsi="Lato" w:eastAsia="Lato"/>
                <w:b w:val="0"/>
                <w:i w:val="0"/>
                <w:color w:val="111827"/>
                <w:sz w:val="17"/>
              </w:rPr>
              <w:t>Consistent expectations reduce confusion and special exceptions.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Who benefits?</w:t>
            </w:r>
          </w:p>
        </w:tc>
        <w:tc>
          <w:tcPr>
            <w:tcW w:type="dxa" w:w="4980"/>
            <w:vAlign w:val="top"/>
          </w:tcPr>
          <w:p>
            <w:pPr>
              <w:spacing w:before="0" w:after="0" w:line="259" w:lineRule="auto"/>
            </w:pPr>
            <w:r>
              <w:rPr>
                <w:rFonts w:ascii="Lato" w:hAnsi="Lato" w:eastAsia="Lato"/>
                <w:b w:val="0"/>
                <w:i w:val="0"/>
                <w:color w:val="111827"/>
                <w:sz w:val="17"/>
              </w:rPr>
              <w:t>The contact should not primarily serve the therapist’s personal needs.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What is the least risky proportionate response?</w:t>
            </w:r>
          </w:p>
        </w:tc>
        <w:tc>
          <w:tcPr>
            <w:tcW w:type="dxa" w:w="4980"/>
            <w:vAlign w:val="top"/>
          </w:tcPr>
          <w:p>
            <w:pPr>
              <w:spacing w:before="0" w:after="0" w:line="259" w:lineRule="auto"/>
            </w:pPr>
            <w:r>
              <w:rPr>
                <w:rFonts w:ascii="Lato" w:hAnsi="Lato" w:eastAsia="Lato"/>
                <w:b w:val="0"/>
                <w:i w:val="0"/>
                <w:color w:val="111827"/>
                <w:sz w:val="17"/>
              </w:rPr>
              <w:t>California law does not create one automatic answer for every request.</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Pause before you click.</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17</w:t>
            </w:r>
          </w:p>
        </w:tc>
        <w:tc>
          <w:tcPr>
            <w:tcW w:type="dxa" w:w="8496"/>
            <w:shd w:fill="0B2447"/>
          </w:tcPr>
          <w:p>
            <w:r>
              <w:rPr>
                <w:rFonts w:ascii="Lato" w:hAnsi="Lato" w:eastAsia="Lato"/>
                <w:b/>
                <w:i w:val="0"/>
                <w:color w:val="FFFFFF"/>
                <w:sz w:val="24"/>
              </w:rPr>
              <w:t>Client Search Rule</w:t>
            </w:r>
          </w:p>
          <w:p>
            <w:pPr>
              <w:spacing w:before="0" w:after="0" w:line="259" w:lineRule="auto"/>
            </w:pPr>
            <w:r>
              <w:rPr>
                <w:rFonts w:ascii="Lato" w:hAnsi="Lato" w:eastAsia="Lato"/>
                <w:b w:val="0"/>
                <w:i/>
                <w:color w:val="DDEBF7"/>
                <w:sz w:val="18"/>
              </w:rPr>
              <w:t>Public availability does not automatically create clinical permission or necessity.</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PURPOSE — Is there a legitimate clinical or safety reason?</w:t>
            </w:r>
            <w:r>
              <w:rPr>
                <w:rFonts w:ascii="Lato" w:hAnsi="Lato" w:eastAsia="Lato"/>
                <w:b/>
                <w:i w:val="0"/>
                <w:color w:val="0AA6A6"/>
                <w:sz w:val="24"/>
              </w:rPr>
              <w:br/>
              <w:t>↓</w:t>
              <w:br/>
            </w:r>
            <w:r>
              <w:rPr>
                <w:rFonts w:ascii="Lato" w:hAnsi="Lato" w:eastAsia="Lato"/>
                <w:b/>
                <w:i w:val="0"/>
                <w:color w:val="0B2447"/>
                <w:sz w:val="20"/>
              </w:rPr>
              <w:t>NECESSITY — Is the search needed, or can information be obtained directly?</w:t>
            </w:r>
            <w:r>
              <w:rPr>
                <w:rFonts w:ascii="Lato" w:hAnsi="Lato" w:eastAsia="Lato"/>
                <w:b/>
                <w:i w:val="0"/>
                <w:color w:val="0AA6A6"/>
                <w:sz w:val="24"/>
              </w:rPr>
              <w:br/>
              <w:t>↓</w:t>
              <w:br/>
            </w:r>
            <w:r>
              <w:rPr>
                <w:rFonts w:ascii="Lato" w:hAnsi="Lato" w:eastAsia="Lato"/>
                <w:b/>
                <w:i w:val="0"/>
                <w:color w:val="0B2447"/>
                <w:sz w:val="20"/>
              </w:rPr>
              <w:t>RELIABILITY — Can the online information be trusted and interpreted fairly?</w:t>
            </w:r>
            <w:r>
              <w:rPr>
                <w:rFonts w:ascii="Lato" w:hAnsi="Lato" w:eastAsia="Lato"/>
                <w:b/>
                <w:i w:val="0"/>
                <w:color w:val="0AA6A6"/>
                <w:sz w:val="24"/>
              </w:rPr>
              <w:br/>
              <w:t>↓</w:t>
              <w:br/>
            </w:r>
            <w:r>
              <w:rPr>
                <w:rFonts w:ascii="Lato" w:hAnsi="Lato" w:eastAsia="Lato"/>
                <w:b/>
                <w:i w:val="0"/>
                <w:color w:val="0B2447"/>
                <w:sz w:val="20"/>
              </w:rPr>
              <w:t>IMPACT — How might the search affect treatment, privacy, and trust?</w:t>
            </w:r>
            <w:r>
              <w:rPr>
                <w:rFonts w:ascii="Lato" w:hAnsi="Lato" w:eastAsia="Lato"/>
                <w:b/>
                <w:i w:val="0"/>
                <w:color w:val="0AA6A6"/>
                <w:sz w:val="24"/>
              </w:rPr>
              <w:br/>
              <w:t>↓</w:t>
              <w:br/>
            </w:r>
            <w:r>
              <w:rPr>
                <w:rFonts w:ascii="Lato" w:hAnsi="Lato" w:eastAsia="Lato"/>
                <w:b/>
                <w:i w:val="0"/>
                <w:color w:val="0B2447"/>
                <w:sz w:val="20"/>
              </w:rPr>
              <w:t>TRANSPARENCY / DOCUMENTATION — Should the search or use of the information be discussed and recorded?</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Purpose before curiosity.</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18</w:t>
            </w:r>
          </w:p>
        </w:tc>
        <w:tc>
          <w:tcPr>
            <w:tcW w:type="dxa" w:w="8496"/>
            <w:shd w:fill="0B2447"/>
          </w:tcPr>
          <w:p>
            <w:r>
              <w:rPr>
                <w:rFonts w:ascii="Lato" w:hAnsi="Lato" w:eastAsia="Lato"/>
                <w:b/>
                <w:i w:val="0"/>
                <w:color w:val="FFFFFF"/>
                <w:sz w:val="24"/>
              </w:rPr>
              <w:t>Online Confidentiality and Review Warning</w:t>
            </w:r>
          </w:p>
          <w:p>
            <w:pPr>
              <w:spacing w:before="0" w:after="0" w:line="259" w:lineRule="auto"/>
            </w:pPr>
            <w:r>
              <w:rPr>
                <w:rFonts w:ascii="Lato" w:hAnsi="Lato" w:eastAsia="Lato"/>
                <w:b w:val="0"/>
                <w:i/>
                <w:color w:val="DDEBF7"/>
                <w:sz w:val="18"/>
              </w:rPr>
              <w:t>The client’s own public post does not waive the therapist’s duty.</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Online Situation</w:t>
            </w:r>
          </w:p>
        </w:tc>
        <w:tc>
          <w:tcPr>
            <w:tcW w:type="dxa" w:w="4980"/>
            <w:shd w:fill="0B2447"/>
          </w:tcPr>
          <w:p>
            <w:pPr>
              <w:jc w:val="center"/>
            </w:pPr>
            <w:r>
              <w:rPr>
                <w:rFonts w:ascii="Lato" w:hAnsi="Lato" w:eastAsia="Lato"/>
                <w:b/>
                <w:i w:val="0"/>
                <w:color w:val="FFFFFF"/>
                <w:sz w:val="18"/>
              </w:rPr>
              <w:t>High-Yield Rule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Clinical story without a name</w:t>
            </w:r>
          </w:p>
        </w:tc>
        <w:tc>
          <w:tcPr>
            <w:tcW w:type="dxa" w:w="4980"/>
            <w:vAlign w:val="top"/>
          </w:tcPr>
          <w:p>
            <w:pPr>
              <w:spacing w:before="0" w:after="0" w:line="259" w:lineRule="auto"/>
            </w:pPr>
            <w:r>
              <w:rPr>
                <w:rFonts w:ascii="Lato" w:hAnsi="Lato" w:eastAsia="Lato"/>
                <w:b w:val="0"/>
                <w:i w:val="0"/>
                <w:color w:val="111827"/>
                <w:sz w:val="18"/>
              </w:rPr>
              <w:t>Combined details may still identify the client.</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Client tags or identifies the therapist</w:t>
            </w:r>
          </w:p>
        </w:tc>
        <w:tc>
          <w:tcPr>
            <w:tcW w:type="dxa" w:w="4980"/>
            <w:vAlign w:val="top"/>
          </w:tcPr>
          <w:p>
            <w:pPr>
              <w:spacing w:before="0" w:after="0" w:line="259" w:lineRule="auto"/>
            </w:pPr>
            <w:r>
              <w:rPr>
                <w:rFonts w:ascii="Lato" w:hAnsi="Lato" w:eastAsia="Lato"/>
                <w:b w:val="0"/>
                <w:i w:val="0"/>
                <w:color w:val="111827"/>
                <w:sz w:val="18"/>
              </w:rPr>
              <w:t>Do not automatically confirm the treatment relationship.</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Negative review</w:t>
            </w:r>
          </w:p>
        </w:tc>
        <w:tc>
          <w:tcPr>
            <w:tcW w:type="dxa" w:w="4980"/>
            <w:vAlign w:val="top"/>
          </w:tcPr>
          <w:p>
            <w:pPr>
              <w:spacing w:before="0" w:after="0" w:line="259" w:lineRule="auto"/>
            </w:pPr>
            <w:r>
              <w:rPr>
                <w:rFonts w:ascii="Lato" w:hAnsi="Lato" w:eastAsia="Lato"/>
                <w:b w:val="0"/>
                <w:i w:val="0"/>
                <w:color w:val="111827"/>
                <w:sz w:val="18"/>
              </w:rPr>
              <w:t>A public reply may reveal confidential information or verify client status.</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Educational post</w:t>
            </w:r>
          </w:p>
        </w:tc>
        <w:tc>
          <w:tcPr>
            <w:tcW w:type="dxa" w:w="4980"/>
            <w:vAlign w:val="top"/>
          </w:tcPr>
          <w:p>
            <w:pPr>
              <w:spacing w:before="0" w:after="0" w:line="259" w:lineRule="auto"/>
            </w:pPr>
            <w:r>
              <w:rPr>
                <w:rFonts w:ascii="Lato" w:hAnsi="Lato" w:eastAsia="Lato"/>
                <w:b w:val="0"/>
                <w:i w:val="0"/>
                <w:color w:val="111827"/>
                <w:sz w:val="18"/>
              </w:rPr>
              <w:t>Use accurate, nonmisleading information and avoid disguised case disclosure.</w:t>
            </w:r>
          </w:p>
        </w:tc>
      </w:tr>
      <w:tr>
        <w:trPr>
          <w:cantSplit w:val="1"/>
        </w:trPr>
        <w:tc>
          <w:tcPr>
            <w:tcW w:type="dxa" w:w="4980"/>
            <w:shd w:fill="EEF3F8"/>
            <w:vAlign w:val="top"/>
          </w:tcPr>
          <w:p>
            <w:pPr>
              <w:spacing w:before="0" w:after="0" w:line="259" w:lineRule="auto"/>
            </w:pPr>
            <w:r>
              <w:rPr>
                <w:rFonts w:ascii="Lato" w:hAnsi="Lato" w:eastAsia="Lato"/>
                <w:b/>
                <w:i w:val="0"/>
                <w:color w:val="0B2447"/>
                <w:sz w:val="18"/>
              </w:rPr>
              <w:t>Deleted content</w:t>
            </w:r>
          </w:p>
        </w:tc>
        <w:tc>
          <w:tcPr>
            <w:tcW w:type="dxa" w:w="4980"/>
            <w:vAlign w:val="top"/>
          </w:tcPr>
          <w:p>
            <w:pPr>
              <w:spacing w:before="0" w:after="0" w:line="259" w:lineRule="auto"/>
            </w:pPr>
            <w:r>
              <w:rPr>
                <w:rFonts w:ascii="Lato" w:hAnsi="Lato" w:eastAsia="Lato"/>
                <w:b w:val="0"/>
                <w:i w:val="0"/>
                <w:color w:val="111827"/>
                <w:sz w:val="18"/>
              </w:rPr>
              <w:t>Screenshots, shares, caches, or copies may remain.</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No name ≠ anonymous. Client posted first ≠ permission to confirm.</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19</w:t>
            </w:r>
          </w:p>
        </w:tc>
        <w:tc>
          <w:tcPr>
            <w:tcW w:type="dxa" w:w="8496"/>
            <w:shd w:fill="0B2447"/>
          </w:tcPr>
          <w:p>
            <w:r>
              <w:rPr>
                <w:rFonts w:ascii="Lato" w:hAnsi="Lato" w:eastAsia="Lato"/>
                <w:b/>
                <w:i w:val="0"/>
                <w:color w:val="FFFFFF"/>
                <w:sz w:val="24"/>
              </w:rPr>
              <w:t>Social Media Is Advertising</w:t>
            </w:r>
          </w:p>
          <w:p>
            <w:pPr>
              <w:spacing w:before="0" w:after="0" w:line="259" w:lineRule="auto"/>
            </w:pPr>
            <w:r>
              <w:rPr>
                <w:rFonts w:ascii="Lato" w:hAnsi="Lato" w:eastAsia="Lato"/>
                <w:b w:val="0"/>
                <w:i/>
                <w:color w:val="DDEBF7"/>
                <w:sz w:val="18"/>
              </w:rPr>
              <w:t>California BBS advertising requirements apply to professional social media effective April 1, 2026.</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Who</w:t>
            </w:r>
          </w:p>
        </w:tc>
        <w:tc>
          <w:tcPr>
            <w:tcW w:type="dxa" w:w="4980"/>
            <w:shd w:fill="0B2447"/>
          </w:tcPr>
          <w:p>
            <w:pPr>
              <w:jc w:val="center"/>
            </w:pPr>
            <w:r>
              <w:rPr>
                <w:rFonts w:ascii="Lato" w:hAnsi="Lato" w:eastAsia="Lato"/>
                <w:b/>
                <w:i w:val="0"/>
                <w:color w:val="FFFFFF"/>
                <w:sz w:val="18"/>
              </w:rPr>
              <w:t>Minimum Information</w:t>
            </w:r>
          </w:p>
        </w:tc>
      </w:tr>
      <w:tr>
        <w:trPr>
          <w:cantSplit w:val="1"/>
        </w:trPr>
        <w:tc>
          <w:tcPr>
            <w:tcW w:type="dxa" w:w="4980"/>
            <w:shd w:fill="EEF3F8"/>
            <w:vAlign w:val="top"/>
          </w:tcPr>
          <w:p>
            <w:r>
              <w:t>LCSW</w:t>
            </w:r>
          </w:p>
        </w:tc>
        <w:tc>
          <w:tcPr>
            <w:tcW w:type="dxa" w:w="4980"/>
            <w:vAlign w:val="top"/>
          </w:tcPr>
          <w:p>
            <w:r>
              <w:t>Board-filed first and last name, license number, and complete title “Licensed Clinical Social Worker” or LCSW.</w:t>
            </w:r>
          </w:p>
        </w:tc>
      </w:tr>
      <w:tr>
        <w:trPr>
          <w:cantSplit w:val="1"/>
        </w:trPr>
        <w:tc>
          <w:tcPr>
            <w:tcW w:type="dxa" w:w="4980"/>
            <w:shd w:fill="EEF3F8"/>
            <w:vAlign w:val="top"/>
          </w:tcPr>
          <w:p>
            <w:r>
              <w:t>Registered ASW</w:t>
            </w:r>
          </w:p>
        </w:tc>
        <w:tc>
          <w:tcPr>
            <w:tcW w:type="dxa" w:w="4980"/>
            <w:vAlign w:val="top"/>
          </w:tcPr>
          <w:p>
            <w:r>
              <w:t>Board-filed first and last name, ASW registration number, complete title “Registered Associate Clinical Social Worker,” employer or volunteer entity, and a statement that the ASW is supervised by a licensed person.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Account format</w:t>
            </w:r>
          </w:p>
        </w:tc>
        <w:tc>
          <w:tcPr>
            <w:tcW w:type="dxa" w:w="4980"/>
            <w:vAlign w:val="top"/>
          </w:tcPr>
          <w:p>
            <w:pPr>
              <w:spacing w:before="0" w:after="0" w:line="259" w:lineRule="auto"/>
            </w:pPr>
            <w:r>
              <w:rPr>
                <w:rFonts w:ascii="Lato" w:hAnsi="Lato" w:eastAsia="Lato"/>
                <w:b w:val="0"/>
                <w:i w:val="0"/>
                <w:color w:val="111827"/>
                <w:sz w:val="17"/>
              </w:rPr>
              <w:t>Required information must appear on the social-media account or be easily accessible through a clear link if it does not fit in the bio.</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All advertising</w:t>
            </w:r>
          </w:p>
        </w:tc>
        <w:tc>
          <w:tcPr>
            <w:tcW w:type="dxa" w:w="4980"/>
            <w:vAlign w:val="top"/>
          </w:tcPr>
          <w:p>
            <w:pPr>
              <w:spacing w:before="0" w:after="0" w:line="259" w:lineRule="auto"/>
            </w:pPr>
            <w:r>
              <w:rPr>
                <w:rFonts w:ascii="Lato" w:hAnsi="Lato" w:eastAsia="Lato"/>
                <w:b w:val="0"/>
                <w:i w:val="0"/>
                <w:color w:val="111827"/>
                <w:sz w:val="17"/>
              </w:rPr>
              <w:t>Must not be false, fraudulent, misleading, deceptive, or misrepresent status, education, qualifications, or affiliations.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Identify yourself accurately before you advertise.</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20</w:t>
            </w:r>
          </w:p>
        </w:tc>
        <w:tc>
          <w:tcPr>
            <w:tcW w:type="dxa" w:w="8496"/>
            <w:shd w:fill="0B2447"/>
          </w:tcPr>
          <w:p>
            <w:r>
              <w:rPr>
                <w:rFonts w:ascii="Lato" w:hAnsi="Lato" w:eastAsia="Lato"/>
                <w:b/>
                <w:i w:val="0"/>
                <w:color w:val="FFFFFF"/>
                <w:sz w:val="24"/>
              </w:rPr>
              <w:t>Technology Competence Formula</w:t>
            </w:r>
          </w:p>
          <w:p>
            <w:pPr>
              <w:spacing w:before="0" w:after="0" w:line="259" w:lineRule="auto"/>
            </w:pPr>
            <w:r>
              <w:rPr>
                <w:rFonts w:ascii="Lato" w:hAnsi="Lato" w:eastAsia="Lato"/>
                <w:b w:val="0"/>
                <w:i/>
                <w:color w:val="DDEBF7"/>
                <w:sz w:val="18"/>
              </w:rPr>
              <w:t>Using a tool is not the same as understanding it.</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KNOWLEDGE — Features, data flow, privacy settings, and limitations</w:t>
            </w:r>
            <w:r>
              <w:rPr>
                <w:rFonts w:ascii="Lato" w:hAnsi="Lato" w:eastAsia="Lato"/>
                <w:b/>
                <w:i w:val="0"/>
                <w:color w:val="0AA6A6"/>
                <w:sz w:val="24"/>
              </w:rPr>
              <w:br/>
              <w:t>↓</w:t>
              <w:br/>
            </w:r>
            <w:r>
              <w:rPr>
                <w:rFonts w:ascii="Lato" w:hAnsi="Lato" w:eastAsia="Lato"/>
                <w:b/>
                <w:i w:val="0"/>
                <w:color w:val="0B2447"/>
                <w:sz w:val="20"/>
              </w:rPr>
              <w:t>SKILL — Ability to use, configure, troubleshoot, and document appropriately</w:t>
            </w:r>
            <w:r>
              <w:rPr>
                <w:rFonts w:ascii="Lato" w:hAnsi="Lato" w:eastAsia="Lato"/>
                <w:b/>
                <w:i w:val="0"/>
                <w:color w:val="0AA6A6"/>
                <w:sz w:val="24"/>
              </w:rPr>
              <w:br/>
              <w:t>↓</w:t>
              <w:br/>
            </w:r>
            <w:r>
              <w:rPr>
                <w:rFonts w:ascii="Lato" w:hAnsi="Lato" w:eastAsia="Lato"/>
                <w:b/>
                <w:i w:val="0"/>
                <w:color w:val="0B2447"/>
                <w:sz w:val="20"/>
              </w:rPr>
              <w:t>RISK AWARENESS — Failure points, unauthorized access, accessibility, and vendor practices</w:t>
            </w:r>
            <w:r>
              <w:rPr>
                <w:rFonts w:ascii="Lato" w:hAnsi="Lato" w:eastAsia="Lato"/>
                <w:b/>
                <w:i w:val="0"/>
                <w:color w:val="0AA6A6"/>
                <w:sz w:val="24"/>
              </w:rPr>
              <w:br/>
              <w:t>↓</w:t>
              <w:br/>
            </w:r>
            <w:r>
              <w:rPr>
                <w:rFonts w:ascii="Lato" w:hAnsi="Lato" w:eastAsia="Lato"/>
                <w:b/>
                <w:i w:val="0"/>
                <w:color w:val="0B2447"/>
                <w:sz w:val="20"/>
              </w:rPr>
              <w:t>PROFESSIONAL JUDGMENT — Clinical fit, client welfare, policy, and legal requirements</w:t>
            </w:r>
            <w:r>
              <w:rPr>
                <w:rFonts w:ascii="Lato" w:hAnsi="Lato" w:eastAsia="Lato"/>
                <w:b/>
                <w:i w:val="0"/>
                <w:color w:val="0AA6A6"/>
                <w:sz w:val="24"/>
              </w:rPr>
              <w:br/>
              <w:t>=</w:t>
              <w:br/>
            </w:r>
            <w:r>
              <w:rPr>
                <w:rFonts w:ascii="Lato" w:hAnsi="Lato" w:eastAsia="Lato"/>
                <w:b/>
                <w:i w:val="0"/>
                <w:color w:val="1F6B45"/>
                <w:sz w:val="20"/>
              </w:rPr>
              <w:t>Technology competence</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Knowledge + skill + risk awareness + judgment.</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21</w:t>
            </w:r>
          </w:p>
        </w:tc>
        <w:tc>
          <w:tcPr>
            <w:tcW w:type="dxa" w:w="8496"/>
            <w:shd w:fill="0B2447"/>
          </w:tcPr>
          <w:p>
            <w:r>
              <w:rPr>
                <w:rFonts w:ascii="Lato" w:hAnsi="Lato" w:eastAsia="Lato"/>
                <w:b/>
                <w:i w:val="0"/>
                <w:color w:val="FFFFFF"/>
                <w:sz w:val="24"/>
              </w:rPr>
              <w:t>Technology Risk-Management Cycle</w:t>
            </w:r>
          </w:p>
          <w:p>
            <w:pPr>
              <w:spacing w:before="0" w:after="0" w:line="259" w:lineRule="auto"/>
            </w:pPr>
            <w:r>
              <w:rPr>
                <w:rFonts w:ascii="Lato" w:hAnsi="Lato" w:eastAsia="Lato"/>
                <w:b w:val="0"/>
                <w:i/>
                <w:color w:val="DDEBF7"/>
                <w:sz w:val="18"/>
              </w:rPr>
              <w:t>Prevention is stronger than waiting for harm.</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IDENTIFY — What could go wrong?</w:t>
            </w:r>
            <w:r>
              <w:rPr>
                <w:rFonts w:ascii="Lato" w:hAnsi="Lato" w:eastAsia="Lato"/>
                <w:b/>
                <w:i w:val="0"/>
                <w:color w:val="0AA6A6"/>
                <w:sz w:val="24"/>
              </w:rPr>
              <w:br/>
              <w:t>↓</w:t>
              <w:br/>
            </w:r>
            <w:r>
              <w:rPr>
                <w:rFonts w:ascii="Lato" w:hAnsi="Lato" w:eastAsia="Lato"/>
                <w:b/>
                <w:i w:val="0"/>
                <w:color w:val="0B2447"/>
                <w:sz w:val="20"/>
              </w:rPr>
              <w:t>EVALUATE — How likely and serious is the risk?</w:t>
            </w:r>
            <w:r>
              <w:rPr>
                <w:rFonts w:ascii="Lato" w:hAnsi="Lato" w:eastAsia="Lato"/>
                <w:b/>
                <w:i w:val="0"/>
                <w:color w:val="0AA6A6"/>
                <w:sz w:val="24"/>
              </w:rPr>
              <w:br/>
              <w:t>↓</w:t>
              <w:br/>
            </w:r>
            <w:r>
              <w:rPr>
                <w:rFonts w:ascii="Lato" w:hAnsi="Lato" w:eastAsia="Lato"/>
                <w:b/>
                <w:i w:val="0"/>
                <w:color w:val="0B2447"/>
                <w:sz w:val="20"/>
              </w:rPr>
              <w:t>REDUCE — What safeguards are reasonable?</w:t>
            </w:r>
            <w:r>
              <w:rPr>
                <w:rFonts w:ascii="Lato" w:hAnsi="Lato" w:eastAsia="Lato"/>
                <w:b/>
                <w:i w:val="0"/>
                <w:color w:val="0AA6A6"/>
                <w:sz w:val="24"/>
              </w:rPr>
              <w:br/>
              <w:t>↓</w:t>
              <w:br/>
            </w:r>
            <w:r>
              <w:rPr>
                <w:rFonts w:ascii="Lato" w:hAnsi="Lato" w:eastAsia="Lato"/>
                <w:b/>
                <w:i w:val="0"/>
                <w:color w:val="0B2447"/>
                <w:sz w:val="20"/>
              </w:rPr>
              <w:t>MONITOR — Has the technology, law, vendor, or workflow changed?</w:t>
            </w:r>
            <w:r>
              <w:rPr>
                <w:rFonts w:ascii="Lato" w:hAnsi="Lato" w:eastAsia="Lato"/>
                <w:b/>
                <w:i w:val="0"/>
                <w:color w:val="0AA6A6"/>
                <w:sz w:val="24"/>
              </w:rPr>
              <w:br/>
              <w:t>↓</w:t>
              <w:br/>
            </w:r>
            <w:r>
              <w:rPr>
                <w:rFonts w:ascii="Lato" w:hAnsi="Lato" w:eastAsia="Lato"/>
                <w:b/>
                <w:i w:val="0"/>
                <w:color w:val="0B2447"/>
                <w:sz w:val="20"/>
              </w:rPr>
              <w:t>RESPOND — What action is required when an event occurs?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Identify → Evaluate → Reduce → Monitor → Respond.</w:t>
            </w:r>
          </w:p>
        </w:tc>
      </w:tr>
    </w:tbl>
    <w:p>
      <w:pPr>
        <w:spacing w:after="0"/>
      </w:pPr>
    </w:p>
    <w:tbl>
      <w:tblPr>
        <w:tblW w:type="dxa" w:w="9648"/>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1152"/>
        <w:gridCol w:w="8496"/>
      </w:tblGrid>
      <w:tr>
        <w:trPr>
          <w:cantSplit w:val="1"/>
          <w:tblHeader w:val="1"/>
        </w:trPr>
        <w:tc>
          <w:tcPr>
            <w:tcW w:type="dxa" w:w="1152"/>
            <w:shd w:fill="0AA6A6"/>
          </w:tcPr>
          <w:p>
            <w:pPr>
              <w:jc w:val="center"/>
            </w:pPr>
            <w:r>
              <w:rPr>
                <w:rFonts w:ascii="Lato" w:hAnsi="Lato" w:eastAsia="Lato"/>
                <w:b/>
                <w:i w:val="0"/>
                <w:color w:val="FFFFFF"/>
                <w:sz w:val="36"/>
              </w:rPr>
              <w:t>22</w:t>
            </w:r>
          </w:p>
        </w:tc>
        <w:tc>
          <w:tcPr>
            <w:tcW w:type="dxa" w:w="8496"/>
            <w:shd w:fill="0B2447"/>
          </w:tcPr>
          <w:p>
            <w:r>
              <w:rPr>
                <w:rFonts w:ascii="Lato" w:hAnsi="Lato" w:eastAsia="Lato"/>
                <w:b/>
                <w:i w:val="0"/>
                <w:color w:val="FFFFFF"/>
                <w:sz w:val="24"/>
              </w:rPr>
              <w:t>Incident Response Is Not Automatic Breach Reporting</w:t>
            </w:r>
          </w:p>
          <w:p>
            <w:pPr>
              <w:spacing w:before="0" w:after="0" w:line="259" w:lineRule="auto"/>
            </w:pPr>
            <w:r>
              <w:rPr>
                <w:rFonts w:ascii="Lato" w:hAnsi="Lato" w:eastAsia="Lato"/>
                <w:b w:val="0"/>
                <w:i/>
                <w:color w:val="DDEBF7"/>
                <w:sz w:val="18"/>
              </w:rPr>
              <w:t>Act promptly, but let the law and facts determine notification.</w:t>
            </w:r>
          </w:p>
        </w:tc>
      </w:tr>
    </w:tbl>
    <w:p>
      <w:pPr>
        <w:spacing w:after="20"/>
      </w:pP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Pr>
          <w:p>
            <w:pPr>
              <w:jc w:val="center"/>
            </w:pPr>
            <w:r>
              <w:rPr>
                <w:rFonts w:ascii="Lato" w:hAnsi="Lato" w:eastAsia="Lato"/>
                <w:b/>
                <w:i w:val="0"/>
                <w:color w:val="0B2447"/>
                <w:sz w:val="20"/>
              </w:rPr>
              <w:t>CONTAIN — Stop continuing access, disclosure, loss, or disruption</w:t>
            </w:r>
            <w:r>
              <w:rPr>
                <w:rFonts w:ascii="Lato" w:hAnsi="Lato" w:eastAsia="Lato"/>
                <w:b/>
                <w:i w:val="0"/>
                <w:color w:val="0AA6A6"/>
                <w:sz w:val="24"/>
              </w:rPr>
              <w:br/>
              <w:t>↓</w:t>
              <w:br/>
            </w:r>
            <w:r>
              <w:rPr>
                <w:rFonts w:ascii="Lato" w:hAnsi="Lato" w:eastAsia="Lato"/>
                <w:b/>
                <w:i w:val="0"/>
                <w:color w:val="0B2447"/>
                <w:sz w:val="20"/>
              </w:rPr>
              <w:t>PRESERVE — Keep logs, messages, device information, and other evidence</w:t>
            </w:r>
            <w:r>
              <w:rPr>
                <w:rFonts w:ascii="Lato" w:hAnsi="Lato" w:eastAsia="Lato"/>
                <w:b/>
                <w:i w:val="0"/>
                <w:color w:val="0AA6A6"/>
                <w:sz w:val="24"/>
              </w:rPr>
              <w:br/>
              <w:t>↓</w:t>
              <w:br/>
            </w:r>
            <w:r>
              <w:rPr>
                <w:rFonts w:ascii="Lato" w:hAnsi="Lato" w:eastAsia="Lato"/>
                <w:b/>
                <w:i w:val="0"/>
                <w:color w:val="0B2447"/>
                <w:sz w:val="20"/>
              </w:rPr>
              <w:t>ASSESS — What information, people, systems, and recipients are involved?</w:t>
            </w:r>
            <w:r>
              <w:rPr>
                <w:rFonts w:ascii="Lato" w:hAnsi="Lato" w:eastAsia="Lato"/>
                <w:b/>
                <w:i w:val="0"/>
                <w:color w:val="0AA6A6"/>
                <w:sz w:val="24"/>
              </w:rPr>
              <w:br/>
              <w:t>↓</w:t>
              <w:br/>
            </w:r>
            <w:r>
              <w:rPr>
                <w:rFonts w:ascii="Lato" w:hAnsi="Lato" w:eastAsia="Lato"/>
                <w:b/>
                <w:i w:val="0"/>
                <w:color w:val="0B2447"/>
                <w:sz w:val="20"/>
              </w:rPr>
              <w:t>MITIGATE — Recover, revoke access, obtain assurances, or reduce further risk</w:t>
            </w:r>
            <w:r>
              <w:rPr>
                <w:rFonts w:ascii="Lato" w:hAnsi="Lato" w:eastAsia="Lato"/>
                <w:b/>
                <w:i w:val="0"/>
                <w:color w:val="0AA6A6"/>
                <w:sz w:val="24"/>
              </w:rPr>
              <w:br/>
              <w:t>↓</w:t>
              <w:br/>
            </w:r>
            <w:r>
              <w:rPr>
                <w:rFonts w:ascii="Lato" w:hAnsi="Lato" w:eastAsia="Lato"/>
                <w:b/>
                <w:i w:val="0"/>
                <w:color w:val="0B2447"/>
                <w:sz w:val="20"/>
              </w:rPr>
              <w:t>DOCUMENT / CONSULT — Record the analysis and obtain privacy, legal, vendor, or organizational guidance</w:t>
            </w:r>
            <w:r>
              <w:rPr>
                <w:rFonts w:ascii="Lato" w:hAnsi="Lato" w:eastAsia="Lato"/>
                <w:b/>
                <w:i w:val="0"/>
                <w:color w:val="0AA6A6"/>
                <w:sz w:val="24"/>
              </w:rPr>
              <w:br/>
              <w:t>↓</w:t>
              <w:br/>
            </w:r>
            <w:r>
              <w:rPr>
                <w:rFonts w:ascii="Lato" w:hAnsi="Lato" w:eastAsia="Lato"/>
                <w:b/>
                <w:i w:val="0"/>
                <w:color w:val="0B2447"/>
                <w:sz w:val="20"/>
              </w:rPr>
              <w:t>NOTIFY IF REQUIRED — Apply the governing federal and California notification rules</w:t>
            </w:r>
          </w:p>
        </w:tc>
      </w:tr>
    </w:tbl>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EF3F8"/>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Memory Phrase</w:t>
            </w:r>
          </w:p>
          <w:p>
            <w:pPr>
              <w:spacing w:before="0" w:after="0" w:line="259" w:lineRule="auto"/>
            </w:pPr>
            <w:r>
              <w:rPr>
                <w:rFonts w:ascii="Lato" w:hAnsi="Lato" w:eastAsia="Lato"/>
                <w:b w:val="0"/>
                <w:i w:val="0"/>
                <w:sz w:val="20"/>
              </w:rPr>
              <w:t>Incident = assess and respond. Breach = a legal conclusion based on the facts.</w:t>
            </w:r>
          </w:p>
        </w:tc>
      </w:tr>
    </w:tbl>
    <w:p>
      <w:pPr>
        <w:spacing w:after="0"/>
      </w:pPr>
    </w:p>
    <w:p>
      <w:r>
        <w:br w:type="page"/>
      </w:r>
    </w:p>
    <w:p>
      <w:pPr>
        <w:pStyle w:val="CTAHeading1"/>
        <w:keepNext/>
      </w:pPr>
      <w:r>
        <w:rPr>
          <w:rFonts w:ascii="Lato" w:hAnsi="Lato" w:eastAsia="Lato"/>
          <w:b/>
          <w:i w:val="0"/>
          <w:color w:val="0B2447"/>
          <w:sz w:val="32"/>
        </w:rPr>
        <w:t>What Is the Question Really Testing?</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Trigger Phrase</w:t>
            </w:r>
          </w:p>
        </w:tc>
        <w:tc>
          <w:tcPr>
            <w:tcW w:type="dxa" w:w="4980"/>
            <w:shd w:fill="0B2447"/>
          </w:tcPr>
          <w:p>
            <w:pPr>
              <w:jc w:val="center"/>
            </w:pPr>
            <w:r>
              <w:rPr>
                <w:rFonts w:ascii="Lato" w:hAnsi="Lato" w:eastAsia="Lato"/>
                <w:b/>
                <w:i w:val="0"/>
                <w:color w:val="FFFFFF"/>
                <w:sz w:val="18"/>
              </w:rPr>
              <w:t>Think Immediately</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“The client is traveling…”</w:t>
            </w:r>
          </w:p>
        </w:tc>
        <w:tc>
          <w:tcPr>
            <w:tcW w:type="dxa" w:w="4980"/>
            <w:vAlign w:val="top"/>
          </w:tcPr>
          <w:p>
            <w:pPr>
              <w:spacing w:before="0" w:after="0" w:line="259" w:lineRule="auto"/>
            </w:pPr>
            <w:r>
              <w:rPr>
                <w:rFonts w:ascii="Lato" w:hAnsi="Lato" w:eastAsia="Lato"/>
                <w:b w:val="0"/>
                <w:i w:val="0"/>
                <w:color w:val="111827"/>
                <w:sz w:val="17"/>
              </w:rPr>
              <w:t>Present location + jurisdiction + authority</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“Same place as usual…”</w:t>
            </w:r>
          </w:p>
        </w:tc>
        <w:tc>
          <w:tcPr>
            <w:tcW w:type="dxa" w:w="4980"/>
            <w:vAlign w:val="top"/>
          </w:tcPr>
          <w:p>
            <w:pPr>
              <w:spacing w:before="0" w:after="0" w:line="259" w:lineRule="auto"/>
            </w:pPr>
            <w:r>
              <w:rPr>
                <w:rFonts w:ascii="Lato" w:hAnsi="Lato" w:eastAsia="Lato"/>
                <w:b w:val="0"/>
                <w:i w:val="0"/>
                <w:color w:val="111827"/>
                <w:sz w:val="17"/>
              </w:rPr>
              <w:t>Full name and present address requirement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“Signed general consent…”</w:t>
            </w:r>
          </w:p>
        </w:tc>
        <w:tc>
          <w:tcPr>
            <w:tcW w:type="dxa" w:w="4980"/>
            <w:vAlign w:val="top"/>
          </w:tcPr>
          <w:p>
            <w:pPr>
              <w:spacing w:before="0" w:after="0" w:line="259" w:lineRule="auto"/>
            </w:pPr>
            <w:r>
              <w:rPr>
                <w:rFonts w:ascii="Lato" w:hAnsi="Lato" w:eastAsia="Lato"/>
                <w:b w:val="0"/>
                <w:i w:val="0"/>
                <w:color w:val="111827"/>
                <w:sz w:val="17"/>
              </w:rPr>
              <w:t>Initiation telehealth disclosures and meaningful consent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“Several months later…”</w:t>
            </w:r>
          </w:p>
        </w:tc>
        <w:tc>
          <w:tcPr>
            <w:tcW w:type="dxa" w:w="4980"/>
            <w:vAlign w:val="top"/>
          </w:tcPr>
          <w:p>
            <w:pPr>
              <w:spacing w:before="0" w:after="0" w:line="259" w:lineRule="auto"/>
            </w:pPr>
            <w:r>
              <w:rPr>
                <w:rFonts w:ascii="Lato" w:hAnsi="Lato" w:eastAsia="Lato"/>
                <w:b w:val="0"/>
                <w:i w:val="0"/>
                <w:color w:val="111827"/>
                <w:sz w:val="17"/>
              </w:rPr>
              <w:t>Ongoing appropriateness or material-change analysis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“The therapist is in another state…”</w:t>
            </w:r>
          </w:p>
        </w:tc>
        <w:tc>
          <w:tcPr>
            <w:tcW w:type="dxa" w:w="4980"/>
            <w:vAlign w:val="top"/>
          </w:tcPr>
          <w:p>
            <w:pPr>
              <w:spacing w:before="0" w:after="0" w:line="259" w:lineRule="auto"/>
            </w:pPr>
            <w:r>
              <w:rPr>
                <w:rFonts w:ascii="Lato" w:hAnsi="Lato" w:eastAsia="Lato"/>
                <w:b w:val="0"/>
                <w:i w:val="0"/>
                <w:color w:val="111827"/>
                <w:sz w:val="17"/>
              </w:rPr>
              <w:t>Client location first; then therapist-location law if relevant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“HIPAA-compliant platform…”</w:t>
            </w:r>
          </w:p>
        </w:tc>
        <w:tc>
          <w:tcPr>
            <w:tcW w:type="dxa" w:w="4980"/>
            <w:vAlign w:val="top"/>
          </w:tcPr>
          <w:p>
            <w:pPr>
              <w:spacing w:before="0" w:after="0" w:line="259" w:lineRule="auto"/>
            </w:pPr>
            <w:r>
              <w:rPr>
                <w:rFonts w:ascii="Lato" w:hAnsi="Lato" w:eastAsia="Lato"/>
                <w:b w:val="0"/>
                <w:i w:val="0"/>
                <w:color w:val="111827"/>
                <w:sz w:val="17"/>
              </w:rPr>
              <w:t>Contract, configuration, conduct, and California duties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“The client wants the session recorded…”</w:t>
            </w:r>
          </w:p>
        </w:tc>
        <w:tc>
          <w:tcPr>
            <w:tcW w:type="dxa" w:w="4980"/>
            <w:vAlign w:val="top"/>
          </w:tcPr>
          <w:p>
            <w:pPr>
              <w:spacing w:before="0" w:after="0" w:line="259" w:lineRule="auto"/>
            </w:pPr>
            <w:r>
              <w:rPr>
                <w:rFonts w:ascii="Lato" w:hAnsi="Lato" w:eastAsia="Lato"/>
                <w:b w:val="0"/>
                <w:i w:val="0"/>
                <w:color w:val="111827"/>
                <w:sz w:val="17"/>
              </w:rPr>
              <w:t>Separate recording consent and confidentiality analysis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“AI note-taker…”</w:t>
            </w:r>
          </w:p>
        </w:tc>
        <w:tc>
          <w:tcPr>
            <w:tcW w:type="dxa" w:w="4980"/>
            <w:vAlign w:val="top"/>
          </w:tcPr>
          <w:p>
            <w:pPr>
              <w:spacing w:before="0" w:after="0" w:line="259" w:lineRule="auto"/>
            </w:pPr>
            <w:r>
              <w:rPr>
                <w:rFonts w:ascii="Lato" w:hAnsi="Lato" w:eastAsia="Lato"/>
                <w:b w:val="0"/>
                <w:i w:val="0"/>
                <w:color w:val="111827"/>
                <w:sz w:val="17"/>
              </w:rPr>
              <w:t>Recording, vendor, data-use, accuracy, record, and consent issues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“Crisis message sent overnight…”</w:t>
            </w:r>
          </w:p>
        </w:tc>
        <w:tc>
          <w:tcPr>
            <w:tcW w:type="dxa" w:w="4980"/>
            <w:vAlign w:val="top"/>
          </w:tcPr>
          <w:p>
            <w:pPr>
              <w:spacing w:before="0" w:after="0" w:line="259" w:lineRule="auto"/>
            </w:pPr>
            <w:r>
              <w:rPr>
                <w:rFonts w:ascii="Lato" w:hAnsi="Lato" w:eastAsia="Lato"/>
                <w:b w:val="0"/>
                <w:i w:val="0"/>
                <w:color w:val="111827"/>
                <w:sz w:val="17"/>
              </w:rPr>
              <w:t>Response expectations + when reviewed + current risk + location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“Friend request…”</w:t>
            </w:r>
          </w:p>
        </w:tc>
        <w:tc>
          <w:tcPr>
            <w:tcW w:type="dxa" w:w="4980"/>
            <w:vAlign w:val="top"/>
          </w:tcPr>
          <w:p>
            <w:pPr>
              <w:spacing w:before="0" w:after="0" w:line="259" w:lineRule="auto"/>
            </w:pPr>
            <w:r>
              <w:rPr>
                <w:rFonts w:ascii="Lato" w:hAnsi="Lato" w:eastAsia="Lato"/>
                <w:b w:val="0"/>
                <w:i w:val="0"/>
                <w:color w:val="111827"/>
                <w:sz w:val="17"/>
              </w:rPr>
              <w:t>Boundary, confidentiality, policy, and treatment impact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“The information was public…”</w:t>
            </w:r>
          </w:p>
        </w:tc>
        <w:tc>
          <w:tcPr>
            <w:tcW w:type="dxa" w:w="4980"/>
            <w:vAlign w:val="top"/>
          </w:tcPr>
          <w:p>
            <w:pPr>
              <w:spacing w:before="0" w:after="0" w:line="259" w:lineRule="auto"/>
            </w:pPr>
            <w:r>
              <w:rPr>
                <w:rFonts w:ascii="Lato" w:hAnsi="Lato" w:eastAsia="Lato"/>
                <w:b w:val="0"/>
                <w:i w:val="0"/>
                <w:color w:val="111827"/>
                <w:sz w:val="17"/>
              </w:rPr>
              <w:t>Purpose, necessity, reliability, and treatment impact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“The reviewer already identified themselves…”</w:t>
            </w:r>
          </w:p>
        </w:tc>
        <w:tc>
          <w:tcPr>
            <w:tcW w:type="dxa" w:w="4980"/>
            <w:vAlign w:val="top"/>
          </w:tcPr>
          <w:p>
            <w:pPr>
              <w:spacing w:before="0" w:after="0" w:line="259" w:lineRule="auto"/>
            </w:pPr>
            <w:r>
              <w:rPr>
                <w:rFonts w:ascii="Lato" w:hAnsi="Lato" w:eastAsia="Lato"/>
                <w:b w:val="0"/>
                <w:i w:val="0"/>
                <w:color w:val="111827"/>
                <w:sz w:val="17"/>
              </w:rPr>
              <w:t>Do not confirm the relationship or disclose confidential information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“Professional Instagram bio…”</w:t>
            </w:r>
          </w:p>
        </w:tc>
        <w:tc>
          <w:tcPr>
            <w:tcW w:type="dxa" w:w="4980"/>
            <w:vAlign w:val="top"/>
          </w:tcPr>
          <w:p>
            <w:pPr>
              <w:spacing w:before="0" w:after="0" w:line="259" w:lineRule="auto"/>
            </w:pPr>
            <w:r>
              <w:rPr>
                <w:rFonts w:ascii="Lato" w:hAnsi="Lato" w:eastAsia="Lato"/>
                <w:b w:val="0"/>
                <w:i w:val="0"/>
                <w:color w:val="111827"/>
                <w:sz w:val="17"/>
              </w:rPr>
              <w:t>BBS advertising identification requirements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“Wrong recipient / lost device…”</w:t>
            </w:r>
          </w:p>
        </w:tc>
        <w:tc>
          <w:tcPr>
            <w:tcW w:type="dxa" w:w="4980"/>
            <w:vAlign w:val="top"/>
          </w:tcPr>
          <w:p>
            <w:pPr>
              <w:spacing w:before="0" w:after="0" w:line="259" w:lineRule="auto"/>
            </w:pPr>
            <w:r>
              <w:rPr>
                <w:rFonts w:ascii="Lato" w:hAnsi="Lato" w:eastAsia="Lato"/>
                <w:b w:val="0"/>
                <w:i w:val="0"/>
                <w:color w:val="111827"/>
                <w:sz w:val="17"/>
              </w:rPr>
              <w:t>Contain, preserve, assess, mitigate, document, notify if required</w:t>
            </w:r>
          </w:p>
        </w:tc>
      </w:tr>
    </w:tbl>
    <w:p>
      <w:pPr>
        <w:pStyle w:val="CTAHeading1"/>
        <w:keepNext/>
      </w:pPr>
      <w:r>
        <w:rPr>
          <w:rFonts w:ascii="Lato" w:hAnsi="Lato" w:eastAsia="Lato"/>
          <w:b/>
          <w:i w:val="0"/>
          <w:color w:val="0B2447"/>
          <w:sz w:val="32"/>
        </w:rPr>
        <w:t>Final Exam Checklist</w:t>
      </w:r>
    </w:p>
    <w:p>
      <w:pPr>
        <w:pStyle w:val="CTABullet"/>
      </w:pPr>
      <w:r>
        <w:rPr>
          <w:rFonts w:ascii="Lato" w:hAnsi="Lato" w:eastAsia="Lato"/>
          <w:b w:val="0"/>
          <w:i w:val="0"/>
        </w:rPr>
        <w:t>Where is the client physically located now?</w:t>
      </w:r>
    </w:p>
    <w:p>
      <w:pPr>
        <w:pStyle w:val="CTABullet"/>
      </w:pPr>
      <w:r>
        <w:rPr>
          <w:rFonts w:ascii="Lato" w:hAnsi="Lato" w:eastAsia="Lato"/>
          <w:b w:val="0"/>
          <w:i w:val="0"/>
        </w:rPr>
        <w:t>Is the therapist legally authorized to provide services in that jurisdiction?</w:t>
      </w:r>
    </w:p>
    <w:p>
      <w:pPr>
        <w:pStyle w:val="CTABullet"/>
      </w:pPr>
      <w:r>
        <w:rPr>
          <w:rFonts w:ascii="Lato" w:hAnsi="Lato" w:eastAsia="Lato"/>
          <w:b w:val="0"/>
          <w:i w:val="0"/>
        </w:rPr>
        <w:t>Is this an initiation requirement, an each-session requirement, or a clinical best practice?</w:t>
      </w:r>
    </w:p>
    <w:p>
      <w:pPr>
        <w:pStyle w:val="CTABullet"/>
      </w:pPr>
      <w:r>
        <w:rPr>
          <w:rFonts w:ascii="Lato" w:hAnsi="Lato" w:eastAsia="Lato"/>
          <w:b w:val="0"/>
          <w:i w:val="0"/>
        </w:rPr>
        <w:t>Were telehealth consent, risks and limitations, credential information, and local resources addressed at initiation?</w:t>
      </w:r>
    </w:p>
    <w:p>
      <w:pPr>
        <w:pStyle w:val="CTABullet"/>
      </w:pPr>
      <w:r>
        <w:rPr>
          <w:rFonts w:ascii="Lato" w:hAnsi="Lato" w:eastAsia="Lato"/>
          <w:b w:val="0"/>
          <w:i w:val="0"/>
        </w:rPr>
        <w:t>Were the client’s full name and present address verbally obtained and documented for this session?</w:t>
      </w:r>
    </w:p>
    <w:p>
      <w:pPr>
        <w:pStyle w:val="CTABullet"/>
      </w:pPr>
      <w:r>
        <w:rPr>
          <w:rFonts w:ascii="Lato" w:hAnsi="Lato" w:eastAsia="Lato"/>
          <w:b w:val="0"/>
          <w:i w:val="0"/>
        </w:rPr>
        <w:t>Was the client and this specific session assessed for telehealth appropriateness?</w:t>
      </w:r>
    </w:p>
    <w:p>
      <w:pPr>
        <w:pStyle w:val="CTABullet"/>
      </w:pPr>
      <w:r>
        <w:rPr>
          <w:rFonts w:ascii="Lato" w:hAnsi="Lato" w:eastAsia="Lato"/>
          <w:b w:val="0"/>
          <w:i w:val="0"/>
        </w:rPr>
        <w:t>What privacy, confidentiality, and security issues are distinct in the scenario?</w:t>
      </w:r>
    </w:p>
    <w:p>
      <w:pPr>
        <w:pStyle w:val="CTABullet"/>
      </w:pPr>
      <w:r>
        <w:rPr>
          <w:rFonts w:ascii="Lato" w:hAnsi="Lato" w:eastAsia="Lato"/>
          <w:b w:val="0"/>
          <w:i w:val="0"/>
        </w:rPr>
        <w:t>Is a vendor, BAA, platform setting, recording, transcription, or AI tool involved?</w:t>
      </w:r>
    </w:p>
    <w:p>
      <w:pPr>
        <w:pStyle w:val="CTABullet"/>
      </w:pPr>
      <w:r>
        <w:rPr>
          <w:rFonts w:ascii="Lato" w:hAnsi="Lato" w:eastAsia="Lato"/>
          <w:b w:val="0"/>
          <w:i w:val="0"/>
        </w:rPr>
        <w:t>Is the communication administrative, clinical, records-related, urgent, or emergency?</w:t>
      </w:r>
    </w:p>
    <w:p>
      <w:pPr>
        <w:pStyle w:val="CTABullet"/>
      </w:pPr>
      <w:r>
        <w:rPr>
          <w:rFonts w:ascii="Lato" w:hAnsi="Lato" w:eastAsia="Lato"/>
          <w:b w:val="0"/>
          <w:i w:val="0"/>
        </w:rPr>
        <w:t>Has the therapist actually reviewed a high-risk message?</w:t>
      </w:r>
    </w:p>
    <w:p>
      <w:pPr>
        <w:pStyle w:val="CTABullet"/>
      </w:pPr>
      <w:r>
        <w:rPr>
          <w:rFonts w:ascii="Lato" w:hAnsi="Lato" w:eastAsia="Lato"/>
          <w:b w:val="0"/>
          <w:i w:val="0"/>
        </w:rPr>
        <w:t>Does the electronic communication affect treatment or require documentation?</w:t>
      </w:r>
    </w:p>
    <w:p>
      <w:pPr>
        <w:pStyle w:val="CTABullet"/>
      </w:pPr>
      <w:r>
        <w:rPr>
          <w:rFonts w:ascii="Lato" w:hAnsi="Lato" w:eastAsia="Lato"/>
          <w:b w:val="0"/>
          <w:i w:val="0"/>
        </w:rPr>
        <w:t>Does a social-media action create a boundary, confidentiality, advertising, or status issue?</w:t>
      </w:r>
    </w:p>
    <w:p>
      <w:pPr>
        <w:pStyle w:val="CTABullet"/>
      </w:pPr>
      <w:r>
        <w:rPr>
          <w:rFonts w:ascii="Lato" w:hAnsi="Lato" w:eastAsia="Lato"/>
          <w:b w:val="0"/>
          <w:i w:val="0"/>
        </w:rPr>
        <w:t>Is the technology within the therapist’s competence and appropriate for the client?</w:t>
      </w:r>
    </w:p>
    <w:p>
      <w:pPr>
        <w:pStyle w:val="CTABullet"/>
      </w:pPr>
      <w:r>
        <w:rPr>
          <w:rFonts w:ascii="Lato" w:hAnsi="Lato" w:eastAsia="Lato"/>
          <w:b w:val="0"/>
          <w:i w:val="0"/>
        </w:rPr>
        <w:t>Has a security incident occurred, and what should be contained or preserved first?</w:t>
      </w:r>
    </w:p>
    <w:p>
      <w:pPr>
        <w:pStyle w:val="CTABullet"/>
      </w:pPr>
      <w:r>
        <w:rPr>
          <w:rFonts w:ascii="Lato" w:hAnsi="Lato" w:eastAsia="Lato"/>
          <w:b w:val="0"/>
          <w:i w:val="0"/>
        </w:rPr>
        <w:t>Is notification legally required, or is more assessment needed?</w:t>
      </w:r>
    </w:p>
    <w:p>
      <w:pPr>
        <w:pStyle w:val="CTABullet"/>
      </w:pPr>
      <w:r>
        <w:rPr>
          <w:rFonts w:ascii="Lato" w:hAnsi="Lato" w:eastAsia="Lato"/>
          <w:b w:val="0"/>
          <w:i w:val="0"/>
        </w:rPr>
        <w:t>Which answer is lawful, proportionate, and most protective without being unnecessarily extreme?</w:t>
      </w:r>
    </w:p>
    <w:p>
      <w:pPr>
        <w:pStyle w:val="CTAHeading1"/>
        <w:keepNext/>
      </w:pPr>
      <w:r>
        <w:rPr>
          <w:rFonts w:ascii="Lato" w:hAnsi="Lato" w:eastAsia="Lato"/>
          <w:b/>
          <w:i w:val="0"/>
          <w:color w:val="0B2447"/>
          <w:sz w:val="32"/>
        </w:rPr>
        <w:t>Final Master Review Chart</w:t>
      </w:r>
    </w:p>
    <w:tbl>
      <w:tblPr>
        <w:tblW w:type="dxa" w:w="9960"/>
        <w:tblInd w:type="dxa" w:w="120"/>
        <w:tblStyle w:val="TableGrid"/>
        <w:jc w:val="center"/>
        <w:tblLook w:firstColumn="1" w:firstRow="1" w:lastColumn="0" w:lastRow="0" w:noHBand="0" w:noVBand="1" w:val="04A0"/>
        <w:tblCellMar>
          <w:top w:w="80" w:type="dxa"/>
          <w:left w:w="80" w:type="dxa"/>
          <w:bottom w:w="80" w:type="dxa"/>
          <w:right w:w="80" w:type="dxa"/>
        </w:tblCellMar>
        <w:tblLayout w:type="fixed"/>
      </w:tblPr>
      <w:tblGrid>
        <w:gridCol w:w="4980"/>
        <w:gridCol w:w="4980"/>
      </w:tblGrid>
      <w:tr>
        <w:trPr>
          <w:cantSplit w:val="1"/>
          <w:tblHeader w:val="1"/>
        </w:trPr>
        <w:tc>
          <w:tcPr>
            <w:tcW w:type="dxa" w:w="4980"/>
            <w:shd w:fill="0B2447"/>
          </w:tcPr>
          <w:p>
            <w:pPr>
              <w:jc w:val="center"/>
            </w:pPr>
            <w:r>
              <w:rPr>
                <w:rFonts w:ascii="Lato" w:hAnsi="Lato" w:eastAsia="Lato"/>
                <w:b/>
                <w:i w:val="0"/>
                <w:color w:val="FFFFFF"/>
                <w:sz w:val="18"/>
              </w:rPr>
              <w:t>Topic</w:t>
            </w:r>
          </w:p>
        </w:tc>
        <w:tc>
          <w:tcPr>
            <w:tcW w:type="dxa" w:w="4980"/>
            <w:shd w:fill="0B2447"/>
          </w:tcPr>
          <w:p>
            <w:pPr>
              <w:jc w:val="center"/>
            </w:pPr>
            <w:r>
              <w:rPr>
                <w:rFonts w:ascii="Lato" w:hAnsi="Lato" w:eastAsia="Lato"/>
                <w:b/>
                <w:i w:val="0"/>
                <w:color w:val="FFFFFF"/>
                <w:sz w:val="18"/>
              </w:rPr>
              <w:t>Memory Aid</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Telehealth principle</w:t>
            </w:r>
          </w:p>
        </w:tc>
        <w:tc>
          <w:tcPr>
            <w:tcW w:type="dxa" w:w="4980"/>
            <w:vAlign w:val="top"/>
          </w:tcPr>
          <w:p>
            <w:pPr>
              <w:spacing w:before="0" w:after="0" w:line="259" w:lineRule="auto"/>
            </w:pPr>
            <w:r>
              <w:rPr>
                <w:rFonts w:ascii="Lato" w:hAnsi="Lato" w:eastAsia="Lato"/>
                <w:b w:val="0"/>
                <w:i w:val="0"/>
                <w:color w:val="111827"/>
                <w:sz w:val="17"/>
              </w:rPr>
              <w:t>Same professional standards + additional procedures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Master sequence</w:t>
            </w:r>
          </w:p>
        </w:tc>
        <w:tc>
          <w:tcPr>
            <w:tcW w:type="dxa" w:w="4980"/>
            <w:vAlign w:val="top"/>
          </w:tcPr>
          <w:p>
            <w:pPr>
              <w:spacing w:before="0" w:after="0" w:line="259" w:lineRule="auto"/>
            </w:pPr>
            <w:r>
              <w:rPr>
                <w:rFonts w:ascii="Lato" w:hAnsi="Lato" w:eastAsia="Lato"/>
                <w:b w:val="0"/>
                <w:i w:val="0"/>
                <w:color w:val="111827"/>
                <w:sz w:val="17"/>
              </w:rPr>
              <w:t>Locate → Authorize → Identify → Assess → Protect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Initiation</w:t>
            </w:r>
          </w:p>
        </w:tc>
        <w:tc>
          <w:tcPr>
            <w:tcW w:type="dxa" w:w="4980"/>
            <w:vAlign w:val="top"/>
          </w:tcPr>
          <w:p>
            <w:pPr>
              <w:spacing w:before="0" w:after="0" w:line="259" w:lineRule="auto"/>
            </w:pPr>
            <w:r>
              <w:rPr>
                <w:rFonts w:ascii="Lato" w:hAnsi="Lato" w:eastAsia="Lato"/>
                <w:b w:val="0"/>
                <w:i w:val="0"/>
                <w:color w:val="111827"/>
                <w:sz w:val="17"/>
              </w:rPr>
              <w:t>C-R-C-R: Consent, Risks, Credential, Resources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Each session</w:t>
            </w:r>
          </w:p>
        </w:tc>
        <w:tc>
          <w:tcPr>
            <w:tcW w:type="dxa" w:w="4980"/>
            <w:vAlign w:val="top"/>
          </w:tcPr>
          <w:p>
            <w:pPr>
              <w:spacing w:before="0" w:after="0" w:line="259" w:lineRule="auto"/>
            </w:pPr>
            <w:r>
              <w:rPr>
                <w:rFonts w:ascii="Lato" w:hAnsi="Lato" w:eastAsia="Lato"/>
                <w:b w:val="0"/>
                <w:i w:val="0"/>
                <w:color w:val="111827"/>
                <w:sz w:val="17"/>
              </w:rPr>
              <w:t>NAPS: Name, Address, Proper today, Safeguards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Interstate practice</w:t>
            </w:r>
          </w:p>
        </w:tc>
        <w:tc>
          <w:tcPr>
            <w:tcW w:type="dxa" w:w="4980"/>
            <w:vAlign w:val="top"/>
          </w:tcPr>
          <w:p>
            <w:pPr>
              <w:spacing w:before="0" w:after="0" w:line="259" w:lineRule="auto"/>
            </w:pPr>
            <w:r>
              <w:rPr>
                <w:rFonts w:ascii="Lato" w:hAnsi="Lato" w:eastAsia="Lato"/>
                <w:b w:val="0"/>
                <w:i w:val="0"/>
                <w:color w:val="111827"/>
                <w:sz w:val="17"/>
              </w:rPr>
              <w:t>Client’s present location controls the first analysis</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Temporary allowance</w:t>
            </w:r>
          </w:p>
        </w:tc>
        <w:tc>
          <w:tcPr>
            <w:tcW w:type="dxa" w:w="4980"/>
            <w:vAlign w:val="top"/>
          </w:tcPr>
          <w:p>
            <w:pPr>
              <w:spacing w:before="0" w:after="0" w:line="259" w:lineRule="auto"/>
            </w:pPr>
            <w:r>
              <w:rPr>
                <w:rFonts w:ascii="Lato" w:hAnsi="Lato" w:eastAsia="Lato"/>
                <w:b w:val="0"/>
                <w:i w:val="0"/>
                <w:color w:val="111827"/>
                <w:sz w:val="17"/>
              </w:rPr>
              <w:t>Existing client + advance approval + 30 consecutive days + once per year</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Emergency response</w:t>
            </w:r>
          </w:p>
        </w:tc>
        <w:tc>
          <w:tcPr>
            <w:tcW w:type="dxa" w:w="4980"/>
            <w:vAlign w:val="top"/>
          </w:tcPr>
          <w:p>
            <w:pPr>
              <w:spacing w:before="0" w:after="0" w:line="259" w:lineRule="auto"/>
            </w:pPr>
            <w:r>
              <w:rPr>
                <w:rFonts w:ascii="Lato" w:hAnsi="Lato" w:eastAsia="Lato"/>
                <w:b w:val="0"/>
                <w:i w:val="0"/>
                <w:color w:val="111827"/>
                <w:sz w:val="17"/>
              </w:rPr>
              <w:t>Local resources before; exact location during</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Privacy / confidentiality / security</w:t>
            </w:r>
          </w:p>
        </w:tc>
        <w:tc>
          <w:tcPr>
            <w:tcW w:type="dxa" w:w="4980"/>
            <w:vAlign w:val="top"/>
          </w:tcPr>
          <w:p>
            <w:pPr>
              <w:spacing w:before="0" w:after="0" w:line="259" w:lineRule="auto"/>
            </w:pPr>
            <w:r>
              <w:rPr>
                <w:rFonts w:ascii="Lato" w:hAnsi="Lato" w:eastAsia="Lato"/>
                <w:b w:val="0"/>
                <w:i w:val="0"/>
                <w:color w:val="111827"/>
                <w:sz w:val="17"/>
              </w:rPr>
              <w:t>Environment / disclosure / protection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Platform and vendor</w:t>
            </w:r>
          </w:p>
        </w:tc>
        <w:tc>
          <w:tcPr>
            <w:tcW w:type="dxa" w:w="4980"/>
            <w:vAlign w:val="top"/>
          </w:tcPr>
          <w:p>
            <w:pPr>
              <w:spacing w:before="0" w:after="0" w:line="259" w:lineRule="auto"/>
            </w:pPr>
            <w:r>
              <w:rPr>
                <w:rFonts w:ascii="Lato" w:hAnsi="Lato" w:eastAsia="Lato"/>
                <w:b w:val="0"/>
                <w:i w:val="0"/>
                <w:color w:val="111827"/>
                <w:sz w:val="17"/>
              </w:rPr>
              <w:t>Contract + configuration + conduct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Recording and AI</w:t>
            </w:r>
          </w:p>
        </w:tc>
        <w:tc>
          <w:tcPr>
            <w:tcW w:type="dxa" w:w="4980"/>
            <w:vAlign w:val="top"/>
          </w:tcPr>
          <w:p>
            <w:pPr>
              <w:spacing w:before="0" w:after="0" w:line="259" w:lineRule="auto"/>
            </w:pPr>
            <w:r>
              <w:rPr>
                <w:rFonts w:ascii="Lato" w:hAnsi="Lato" w:eastAsia="Lato"/>
                <w:b w:val="0"/>
                <w:i w:val="0"/>
                <w:color w:val="111827"/>
                <w:sz w:val="17"/>
              </w:rPr>
              <w:t>Telehealth consent is not recording or processing consent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Technology failure</w:t>
            </w:r>
          </w:p>
        </w:tc>
        <w:tc>
          <w:tcPr>
            <w:tcW w:type="dxa" w:w="4980"/>
            <w:vAlign w:val="top"/>
          </w:tcPr>
          <w:p>
            <w:pPr>
              <w:spacing w:before="0" w:after="0" w:line="259" w:lineRule="auto"/>
            </w:pPr>
            <w:r>
              <w:rPr>
                <w:rFonts w:ascii="Lato" w:hAnsi="Lato" w:eastAsia="Lato"/>
                <w:b w:val="0"/>
                <w:i w:val="0"/>
                <w:color w:val="111827"/>
                <w:sz w:val="17"/>
              </w:rPr>
              <w:t>B-A-C-K</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Electronic communication</w:t>
            </w:r>
          </w:p>
        </w:tc>
        <w:tc>
          <w:tcPr>
            <w:tcW w:type="dxa" w:w="4980"/>
            <w:vAlign w:val="top"/>
          </w:tcPr>
          <w:p>
            <w:pPr>
              <w:spacing w:before="0" w:after="0" w:line="259" w:lineRule="auto"/>
            </w:pPr>
            <w:r>
              <w:rPr>
                <w:rFonts w:ascii="Lato" w:hAnsi="Lato" w:eastAsia="Lato"/>
                <w:b w:val="0"/>
                <w:i w:val="0"/>
                <w:color w:val="111827"/>
                <w:sz w:val="17"/>
              </w:rPr>
              <w:t>Classify first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Sending information</w:t>
            </w:r>
          </w:p>
        </w:tc>
        <w:tc>
          <w:tcPr>
            <w:tcW w:type="dxa" w:w="4980"/>
            <w:vAlign w:val="top"/>
          </w:tcPr>
          <w:p>
            <w:pPr>
              <w:spacing w:before="0" w:after="0" w:line="259" w:lineRule="auto"/>
            </w:pPr>
            <w:r>
              <w:rPr>
                <w:rFonts w:ascii="Lato" w:hAnsi="Lato" w:eastAsia="Lato"/>
                <w:b w:val="0"/>
                <w:i w:val="0"/>
                <w:color w:val="111827"/>
                <w:sz w:val="17"/>
              </w:rPr>
              <w:t>Verify recipient, authorization, attachment, content, and method</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High-risk messages</w:t>
            </w:r>
          </w:p>
        </w:tc>
        <w:tc>
          <w:tcPr>
            <w:tcW w:type="dxa" w:w="4980"/>
            <w:vAlign w:val="top"/>
          </w:tcPr>
          <w:p>
            <w:pPr>
              <w:spacing w:before="0" w:after="0" w:line="259" w:lineRule="auto"/>
            </w:pPr>
            <w:r>
              <w:rPr>
                <w:rFonts w:ascii="Lato" w:hAnsi="Lato" w:eastAsia="Lato"/>
                <w:b w:val="0"/>
                <w:i w:val="0"/>
                <w:color w:val="111827"/>
                <w:sz w:val="17"/>
              </w:rPr>
              <w:t>Not always monitored; act when seen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Documentation</w:t>
            </w:r>
          </w:p>
        </w:tc>
        <w:tc>
          <w:tcPr>
            <w:tcW w:type="dxa" w:w="4980"/>
            <w:vAlign w:val="top"/>
          </w:tcPr>
          <w:p>
            <w:pPr>
              <w:spacing w:before="0" w:after="0" w:line="259" w:lineRule="auto"/>
            </w:pPr>
            <w:r>
              <w:rPr>
                <w:rFonts w:ascii="Lato" w:hAnsi="Lato" w:eastAsia="Lato"/>
                <w:b w:val="0"/>
                <w:i w:val="0"/>
                <w:color w:val="111827"/>
                <w:sz w:val="17"/>
              </w:rPr>
              <w:t>If it changes care, document it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Digital boundaries</w:t>
            </w:r>
          </w:p>
        </w:tc>
        <w:tc>
          <w:tcPr>
            <w:tcW w:type="dxa" w:w="4980"/>
            <w:vAlign w:val="top"/>
          </w:tcPr>
          <w:p>
            <w:pPr>
              <w:spacing w:before="0" w:after="0" w:line="259" w:lineRule="auto"/>
            </w:pPr>
            <w:r>
              <w:rPr>
                <w:rFonts w:ascii="Lato" w:hAnsi="Lato" w:eastAsia="Lato"/>
                <w:b w:val="0"/>
                <w:i w:val="0"/>
                <w:color w:val="111827"/>
                <w:sz w:val="17"/>
              </w:rPr>
              <w:t>Pause before you click</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Client searches</w:t>
            </w:r>
          </w:p>
        </w:tc>
        <w:tc>
          <w:tcPr>
            <w:tcW w:type="dxa" w:w="4980"/>
            <w:vAlign w:val="top"/>
          </w:tcPr>
          <w:p>
            <w:pPr>
              <w:spacing w:before="0" w:after="0" w:line="259" w:lineRule="auto"/>
            </w:pPr>
            <w:r>
              <w:rPr>
                <w:rFonts w:ascii="Lato" w:hAnsi="Lato" w:eastAsia="Lato"/>
                <w:b w:val="0"/>
                <w:i w:val="0"/>
                <w:color w:val="111827"/>
                <w:sz w:val="17"/>
              </w:rPr>
              <w:t>Purpose before curiosity</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Online reviews</w:t>
            </w:r>
          </w:p>
        </w:tc>
        <w:tc>
          <w:tcPr>
            <w:tcW w:type="dxa" w:w="4980"/>
            <w:vAlign w:val="top"/>
          </w:tcPr>
          <w:p>
            <w:pPr>
              <w:spacing w:before="0" w:after="0" w:line="259" w:lineRule="auto"/>
            </w:pPr>
            <w:r>
              <w:rPr>
                <w:rFonts w:ascii="Lato" w:hAnsi="Lato" w:eastAsia="Lato"/>
                <w:b w:val="0"/>
                <w:i w:val="0"/>
                <w:color w:val="111827"/>
                <w:sz w:val="17"/>
              </w:rPr>
              <w:t>Do not confirm the relationship</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Social-media advertising</w:t>
            </w:r>
          </w:p>
        </w:tc>
        <w:tc>
          <w:tcPr>
            <w:tcW w:type="dxa" w:w="4980"/>
            <w:vAlign w:val="top"/>
          </w:tcPr>
          <w:p>
            <w:pPr>
              <w:spacing w:before="0" w:after="0" w:line="259" w:lineRule="auto"/>
            </w:pPr>
            <w:r>
              <w:rPr>
                <w:rFonts w:ascii="Lato" w:hAnsi="Lato" w:eastAsia="Lato"/>
                <w:b w:val="0"/>
                <w:i w:val="0"/>
                <w:color w:val="111827"/>
                <w:sz w:val="17"/>
              </w:rPr>
              <w:t>Accurate identity and status information</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Technology competence</w:t>
            </w:r>
          </w:p>
        </w:tc>
        <w:tc>
          <w:tcPr>
            <w:tcW w:type="dxa" w:w="4980"/>
            <w:vAlign w:val="top"/>
          </w:tcPr>
          <w:p>
            <w:pPr>
              <w:spacing w:before="0" w:after="0" w:line="259" w:lineRule="auto"/>
            </w:pPr>
            <w:r>
              <w:rPr>
                <w:rFonts w:ascii="Lato" w:hAnsi="Lato" w:eastAsia="Lato"/>
                <w:b w:val="0"/>
                <w:i w:val="0"/>
                <w:color w:val="111827"/>
                <w:sz w:val="17"/>
              </w:rPr>
              <w:t>Knowledge + skill + risk awareness + judgment</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Risk management</w:t>
            </w:r>
          </w:p>
        </w:tc>
        <w:tc>
          <w:tcPr>
            <w:tcW w:type="dxa" w:w="4980"/>
            <w:vAlign w:val="top"/>
          </w:tcPr>
          <w:p>
            <w:pPr>
              <w:spacing w:before="0" w:after="0" w:line="259" w:lineRule="auto"/>
            </w:pPr>
            <w:r>
              <w:rPr>
                <w:rFonts w:ascii="Lato" w:hAnsi="Lato" w:eastAsia="Lato"/>
                <w:b w:val="0"/>
                <w:i w:val="0"/>
                <w:color w:val="111827"/>
                <w:sz w:val="17"/>
              </w:rPr>
              <w:t>Identify → Evaluate → Reduce → Monitor → Respond</w:t>
            </w:r>
          </w:p>
        </w:tc>
      </w:tr>
      <w:tr>
        <w:trPr>
          <w:cantSplit w:val="1"/>
        </w:trPr>
        <w:tc>
          <w:tcPr>
            <w:tcW w:type="dxa" w:w="4980"/>
            <w:shd w:fill="EEF3F8"/>
            <w:vAlign w:val="top"/>
          </w:tcPr>
          <w:p>
            <w:pPr>
              <w:spacing w:before="0" w:after="0" w:line="259" w:lineRule="auto"/>
            </w:pPr>
            <w:r>
              <w:rPr>
                <w:rFonts w:ascii="Lato" w:hAnsi="Lato" w:eastAsia="Lato"/>
                <w:b/>
                <w:i w:val="0"/>
                <w:color w:val="0B2447"/>
                <w:sz w:val="17"/>
              </w:rPr>
              <w:t>Incident response</w:t>
            </w:r>
          </w:p>
        </w:tc>
        <w:tc>
          <w:tcPr>
            <w:tcW w:type="dxa" w:w="4980"/>
            <w:vAlign w:val="top"/>
          </w:tcPr>
          <w:p>
            <w:pPr>
              <w:spacing w:before="0" w:after="0" w:line="259" w:lineRule="auto"/>
            </w:pPr>
            <w:r>
              <w:rPr>
                <w:rFonts w:ascii="Lato" w:hAnsi="Lato" w:eastAsia="Lato"/>
                <w:b w:val="0"/>
                <w:i w:val="0"/>
                <w:color w:val="111827"/>
                <w:sz w:val="17"/>
              </w:rPr>
              <w:t>Contain → Preserve → Assess → Mitigate → Document → Notify if required</w:t>
            </w:r>
          </w:p>
        </w:tc>
      </w:tr>
    </w:tbl>
    <w:p>
      <w:pPr>
        <w:pStyle w:val="CTAHeading1"/>
        <w:keepNext/>
      </w:pPr>
      <w:r>
        <w:rPr>
          <w:rFonts w:ascii="Lato" w:hAnsi="Lato" w:eastAsia="Lato"/>
          <w:b/>
          <w:i w:val="0"/>
          <w:color w:val="0B2447"/>
          <w:sz w:val="32"/>
        </w:rPr>
        <w:t>Chapter Summary</w:t>
      </w:r>
    </w:p>
    <w:p>
      <w:pPr>
        <w:pStyle w:val="CTABullet"/>
      </w:pPr>
      <w:r>
        <w:rPr>
          <w:rFonts w:ascii="Lato" w:hAnsi="Lato" w:eastAsia="Lato"/>
          <w:b w:val="0"/>
          <w:i w:val="0"/>
        </w:rPr>
        <w:t>Telehealth is a delivery method, not an expanded scope of practice.</w:t>
      </w:r>
    </w:p>
    <w:p>
      <w:pPr>
        <w:pStyle w:val="CTABullet"/>
      </w:pPr>
      <w:r>
        <w:rPr>
          <w:rFonts w:ascii="Lato" w:hAnsi="Lato" w:eastAsia="Lato"/>
          <w:b w:val="0"/>
          <w:i w:val="0"/>
        </w:rPr>
        <w:t>The client’s present physical location controls the first jurisdiction analysis.</w:t>
      </w:r>
    </w:p>
    <w:p>
      <w:pPr>
        <w:pStyle w:val="CTABullet"/>
      </w:pPr>
      <w:r>
        <w:rPr>
          <w:rFonts w:ascii="Lato" w:hAnsi="Lato" w:eastAsia="Lato"/>
          <w:b w:val="0"/>
          <w:i w:val="0"/>
        </w:rPr>
        <w:t>California has distinct initiation requirements and each-session requirements.</w:t>
      </w:r>
    </w:p>
    <w:p>
      <w:pPr>
        <w:pStyle w:val="CTABullet"/>
      </w:pPr>
      <w:r>
        <w:rPr>
          <w:rFonts w:ascii="Lato" w:hAnsi="Lato" w:eastAsia="Lato"/>
          <w:b w:val="0"/>
          <w:i w:val="0"/>
        </w:rPr>
        <w:t>Full name, present address, appropriateness, and safeguards must be addressed each telehealth session.</w:t>
      </w:r>
    </w:p>
    <w:p>
      <w:pPr>
        <w:pStyle w:val="CTABullet"/>
      </w:pPr>
      <w:r>
        <w:rPr>
          <w:rFonts w:ascii="Lato" w:hAnsi="Lato" w:eastAsia="Lato"/>
          <w:b w:val="0"/>
          <w:i w:val="0"/>
        </w:rPr>
        <w:t>Telehealth consent does not automatically authorize recording, transcription, AI processing, or secondary data use.</w:t>
      </w:r>
    </w:p>
    <w:p>
      <w:pPr>
        <w:pStyle w:val="CTABullet"/>
      </w:pPr>
      <w:r>
        <w:rPr>
          <w:rFonts w:ascii="Lato" w:hAnsi="Lato" w:eastAsia="Lato"/>
          <w:b w:val="0"/>
          <w:i w:val="0"/>
        </w:rPr>
        <w:t>Privacy, confidentiality, and security are related but different.</w:t>
      </w:r>
    </w:p>
    <w:p>
      <w:pPr>
        <w:pStyle w:val="CTABullet"/>
      </w:pPr>
      <w:r>
        <w:rPr>
          <w:rFonts w:ascii="Lato" w:hAnsi="Lato" w:eastAsia="Lato"/>
          <w:b w:val="0"/>
          <w:i w:val="0"/>
        </w:rPr>
        <w:t>Electronic communications should be classified before deciding what rule applies.</w:t>
      </w:r>
    </w:p>
    <w:p>
      <w:pPr>
        <w:pStyle w:val="CTABullet"/>
      </w:pPr>
      <w:r>
        <w:rPr>
          <w:rFonts w:ascii="Lato" w:hAnsi="Lato" w:eastAsia="Lato"/>
          <w:b w:val="0"/>
          <w:i w:val="0"/>
        </w:rPr>
        <w:t>Social media may create boundary, confidentiality, advertising, and professional-status concerns.</w:t>
      </w:r>
    </w:p>
    <w:p>
      <w:pPr>
        <w:pStyle w:val="CTABullet"/>
      </w:pPr>
      <w:r>
        <w:rPr>
          <w:rFonts w:ascii="Lato" w:hAnsi="Lato" w:eastAsia="Lato"/>
          <w:b w:val="0"/>
          <w:i w:val="0"/>
        </w:rPr>
        <w:t>Technology competence and tested continuity planning are professional responsibilities.</w:t>
      </w:r>
    </w:p>
    <w:p>
      <w:pPr>
        <w:pStyle w:val="CTABullet"/>
      </w:pPr>
      <w:r>
        <w:rPr>
          <w:rFonts w:ascii="Lato" w:hAnsi="Lato" w:eastAsia="Lato"/>
          <w:b w:val="0"/>
          <w:i w:val="0"/>
        </w:rPr>
        <w:t>Incidents require prompt action, but breach notification is a fact-specific legal determination.</w:t>
      </w:r>
    </w:p>
    <w:p>
      <w:pPr>
        <w:pStyle w:val="CTABullet"/>
      </w:pPr>
      <w:r>
        <w:rPr>
          <w:rFonts w:ascii="Lato" w:hAnsi="Lato" w:eastAsia="Lato"/>
          <w:b w:val="0"/>
          <w:i w:val="0"/>
        </w:rPr>
        <w:t>The strongest exam answer is usually lawful, proportionate, clinically protective, and less extreme than the distractors.</w:t>
      </w:r>
    </w:p>
    <w:tbl>
      <w:tblPr>
        <w:tblW w:type="dxa" w:w="9960"/>
        <w:tblInd w:type="dxa" w:w="120"/>
        <w:jc w:val="center"/>
        <w:tblLook w:firstColumn="1" w:firstRow="1" w:lastColumn="0" w:lastRow="0" w:noHBand="0" w:noVBand="1" w:val="04A0"/>
        <w:tblCellMar>
          <w:top w:w="80" w:type="dxa"/>
          <w:left w:w="80" w:type="dxa"/>
          <w:bottom w:w="80" w:type="dxa"/>
          <w:right w:w="80" w:type="dxa"/>
        </w:tblCellMar>
        <w:tblLayout w:type="fixed"/>
      </w:tblPr>
      <w:tblGrid>
        <w:gridCol w:w="9960"/>
      </w:tblGrid>
      <w:tr>
        <w:trPr>
          <w:cantSplit w:val="1"/>
          <w:tblHeader w:val="1"/>
        </w:trPr>
        <w:tc>
          <w:tcPr>
            <w:tcW w:type="dxa" w:w="9960"/>
            <w:shd w:fill="E7F6F6"/>
            <w:tcBorders>
              <w:top w:val="single" w:sz="8" w:color="0AA6A6"/>
              <w:left w:val="single" w:sz="8" w:color="0AA6A6"/>
              <w:bottom w:val="single" w:sz="8" w:color="0AA6A6"/>
              <w:right w:val="single" w:sz="8" w:color="0AA6A6"/>
            </w:tcBorders>
          </w:tcPr>
          <w:p>
            <w:pPr>
              <w:spacing w:before="0" w:after="60" w:line="259" w:lineRule="auto"/>
            </w:pPr>
            <w:r>
              <w:rPr>
                <w:rFonts w:ascii="Lato" w:hAnsi="Lato" w:eastAsia="Lato"/>
                <w:b/>
                <w:i w:val="0"/>
                <w:color w:val="0B2447"/>
                <w:sz w:val="22"/>
              </w:rPr>
              <w:t>Final Takeaway</w:t>
            </w:r>
          </w:p>
          <w:p>
            <w:pPr>
              <w:spacing w:before="0" w:after="0" w:line="259" w:lineRule="auto"/>
            </w:pPr>
            <w:r>
              <w:rPr>
                <w:rFonts w:ascii="Lato" w:hAnsi="Lato" w:eastAsia="Lato"/>
                <w:b w:val="0"/>
                <w:i w:val="0"/>
                <w:sz w:val="20"/>
              </w:rPr>
              <w:t>When a technology question feels complicated, return to five words: Locate. Authorize. Identify. Assess. Protect.</w:t>
            </w:r>
          </w:p>
        </w:tc>
      </w:tr>
    </w:tbl>
    <w:p>
      <w:r>
        <w:br w:type="page"/>
      </w:r>
    </w:p>
    <w:p>
      <w:pPr>
        <w:pStyle w:val="CTAHeading1"/>
      </w:pPr>
      <w:r>
        <w:rPr>
          <w:rFonts w:ascii="Lato" w:hAnsi="Lato" w:eastAsia="Lato"/>
          <w:b/>
          <w:i w:val="0"/>
          <w:color w:val="0B2447"/>
          <w:sz w:val="32"/>
        </w:rPr>
        <w:t>Authorities and References</w:t>
      </w:r>
    </w:p>
    <w:p>
      <w:pPr>
        <w:pStyle w:val="CTABody"/>
      </w:pPr>
      <w:r>
        <w:rPr>
          <w:rFonts w:ascii="Lato" w:hAnsi="Lato" w:eastAsia="Lato"/>
          <w:b w:val="0"/>
          <w:i w:val="0"/>
        </w:rPr>
        <w:t>The following authorities support the revised workbook and question bank. Citations are consolidated here to avoid repeating a full reference list after every chapter.</w:t>
      </w:r>
    </w:p>
    <w:p>
      <w:pPr>
        <w:pStyle w:val="CTAHeading2"/>
      </w:pPr>
      <w:r>
        <w:rPr>
          <w:rFonts w:ascii="Lato" w:hAnsi="Lato" w:eastAsia="Lato"/>
          <w:b/>
          <w:i w:val="0"/>
          <w:color w:val="0B2447"/>
          <w:sz w:val="26"/>
        </w:rPr>
        <w:t>California Statutes and Regulations</w:t>
      </w:r>
    </w:p>
    <w:p>
      <w:pPr>
        <w:pStyle w:val="CTABullet"/>
      </w:pPr>
      <w:r>
        <w:rPr>
          <w:rFonts w:ascii="Lato" w:hAnsi="Lato" w:eastAsia="Lato"/>
          <w:b w:val="0"/>
          <w:i w:val="0"/>
        </w:rPr>
        <w:t>California Business and Professions Code section 2290.5 (telehealth definition, informed consent, scope, confidentiality, professional standards, and in-person services; amended effective January 1, 2026).</w:t>
      </w:r>
    </w:p>
    <w:p>
      <w:pPr>
        <w:pStyle w:val="CTABullet"/>
      </w:pPr>
      <w:r>
        <w:rPr>
          <w:rFonts w:ascii="Lato" w:hAnsi="Lato" w:eastAsia="Lato"/>
          <w:b w:val="0"/>
          <w:i w:val="0"/>
        </w:rPr>
        <w:t>California Code of Regulations, title 16, section 1815.5 (Standards of Practice for Telehealth; current 2026 requirements).</w:t>
      </w:r>
    </w:p>
    <w:p>
      <w:pPr>
        <w:pStyle w:val="CTABullet"/>
      </w:pPr>
      <w:r>
        <w:rPr>
          <w:rFonts w:ascii="Lato" w:hAnsi="Lato" w:eastAsia="Lato"/>
          <w:b w:val="0"/>
          <w:i w:val="0"/>
        </w:rPr>
        <w:t>California Code of Regulations, title 16, section 1811 (BBS advertising requirements effective April 1, 2026).</w:t>
      </w:r>
    </w:p>
    <w:p>
      <w:pPr>
        <w:pStyle w:val="CTABullet"/>
      </w:pPr>
      <w:r>
        <w:rPr>
          <w:rFonts w:ascii="Lato" w:hAnsi="Lato" w:eastAsia="Lato"/>
          <w:b w:val="0"/>
          <w:i w:val="0"/>
        </w:rPr>
        <w:t>California Business and Professions Code section 651 (false, misleading, or deceptive healing-arts advertising).</w:t>
      </w:r>
    </w:p>
    <w:p>
      <w:pPr>
        <w:pStyle w:val="CTABullet"/>
      </w:pPr>
      <w:r>
        <w:rPr>
          <w:rFonts w:ascii="Lato" w:hAnsi="Lato" w:eastAsia="Lato"/>
          <w:b w:val="0"/>
          <w:i w:val="0"/>
        </w:rPr>
        <w:t>California Business and Professions Code section 4992.2 (Clinical Social Worker Practice Act advertising definition).</w:t>
      </w:r>
    </w:p>
    <w:p>
      <w:pPr>
        <w:pStyle w:val="CTABullet"/>
      </w:pPr>
      <w:r>
        <w:rPr>
          <w:rFonts w:ascii="Lato" w:hAnsi="Lato" w:eastAsia="Lato"/>
          <w:b w:val="0"/>
          <w:i w:val="0"/>
        </w:rPr>
        <w:t>California Business and Professions Code section 4992.3 (clinical social work advertising, confidentiality, telehealth, scope, records, and status or qualification misrepresentation as unprofessional conduct).</w:t>
      </w:r>
    </w:p>
    <w:p>
      <w:pPr>
        <w:pStyle w:val="CTABullet"/>
      </w:pPr>
      <w:r>
        <w:rPr>
          <w:rFonts w:ascii="Lato" w:hAnsi="Lato" w:eastAsia="Lato"/>
          <w:b w:val="0"/>
          <w:i w:val="0"/>
        </w:rPr>
        <w:t>California Business and Professions Code section 4993 (LCSW client-record retention and written-or-electronic record requirements).</w:t>
      </w:r>
    </w:p>
    <w:p>
      <w:pPr>
        <w:pStyle w:val="CTABullet"/>
      </w:pPr>
      <w:r>
        <w:rPr>
          <w:rFonts w:ascii="Lato" w:hAnsi="Lato" w:eastAsia="Lato"/>
          <w:b w:val="0"/>
          <w:i w:val="0"/>
        </w:rPr>
        <w:t>California Civil Code sections 56 et seq., including sections 56.10 and 56.101 (Confidentiality of Medical Information Act).</w:t>
      </w:r>
    </w:p>
    <w:p>
      <w:pPr>
        <w:pStyle w:val="CTABullet"/>
      </w:pPr>
      <w:r>
        <w:rPr>
          <w:rFonts w:ascii="Lato" w:hAnsi="Lato" w:eastAsia="Lato"/>
          <w:b w:val="0"/>
          <w:i w:val="0"/>
        </w:rPr>
        <w:t>California Civil Code sections 1798.81.5 and 1798.82 (reasonable security and data-breach notification).</w:t>
      </w:r>
    </w:p>
    <w:p>
      <w:pPr>
        <w:pStyle w:val="CTABullet"/>
      </w:pPr>
      <w:r>
        <w:rPr>
          <w:rFonts w:ascii="Lato" w:hAnsi="Lato" w:eastAsia="Lato"/>
          <w:b w:val="0"/>
          <w:i w:val="0"/>
        </w:rPr>
        <w:t>California Penal Code section 632 (recording confidential communications).</w:t>
      </w:r>
    </w:p>
    <w:p>
      <w:r>
        <w:br w:type="page"/>
      </w:r>
    </w:p>
    <w:p>
      <w:pPr>
        <w:pStyle w:val="CTAHeading2"/>
      </w:pPr>
      <w:r>
        <w:rPr>
          <w:rFonts w:ascii="Lato" w:hAnsi="Lato" w:eastAsia="Lato"/>
          <w:b/>
          <w:i w:val="0"/>
          <w:color w:val="0B2447"/>
          <w:sz w:val="26"/>
        </w:rPr>
        <w:t>BBS and Federal Guidance</w:t>
      </w:r>
    </w:p>
    <w:p>
      <w:pPr>
        <w:pStyle w:val="CTABullet"/>
      </w:pPr>
      <w:r>
        <w:rPr>
          <w:rFonts w:ascii="Lato" w:hAnsi="Lato" w:eastAsia="Lato"/>
          <w:b w:val="0"/>
          <w:i w:val="0"/>
        </w:rPr>
        <w:t>California Board of Behavioral Sciences, Are You Going to Provide Telehealth Services in California? Telehealth Information and FAQs for Licensees and Registrants (2026).</w:t>
      </w:r>
    </w:p>
    <w:p>
      <w:pPr>
        <w:pStyle w:val="CTABullet"/>
      </w:pPr>
      <w:r>
        <w:rPr>
          <w:rFonts w:ascii="Lato" w:hAnsi="Lato" w:eastAsia="Lato"/>
          <w:b w:val="0"/>
          <w:i w:val="0"/>
        </w:rPr>
        <w:t>California Board of Behavioral Sciences, Temporary Practice Allowance for Out-of-State Licensees FAQ.</w:t>
      </w:r>
    </w:p>
    <w:p>
      <w:pPr>
        <w:pStyle w:val="CTABullet"/>
      </w:pPr>
      <w:r>
        <w:rPr>
          <w:rFonts w:ascii="Lato" w:hAnsi="Lato" w:eastAsia="Lato"/>
          <w:b w:val="0"/>
          <w:i w:val="0"/>
        </w:rPr>
        <w:t>California Board of Behavioral Sciences, Advertising Requirements Fact Sheet and FAQs and Advertising Examples for Licensees (revised March 2026; effective April 1, 2026).</w:t>
      </w:r>
    </w:p>
    <w:p>
      <w:pPr>
        <w:pStyle w:val="CTABullet"/>
      </w:pPr>
      <w:r>
        <w:rPr>
          <w:rFonts w:ascii="Lato" w:hAnsi="Lato" w:eastAsia="Lato"/>
          <w:b w:val="0"/>
          <w:i w:val="0"/>
        </w:rPr>
        <w:t>California Board of Behavioral Sciences, Statutes and Regulations Relating to the Practices of Professional Clinical Counseling, Marriage and Family Therapy, Educational Psychology, and Clinical Social Work (January 1, 2026 edition and subsequent BBS updates).</w:t>
      </w:r>
    </w:p>
    <w:p>
      <w:pPr>
        <w:pStyle w:val="CTABullet"/>
      </w:pPr>
      <w:r>
        <w:rPr>
          <w:rFonts w:ascii="Lato" w:hAnsi="Lato" w:eastAsia="Lato"/>
          <w:b w:val="0"/>
          <w:i w:val="0"/>
        </w:rPr>
        <w:t>California Board of Behavioral Sciences, Summer 2025 Newsletter (educational discussion of client information in public online professional groups).</w:t>
      </w:r>
    </w:p>
    <w:p>
      <w:pPr>
        <w:pStyle w:val="CTABullet"/>
      </w:pPr>
      <w:r>
        <w:rPr>
          <w:rFonts w:ascii="Lato" w:hAnsi="Lato" w:eastAsia="Lato"/>
          <w:b w:val="0"/>
          <w:i w:val="0"/>
        </w:rPr>
        <w:t>U.S. Department of Health and Human Services, Office for Civil Rights, Summary of the HIPAA Security Rule and Guidance on Risk Analysis.</w:t>
      </w:r>
    </w:p>
    <w:p>
      <w:pPr>
        <w:pStyle w:val="CTABullet"/>
      </w:pPr>
      <w:r>
        <w:rPr>
          <w:rFonts w:ascii="Lato" w:hAnsi="Lato" w:eastAsia="Lato"/>
          <w:b w:val="0"/>
          <w:i w:val="0"/>
        </w:rPr>
        <w:t>U.S. Department of Health and Human Services, Office for Civil Rights, guidance on email and Internet transmission of electronic protected health information.</w:t>
      </w:r>
    </w:p>
    <w:p>
      <w:pPr>
        <w:pStyle w:val="CTABullet"/>
      </w:pPr>
      <w:r>
        <w:rPr>
          <w:rFonts w:ascii="Lato" w:hAnsi="Lato" w:eastAsia="Lato"/>
          <w:b w:val="0"/>
          <w:i w:val="0"/>
        </w:rPr>
        <w:t>U.S. Department of Health and Human Services, Office for Civil Rights, guidance on HIPAA and cloud computing, business associates, telehealth technology, and audio-only telehealth.</w:t>
      </w:r>
    </w:p>
    <w:p>
      <w:pPr>
        <w:pStyle w:val="CTABullet"/>
      </w:pPr>
      <w:r>
        <w:rPr>
          <w:rFonts w:ascii="Lato" w:hAnsi="Lato" w:eastAsia="Lato"/>
          <w:b w:val="0"/>
          <w:i w:val="0"/>
        </w:rPr>
        <w:t>U.S. Department of Health and Human Services, Office for Civil Rights, Breach Notification Rule and enforcement materials concerning public responses to online reviews.</w:t>
      </w:r>
    </w:p>
    <w:p>
      <w:pPr>
        <w:pStyle w:val="CTABullet"/>
      </w:pPr>
      <w:r>
        <w:rPr>
          <w:rFonts w:ascii="Lato" w:hAnsi="Lato" w:eastAsia="Lato"/>
          <w:b w:val="0"/>
          <w:i w:val="0"/>
        </w:rPr>
        <w:t>U.S. Department of Health and Human Services, HIPAA Security Rule Notice of Proposed Rulemaking (identified as proposed, not final law, as of the accuracy date).</w:t>
      </w:r>
    </w:p>
    <w:p>
      <w:pPr>
        <w:pStyle w:val="CTASmall"/>
      </w:pPr>
      <w:r>
        <w:t>National Association of Social Workers, Code of Ethics of the National Association of Social Workers (current 2021 update).</w:t>
      </w:r>
    </w:p>
    <w:p>
      <w:pPr>
        <w:pStyle w:val="CTASmall"/>
      </w:pPr>
      <w:r>
        <w:t>National Association of Social Workers, Association of Social Work Boards, Council on Social Work Education, and Clinical Social Work Association, Standards for Technology in Social Work Practice (2017).</w:t>
      </w:r>
    </w:p>
    <w:p>
      <w:pPr>
        <w:pStyle w:val="CTASmall"/>
      </w:pPr>
      <w:r>
        <w:rPr>
          <w:rFonts w:ascii="Lato" w:hAnsi="Lato" w:eastAsia="Lato"/>
          <w:b w:val="0"/>
          <w:i/>
          <w:color w:val="384250"/>
          <w:sz w:val="19"/>
        </w:rPr>
        <w:t>Accuracy date: August 6, 2026. Laws, regulations, and agency guidance can change. CTA should re-audit this workbook before publication and whenever the BBS, California Legislature, or federal privacy authorities issue relevant updates.</w:t>
      </w:r>
    </w:p>
    <w:sectPr w:rsidR="00FC693F" w:rsidRPr="0006063C" w:rsidSect="00034616">
      <w:headerReference w:type="default" r:id="rId9"/>
      <w:footerReference w:type="default" r:id="rId10"/>
      <w:headerReference w:type="first" r:id="rId12"/>
      <w:footerReference w:type="first" r:id="rId13"/>
      <w:headerReference w:type="even" r:id="rId14"/>
      <w:footerReference w:type="even" r:id="rId15"/>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Lato" w:hAnsi="Lato"/>
        <w:color w:val="384250"/>
        <w:sz w:val="16"/>
      </w:rPr>
      <w:t xml:space="preserve">CTA-EP-002 | WB2 LCSW Candidate Edition | Page </w:t>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t xml:space="preserve">   WB2 LCSW Candidate Edition | Telehealth Law &amp; Ethics</w:t>
    </w:r>
    <w:r>
      <w:rPr>
        <w:rFonts w:ascii="Lato" w:hAnsi="Lato" w:eastAsia="Lato"/>
        <w:b/>
        <w:i w:val="0"/>
        <w:color w:val="0B2447"/>
        <w:sz w:val="17"/>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WB2 Telehealth Law and Ethics Candidate Edition</dc:title>
  <dc:subject>LCSW/ASW Candidate Edition for California telehealth law, ethics, privacy, security, social media, and technology risk management</dc:subject>
  <dc:creator>Clinical Training and Supervision Academy</dc:creator>
  <cp:keywords>CTA-EP-002, LCSW, ASW, telehealth, privacy, security, social media, technology, California law and ethics</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