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p>
    <w:p>
      <w:pPr>
        <w:pStyle w:val="CTAEyebrow"/>
        <w:spacing w:before="500"/>
        <w:jc w:val="center"/>
      </w:pPr>
      <w:r>
        <w:t>CTA-EP-002  •  LCSW CALIFORNIA LAW &amp; ETHICS</w:t>
      </w:r>
    </w:p>
    <w:p>
      <w:pPr>
        <w:pStyle w:val="Title"/>
        <w:jc w:val="center"/>
      </w:pPr>
      <w:r>
        <w:t>LCSW Law &amp; Ethics Study Guide</w:t>
      </w:r>
    </w:p>
    <w:p>
      <w:pPr>
        <w:pStyle w:val="Subtitle"/>
        <w:jc w:val="center"/>
      </w:pPr>
      <w:r>
        <w:t>Workbook 3: Professional Competence | LCSW Candidate Edition</w:t>
      </w:r>
    </w:p>
    <w:tbl>
      <w:tblPr>
        <w:tblW w:type="dxa" w:w="8064"/>
        <w:jc w:val="center"/>
        <w:tblLook w:firstColumn="1" w:firstRow="1" w:lastColumn="0" w:lastRow="0" w:noHBand="0" w:noVBand="1" w:val="04A0"/>
        <w:tblBorders>
          <w:top w:val="single" w:sz="0" w:space="0" w:color="149B9E"/>
          <w:left w:val="single" w:sz="0" w:space="0" w:color="149B9E"/>
          <w:bottom w:val="single" w:sz="0" w:space="0" w:color="149B9E"/>
          <w:right w:val="single" w:sz="0" w:space="0" w:color="149B9E"/>
          <w:insideH w:val="single" w:sz="0" w:space="0" w:color="149B9E"/>
          <w:insideV w:val="single" w:sz="0" w:space="0" w:color="149B9E"/>
        </w:tblBorders>
        <w:tblLayout w:type="fixed"/>
      </w:tblPr>
      <w:tblGrid>
        <w:gridCol w:w="8064"/>
      </w:tblGrid>
      <w:tr>
        <w:tc>
          <w:tcPr>
            <w:tcW w:type="dxa" w:w="8064"/>
            <w:shd w:fill="149B9E"/>
          </w:tcPr>
          <w:p>
            <w:r/>
          </w:p>
        </w:tc>
        <w:trPr>
          <w:tblHeader/>
          <w:cantSplit w:val="1"/>
        </w:trPr>
      </w:tr>
    </w:tbl>
    <w:p>
      <w:pPr>
        <w:pStyle w:val="CTABody"/>
        <w:spacing w:before="360"/>
        <w:jc w:val="center"/>
      </w:pPr>
      <w:r>
        <w:t>Complete LCSW Candidate Workbook  •  Chapters 1–9</w:t>
      </w:r>
    </w:p>
    <w:p>
      <w:pPr>
        <w:pStyle w:val="CTALabel"/>
        <w:jc w:val="center"/>
      </w:pPr>
      <w:r>
        <w:t>Source Review: August 7, 2026</w:t>
      </w:r>
    </w:p>
    <w:p>
      <w:pPr>
        <w:pStyle w:val="CTASmall"/>
        <w:spacing w:before="80"/>
        <w:jc w:val="center"/>
      </w:pPr>
      <w:r>
        <w:t>LCSW  •  ASW</w:t>
      </w:r>
    </w:p>
    <w:p>
      <w:pPr>
        <w:pStyle w:val="CTADisclaimer"/>
        <w:spacing w:before="900"/>
        <w:jc w:val="center"/>
      </w:pPr>
      <w:r>
        <w:t>Exam preparation only. No CE credit or CE certificate. Educational material—not legal advice or a guarantee of examination success.</w:t>
      </w:r>
    </w:p>
    <w:p>
      <w:r/>
    </w:p>
    <w:p>
      <w:pPr>
        <w:pStyle w:val="Heading1"/>
      </w:pPr>
      <w:r>
        <w:t>Publication Notice</w:t>
      </w:r>
    </w:p>
    <w:p>
      <w:pPr>
        <w:pStyle w:val="CTABody"/>
      </w:pPr>
      <w:r>
        <w:t>This publication is designed exclusively for California LCSW Law and Ethics Examination preparation. It is not a continuing-education course and provides no CE credit or CE certificate. It summarizes legal and ethical concepts but does not provide legal advice or replace consultation regarding a specific licensing, employment, clinical, or legal matter.</w:t>
      </w:r>
    </w:p>
    <w:p>
      <w:pPr>
        <w:pStyle w:val="CTABody"/>
      </w:pPr>
      <w:r>
        <w:t>CTA is not affiliated with, sponsored by, or endorsed by the California Board of Behavioral Sciences or Pearson VUE. This workbook does not guarantee passage or determine examination eligibility.</w:t>
      </w:r>
    </w:p>
    <w:p>
      <w:pPr>
        <w:pStyle w:val="CTASmall"/>
      </w:pPr>
      <w:r>
        <w:t>© 2026 Clinical Training and Supervision Academy. Personal use by enrolled purchasers only. No sharing, resale, public posting, or commercial distribution.</w:t>
      </w:r>
    </w:p>
    <w:tbl>
      <w:tblPr>
        <w:tblW w:type="dxa" w:w="10046"/>
        <w:jc w:val="center"/>
        <w:tblLook w:val="04A0" w:firstRow="1" w:lastRow="0" w:firstColumn="1" w:lastColumn="0" w:noHBand="0" w:noVBand="1"/>
        <w:tblLayout w:type="fixed"/>
      </w:tblPr>
      <w:tblGrid>
        <w:gridCol w:w="10046"/>
      </w:tblGrid>
      <w:tr w:rsidR="00464BCB" w14:paraId="07B9E6DD" w14:textId="77777777">
        <w:trPr>
          <w:tblHeader/>
          <w:jc w:val="center"/>
          <w:cantSplit w:val="1"/>
        </w:trPr>
        <w:tc>
          <w:tcPr>
            <w:tcW w:w="10046" w:type="dxa"/>
            <w:shd w:val="clear" w:color="auto" w:fill="EEF3F8"/>
            <w:tcMar>
              <w:top w:w="130" w:type="dxa"/>
              <w:left w:w="150" w:type="dxa"/>
              <w:bottom w:w="130" w:type="dxa"/>
              <w:right w:w="150" w:type="dxa"/>
            </w:tcMar>
          </w:tcPr>
          <w:p>
            <w:r>
              <w:t>Accuracy Date</w:t>
              <w:br/>
              <w:t>Legal and regulatory content reviewed through August 7, 2026. Recheck current BBS, NASW, and examination sources before release and after material changes.</w:t>
            </w:r>
          </w:p>
        </w:tc>
      </w:tr>
    </w:tbl>
    <w:p>
      <w:pPr>
        <w:pStyle w:val="CTABody"/>
      </w:pPr>
      <w:r>
        <w:t>Workbook Structure</w:t>
      </w:r>
    </w:p>
    <w:p>
      <w:pPr>
        <w:pStyle w:val="ListBullet"/>
      </w:pPr>
      <w:r>
        <w:t>Chapters 1–6 provide the substantive instructional content.</w:t>
      </w:r>
    </w:p>
    <w:p>
      <w:pPr>
        <w:pStyle w:val="ListBullet"/>
      </w:pPr>
      <w:r>
        <w:t>Chapters 7–9 are rapid-review chapters and do not have separate question banks.</w:t>
      </w:r>
    </w:p>
    <w:p>
      <w:pPr>
        <w:pStyle w:val="ListBullet"/>
      </w:pPr>
      <w:r>
        <w:t>The standalone question bank contains 102 questions aligned to Chapters 1–6.</w:t>
      </w:r>
    </w:p>
    <w:p>
      <w:r/>
      <w:r/>
    </w:p>
    <w:p>
      <w:pPr>
        <w:pStyle w:val="Heading1"/>
      </w:pPr>
      <w:r>
        <w:t>Workbook Overview</w:t>
      </w:r>
    </w:p>
    <w:p>
      <w:pPr>
        <w:pStyle w:val="CTABody"/>
      </w:pPr>
      <w:r>
        <w:t>Professional competence is the ability to provide clinical social-work services safely, ethically, and effectively within the limits of one's knowledge, training, skills, legal role, current authority, and professional functioning.</w:t>
      </w:r>
    </w:p>
    <w:p>
      <w:pPr>
        <w:pStyle w:val="CTABody"/>
      </w:pPr>
      <w:r>
        <w:t>This workbook helps California LCSW and ASW Law and Ethics candidates recognize competence concerns, distinguish legal authority from actual ability, use consultation and supervision appropriately, respond to feedback and limitations, clarify social-work professional roles, and choose proportionate actions that protect client welfare and continuity.</w:t>
      </w:r>
    </w:p>
    <w:p>
      <w:pPr>
        <w:pStyle w:val="Heading2"/>
      </w:pPr>
      <w:r>
        <w:t>What You Will Learn</w:t>
      </w:r>
    </w:p>
    <w:p>
      <w:pPr>
        <w:pStyle w:val="ListBullet"/>
      </w:pPr>
      <w:r>
        <w:t>Recognize the limits and foundations of professional competence.</w:t>
      </w:r>
    </w:p>
    <w:p>
      <w:pPr>
        <w:pStyle w:val="ListBullet"/>
      </w:pPr>
      <w:r>
        <w:t>Distinguish scope of practice from scope of competence.</w:t>
      </w:r>
    </w:p>
    <w:p>
      <w:pPr>
        <w:pStyle w:val="ListBullet"/>
      </w:pPr>
      <w:r>
        <w:t>Maintain current knowledge, skill, judgment, cultural responsiveness, and professional functioning.</w:t>
      </w:r>
    </w:p>
    <w:p>
      <w:pPr>
        <w:pStyle w:val="ListBullet"/>
      </w:pPr>
      <w:r>
        <w:t>Differentiate consultation, supervision, training, collaboration, referral, and emergency action.</w:t>
      </w:r>
    </w:p>
    <w:p>
      <w:pPr>
        <w:pStyle w:val="ListBullet"/>
      </w:pPr>
      <w:r>
        <w:t>Apply California supervision, accountability, and role-clarification principles.</w:t>
      </w:r>
    </w:p>
    <w:p>
      <w:pPr>
        <w:pStyle w:val="ListBullet"/>
      </w:pPr>
      <w:r>
        <w:t>Use rapid-review tools to identify exam traps and select the best response.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70" w:type="dxa"/>
              <w:bottom w:w="160" w:type="dxa"/>
              <w:end w:w="170" w:type="dxa"/>
            </w:tcMar>
          </w:tcPr>
          <w:p>
            <w:pPr>
              <w:pStyle w:val="CTACallout"/>
            </w:pPr>
            <w:r>
              <w:rPr>
                <w:b/>
                <w:color w:val="176B78"/>
              </w:rPr>
              <w:t xml:space="preserve">Exam Focus: </w:t>
            </w:r>
            <w:r>
              <w:t>Identify the controlling law or role, assess actual competence and urgency, then select the least disruptive response that fully protects client welfare and includes follow-through.</w:t>
            </w:r>
          </w:p>
        </w:tc>
        <w:trPr>
          <w:tblHeader/>
          <w:cantSplit w:val="1"/>
        </w:trPr>
      </w:tr>
    </w:tbl>
    <w:p>
      <w:pPr>
        <w:pStyle w:val="Heading2"/>
      </w:pPr>
      <w:r>
        <w:t>How to Use This Workbook</w:t>
      </w:r>
    </w:p>
    <w:p>
      <w:pPr>
        <w:pStyle w:val="CTABody"/>
        <w:ind w:left="346" w:hanging="346"/>
      </w:pPr>
      <w:r>
        <w:rPr>
          <w:b/>
        </w:rPr>
        <w:t xml:space="preserve">1.  </w:t>
      </w:r>
      <w:r>
        <w:t>Study Chapters 1–6 for the core professional-competence framework.</w:t>
      </w:r>
    </w:p>
    <w:p>
      <w:pPr>
        <w:pStyle w:val="CTABody"/>
        <w:ind w:left="346" w:hanging="346"/>
      </w:pPr>
      <w:r>
        <w:rPr>
          <w:b/>
        </w:rPr>
        <w:t xml:space="preserve">2.  </w:t>
      </w:r>
      <w:r>
        <w:t>Use Chapters 7–9 for rapid review, memory aids, and exam-day reasoning.</w:t>
      </w:r>
    </w:p>
    <w:p>
      <w:pPr>
        <w:pStyle w:val="CTABody"/>
        <w:ind w:left="346" w:hanging="346"/>
      </w:pPr>
      <w:r>
        <w:rPr>
          <w:b/>
        </w:rPr>
        <w:t xml:space="preserve">3.  </w:t>
      </w:r>
      <w:r>
        <w:t>Complete the separate 102-question bank after reviewing the corresponding core chapter.</w:t>
      </w:r>
    </w:p>
    <w:p>
      <w:pPr>
        <w:pStyle w:val="CTABody"/>
        <w:ind w:left="346" w:hanging="346"/>
      </w:pPr>
      <w:r>
        <w:rPr>
          <w:b/>
        </w:rPr>
        <w:t xml:space="preserve">4.  </w:t>
      </w:r>
      <w:r>
        <w:t>Verify current statutes, regulations, Board forms, and examination materials before applying a rule in practice.</w:t>
      </w:r>
    </w:p>
    <w:p>
      <w:pPr>
        <w:pStyle w:val="Heading2"/>
      </w:pPr>
      <w:r>
        <w:t>Educational and Legal Disclaimer</w:t>
      </w:r>
    </w:p>
    <w:p>
      <w:pPr>
        <w:pStyle w:val="CTADisclaimer"/>
      </w:pPr>
      <w:r>
        <w:t>This LCSW Candidate Edition is educational material for the California LCSW Law and Ethics Examination. It provides no CE credit or CE certificate, is not legal advice, does not establish a standard of care, and does not replace current law, Board requirements, employer policy, the NASW Code of Ethics, or qualified professional consultation.</w:t>
      </w:r>
    </w:p>
    <w:p>
      <w:r/>
    </w:p>
    <w:p>
      <w:pPr>
        <w:pStyle w:val="Heading1"/>
      </w:pPr>
      <w:r>
        <w:t>Table of Contents</w:t>
      </w:r>
    </w:p>
    <w:tbl>
      <w:tblPr>
        <w:tblW w:type="dxa" w:w="10046"/>
        <w:jc w:val="center"/>
        <w:tblStyle w:val="TableGrid"/>
        <w:tblLook w:val="04A0" w:firstRow="1" w:lastRow="0" w:firstColumn="1" w:lastColumn="0" w:noHBand="0" w:noVBand="1"/>
        <w:tblLayout w:type="fixed"/>
      </w:tblPr>
      <w:tblGrid>
        <w:gridCol w:w="8786"/>
        <w:gridCol w:w="1260"/>
      </w:tblGrid>
      <w:tr w:rsidR="00464BCB" w14:paraId="11B7E2FC" w14:textId="77777777">
        <w:trPr>
          <w:jc w:val="center"/>
          <w:cantSplit w:val="1"/>
          <w:tblHeader w:val="1"/>
        </w:trPr>
        <w:tc>
          <w:tcPr>
            <w:tcW w:w="8786" w:type="dxa"/>
            <w:tcMar>
              <w:top w:w="30" w:type="dxa"/>
              <w:left w:w="85" w:type="dxa"/>
              <w:bottom w:w="30"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260" w:type="dxa"/>
            <w:tcMar>
              <w:top w:w="30" w:type="dxa"/>
              <w:left w:w="85" w:type="dxa"/>
              <w:bottom w:w="30"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786" w:type="dxa"/>
            <w:tcMar>
              <w:top w:w="30" w:type="dxa"/>
              <w:left w:w="85" w:type="dxa"/>
              <w:bottom w:w="30" w:type="dxa"/>
              <w:right w:w="85" w:type="dxa"/>
            </w:tcMar>
            <w:shd w:val="clear" w:color="auto" w:fill="FFFFFF"/>
          </w:tcPr>
          <w:p w14:paraId="568B961E" w14:textId="77777777" w:rsidR="00464BCB" w:rsidRDefault="00000000">
            <w:pPr>
              <w:spacing w:before="0" w:after="0" w:line="240" w:lineRule="auto"/>
            </w:pPr>
            <w:r>
              <w:rPr>
                <w:b w:val="0"/>
                <w:color w:val="0B2447"/>
                <w:sz w:val="18"/>
              </w:rPr>
              <w:t>Workbook Overview</w:t>
            </w:r>
          </w:p>
        </w:tc>
        <w:tc>
          <w:tcPr>
            <w:tcW w:w="1260" w:type="dxa"/>
            <w:tcMar>
              <w:top w:w="30" w:type="dxa"/>
              <w:left w:w="85" w:type="dxa"/>
              <w:bottom w:w="30" w:type="dxa"/>
              <w:right w:w="85" w:type="dxa"/>
            </w:tcMar>
            <w:shd w:val="clear" w:color="auto" w:fill="FFFFFF"/>
          </w:tcPr>
          <w:p>
            <w:r>
              <w:t>1</w:t>
            </w:r>
          </w:p>
        </w:tc>
      </w:tr>
      <w:tr w:rsidR="00464BCB" w14:paraId="4E4F6532" w14:textId="77777777">
        <w:trPr>
          <w:jc w:val="center"/>
          <w:cantSplit w:val="1"/>
        </w:trPr>
        <w:tc>
          <w:tcPr>
            <w:tcW w:w="8786" w:type="dxa"/>
            <w:tcMar>
              <w:top w:w="30" w:type="dxa"/>
              <w:left w:w="85" w:type="dxa"/>
              <w:bottom w:w="30" w:type="dxa"/>
              <w:right w:w="85" w:type="dxa"/>
            </w:tcMar>
            <w:shd w:val="clear" w:color="auto" w:fill="DDEFF0"/>
          </w:tcPr>
          <w:p w14:paraId="406B0E81" w14:textId="77777777" w:rsidR="00464BCB" w:rsidRDefault="00000000">
            <w:pPr>
              <w:spacing w:before="0" w:after="0" w:line="240" w:lineRule="auto"/>
            </w:pPr>
            <w:r>
              <w:rPr>
                <w:b/>
                <w:sz w:val="18"/>
              </w:rPr>
              <w:t>SECTION I — PROFESSIONAL COMPETENCE</w:t>
            </w:r>
          </w:p>
        </w:tc>
        <w:tc>
          <w:tcPr>
            <w:tcW w:w="1260" w:type="dxa"/>
            <w:tcMar>
              <w:top w:w="30" w:type="dxa"/>
              <w:left w:w="85" w:type="dxa"/>
              <w:bottom w:w="30" w:type="dxa"/>
              <w:right w:w="85" w:type="dxa"/>
            </w:tcMar>
            <w:shd w:val="clear" w:color="auto" w:fill="DDEFF0"/>
          </w:tcPr>
          <w:p>
            <w:r>
              <w:t>3</w:t>
            </w:r>
          </w:p>
        </w:tc>
      </w:tr>
      <w:tr w:rsidR="00464BCB" w14:paraId="3BF11373" w14:textId="77777777">
        <w:trPr>
          <w:jc w:val="center"/>
          <w:cantSplit w:val="1"/>
        </w:trPr>
        <w:tc>
          <w:tcPr>
            <w:tcW w:w="8786" w:type="dxa"/>
            <w:tcMar>
              <w:top w:w="30" w:type="dxa"/>
              <w:left w:w="85" w:type="dxa"/>
              <w:bottom w:w="30" w:type="dxa"/>
              <w:right w:w="85" w:type="dxa"/>
            </w:tcMar>
            <w:shd w:val="clear" w:color="auto" w:fill="FFFFFF"/>
          </w:tcPr>
          <w:p w14:paraId="56EA1C55" w14:textId="77777777" w:rsidR="00464BCB" w:rsidRDefault="00000000">
            <w:pPr>
              <w:spacing w:before="0" w:after="0" w:line="240" w:lineRule="auto"/>
            </w:pPr>
            <w:r>
              <w:rPr>
                <w:b w:val="0"/>
                <w:sz w:val="18"/>
              </w:rPr>
              <w:t>Chapter 1: Professional Competence Foundations</w:t>
            </w:r>
          </w:p>
        </w:tc>
        <w:tc>
          <w:tcPr>
            <w:tcW w:w="1260" w:type="dxa"/>
            <w:tcMar>
              <w:top w:w="30" w:type="dxa"/>
              <w:left w:w="85" w:type="dxa"/>
              <w:bottom w:w="30" w:type="dxa"/>
              <w:right w:w="85" w:type="dxa"/>
            </w:tcMar>
            <w:shd w:val="clear" w:color="auto" w:fill="FFFFFF"/>
          </w:tcPr>
          <w:p>
            <w:r>
              <w:t>3</w:t>
            </w:r>
          </w:p>
        </w:tc>
      </w:tr>
      <w:tr w:rsidR="00464BCB" w14:paraId="77A6DEAE" w14:textId="77777777">
        <w:trPr>
          <w:jc w:val="center"/>
          <w:cantSplit w:val="1"/>
        </w:trPr>
        <w:tc>
          <w:tcPr>
            <w:tcW w:w="8786" w:type="dxa"/>
            <w:tcMar>
              <w:top w:w="30" w:type="dxa"/>
              <w:left w:w="85" w:type="dxa"/>
              <w:bottom w:w="30" w:type="dxa"/>
              <w:right w:w="85" w:type="dxa"/>
            </w:tcMar>
            <w:shd w:val="clear" w:color="auto" w:fill="FFFFFF"/>
          </w:tcPr>
          <w:p w14:paraId="2A840503" w14:textId="77777777" w:rsidR="00464BCB" w:rsidRDefault="00000000">
            <w:pPr>
              <w:spacing w:before="0" w:after="0" w:line="240" w:lineRule="auto"/>
            </w:pPr>
            <w:r>
              <w:rPr>
                <w:b w:val="0"/>
                <w:sz w:val="18"/>
              </w:rPr>
              <w:t>Chapter 2: Scope of Practice vs. Scope of Competence</w:t>
            </w:r>
          </w:p>
        </w:tc>
        <w:tc>
          <w:tcPr>
            <w:tcW w:w="1260" w:type="dxa"/>
            <w:tcMar>
              <w:top w:w="30" w:type="dxa"/>
              <w:left w:w="85" w:type="dxa"/>
              <w:bottom w:w="30" w:type="dxa"/>
              <w:right w:w="85" w:type="dxa"/>
            </w:tcMar>
            <w:shd w:val="clear" w:color="auto" w:fill="FFFFFF"/>
          </w:tcPr>
          <w:p>
            <w:r>
              <w:t>8</w:t>
            </w:r>
          </w:p>
        </w:tc>
      </w:tr>
      <w:tr w:rsidR="00464BCB" w14:paraId="253220CD" w14:textId="77777777">
        <w:trPr>
          <w:jc w:val="center"/>
          <w:cantSplit w:val="1"/>
        </w:trPr>
        <w:tc>
          <w:tcPr>
            <w:tcW w:w="8786" w:type="dxa"/>
            <w:tcMar>
              <w:top w:w="30" w:type="dxa"/>
              <w:left w:w="85" w:type="dxa"/>
              <w:bottom w:w="30" w:type="dxa"/>
              <w:right w:w="85" w:type="dxa"/>
            </w:tcMar>
            <w:shd w:val="clear" w:color="auto" w:fill="FFFFFF"/>
          </w:tcPr>
          <w:p w14:paraId="57B9B165" w14:textId="77777777" w:rsidR="00464BCB" w:rsidRDefault="00000000">
            <w:pPr>
              <w:spacing w:before="0" w:after="0" w:line="240" w:lineRule="auto"/>
            </w:pPr>
            <w:r>
              <w:rPr>
                <w:b w:val="0"/>
                <w:sz w:val="18"/>
              </w:rPr>
              <w:t>Chapter 3: Maintaining Professional Competence</w:t>
            </w:r>
          </w:p>
        </w:tc>
        <w:tc>
          <w:tcPr>
            <w:tcW w:w="1260" w:type="dxa"/>
            <w:tcMar>
              <w:top w:w="30" w:type="dxa"/>
              <w:left w:w="85" w:type="dxa"/>
              <w:bottom w:w="30" w:type="dxa"/>
              <w:right w:w="85" w:type="dxa"/>
            </w:tcMar>
            <w:shd w:val="clear" w:color="auto" w:fill="FFFFFF"/>
          </w:tcPr>
          <w:p>
            <w:r>
              <w:t>11</w:t>
            </w:r>
          </w:p>
        </w:tc>
      </w:tr>
      <w:tr w:rsidR="00464BCB" w14:paraId="25C47D26" w14:textId="77777777">
        <w:trPr>
          <w:jc w:val="center"/>
          <w:cantSplit w:val="1"/>
        </w:trPr>
        <w:tc>
          <w:tcPr>
            <w:tcW w:w="8786" w:type="dxa"/>
            <w:tcMar>
              <w:top w:w="30" w:type="dxa"/>
              <w:left w:w="85" w:type="dxa"/>
              <w:bottom w:w="30" w:type="dxa"/>
              <w:right w:w="85" w:type="dxa"/>
            </w:tcMar>
            <w:shd w:val="clear" w:color="auto" w:fill="FFFFFF"/>
          </w:tcPr>
          <w:p w14:paraId="0F2124FA" w14:textId="77777777" w:rsidR="00464BCB" w:rsidRDefault="00000000">
            <w:pPr>
              <w:spacing w:before="0" w:after="0" w:line="240" w:lineRule="auto"/>
            </w:pPr>
            <w:r>
              <w:rPr>
                <w:b w:val="0"/>
                <w:color w:val="0B2447"/>
                <w:sz w:val="18"/>
              </w:rPr>
              <w:t>Chapter 4: Consultation and Seeking Professional Assistance</w:t>
            </w:r>
          </w:p>
        </w:tc>
        <w:tc>
          <w:tcPr>
            <w:tcW w:w="1260" w:type="dxa"/>
            <w:tcMar>
              <w:top w:w="30" w:type="dxa"/>
              <w:left w:w="85" w:type="dxa"/>
              <w:bottom w:w="30" w:type="dxa"/>
              <w:right w:w="85" w:type="dxa"/>
            </w:tcMar>
            <w:shd w:val="clear" w:color="auto" w:fill="FFFFFF"/>
          </w:tcPr>
          <w:p>
            <w:r>
              <w:t>15</w:t>
            </w:r>
          </w:p>
        </w:tc>
      </w:tr>
      <w:tr w:rsidR="00464BCB" w14:paraId="6B4FC3CB" w14:textId="77777777">
        <w:trPr>
          <w:jc w:val="center"/>
          <w:cantSplit w:val="1"/>
        </w:trPr>
        <w:tc>
          <w:tcPr>
            <w:tcW w:w="8786" w:type="dxa"/>
            <w:tcMar>
              <w:top w:w="30" w:type="dxa"/>
              <w:left w:w="85" w:type="dxa"/>
              <w:bottom w:w="30" w:type="dxa"/>
              <w:right w:w="85" w:type="dxa"/>
            </w:tcMar>
            <w:shd w:val="clear" w:color="auto" w:fill="FFFFFF"/>
          </w:tcPr>
          <w:p w14:paraId="7E01F311" w14:textId="77777777" w:rsidR="00464BCB" w:rsidRDefault="00000000">
            <w:pPr>
              <w:spacing w:before="0" w:after="0" w:line="240" w:lineRule="auto"/>
            </w:pPr>
            <w:r>
              <w:rPr>
                <w:b w:val="0"/>
                <w:sz w:val="18"/>
              </w:rPr>
              <w:t>Chapter 5: Clinical Supervision, Feedback, and Accountability</w:t>
            </w:r>
          </w:p>
        </w:tc>
        <w:tc>
          <w:tcPr>
            <w:tcW w:w="1260" w:type="dxa"/>
            <w:tcMar>
              <w:top w:w="30" w:type="dxa"/>
              <w:left w:w="85" w:type="dxa"/>
              <w:bottom w:w="30" w:type="dxa"/>
              <w:right w:w="85" w:type="dxa"/>
            </w:tcMar>
            <w:shd w:val="clear" w:color="auto" w:fill="FFFFFF"/>
          </w:tcPr>
          <w:p>
            <w:r>
              <w:t>22</w:t>
            </w:r>
          </w:p>
        </w:tc>
      </w:tr>
      <w:tr w:rsidR="00464BCB" w14:paraId="34E37101" w14:textId="77777777">
        <w:trPr>
          <w:jc w:val="center"/>
          <w:cantSplit w:val="1"/>
        </w:trPr>
        <w:tc>
          <w:tcPr>
            <w:tcW w:w="8786" w:type="dxa"/>
            <w:tcMar>
              <w:top w:w="30" w:type="dxa"/>
              <w:left w:w="85" w:type="dxa"/>
              <w:bottom w:w="30" w:type="dxa"/>
              <w:right w:w="85" w:type="dxa"/>
            </w:tcMar>
            <w:shd w:val="clear" w:color="auto" w:fill="FFFFFF"/>
          </w:tcPr>
          <w:p w14:paraId="6E17366F" w14:textId="77777777" w:rsidR="00464BCB" w:rsidRDefault="00000000">
            <w:pPr>
              <w:spacing w:before="0" w:after="0" w:line="240" w:lineRule="auto"/>
            </w:pPr>
            <w:r>
              <w:rPr>
                <w:b w:val="0"/>
                <w:sz w:val="18"/>
              </w:rPr>
              <w:t>Chapter 6: Professional Roles and Role Clarification</w:t>
            </w:r>
          </w:p>
        </w:tc>
        <w:tc>
          <w:tcPr>
            <w:tcW w:w="1260" w:type="dxa"/>
            <w:tcMar>
              <w:top w:w="30" w:type="dxa"/>
              <w:left w:w="85" w:type="dxa"/>
              <w:bottom w:w="30" w:type="dxa"/>
              <w:right w:w="85" w:type="dxa"/>
            </w:tcMar>
            <w:shd w:val="clear" w:color="auto" w:fill="FFFFFF"/>
          </w:tcPr>
          <w:p>
            <w:r>
              <w:t>26</w:t>
            </w:r>
          </w:p>
        </w:tc>
      </w:tr>
      <w:tr w:rsidR="00464BCB" w14:paraId="5AD00ECC" w14:textId="77777777">
        <w:trPr>
          <w:jc w:val="center"/>
          <w:cantSplit w:val="1"/>
        </w:trPr>
        <w:tc>
          <w:tcPr>
            <w:tcW w:w="8786" w:type="dxa"/>
            <w:tcMar>
              <w:top w:w="30" w:type="dxa"/>
              <w:left w:w="85" w:type="dxa"/>
              <w:bottom w:w="30" w:type="dxa"/>
              <w:right w:w="85" w:type="dxa"/>
            </w:tcMar>
            <w:shd w:val="clear" w:color="auto" w:fill="DDEFF0"/>
          </w:tcPr>
          <w:p w14:paraId="1472F05C" w14:textId="77777777" w:rsidR="00464BCB" w:rsidRDefault="00000000">
            <w:pPr>
              <w:spacing w:before="0" w:after="0" w:line="240" w:lineRule="auto"/>
            </w:pPr>
            <w:r>
              <w:rPr>
                <w:b/>
                <w:sz w:val="18"/>
              </w:rPr>
              <w:t>SECTION II — RAPID REVIEW</w:t>
            </w:r>
          </w:p>
        </w:tc>
        <w:tc>
          <w:tcPr>
            <w:tcW w:w="1260" w:type="dxa"/>
            <w:tcMar>
              <w:top w:w="30" w:type="dxa"/>
              <w:left w:w="85" w:type="dxa"/>
              <w:bottom w:w="30" w:type="dxa"/>
              <w:right w:w="85" w:type="dxa"/>
            </w:tcMar>
            <w:shd w:val="clear" w:color="auto" w:fill="DDEFF0"/>
          </w:tcPr>
          <w:p>
            <w:r>
              <w:t>32</w:t>
            </w:r>
          </w:p>
        </w:tc>
      </w:tr>
      <w:tr w:rsidR="00464BCB" w14:paraId="151EBF2B" w14:textId="77777777">
        <w:trPr>
          <w:jc w:val="center"/>
          <w:cantSplit w:val="1"/>
        </w:trPr>
        <w:tc>
          <w:tcPr>
            <w:tcW w:w="8786" w:type="dxa"/>
            <w:tcMar>
              <w:top w:w="30" w:type="dxa"/>
              <w:left w:w="85" w:type="dxa"/>
              <w:bottom w:w="30" w:type="dxa"/>
              <w:right w:w="85" w:type="dxa"/>
            </w:tcMar>
            <w:shd w:val="clear" w:color="auto" w:fill="FFFFFF"/>
          </w:tcPr>
          <w:p w14:paraId="7AD47F8C" w14:textId="77777777" w:rsidR="00464BCB" w:rsidRDefault="00000000">
            <w:pPr>
              <w:spacing w:before="0" w:after="0" w:line="240" w:lineRule="auto"/>
            </w:pPr>
            <w:r>
              <w:rPr>
                <w:b w:val="0"/>
                <w:color w:val="0B2447"/>
                <w:sz w:val="18"/>
              </w:rPr>
              <w:t>Chapter 7: Common Professional Competence Exam Traps</w:t>
            </w:r>
          </w:p>
        </w:tc>
        <w:tc>
          <w:tcPr>
            <w:tcW w:w="1260" w:type="dxa"/>
            <w:tcMar>
              <w:top w:w="30" w:type="dxa"/>
              <w:left w:w="85" w:type="dxa"/>
              <w:bottom w:w="30" w:type="dxa"/>
              <w:right w:w="85" w:type="dxa"/>
            </w:tcMar>
            <w:shd w:val="clear" w:color="auto" w:fill="FFFFFF"/>
          </w:tcPr>
          <w:p>
            <w:r>
              <w:t>32</w:t>
            </w:r>
          </w:p>
        </w:tc>
      </w:tr>
      <w:tr w:rsidR="00464BCB" w14:paraId="1CE859F7" w14:textId="77777777">
        <w:trPr>
          <w:jc w:val="center"/>
          <w:cantSplit w:val="1"/>
        </w:trPr>
        <w:tc>
          <w:tcPr>
            <w:tcW w:w="8786" w:type="dxa"/>
            <w:tcMar>
              <w:top w:w="30" w:type="dxa"/>
              <w:left w:w="85" w:type="dxa"/>
              <w:bottom w:w="30" w:type="dxa"/>
              <w:right w:w="85" w:type="dxa"/>
            </w:tcMar>
            <w:shd w:val="clear" w:color="auto" w:fill="FFFFFF"/>
          </w:tcPr>
          <w:p w14:paraId="579896DB" w14:textId="77777777" w:rsidR="00464BCB" w:rsidRDefault="00000000">
            <w:pPr>
              <w:spacing w:before="0" w:after="0" w:line="240" w:lineRule="auto"/>
            </w:pPr>
            <w:r>
              <w:rPr>
                <w:b w:val="0"/>
                <w:sz w:val="18"/>
              </w:rPr>
              <w:t>Chapter 8: Top Professional Competence Concepts You Must Know</w:t>
            </w:r>
          </w:p>
        </w:tc>
        <w:tc>
          <w:tcPr>
            <w:tcW w:w="1260" w:type="dxa"/>
            <w:tcMar>
              <w:top w:w="30" w:type="dxa"/>
              <w:left w:w="85" w:type="dxa"/>
              <w:bottom w:w="30" w:type="dxa"/>
              <w:right w:w="85" w:type="dxa"/>
            </w:tcMar>
            <w:shd w:val="clear" w:color="auto" w:fill="FFFFFF"/>
          </w:tcPr>
          <w:p>
            <w:r>
              <w:t>40</w:t>
            </w:r>
          </w:p>
        </w:tc>
      </w:tr>
      <w:tr w:rsidR="00464BCB" w14:paraId="0A33CCB9" w14:textId="77777777">
        <w:trPr>
          <w:jc w:val="center"/>
          <w:cantSplit w:val="1"/>
        </w:trPr>
        <w:tc>
          <w:tcPr>
            <w:tcW w:w="8786" w:type="dxa"/>
            <w:tcMar>
              <w:top w:w="30" w:type="dxa"/>
              <w:left w:w="85" w:type="dxa"/>
              <w:bottom w:w="30" w:type="dxa"/>
              <w:right w:w="85" w:type="dxa"/>
            </w:tcMar>
            <w:shd w:val="clear" w:color="auto" w:fill="FFFFFF"/>
          </w:tcPr>
          <w:p w14:paraId="18D02409" w14:textId="77777777" w:rsidR="00464BCB" w:rsidRDefault="00000000">
            <w:pPr>
              <w:spacing w:before="0" w:after="0" w:line="240" w:lineRule="auto"/>
            </w:pPr>
            <w:r>
              <w:rPr>
                <w:b w:val="0"/>
                <w:sz w:val="18"/>
              </w:rPr>
              <w:t>Chapter 9: Memory Aids and Quick Review Charts</w:t>
            </w:r>
          </w:p>
        </w:tc>
        <w:tc>
          <w:tcPr>
            <w:tcW w:w="1260" w:type="dxa"/>
            <w:tcMar>
              <w:top w:w="30" w:type="dxa"/>
              <w:left w:w="85" w:type="dxa"/>
              <w:bottom w:w="30" w:type="dxa"/>
              <w:right w:w="85" w:type="dxa"/>
            </w:tcMar>
            <w:shd w:val="clear" w:color="auto" w:fill="FFFFFF"/>
          </w:tcPr>
          <w:p>
            <w:r>
              <w:t>49</w:t>
            </w:r>
          </w:p>
        </w:tc>
      </w:tr>
      <w:tr w:rsidR="00464BCB" w14:paraId="4EFB4A52" w14:textId="77777777">
        <w:trPr>
          <w:jc w:val="center"/>
          <w:cantSplit w:val="1"/>
        </w:trPr>
        <w:tc>
          <w:tcPr>
            <w:tcW w:w="8786" w:type="dxa"/>
            <w:tcMar>
              <w:top w:w="30" w:type="dxa"/>
              <w:left w:w="85" w:type="dxa"/>
              <w:bottom w:w="30" w:type="dxa"/>
              <w:right w:w="85" w:type="dxa"/>
            </w:tcMar>
            <w:shd w:val="clear" w:color="auto" w:fill="FFFFFF"/>
          </w:tcPr>
          <w:p w14:paraId="0041811F" w14:textId="77777777" w:rsidR="00464BCB" w:rsidRDefault="00000000">
            <w:pPr>
              <w:spacing w:before="0" w:after="0" w:line="240" w:lineRule="auto"/>
            </w:pPr>
            <w:r>
              <w:rPr>
                <w:b w:val="0"/>
                <w:sz w:val="18"/>
              </w:rPr>
              <w:t>Sources and Accuracy Note</w:t>
            </w:r>
          </w:p>
        </w:tc>
        <w:tc>
          <w:tcPr>
            <w:tcW w:w="1260" w:type="dxa"/>
            <w:tcMar>
              <w:top w:w="30" w:type="dxa"/>
              <w:left w:w="85" w:type="dxa"/>
              <w:bottom w:w="30" w:type="dxa"/>
              <w:right w:w="85" w:type="dxa"/>
            </w:tcMar>
            <w:shd w:val="clear" w:color="auto" w:fill="FFFFFF"/>
          </w:tcPr>
          <w:p>
            <w:r>
              <w:t>58</w:t>
            </w:r>
          </w:p>
        </w:tc>
      </w:tr>
    </w:tbl>
    <w:p>
      <w:pPr>
        <w:pStyle w:val="Heading2"/>
      </w:pPr>
      <w:r>
        <w:t>Companion Assessment</w:t>
      </w:r>
    </w:p>
    <w:p>
      <w:pPr>
        <w:pStyle w:val="CTABody"/>
      </w:pPr>
      <w:r>
        <w:t>The separate Workbook 3 Question Bank contains 102 questions: 17 questions for each core chapter, with 5 Easy, 7 Moderate, and 5 Difficult items per chapter. Chapters 7–9 are Rapid Review chapters and do not receive separate banks.</w:t>
      </w:r>
    </w:p>
    <w:p>
      <w:r/>
    </w:p>
    <w:p>
      <w:pPr>
        <w:pStyle w:val="CTAEyebrow"/>
        <w:spacing w:before="1400"/>
      </w:pPr>
      <w:r>
        <w:t>SECTION I</w:t>
      </w:r>
    </w:p>
    <w:p>
      <w:pPr>
        <w:pStyle w:val="CTASectionDivider"/>
        <w:jc w:val="left"/>
      </w:pPr>
      <w:r>
        <w:t>Professional Competence</w:t>
      </w:r>
    </w:p>
    <w:tbl>
      <w:tblPr>
        <w:tblW w:type="dxa" w:w="10046"/>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80" w:type="dxa"/>
              <w:bottom w:w="160" w:type="dxa"/>
              <w:end w:w="180" w:type="dxa"/>
            </w:tcMar>
          </w:tcPr>
          <w:p>
            <w:pPr>
              <w:pStyle w:val="CTACallout"/>
            </w:pPr>
            <w:r>
              <w:t>Core instruction on competence, legal scope, professional development, consultation, supervision, accountability, and role clarification.</w:t>
            </w:r>
          </w:p>
        </w:tc>
        <w:trPr>
          <w:tblHeader/>
          <w:cantSplit w:val="1"/>
        </w:trPr>
      </w:tr>
    </w:tbl>
    <w:p>
      <w:r/>
    </w:p>
    <w:p>
      <w:pPr>
        <w:pStyle w:val="CTAChapterNumber"/>
        <w:spacing w:before="160"/>
      </w:pPr>
      <w:r>
        <w:t>CHAPTER 1</w:t>
      </w:r>
    </w:p>
    <w:p>
      <w:pPr>
        <w:pStyle w:val="CTAChapterTitle"/>
        <w:pBdr>
          <w:bottom w:val="single" w:sz="18" w:space="6" w:color="149B9E"/>
        </w:pBdr>
      </w:pPr>
      <w:r>
        <w:t>Professional Competence Foundations</w:t>
      </w:r>
    </w:p>
    <w:p>
      <w:pPr>
        <w:pStyle w:val="Heading3"/>
        <w:keepNext/>
      </w:pPr>
      <w:r>
        <w:rPr>
          <w:b/>
          <w:i w:val="0"/>
        </w:rPr>
        <w:t>Learning Objectives</w:t>
      </w:r>
    </w:p>
    <w:p>
      <w:pPr>
        <w:pStyle w:val="ListBullet"/>
      </w:pPr>
      <w:r>
        <w:t>Define professional competence as a context-specific professional capacity rather than a credential or personality trait.</w:t>
      </w:r>
    </w:p>
    <w:p>
      <w:pPr>
        <w:pStyle w:val="ListBullet"/>
      </w:pPr>
      <w:r>
        <w:t>Identify the major components of competence: relevant knowledge, practical skill, professional judgment, self-awareness, preparation, and current functioning.</w:t>
      </w:r>
    </w:p>
    <w:p>
      <w:pPr>
        <w:pStyle w:val="ListBullet"/>
      </w:pPr>
      <w:r>
        <w:t>Explain why competence is an ethical responsibility and a California professional-conduct concern.</w:t>
      </w:r>
    </w:p>
    <w:p>
      <w:pPr>
        <w:pStyle w:val="ListBullet"/>
      </w:pPr>
      <w:r>
        <w:t>Recognize warning signs that a client, service, population, intervention, or clinician factor may exceed current competence.</w:t>
      </w:r>
    </w:p>
    <w:p>
      <w:pPr>
        <w:pStyle w:val="ListBullet"/>
      </w:pPr>
      <w:r>
        <w:t>Distinguish confidence, licensure, general experience, and good intentions from evidence of competence.</w:t>
      </w:r>
    </w:p>
    <w:p>
      <w:pPr>
        <w:pStyle w:val="ListBullet"/>
      </w:pPr>
      <w:r>
        <w:t>Apply a measured first-response sequence when a competence concern arises.</w:t>
      </w:r>
    </w:p>
    <w:p>
      <w:pPr>
        <w:pStyle w:val="ListBullet"/>
      </w:pPr>
      <w:r>
        <w:t>Select a proportionate response that protects client welfare without assuming that immediate termination or referral is always required.</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w:t>
            </w:r>
            <w:r>
              <w:br/>
            </w:r>
            <w:r>
              <w:t>Professional competence is the ability to provide a specific service safely, ethically, and effectively under the actual circumstances. It depends on relevant preparation and current professional functioning—not merely on licensure, confidence, good intentions, or total years in practice.</w:t>
            </w:r>
          </w:p>
        </w:tc>
      </w:tr>
    </w:tbl>
    <w:p>
      <w:pPr>
        <w:spacing w:after="20"/>
      </w:pPr>
    </w:p>
    <w:p>
      <w:pPr>
        <w:pStyle w:val="Heading3"/>
        <w:keepNext/>
      </w:pPr>
      <w:r>
        <w:rPr>
          <w:b/>
          <w:i w:val="0"/>
        </w:rPr>
        <w:t>Why Professional Competence Matters</w:t>
      </w:r>
    </w:p>
    <w:p>
      <w:pPr>
        <w:pStyle w:val="CTABody"/>
      </w:pPr>
      <w:r>
        <w:rPr>
          <w:b w:val="0"/>
          <w:i w:val="0"/>
        </w:rPr>
        <w:t>Competence standards exist primarily to protect clients. When clinicians provide services without adequate knowledge, skill, judgment, preparation, or self-awareness, they may misunderstand the client, overlook risk, select an inappropriate intervention, delay needed care, or worsen the client's condition.</w:t>
      </w:r>
    </w:p>
    <w:p>
      <w:pPr>
        <w:pStyle w:val="CTABody"/>
      </w:pPr>
      <w:r>
        <w:rPr>
          <w:b w:val="0"/>
          <w:i w:val="0"/>
        </w:rPr>
        <w:t>California treats competence as more than an aspirational idea. The BBS examination outlines identify Professional Competence and Integrity as a major ethics domain, and the governing practice acts authorize discipline for incompetence or gross negligence. That does not mean every error, uncertainty, or unfavorable outcome proves legal incompetence. The facts, seriousness of the conduct, applicable standard, risk, and resulting harm matter.</w:t>
      </w:r>
    </w:p>
    <w:p>
      <w:pPr>
        <w:pStyle w:val="Heading3"/>
        <w:keepNext/>
      </w:pPr>
      <w:r>
        <w:rPr>
          <w:b/>
          <w:i w:val="0"/>
        </w:rPr>
        <w:t>What Is Professional Competence?</w:t>
      </w:r>
    </w:p>
    <w:p>
      <w:pPr>
        <w:pStyle w:val="CTABody"/>
      </w:pPr>
      <w:r>
        <w:rPr>
          <w:b w:val="0"/>
          <w:i w:val="0"/>
        </w:rPr>
        <w:t>Professional competence is the clinician's present ability to perform a particular professional service safely, ethically, and effectively. It is evaluated in relation to the actual client, service, population, intervention, setting, level of risk, cultural context, and clinician functioning.</w:t>
      </w:r>
    </w:p>
    <w:p>
      <w:pPr>
        <w:pStyle w:val="CTABody"/>
      </w:pPr>
      <w:r>
        <w:rPr>
          <w:b w:val="0"/>
          <w:i w:val="0"/>
        </w:rPr>
        <w:t>Competence is therefore specific rather than global. A clinician may be highly competent in one area and insufficiently prepared in another. Competence may also change as the case becomes more complex, the client's risk increases, professional standards change, or the clinician's functioning is affected.</w:t>
      </w:r>
    </w:p>
    <w:p>
      <w:pPr>
        <w:pStyle w:val="Heading3"/>
        <w:keepNext/>
      </w:pPr>
      <w:r>
        <w:rPr>
          <w:b/>
          <w:i w:val="0"/>
        </w:rPr>
        <w:t>The Six Foundations of Competence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Foundation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What It Means</w:t>
            </w:r>
          </w:p>
        </w:tc>
      </w:tr>
      <w:tr>
        <w:trPr>
          <w:cantSplit w:val="1"/>
        </w:trPr>
        <w:tc>
          <w:tcPr>
            <w:tcW w:type="dxa" w:w="5023"/>
            <w:vAlign w:val="center"/>
            <w:tcMar>
              <w:top w:w="80" w:type="dxa"/>
              <w:start w:w="100" w:type="dxa"/>
              <w:bottom w:w="80" w:type="dxa"/>
              <w:end w:w="100" w:type="dxa"/>
            </w:tcMar>
          </w:tcPr>
          <w:p>
            <w:pPr>
              <w:pStyle w:val="CTABody"/>
              <w:spacing w:after="40"/>
            </w:pPr>
            <w:r/>
            <w:r>
              <w:t>Relevant Knowledge</w:t>
            </w:r>
          </w:p>
        </w:tc>
        <w:tc>
          <w:tcPr>
            <w:tcW w:type="dxa" w:w="5023"/>
            <w:vAlign w:val="center"/>
            <w:tcMar>
              <w:top w:w="80" w:type="dxa"/>
              <w:start w:w="100" w:type="dxa"/>
              <w:bottom w:w="80" w:type="dxa"/>
              <w:end w:w="100" w:type="dxa"/>
            </w:tcMar>
          </w:tcPr>
          <w:p>
            <w:pPr>
              <w:pStyle w:val="CTABody"/>
              <w:spacing w:after="40"/>
            </w:pPr>
            <w:r/>
            <w:r>
              <w:t>Understanding the clinical, legal, ethical, cultural, and risk-management information needed for the service.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Practical Skill</w:t>
            </w:r>
          </w:p>
        </w:tc>
        <w:tc>
          <w:tcPr>
            <w:tcW w:type="dxa" w:w="5023"/>
            <w:vAlign w:val="center"/>
            <w:tcMar>
              <w:top w:w="80" w:type="dxa"/>
              <w:start w:w="100" w:type="dxa"/>
              <w:bottom w:w="80" w:type="dxa"/>
              <w:end w:w="100" w:type="dxa"/>
            </w:tcMar>
            <w:shd w:fill="F4F6F8"/>
          </w:tcPr>
          <w:p>
            <w:pPr>
              <w:pStyle w:val="CTABody"/>
              <w:spacing w:after="40"/>
            </w:pPr>
            <w:r/>
            <w:r>
              <w:t>Being able to apply knowledge effectively in assessment, communication, treatment, documentation, and crisis response.</w:t>
            </w:r>
          </w:p>
        </w:tc>
      </w:tr>
      <w:tr>
        <w:trPr>
          <w:cantSplit w:val="1"/>
        </w:trPr>
        <w:tc>
          <w:tcPr>
            <w:tcW w:type="dxa" w:w="5023"/>
            <w:vAlign w:val="center"/>
            <w:tcMar>
              <w:top w:w="80" w:type="dxa"/>
              <w:start w:w="100" w:type="dxa"/>
              <w:bottom w:w="80" w:type="dxa"/>
              <w:end w:w="100" w:type="dxa"/>
            </w:tcMar>
          </w:tcPr>
          <w:p>
            <w:pPr>
              <w:pStyle w:val="CTABody"/>
              <w:spacing w:after="40"/>
            </w:pPr>
            <w:r/>
            <w:r>
              <w:t>Professional Judgment</w:t>
            </w:r>
          </w:p>
        </w:tc>
        <w:tc>
          <w:tcPr>
            <w:tcW w:type="dxa" w:w="5023"/>
            <w:vAlign w:val="center"/>
            <w:tcMar>
              <w:top w:w="80" w:type="dxa"/>
              <w:start w:w="100" w:type="dxa"/>
              <w:bottom w:w="80" w:type="dxa"/>
              <w:end w:w="100" w:type="dxa"/>
            </w:tcMar>
          </w:tcPr>
          <w:p>
            <w:pPr>
              <w:pStyle w:val="CTABody"/>
              <w:spacing w:after="40"/>
            </w:pPr>
            <w:r/>
            <w:r>
              <w:t>Evaluating facts, identifying missing information, weighing risks, and selecting a reasoned response.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Self-Awareness</w:t>
            </w:r>
          </w:p>
        </w:tc>
        <w:tc>
          <w:tcPr>
            <w:tcW w:type="dxa" w:w="5023"/>
            <w:vAlign w:val="center"/>
            <w:tcMar>
              <w:top w:w="80" w:type="dxa"/>
              <w:start w:w="100" w:type="dxa"/>
              <w:bottom w:w="80" w:type="dxa"/>
              <w:end w:w="100" w:type="dxa"/>
            </w:tcMar>
            <w:shd w:fill="F4F6F8"/>
          </w:tcPr>
          <w:p>
            <w:pPr>
              <w:pStyle w:val="CTABody"/>
              <w:spacing w:after="40"/>
            </w:pPr>
            <w:r/>
            <w:r>
              <w:t>Recognizing limitations, biases, values, emotional reactions, countertransference, and blind spots.</w:t>
            </w:r>
          </w:p>
        </w:tc>
      </w:tr>
      <w:tr>
        <w:trPr>
          <w:cantSplit w:val="1"/>
        </w:trPr>
        <w:tc>
          <w:tcPr>
            <w:tcW w:type="dxa" w:w="5023"/>
            <w:vAlign w:val="center"/>
            <w:tcMar>
              <w:top w:w="80" w:type="dxa"/>
              <w:start w:w="100" w:type="dxa"/>
              <w:bottom w:w="80" w:type="dxa"/>
              <w:end w:w="100" w:type="dxa"/>
            </w:tcMar>
          </w:tcPr>
          <w:p>
            <w:pPr>
              <w:pStyle w:val="CTABody"/>
              <w:spacing w:after="40"/>
            </w:pPr>
            <w:r/>
            <w:r>
              <w:t>Adequate Preparation</w:t>
            </w:r>
          </w:p>
        </w:tc>
        <w:tc>
          <w:tcPr>
            <w:tcW w:type="dxa" w:w="5023"/>
            <w:vAlign w:val="center"/>
            <w:tcMar>
              <w:top w:w="80" w:type="dxa"/>
              <w:start w:w="100" w:type="dxa"/>
              <w:bottom w:w="80" w:type="dxa"/>
              <w:end w:w="100" w:type="dxa"/>
            </w:tcMar>
          </w:tcPr>
          <w:p>
            <w:pPr>
              <w:pStyle w:val="CTABody"/>
              <w:spacing w:after="40"/>
            </w:pPr>
            <w:r/>
            <w:r>
              <w:t>Having education, training, supervised experience, practice, or other preparation proportionate to the service and risk.</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Current Functioning</w:t>
            </w:r>
          </w:p>
        </w:tc>
        <w:tc>
          <w:tcPr>
            <w:tcW w:type="dxa" w:w="5023"/>
            <w:vAlign w:val="center"/>
            <w:tcMar>
              <w:top w:w="80" w:type="dxa"/>
              <w:start w:w="100" w:type="dxa"/>
              <w:bottom w:w="80" w:type="dxa"/>
              <w:end w:w="100" w:type="dxa"/>
            </w:tcMar>
            <w:shd w:fill="F4F6F8"/>
          </w:tcPr>
          <w:p>
            <w:pPr>
              <w:pStyle w:val="CTABody"/>
              <w:spacing w:after="40"/>
            </w:pPr>
            <w:r/>
            <w:r>
              <w:t>Being physically, mentally, emotionally, and professionally able to perform the work safely at the time it is provided.</w:t>
            </w:r>
          </w:p>
        </w:tc>
      </w:tr>
    </w:tbl>
    <w:p>
      <w:pPr>
        <w:spacing w:after="20"/>
      </w:pPr>
    </w:p>
    <w:p>
      <w:pPr>
        <w:pStyle w:val="Heading3"/>
        <w:keepNext/>
      </w:pPr>
      <w:r>
        <w:rPr>
          <w:b/>
          <w:i w:val="0"/>
        </w:rPr>
        <w:t>What Does Not Automatically Establish Competence?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Fact Often Used as Reassurance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Why It Is Not Enough</w:t>
            </w:r>
          </w:p>
        </w:tc>
      </w:tr>
      <w:tr>
        <w:trPr>
          <w:cantSplit w:val="1"/>
        </w:trPr>
        <w:tc>
          <w:tcPr>
            <w:tcW w:type="dxa" w:w="5023"/>
            <w:vAlign w:val="center"/>
            <w:tcMar>
              <w:top w:w="80" w:type="dxa"/>
              <w:start w:w="100" w:type="dxa"/>
              <w:bottom w:w="80" w:type="dxa"/>
              <w:end w:w="100" w:type="dxa"/>
            </w:tcMar>
          </w:tcPr>
          <w:p>
            <w:pPr>
              <w:pStyle w:val="CTABody"/>
              <w:spacing w:after="40"/>
            </w:pPr>
            <w:r/>
            <w:r>
              <w:t>A valid license</w:t>
            </w:r>
          </w:p>
        </w:tc>
        <w:tc>
          <w:tcPr>
            <w:tcW w:type="dxa" w:w="5023"/>
            <w:vAlign w:val="center"/>
            <w:tcMar>
              <w:top w:w="80" w:type="dxa"/>
              <w:start w:w="100" w:type="dxa"/>
              <w:bottom w:w="80" w:type="dxa"/>
              <w:end w:w="100" w:type="dxa"/>
            </w:tcMar>
          </w:tcPr>
          <w:p>
            <w:pPr>
              <w:pStyle w:val="CTABody"/>
              <w:spacing w:after="40"/>
            </w:pPr>
            <w:r/>
            <w:r>
              <w:t>Licensure establishes legal authority within a profession; it does not certify competence in every population, condition, method, or situation.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Confidence or comfort</w:t>
            </w:r>
          </w:p>
        </w:tc>
        <w:tc>
          <w:tcPr>
            <w:tcW w:type="dxa" w:w="5023"/>
            <w:vAlign w:val="center"/>
            <w:tcMar>
              <w:top w:w="80" w:type="dxa"/>
              <w:start w:w="100" w:type="dxa"/>
              <w:bottom w:w="80" w:type="dxa"/>
              <w:end w:w="100" w:type="dxa"/>
            </w:tcMar>
            <w:shd w:fill="F4F6F8"/>
          </w:tcPr>
          <w:p>
            <w:pPr>
              <w:pStyle w:val="CTABody"/>
              <w:spacing w:after="40"/>
            </w:pPr>
            <w:r/>
            <w:r>
              <w:t>A clinician may feel confident while missing essential knowledge or skill.</w:t>
            </w:r>
          </w:p>
        </w:tc>
      </w:tr>
      <w:tr>
        <w:trPr>
          <w:cantSplit w:val="1"/>
        </w:trPr>
        <w:tc>
          <w:tcPr>
            <w:tcW w:type="dxa" w:w="5023"/>
            <w:vAlign w:val="center"/>
            <w:tcMar>
              <w:top w:w="80" w:type="dxa"/>
              <w:start w:w="100" w:type="dxa"/>
              <w:bottom w:w="80" w:type="dxa"/>
              <w:end w:w="100" w:type="dxa"/>
            </w:tcMar>
          </w:tcPr>
          <w:p>
            <w:pPr>
              <w:pStyle w:val="CTABody"/>
              <w:spacing w:after="40"/>
            </w:pPr>
            <w:r/>
            <w:r>
              <w:t>Many years in practice</w:t>
            </w:r>
          </w:p>
        </w:tc>
        <w:tc>
          <w:tcPr>
            <w:tcW w:type="dxa" w:w="5023"/>
            <w:vAlign w:val="center"/>
            <w:tcMar>
              <w:top w:w="80" w:type="dxa"/>
              <w:start w:w="100" w:type="dxa"/>
              <w:bottom w:w="80" w:type="dxa"/>
              <w:end w:w="100" w:type="dxa"/>
            </w:tcMar>
          </w:tcPr>
          <w:p>
            <w:pPr>
              <w:pStyle w:val="CTABody"/>
              <w:spacing w:after="40"/>
            </w:pPr>
            <w:r/>
            <w:r>
              <w:t>General experience may not transfer to a specialized service or unfamiliar population.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Client preference</w:t>
            </w:r>
          </w:p>
        </w:tc>
        <w:tc>
          <w:tcPr>
            <w:tcW w:type="dxa" w:w="5023"/>
            <w:vAlign w:val="center"/>
            <w:tcMar>
              <w:top w:w="80" w:type="dxa"/>
              <w:start w:w="100" w:type="dxa"/>
              <w:bottom w:w="80" w:type="dxa"/>
              <w:end w:w="100" w:type="dxa"/>
            </w:tcMar>
            <w:shd w:fill="F4F6F8"/>
          </w:tcPr>
          <w:p>
            <w:pPr>
              <w:pStyle w:val="CTABody"/>
              <w:spacing w:after="40"/>
            </w:pPr>
            <w:r/>
            <w:r>
              <w:t>A client may strongly prefer the clinician, but client preference cannot create professional competence.</w:t>
            </w:r>
          </w:p>
        </w:tc>
      </w:tr>
      <w:tr>
        <w:trPr>
          <w:cantSplit w:val="1"/>
        </w:trPr>
        <w:tc>
          <w:tcPr>
            <w:tcW w:type="dxa" w:w="5023"/>
            <w:vAlign w:val="center"/>
            <w:tcMar>
              <w:top w:w="80" w:type="dxa"/>
              <w:start w:w="100" w:type="dxa"/>
              <w:bottom w:w="80" w:type="dxa"/>
              <w:end w:w="100" w:type="dxa"/>
            </w:tcMar>
          </w:tcPr>
          <w:p>
            <w:pPr>
              <w:pStyle w:val="CTABody"/>
              <w:spacing w:after="40"/>
            </w:pPr>
            <w:r/>
            <w:r>
              <w:t>Good intentions</w:t>
            </w:r>
          </w:p>
        </w:tc>
        <w:tc>
          <w:tcPr>
            <w:tcW w:type="dxa" w:w="5023"/>
            <w:vAlign w:val="center"/>
            <w:tcMar>
              <w:top w:w="80" w:type="dxa"/>
              <w:start w:w="100" w:type="dxa"/>
              <w:bottom w:w="80" w:type="dxa"/>
              <w:end w:w="100" w:type="dxa"/>
            </w:tcMar>
          </w:tcPr>
          <w:p>
            <w:pPr>
              <w:pStyle w:val="CTABody"/>
              <w:spacing w:after="40"/>
            </w:pPr>
            <w:r/>
            <w:r>
              <w:t>A desire to help does not replace adequate preparation or safe judgment.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One article or introductory course</w:t>
            </w:r>
          </w:p>
        </w:tc>
        <w:tc>
          <w:tcPr>
            <w:tcW w:type="dxa" w:w="5023"/>
            <w:vAlign w:val="center"/>
            <w:tcMar>
              <w:top w:w="80" w:type="dxa"/>
              <w:start w:w="100" w:type="dxa"/>
              <w:bottom w:w="80" w:type="dxa"/>
              <w:end w:w="100" w:type="dxa"/>
            </w:tcMar>
            <w:shd w:fill="F4F6F8"/>
          </w:tcPr>
          <w:p>
            <w:pPr>
              <w:pStyle w:val="CTABody"/>
              <w:spacing w:after="40"/>
            </w:pPr>
            <w:r/>
            <w:r>
              <w:t>Exposure to information may increase awareness without creating practical skill.</w:t>
            </w:r>
          </w:p>
        </w:tc>
      </w:tr>
      <w:tr>
        <w:trPr>
          <w:cantSplit w:val="1"/>
        </w:trPr>
        <w:tc>
          <w:tcPr>
            <w:tcW w:type="dxa" w:w="5023"/>
            <w:vAlign w:val="center"/>
            <w:tcMar>
              <w:top w:w="80" w:type="dxa"/>
              <w:start w:w="100" w:type="dxa"/>
              <w:bottom w:w="80" w:type="dxa"/>
              <w:end w:w="100" w:type="dxa"/>
            </w:tcMar>
          </w:tcPr>
          <w:p>
            <w:pPr>
              <w:pStyle w:val="CTABody"/>
              <w:spacing w:after="40"/>
            </w:pPr>
            <w:r/>
            <w:r>
              <w:t>The absence of prior complaints</w:t>
            </w:r>
          </w:p>
        </w:tc>
        <w:tc>
          <w:tcPr>
            <w:tcW w:type="dxa" w:w="5023"/>
            <w:vAlign w:val="center"/>
            <w:tcMar>
              <w:top w:w="80" w:type="dxa"/>
              <w:start w:w="100" w:type="dxa"/>
              <w:bottom w:w="80" w:type="dxa"/>
              <w:end w:w="100" w:type="dxa"/>
            </w:tcMar>
          </w:tcPr>
          <w:p>
            <w:pPr>
              <w:pStyle w:val="CTABody"/>
              <w:spacing w:after="40"/>
            </w:pPr>
            <w:r/>
            <w:r>
              <w:t>A clean complaint history does not establish competence for the specific service now being considered.</w:t>
            </w:r>
          </w:p>
        </w:tc>
      </w:tr>
    </w:tbl>
    <w:p>
      <w:pPr>
        <w:spacing w:after="20"/>
      </w:pPr>
    </w:p>
    <w:p>
      <w:pPr>
        <w:pStyle w:val="Heading3"/>
        <w:keepNext/>
      </w:pPr>
      <w:r>
        <w:rPr>
          <w:b/>
          <w:i w:val="0"/>
        </w:rPr>
        <w:t>Competence Is Context-Specific</w:t>
      </w:r>
    </w:p>
    <w:p>
      <w:pPr>
        <w:pStyle w:val="CTABody"/>
      </w:pPr>
      <w:r>
        <w:rPr>
          <w:b w:val="0"/>
          <w:i w:val="0"/>
        </w:rPr>
        <w:t>The correct competence question is not: “Am I a competent therapist?” It is: “Am I adequately prepared and currently able to provide this service to this client under these circumstances?”</w:t>
      </w:r>
    </w:p>
    <w:p>
      <w:pPr>
        <w:pStyle w:val="ListBullet"/>
      </w:pPr>
      <w:r>
        <w:t>Population: age, developmental level, disability, culture, language, and family context.</w:t>
      </w:r>
    </w:p>
    <w:p>
      <w:pPr>
        <w:pStyle w:val="ListBullet"/>
      </w:pPr>
      <w:r>
        <w:t>Presenting concern: diagnosis, complexity, comorbidity, severity, and medical or psychiatric interaction.</w:t>
      </w:r>
    </w:p>
    <w:p>
      <w:pPr>
        <w:pStyle w:val="ListBullet"/>
      </w:pPr>
      <w:r>
        <w:t>Intervention: required knowledge, practical skill, contraindications, and ability to manage complications.</w:t>
      </w:r>
    </w:p>
    <w:p>
      <w:pPr>
        <w:pStyle w:val="ListBullet"/>
      </w:pPr>
      <w:r>
        <w:t>Setting and role: outpatient, agency, school, forensic, crisis, telehealth, or another specialized environment.</w:t>
      </w:r>
    </w:p>
    <w:p>
      <w:pPr>
        <w:pStyle w:val="ListBullet"/>
      </w:pPr>
      <w:r>
        <w:t>Risk: suicidality, violence, grave disability, abuse, medical instability, or need for a higher level of care.</w:t>
      </w:r>
    </w:p>
    <w:p>
      <w:pPr>
        <w:pStyle w:val="ListBullet"/>
      </w:pPr>
      <w:r>
        <w:t>Clinician factors: fatigue, stress, health, substance use, personal values, bias, emotional reactions, or impairment.</w:t>
      </w:r>
    </w:p>
    <w:p>
      <w:pPr>
        <w:pStyle w:val="Heading3"/>
        <w:keepNext/>
      </w:pPr>
      <w:r>
        <w:rPr>
          <w:b/>
          <w:i w:val="0"/>
        </w:rPr>
        <w:t>Recognizing a Competence Concern</w:t>
      </w:r>
    </w:p>
    <w:p>
      <w:pPr>
        <w:pStyle w:val="CTABody"/>
      </w:pPr>
      <w:r>
        <w:rPr>
          <w:b w:val="0"/>
          <w:i w:val="0"/>
        </w:rPr>
        <w:t>A warning sign is not automatically proof that the clinician is incompetent or must end treatment. It is information that requires professional assessment. Competent clinicians notice the signal and respond before client welfare is compromised.</w:t>
      </w:r>
    </w:p>
    <w:p>
      <w:pPr>
        <w:pStyle w:val="ListBullet"/>
      </w:pPr>
      <w:r>
        <w:t>The clinician cannot explain the rationale, risks, or limits of the proposed intervention.</w:t>
      </w:r>
    </w:p>
    <w:p>
      <w:pPr>
        <w:pStyle w:val="ListBullet"/>
      </w:pPr>
      <w:r>
        <w:t>The case requires knowledge or skill the clinician has not developed.</w:t>
      </w:r>
    </w:p>
    <w:p>
      <w:pPr>
        <w:pStyle w:val="ListBullet"/>
      </w:pPr>
      <w:r>
        <w:t>The client belongs to a population with needs unfamiliar to the clinician.</w:t>
      </w:r>
    </w:p>
    <w:p>
      <w:pPr>
        <w:pStyle w:val="ListBullet"/>
      </w:pPr>
      <w:r>
        <w:t>The client's presentation becomes more severe or complex than anticipated.</w:t>
      </w:r>
    </w:p>
    <w:p>
      <w:pPr>
        <w:pStyle w:val="ListBullet"/>
      </w:pPr>
      <w:r>
        <w:t>The clinician repeatedly feels confused, overwhelmed, or unable to recognize deterioration.</w:t>
      </w:r>
    </w:p>
    <w:p>
      <w:pPr>
        <w:pStyle w:val="ListBullet"/>
      </w:pPr>
      <w:r>
        <w:t>Personal values, bias, countertransference, fatigue, illness, or distress are affecting objectivity or performance.</w:t>
      </w:r>
    </w:p>
    <w:p>
      <w:pPr>
        <w:pStyle w:val="ListBullet"/>
      </w:pPr>
      <w:r>
        <w:t>The clinician is relying primarily on confidence, reputation, income, or fear of appearing inexperienced.</w:t>
      </w:r>
    </w:p>
    <w:p>
      <w:pPr>
        <w:pStyle w:val="ListBullet"/>
      </w:pPr>
      <w:r>
        <w:t>The clinician recognizes a gap but avoids examining it or taking corrective action.</w:t>
      </w:r>
    </w:p>
    <w:p>
      <w:pPr>
        <w:pStyle w:val="Heading3"/>
        <w:keepNext/>
      </w:pPr>
      <w:r>
        <w:rPr>
          <w:b/>
          <w:i w:val="0"/>
        </w:rPr>
        <w:t>Uncertainty Does Not Equal Incompetence</w:t>
      </w:r>
    </w:p>
    <w:p>
      <w:pPr>
        <w:pStyle w:val="CTABody"/>
      </w:pPr>
      <w:r>
        <w:rPr>
          <w:b w:val="0"/>
          <w:i w:val="0"/>
        </w:rPr>
        <w:t>Clinicians will encounter unfamiliar or difficult situations. Feeling uncertain may reflect appropriate awareness rather than incompetence. The critical issue is how the clinician responds. A clinician who pauses, identifies what is missing, assesses risk, and chooses an appropriate response may be demonstrating competence. A clinician who ignores obvious limitations and proceeds automatically creates greater concern.</w:t>
      </w:r>
    </w:p>
    <w:p>
      <w:pPr>
        <w:pStyle w:val="Heading3"/>
        <w:keepNext/>
      </w:pPr>
      <w:r>
        <w:rPr>
          <w:b/>
          <w:i w:val="0"/>
        </w:rPr>
        <w:t>Client Welfare and Proportionate Action</w:t>
      </w:r>
    </w:p>
    <w:p>
      <w:pPr>
        <w:pStyle w:val="CTABody"/>
      </w:pPr>
      <w:r>
        <w:rPr>
          <w:b w:val="0"/>
          <w:i w:val="0"/>
        </w:rPr>
        <w:t>The response should match the seriousness and urgency of the concern. Immediate termination is not automatically the safest answer. Abruptly ending care can itself harm a client. The clinician should protect continuity when services can continue safely, while recognizing that referral, transfer, collaboration, or a higher level of care may become necessary when the limitation cannot be addressed adequately.</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High-Yield Exam Rule</w:t>
            </w:r>
            <w:r>
              <w:br/>
            </w:r>
            <w:r>
              <w:t>Choose the least disruptive response that adequately protects the client. “Least disruptive” never means continuing unsafe practice; it means avoiding unnecessary extremes while addressing the actual risk.</w:t>
            </w:r>
          </w:p>
        </w:tc>
      </w:tr>
    </w:tbl>
    <w:p>
      <w:pPr>
        <w:spacing w:after="20"/>
      </w:pPr>
    </w:p>
    <w:p>
      <w:pPr>
        <w:pStyle w:val="Heading3"/>
        <w:keepNext/>
      </w:pPr>
      <w:r>
        <w:rPr>
          <w:b/>
          <w:i w:val="0"/>
        </w:rPr>
        <w:t>What Do I Do First?</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 to Answer</w:t>
            </w:r>
          </w:p>
        </w:tc>
      </w:tr>
      <w:tr>
        <w:trPr>
          <w:cantSplit w:val="1"/>
        </w:trPr>
        <w:tc>
          <w:tcPr>
            <w:tcW w:type="dxa" w:w="5023"/>
            <w:vAlign w:val="center"/>
            <w:tcMar>
              <w:top w:w="80" w:type="dxa"/>
              <w:start w:w="100" w:type="dxa"/>
              <w:bottom w:w="80" w:type="dxa"/>
              <w:end w:w="100" w:type="dxa"/>
            </w:tcMar>
          </w:tcPr>
          <w:p>
            <w:pPr>
              <w:pStyle w:val="CTABody"/>
              <w:spacing w:after="40"/>
            </w:pPr>
            <w:r/>
            <w:r>
              <w:t>Identify the Specific Concern</w:t>
            </w:r>
          </w:p>
        </w:tc>
        <w:tc>
          <w:tcPr>
            <w:tcW w:type="dxa" w:w="5023"/>
            <w:vAlign w:val="center"/>
            <w:tcMar>
              <w:top w:w="80" w:type="dxa"/>
              <w:start w:w="100" w:type="dxa"/>
              <w:bottom w:w="80" w:type="dxa"/>
              <w:end w:w="100" w:type="dxa"/>
            </w:tcMar>
          </w:tcPr>
          <w:p>
            <w:pPr>
              <w:pStyle w:val="CTABody"/>
              <w:spacing w:after="40"/>
            </w:pPr>
            <w:r/>
            <w:r>
              <w:t>Determine what knowledge, skill, judgment, preparation, cultural understanding, or clinician-functioning issue may be missing.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Assess Client Risk and Urgency</w:t>
            </w:r>
          </w:p>
        </w:tc>
        <w:tc>
          <w:tcPr>
            <w:tcW w:type="dxa" w:w="5023"/>
            <w:vAlign w:val="center"/>
            <w:tcMar>
              <w:top w:w="80" w:type="dxa"/>
              <w:start w:w="100" w:type="dxa"/>
              <w:bottom w:w="80" w:type="dxa"/>
              <w:end w:w="100" w:type="dxa"/>
            </w:tcMar>
            <w:shd w:fill="F4F6F8"/>
          </w:tcPr>
          <w:p>
            <w:pPr>
              <w:pStyle w:val="CTABody"/>
              <w:spacing w:after="40"/>
            </w:pPr>
            <w:r/>
            <w:r>
              <w:t>Decide whether immediate protection is required and whether care can continue safely while the concern is addressed.</w:t>
            </w:r>
          </w:p>
        </w:tc>
      </w:tr>
      <w:tr>
        <w:trPr>
          <w:cantSplit w:val="1"/>
        </w:trPr>
        <w:tc>
          <w:tcPr>
            <w:tcW w:type="dxa" w:w="5023"/>
            <w:vAlign w:val="center"/>
            <w:tcMar>
              <w:top w:w="80" w:type="dxa"/>
              <w:start w:w="100" w:type="dxa"/>
              <w:bottom w:w="80" w:type="dxa"/>
              <w:end w:w="100" w:type="dxa"/>
            </w:tcMar>
          </w:tcPr>
          <w:p>
            <w:pPr>
              <w:pStyle w:val="CTABody"/>
              <w:spacing w:after="40"/>
            </w:pPr>
            <w:r/>
            <w:r>
              <w:t>Separate Evidence from Reassurance</w:t>
            </w:r>
          </w:p>
        </w:tc>
        <w:tc>
          <w:tcPr>
            <w:tcW w:type="dxa" w:w="5023"/>
            <w:vAlign w:val="center"/>
            <w:tcMar>
              <w:top w:w="80" w:type="dxa"/>
              <w:start w:w="100" w:type="dxa"/>
              <w:bottom w:w="80" w:type="dxa"/>
              <w:end w:w="100" w:type="dxa"/>
            </w:tcMar>
          </w:tcPr>
          <w:p>
            <w:pPr>
              <w:pStyle w:val="CTABody"/>
              <w:spacing w:after="40"/>
            </w:pPr>
            <w:r/>
            <w:r>
              <w:t>Do not rely on licensure, confidence, years of experience, client preference, or good intentions as substitutes for relevant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Determine What Level of Response Is Needed</w:t>
            </w:r>
          </w:p>
        </w:tc>
        <w:tc>
          <w:tcPr>
            <w:tcW w:type="dxa" w:w="5023"/>
            <w:vAlign w:val="center"/>
            <w:tcMar>
              <w:top w:w="80" w:type="dxa"/>
              <w:start w:w="100" w:type="dxa"/>
              <w:bottom w:w="80" w:type="dxa"/>
              <w:end w:w="100" w:type="dxa"/>
            </w:tcMar>
            <w:shd w:fill="F4F6F8"/>
          </w:tcPr>
          <w:p>
            <w:pPr>
              <w:pStyle w:val="CTABody"/>
              <w:spacing w:after="40"/>
            </w:pPr>
            <w:r/>
            <w:r>
              <w:t>Consider whether information, preparation, professional support, treatment modification, collaboration, referral, transfer, or a higher level of care is necessary.</w:t>
            </w:r>
          </w:p>
        </w:tc>
      </w:tr>
      <w:tr>
        <w:trPr>
          <w:cantSplit w:val="1"/>
        </w:trPr>
        <w:tc>
          <w:tcPr>
            <w:tcW w:type="dxa" w:w="5023"/>
            <w:vAlign w:val="center"/>
            <w:tcMar>
              <w:top w:w="80" w:type="dxa"/>
              <w:start w:w="100" w:type="dxa"/>
              <w:bottom w:w="80" w:type="dxa"/>
              <w:end w:w="100" w:type="dxa"/>
            </w:tcMar>
          </w:tcPr>
          <w:p>
            <w:pPr>
              <w:pStyle w:val="CTABody"/>
              <w:spacing w:after="40"/>
            </w:pPr>
            <w:r/>
            <w:r>
              <w:t>Document Significant Reasoning and Action</w:t>
            </w:r>
          </w:p>
        </w:tc>
        <w:tc>
          <w:tcPr>
            <w:tcW w:type="dxa" w:w="5023"/>
            <w:vAlign w:val="center"/>
            <w:tcMar>
              <w:top w:w="80" w:type="dxa"/>
              <w:start w:w="100" w:type="dxa"/>
              <w:bottom w:w="80" w:type="dxa"/>
              <w:end w:w="100" w:type="dxa"/>
            </w:tcMar>
          </w:tcPr>
          <w:p>
            <w:pPr>
              <w:pStyle w:val="CTABody"/>
              <w:spacing w:after="40"/>
            </w:pPr>
            <w:r/>
            <w:r>
              <w:t>Record clinically relevant concerns, risk assessment, consultation or support obtained, decisions, and follow-up when appropriate.</w:t>
            </w:r>
          </w:p>
        </w:tc>
      </w:tr>
    </w:tbl>
    <w:p>
      <w:pPr>
        <w:spacing w:after="20"/>
      </w:pPr>
    </w:p>
    <w:p>
      <w:pPr>
        <w:pStyle w:val="CTABody"/>
      </w:pPr>
      <w:r>
        <w:rPr>
          <w:b w:val="0"/>
          <w:i w:val="0"/>
        </w:rPr>
        <w:t>Later chapters explain scope of practice, competence maintenance, consultation, supervision, feedback, and role clarification in greater detail. Chapter 1 establishes the foundational reasoning sequence used throughout the workbook.</w:t>
      </w:r>
    </w:p>
    <w:p>
      <w:pPr>
        <w:pStyle w:val="Heading3"/>
        <w:keepNext/>
      </w:pPr>
      <w:r>
        <w:rPr>
          <w:b/>
          <w:i w:val="0"/>
        </w:rPr>
        <w:t>Clinical Applications</w:t>
      </w:r>
    </w:p>
    <w:p>
      <w:pPr>
        <w:pStyle w:val="Heading4"/>
        <w:keepNext/>
      </w:pPr>
      <w:r>
        <w:rPr>
          <w:b/>
          <w:i w:val="0"/>
        </w:rPr>
        <w:t>Clinical Application 1: Confidence Without Relevant Preparation</w:t>
      </w:r>
    </w:p>
    <w:p>
      <w:pPr>
        <w:pStyle w:val="CTABody"/>
      </w:pPr>
      <w:r>
        <w:rPr>
          <w:b w:val="0"/>
          <w:i w:val="0"/>
        </w:rPr>
        <w:t>A clinician with 18 years of general outpatient experience is asked to treat a severe eating disorder. The clinician has no specialized eating-disorder training and says, “I have been doing therapy long enough to figure this out.”</w:t>
      </w:r>
    </w:p>
    <w:p>
      <w:pPr>
        <w:pStyle w:val="CTABody"/>
      </w:pPr>
      <w:r>
        <w:rPr>
          <w:b w:val="0"/>
          <w:i w:val="0"/>
        </w:rPr>
        <w:t>Best analysis: The clinician's license and general experience do not establish competence for this specialized and potentially high-risk service. The clinician should identify the specific knowledge and skill gaps, assess the client's risk and needs, and determine a safe and proportionate response before proceeding.</w:t>
      </w:r>
    </w:p>
    <w:p>
      <w:pPr>
        <w:pStyle w:val="Heading4"/>
        <w:keepNext/>
      </w:pPr>
      <w:r>
        <w:rPr>
          <w:b/>
          <w:i w:val="0"/>
        </w:rPr>
        <w:t>Clinical Application 2: Personal Reactions Affecting Judgment</w:t>
      </w:r>
    </w:p>
    <w:p>
      <w:pPr>
        <w:pStyle w:val="CTABody"/>
      </w:pPr>
      <w:r>
        <w:rPr>
          <w:b w:val="0"/>
          <w:i w:val="0"/>
        </w:rPr>
        <w:t>A therapist becomes unusually protective of a client whose history resembles the therapist's own. The therapist begins dismissing information that conflicts with the therapist's view of the client.</w:t>
      </w:r>
    </w:p>
    <w:p>
      <w:pPr>
        <w:pStyle w:val="CTABody"/>
      </w:pPr>
      <w:r>
        <w:rPr>
          <w:b w:val="0"/>
          <w:i w:val="0"/>
        </w:rPr>
        <w:t>Best analysis: Self-awareness and current professional functioning are components of competence. The therapist should recognize that personal reactions may be impairing judgment, assess the impact on treatment, and take steps sufficient to protect the client.</w:t>
      </w:r>
    </w:p>
    <w:p>
      <w:pPr>
        <w:pStyle w:val="Heading4"/>
        <w:keepNext/>
      </w:pPr>
      <w:r>
        <w:rPr>
          <w:b/>
          <w:i w:val="0"/>
        </w:rPr>
        <w:t>Clinical Application 3: Urgent Risk and a Competence Gap</w:t>
      </w:r>
    </w:p>
    <w:p>
      <w:pPr>
        <w:pStyle w:val="CTABody"/>
      </w:pPr>
      <w:r>
        <w:rPr>
          <w:b w:val="0"/>
          <w:i w:val="0"/>
        </w:rPr>
        <w:t>A therapist who has limited crisis experience learns that a client has an immediate plan to harm another person. The therapist is unsure of every legal detail.</w:t>
      </w:r>
    </w:p>
    <w:p>
      <w:pPr>
        <w:pStyle w:val="CTABody"/>
      </w:pPr>
      <w:r>
        <w:rPr>
          <w:b w:val="0"/>
          <w:i w:val="0"/>
        </w:rPr>
        <w:t>Best analysis: The competence concern should be addressed, but routine learning or consultation must not delay necessary protective action. The therapist should respond to the urgent risk within the therapist's role, obtain prompt qualified assistance, and document the assessment and actions.</w:t>
      </w:r>
    </w:p>
    <w:p>
      <w:pPr>
        <w:pStyle w:val="Heading3"/>
        <w:keepNext/>
      </w:pPr>
      <w:r>
        <w:rPr>
          <w:b/>
          <w:i w:val="0"/>
        </w:rPr>
        <w:t>Common Exam Traps</w:t>
      </w:r>
    </w:p>
    <w:p>
      <w:pPr>
        <w:pStyle w:val="CTABody"/>
      </w:pPr>
      <w:r>
        <w:rPr>
          <w:b/>
          <w:i w:val="0"/>
        </w:rPr>
        <w:t>Trap 1: License Equals Competence</w:t>
      </w:r>
      <w:r>
        <w:rPr>
          <w:b w:val="0"/>
          <w:i w:val="0"/>
        </w:rPr>
        <w:t>. A credential establishes legal status, not universal ability.</w:t>
      </w:r>
    </w:p>
    <w:p>
      <w:pPr>
        <w:pStyle w:val="CTABody"/>
      </w:pPr>
      <w:r>
        <w:rPr>
          <w:b/>
          <w:i w:val="0"/>
        </w:rPr>
        <w:t>Trap 2: Confidence Equals Competence</w:t>
      </w:r>
      <w:r>
        <w:rPr>
          <w:b w:val="0"/>
          <w:i w:val="0"/>
        </w:rPr>
        <w:t>. Look for relevant preparation, not the clinician's feelings.</w:t>
      </w:r>
    </w:p>
    <w:p>
      <w:pPr>
        <w:pStyle w:val="CTABody"/>
      </w:pPr>
      <w:r>
        <w:rPr>
          <w:b/>
          <w:i w:val="0"/>
        </w:rPr>
        <w:t>Trap 3: Experience Automatically Transfers</w:t>
      </w:r>
      <w:r>
        <w:rPr>
          <w:b w:val="0"/>
          <w:i w:val="0"/>
        </w:rPr>
        <w:t>. Ask whether the experience directly matches the client, service, and risk.</w:t>
      </w:r>
    </w:p>
    <w:p>
      <w:pPr>
        <w:pStyle w:val="CTABody"/>
      </w:pPr>
      <w:r>
        <w:rPr>
          <w:b/>
          <w:i w:val="0"/>
        </w:rPr>
        <w:t>Trap 4: Recognizing a Limitation Means Failure</w:t>
      </w:r>
      <w:r>
        <w:rPr>
          <w:b w:val="0"/>
          <w:i w:val="0"/>
        </w:rPr>
        <w:t>. Awareness of a limitation may be evidence of sound professional judgment.</w:t>
      </w:r>
    </w:p>
    <w:p>
      <w:pPr>
        <w:pStyle w:val="CTABody"/>
      </w:pPr>
      <w:r>
        <w:rPr>
          <w:b/>
          <w:i w:val="0"/>
        </w:rPr>
        <w:t>Trap 5: Every Concern Requires Immediate Referral</w:t>
      </w:r>
      <w:r>
        <w:rPr>
          <w:b w:val="0"/>
          <w:i w:val="0"/>
        </w:rPr>
        <w:t>. Assess urgency, risk, available support, and continuity before choosing the response.</w:t>
      </w:r>
    </w:p>
    <w:p>
      <w:pPr>
        <w:pStyle w:val="CTABody"/>
      </w:pPr>
      <w:r>
        <w:rPr>
          <w:b/>
          <w:i w:val="0"/>
        </w:rPr>
        <w:t>Trap 6: Client Preference Creates Competence</w:t>
      </w:r>
      <w:r>
        <w:rPr>
          <w:b w:val="0"/>
          <w:i w:val="0"/>
        </w:rPr>
        <w:t>. The client's wishes matter, but they do not authorize unsafe or unprepared practice.</w:t>
      </w:r>
    </w:p>
    <w:p>
      <w:pPr>
        <w:pStyle w:val="CTABody"/>
      </w:pPr>
      <w:r>
        <w:rPr>
          <w:b/>
          <w:i w:val="0"/>
        </w:rPr>
        <w:t>Trap 7: No Harm Yet Means No Problem</w:t>
      </w:r>
      <w:r>
        <w:rPr>
          <w:b w:val="0"/>
          <w:i w:val="0"/>
        </w:rPr>
        <w:t>. Competence concerns should be addressed proactively rather than only after injury or complaint.</w:t>
      </w:r>
    </w:p>
    <w:p>
      <w:pPr>
        <w:pStyle w:val="CTABody"/>
      </w:pPr>
      <w:r>
        <w:rPr>
          <w:b/>
          <w:i w:val="0"/>
        </w:rPr>
        <w:t>Trap 8: The Clinician's Comfort Comes First</w:t>
      </w:r>
      <w:r>
        <w:rPr>
          <w:b w:val="0"/>
          <w:i w:val="0"/>
        </w:rPr>
        <w:t>. Pride, income, embarrassment, and convenience do not control the decision.</w:t>
      </w:r>
    </w:p>
    <w:p>
      <w:pPr>
        <w:pStyle w:val="Heading3"/>
        <w:keepNext/>
      </w:pPr>
      <w:r>
        <w:rPr>
          <w:b/>
          <w:i w:val="0"/>
        </w:rPr>
        <w:t>Chapter Snapshot</w:t>
      </w:r>
    </w:p>
    <w:p>
      <w:pPr>
        <w:pStyle w:val="ListBullet"/>
      </w:pPr>
      <w:r>
        <w:t>Competence is specific to the service, client, circumstances, risk, and clinician's current functioning.</w:t>
      </w:r>
    </w:p>
    <w:p>
      <w:pPr>
        <w:pStyle w:val="ListBullet"/>
      </w:pPr>
      <w:r>
        <w:t>Knowledge, skill, judgment, self-awareness, preparation, and functioning all matter.</w:t>
      </w:r>
    </w:p>
    <w:p>
      <w:pPr>
        <w:pStyle w:val="ListBullet"/>
      </w:pPr>
      <w:r>
        <w:t>Licensure, confidence, years of experience, good intentions, and client preference do not prove competence.</w:t>
      </w:r>
    </w:p>
    <w:p>
      <w:pPr>
        <w:pStyle w:val="ListBullet"/>
      </w:pPr>
      <w:r>
        <w:t>Uncertainty is a signal to assess—not automatic proof of incompetence.</w:t>
      </w:r>
    </w:p>
    <w:p>
      <w:pPr>
        <w:pStyle w:val="ListBullet"/>
      </w:pPr>
      <w:r>
        <w:t>The first response is to identify the concern and assess client risk and urgency.</w:t>
      </w:r>
    </w:p>
    <w:p>
      <w:pPr>
        <w:pStyle w:val="ListBullet"/>
      </w:pPr>
      <w:r>
        <w:t>Choose the least disruptive response that adequately protects the client.</w:t>
      </w:r>
    </w:p>
    <w:p>
      <w:pPr>
        <w:pStyle w:val="ListBullet"/>
      </w:pPr>
      <w:r>
        <w:t>Competence concerns should be addressed before harm or complaint occurs.</w:t>
      </w:r>
    </w:p>
    <w:p>
      <w:r/>
    </w:p>
    <w:p>
      <w:pPr>
        <w:pStyle w:val="CTAChapterNumber"/>
        <w:pageBreakBefore/>
      </w:pPr>
      <w:r>
        <w:t>CHAPTER 2</w:t>
      </w:r>
    </w:p>
    <w:p>
      <w:pPr>
        <w:pStyle w:val="CTAChapterTitle"/>
        <w:pageBreakBefore w:val="0"/>
      </w:pPr>
      <w:r>
        <w:t>Scope of Practice vs. Scope of Competence</w:t>
      </w:r>
    </w:p>
    <w:p>
      <w:pPr>
        <w:pStyle w:val="Subtitle"/>
        <w:pageBreakBefore w:val="0"/>
      </w:pPr>
      <w:r>
        <w:t>LCSW/ASW Candidate Chapter</w:t>
      </w:r>
    </w:p>
    <w:p>
      <w:pPr>
        <w:pStyle w:val="CTASmall"/>
        <w:pageBreakBefore w:val="0"/>
      </w:pPr>
      <w:r>
        <w:t>CTA-EP-002 | Version 1.0 | Source Review: August 7, 2026</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CHAPTER PURPOSE</w:t>
              <w:br/>
              <w:t>Separate profession scope, individual competence, and present authority before choosing an action.</w:t>
            </w:r>
          </w:p>
        </w:tc>
        <w:trPr>
          <w:tblHeader/>
        </w:trPr>
      </w:tr>
    </w:tbl>
    <w:p>
      <w:pPr>
        <w:pStyle w:val="Heading2"/>
        <w:pageBreakBefore w:val="0"/>
      </w:pPr>
      <w:r>
        <w:t>Learning Objectives</w:t>
      </w:r>
    </w:p>
    <w:p>
      <w:pPr>
        <w:pStyle w:val="ListBullet"/>
        <w:pageBreakBefore w:val="0"/>
      </w:pPr>
      <w:r>
        <w:t>Define statutory clinical-social-work scope.</w:t>
      </w:r>
    </w:p>
    <w:p>
      <w:pPr>
        <w:pStyle w:val="ListBullet"/>
        <w:pageBreakBefore w:val="0"/>
      </w:pPr>
      <w:r>
        <w:t>Distinguish scope from individual competence.</w:t>
      </w:r>
    </w:p>
    <w:p>
      <w:pPr>
        <w:pStyle w:val="ListBullet"/>
        <w:pageBreakBefore w:val="0"/>
      </w:pPr>
      <w:r>
        <w:t>Apply present authority: status, setting, role, employment, and supervision.</w:t>
      </w:r>
    </w:p>
    <w:p>
      <w:pPr>
        <w:pStyle w:val="ListBullet"/>
        <w:pageBreakBefore w:val="0"/>
      </w:pPr>
      <w:r>
        <w:t>Use training, consultation, supervision, referral, and continuity proportionately.</w:t>
      </w:r>
    </w:p>
    <w:p>
      <w:pPr>
        <w:pStyle w:val="ListBullet"/>
        <w:pageBreakBefore w:val="0"/>
      </w:pPr>
      <w:r>
        <w:t>Apply the CTA S-C-A framework to examination scenarios.</w:t>
      </w:r>
    </w:p>
    <w:p>
      <w:pPr>
        <w:pStyle w:val="Heading2"/>
        <w:pageBreakBefore w:val="0"/>
      </w:pPr>
      <w:r>
        <w:t>Why This Matters</w:t>
      </w:r>
    </w:p>
    <w:p>
      <w:pPr>
        <w:pStyle w:val="CTABody"/>
        <w:pageBreakBefore w:val="0"/>
      </w:pPr>
      <w:r>
        <w:t>A service may be legally within clinical social work and still be inappropriate for this clinician because the clinician lacks preparation or does not have authority in the current status, setting, or role. The examination rewards candidates who keep those questions separate.</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BIG IDEA</w:t>
              <w:br/>
              <w:t>Scope opens the door; competence and present authority determine whether this clinician may walk through it now.</w:t>
            </w:r>
          </w:p>
        </w:tc>
        <w:trPr>
          <w:tblHeader/>
        </w:trPr>
      </w:tr>
    </w:tbl>
    <w:p>
      <w:pPr>
        <w:pStyle w:val="Heading2"/>
        <w:pageBreakBefore w:val="0"/>
      </w:pPr>
      <w:r>
        <w:t>1. CTA S-C-A Framework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tcMar>
              <w:top w:w="65" w:type="dxa"/>
              <w:start w:w="75" w:type="dxa"/>
              <w:bottom w:w="65" w:type="dxa"/>
              <w:end w:w="75" w:type="dxa"/>
            </w:tcMar>
            <w:vAlign w:val="top"/>
            <w:shd w:fill="102A43"/>
          </w:tcPr>
          <w:p>
            <w:r>
              <w:rPr>
                <w:rFonts w:ascii="Arial" w:hAnsi="Arial"/>
                <w:b/>
                <w:color w:val="FFFFFF"/>
                <w:sz w:val="17"/>
              </w:rPr>
              <w:t>Gate</w:t>
            </w:r>
          </w:p>
        </w:tc>
        <w:tc>
          <w:tcPr>
            <w:tcW w:type="dxa" w:w="4320"/>
            <w:tcMar>
              <w:top w:w="65" w:type="dxa"/>
              <w:start w:w="75" w:type="dxa"/>
              <w:bottom w:w="65" w:type="dxa"/>
              <w:end w:w="75" w:type="dxa"/>
            </w:tcMar>
            <w:vAlign w:val="top"/>
            <w:shd w:fill="102A43"/>
          </w:tcPr>
          <w:p>
            <w:r>
              <w:rPr>
                <w:rFonts w:ascii="Arial" w:hAnsi="Arial"/>
                <w:b/>
                <w:color w:val="FFFFFF"/>
                <w:sz w:val="17"/>
              </w:rPr>
              <w:t>Candidate question</w:t>
            </w:r>
          </w:p>
        </w:tc>
        <w:tc>
          <w:tcPr>
            <w:tcW w:type="dxa" w:w="4320"/>
            <w:tcMar>
              <w:top w:w="65" w:type="dxa"/>
              <w:start w:w="75" w:type="dxa"/>
              <w:bottom w:w="65" w:type="dxa"/>
              <w:end w:w="75" w:type="dxa"/>
            </w:tcMar>
            <w:vAlign w:val="top"/>
            <w:shd w:fill="102A43"/>
          </w:tcPr>
          <w:p>
            <w:r>
              <w:rPr>
                <w:rFonts w:ascii="Arial" w:hAnsi="Arial"/>
                <w:b/>
                <w:color w:val="FFFFFF"/>
                <w:sz w:val="17"/>
              </w:rPr>
              <w:t>Evidence</w:t>
            </w:r>
          </w:p>
        </w:tc>
      </w:tr>
      <w:tr>
        <w:tc>
          <w:tcPr>
            <w:tcW w:type="dxa" w:w="1440"/>
            <w:tcMar>
              <w:top w:w="65" w:type="dxa"/>
              <w:start w:w="75" w:type="dxa"/>
              <w:bottom w:w="65" w:type="dxa"/>
              <w:end w:w="75" w:type="dxa"/>
            </w:tcMar>
            <w:vAlign w:val="top"/>
          </w:tcPr>
          <w:p>
            <w:r>
              <w:rPr>
                <w:rFonts w:ascii="Arial" w:hAnsi="Arial"/>
                <w:b w:val="0"/>
                <w:color w:val="1F2933"/>
                <w:sz w:val="17"/>
              </w:rPr>
              <w:t>S - Scope</w:t>
            </w:r>
          </w:p>
        </w:tc>
        <w:tc>
          <w:tcPr>
            <w:tcW w:type="dxa" w:w="4320"/>
            <w:tcMar>
              <w:top w:w="65" w:type="dxa"/>
              <w:start w:w="75" w:type="dxa"/>
              <w:bottom w:w="65" w:type="dxa"/>
              <w:end w:w="75" w:type="dxa"/>
            </w:tcMar>
            <w:vAlign w:val="top"/>
          </w:tcPr>
          <w:p>
            <w:r>
              <w:rPr>
                <w:rFonts w:ascii="Arial" w:hAnsi="Arial"/>
                <w:b w:val="0"/>
                <w:color w:val="1F2933"/>
                <w:sz w:val="17"/>
              </w:rPr>
              <w:t>Is the service part of clinical social work under current law?</w:t>
            </w:r>
          </w:p>
        </w:tc>
        <w:tc>
          <w:tcPr>
            <w:tcW w:type="dxa" w:w="4320"/>
            <w:tcMar>
              <w:top w:w="65" w:type="dxa"/>
              <w:start w:w="75" w:type="dxa"/>
              <w:bottom w:w="65" w:type="dxa"/>
              <w:end w:w="75" w:type="dxa"/>
            </w:tcMar>
            <w:vAlign w:val="top"/>
          </w:tcPr>
          <w:p>
            <w:r>
              <w:rPr>
                <w:rFonts w:ascii="Arial" w:hAnsi="Arial"/>
                <w:b w:val="0"/>
                <w:color w:val="1F2933"/>
                <w:sz w:val="17"/>
              </w:rPr>
              <w:t>Clinical Social Worker Practice Act and current BBS rules</w:t>
            </w:r>
          </w:p>
        </w:tc>
      </w:tr>
      <w:tr>
        <w:tc>
          <w:tcPr>
            <w:tcW w:type="dxa" w:w="1440"/>
            <w:tcMar>
              <w:top w:w="65" w:type="dxa"/>
              <w:start w:w="75" w:type="dxa"/>
              <w:bottom w:w="65" w:type="dxa"/>
              <w:end w:w="75" w:type="dxa"/>
            </w:tcMar>
            <w:vAlign w:val="top"/>
            <w:shd w:fill="F3F5F7"/>
          </w:tcPr>
          <w:p>
            <w:r>
              <w:rPr>
                <w:rFonts w:ascii="Arial" w:hAnsi="Arial"/>
                <w:b w:val="0"/>
                <w:color w:val="1F2933"/>
                <w:sz w:val="17"/>
              </w:rPr>
              <w:t>C - Competence</w:t>
            </w:r>
          </w:p>
        </w:tc>
        <w:tc>
          <w:tcPr>
            <w:tcW w:type="dxa" w:w="4320"/>
            <w:tcMar>
              <w:top w:w="65" w:type="dxa"/>
              <w:start w:w="75" w:type="dxa"/>
              <w:bottom w:w="65" w:type="dxa"/>
              <w:end w:w="75" w:type="dxa"/>
            </w:tcMar>
            <w:vAlign w:val="top"/>
            <w:shd w:fill="F3F5F7"/>
          </w:tcPr>
          <w:p>
            <w:r>
              <w:rPr>
                <w:rFonts w:ascii="Arial" w:hAnsi="Arial"/>
                <w:b w:val="0"/>
                <w:color w:val="1F2933"/>
                <w:sz w:val="17"/>
              </w:rPr>
              <w:t>Does this clinician have relevant education, training, experience, skill, judgment, cultural/linguistic preparation, and current functioning?</w:t>
            </w:r>
          </w:p>
        </w:tc>
        <w:tc>
          <w:tcPr>
            <w:tcW w:type="dxa" w:w="4320"/>
            <w:tcMar>
              <w:top w:w="65" w:type="dxa"/>
              <w:start w:w="75" w:type="dxa"/>
              <w:bottom w:w="65" w:type="dxa"/>
              <w:end w:w="75" w:type="dxa"/>
            </w:tcMar>
            <w:vAlign w:val="top"/>
            <w:shd w:fill="F3F5F7"/>
          </w:tcPr>
          <w:p>
            <w:r>
              <w:rPr>
                <w:rFonts w:ascii="Arial" w:hAnsi="Arial"/>
                <w:b w:val="0"/>
                <w:color w:val="1F2933"/>
                <w:sz w:val="17"/>
              </w:rPr>
              <w:t>Training, supervised practice, outcomes, consultation, current fitness</w:t>
            </w:r>
          </w:p>
        </w:tc>
      </w:tr>
      <w:tr>
        <w:tc>
          <w:tcPr>
            <w:tcW w:type="dxa" w:w="1440"/>
            <w:tcMar>
              <w:top w:w="65" w:type="dxa"/>
              <w:start w:w="75" w:type="dxa"/>
              <w:bottom w:w="65" w:type="dxa"/>
              <w:end w:w="75" w:type="dxa"/>
            </w:tcMar>
            <w:vAlign w:val="top"/>
          </w:tcPr>
          <w:p>
            <w:r>
              <w:rPr>
                <w:rFonts w:ascii="Arial" w:hAnsi="Arial"/>
                <w:b w:val="0"/>
                <w:color w:val="1F2933"/>
                <w:sz w:val="17"/>
              </w:rPr>
              <w:t>A - Authority now</w:t>
            </w:r>
          </w:p>
        </w:tc>
        <w:tc>
          <w:tcPr>
            <w:tcW w:type="dxa" w:w="4320"/>
            <w:tcMar>
              <w:top w:w="65" w:type="dxa"/>
              <w:start w:w="75" w:type="dxa"/>
              <w:bottom w:w="65" w:type="dxa"/>
              <w:end w:w="75" w:type="dxa"/>
            </w:tcMar>
            <w:vAlign w:val="top"/>
          </w:tcPr>
          <w:p>
            <w:r>
              <w:rPr>
                <w:rFonts w:ascii="Arial" w:hAnsi="Arial"/>
                <w:b w:val="0"/>
                <w:color w:val="1F2933"/>
                <w:sz w:val="17"/>
              </w:rPr>
              <w:t>May this clinician provide it in this status, setting, role, and supervision structure?</w:t>
            </w:r>
          </w:p>
        </w:tc>
        <w:tc>
          <w:tcPr>
            <w:tcW w:type="dxa" w:w="4320"/>
            <w:tcMar>
              <w:top w:w="65" w:type="dxa"/>
              <w:start w:w="75" w:type="dxa"/>
              <w:bottom w:w="65" w:type="dxa"/>
              <w:end w:w="75" w:type="dxa"/>
            </w:tcMar>
            <w:vAlign w:val="top"/>
          </w:tcPr>
          <w:p>
            <w:r>
              <w:rPr>
                <w:rFonts w:ascii="Arial" w:hAnsi="Arial"/>
                <w:b w:val="0"/>
                <w:color w:val="1F2933"/>
                <w:sz w:val="17"/>
              </w:rPr>
              <w:t>License/registration, setting, employer, supervision, role limits</w:t>
            </w:r>
          </w:p>
        </w:tc>
      </w:tr>
    </w:tbl>
    <w:p>
      <w:pPr>
        <w:pStyle w:val="Heading2"/>
        <w:pageBreakBefore w:val="0"/>
      </w:pPr>
      <w:r>
        <w:t>2. Statutory Clinical-Social-Work Scope</w:t>
      </w:r>
    </w:p>
    <w:p>
      <w:pPr>
        <w:pStyle w:val="CTABody"/>
        <w:pageBreakBefore w:val="0"/>
      </w:pPr>
      <w:r>
        <w:t>Business and Professions Code section 4996.9 defines clinical social work broadly. Profession-level scope answers whether a service belongs within clinical social work; it does not certify every LCSW or ASW as competent for every method, instrument, population, diagnosis, or risk level.</w:t>
      </w:r>
    </w:p>
    <w:p>
      <w:pPr>
        <w:pStyle w:val="Heading2"/>
        <w:pageBreakBefore w:val="0"/>
      </w:pPr>
      <w:r>
        <w:t>3. Scope Is Not Competence</w:t>
      </w:r>
    </w:p>
    <w:p>
      <w:pPr>
        <w:pStyle w:val="CTABody"/>
        <w:pageBreakBefore w:val="0"/>
      </w:pPr>
      <w:r>
        <w:t>A valid credential establishes professional status, not universal competence. Specialized methods and high-risk work require preparation matched to the actual task, client, and risk. Client consent cannot authorize incompetent practice.</w:t>
      </w:r>
    </w:p>
    <w:p>
      <w:pPr>
        <w:pStyle w:val="Heading2"/>
        <w:pageBreakBefore w:val="0"/>
      </w:pPr>
      <w:r>
        <w:t>4. Present Authority Is Separate</w:t>
      </w:r>
    </w:p>
    <w:p>
      <w:pPr>
        <w:pStyle w:val="CTABody"/>
        <w:pageBreakBefore w:val="0"/>
      </w:pPr>
      <w:r>
        <w:t>For an ASW, present authority includes current registration, a lawful employee/volunteer relationship, a permitted setting, qualifying supervision, and an assigned service that fits the associate role. Employer assignment or weekly consultation does not cure an unlawful work structure.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tcMar>
              <w:top w:w="65" w:type="dxa"/>
              <w:start w:w="75" w:type="dxa"/>
              <w:bottom w:w="65" w:type="dxa"/>
              <w:end w:w="75" w:type="dxa"/>
            </w:tcMar>
            <w:vAlign w:val="top"/>
            <w:shd w:fill="102A43"/>
          </w:tcPr>
          <w:p>
            <w:r>
              <w:rPr>
                <w:rFonts w:ascii="Arial" w:hAnsi="Arial"/>
                <w:b/>
                <w:color w:val="FFFFFF"/>
                <w:sz w:val="17"/>
              </w:rPr>
              <w:t>Fact</w:t>
            </w:r>
          </w:p>
        </w:tc>
        <w:tc>
          <w:tcPr>
            <w:tcW w:type="dxa" w:w="3600"/>
            <w:tcMar>
              <w:top w:w="65" w:type="dxa"/>
              <w:start w:w="75" w:type="dxa"/>
              <w:bottom w:w="65" w:type="dxa"/>
              <w:end w:w="75" w:type="dxa"/>
            </w:tcMar>
            <w:vAlign w:val="top"/>
            <w:shd w:fill="102A43"/>
          </w:tcPr>
          <w:p>
            <w:r>
              <w:rPr>
                <w:rFonts w:ascii="Arial" w:hAnsi="Arial"/>
                <w:b/>
                <w:color w:val="FFFFFF"/>
                <w:sz w:val="17"/>
              </w:rPr>
              <w:t>Does</w:t>
            </w:r>
          </w:p>
        </w:tc>
        <w:tc>
          <w:tcPr>
            <w:tcW w:type="dxa" w:w="4176"/>
            <w:tcMar>
              <w:top w:w="65" w:type="dxa"/>
              <w:start w:w="75" w:type="dxa"/>
              <w:bottom w:w="65" w:type="dxa"/>
              <w:end w:w="75" w:type="dxa"/>
            </w:tcMar>
            <w:vAlign w:val="top"/>
            <w:shd w:fill="102A43"/>
          </w:tcPr>
          <w:p>
            <w:r>
              <w:rPr>
                <w:rFonts w:ascii="Arial" w:hAnsi="Arial"/>
                <w:b/>
                <w:color w:val="FFFFFF"/>
                <w:sz w:val="17"/>
              </w:rPr>
              <w:t>Does NOT</w:t>
            </w:r>
          </w:p>
        </w:tc>
      </w:tr>
      <w:tr>
        <w:tc>
          <w:tcPr>
            <w:tcW w:type="dxa" w:w="2304"/>
            <w:tcMar>
              <w:top w:w="65" w:type="dxa"/>
              <w:start w:w="75" w:type="dxa"/>
              <w:bottom w:w="65" w:type="dxa"/>
              <w:end w:w="75" w:type="dxa"/>
            </w:tcMar>
            <w:vAlign w:val="top"/>
          </w:tcPr>
          <w:p>
            <w:r>
              <w:rPr>
                <w:rFonts w:ascii="Arial" w:hAnsi="Arial"/>
                <w:b w:val="0"/>
                <w:color w:val="1F2933"/>
                <w:sz w:val="17"/>
              </w:rPr>
              <w:t>Employer assignment</w:t>
            </w:r>
          </w:p>
        </w:tc>
        <w:tc>
          <w:tcPr>
            <w:tcW w:type="dxa" w:w="3600"/>
            <w:tcMar>
              <w:top w:w="65" w:type="dxa"/>
              <w:start w:w="75" w:type="dxa"/>
              <w:bottom w:w="65" w:type="dxa"/>
              <w:end w:w="75" w:type="dxa"/>
            </w:tcMar>
            <w:vAlign w:val="top"/>
          </w:tcPr>
          <w:p>
            <w:r>
              <w:rPr>
                <w:rFonts w:ascii="Arial" w:hAnsi="Arial"/>
                <w:b w:val="0"/>
                <w:color w:val="1F2933"/>
                <w:sz w:val="17"/>
              </w:rPr>
              <w:t>Creates an organizational expectation within lawful limits</w:t>
            </w:r>
          </w:p>
        </w:tc>
        <w:tc>
          <w:tcPr>
            <w:tcW w:type="dxa" w:w="4176"/>
            <w:tcMar>
              <w:top w:w="65" w:type="dxa"/>
              <w:start w:w="75" w:type="dxa"/>
              <w:bottom w:w="65" w:type="dxa"/>
              <w:end w:w="75" w:type="dxa"/>
            </w:tcMar>
            <w:vAlign w:val="top"/>
          </w:tcPr>
          <w:p>
            <w:r>
              <w:rPr>
                <w:rFonts w:ascii="Arial" w:hAnsi="Arial"/>
                <w:b w:val="0"/>
                <w:color w:val="1F2933"/>
                <w:sz w:val="17"/>
              </w:rPr>
              <w:t>Expand statutory scope or waive registration/supervision</w:t>
            </w:r>
          </w:p>
        </w:tc>
      </w:tr>
      <w:tr>
        <w:tc>
          <w:tcPr>
            <w:tcW w:type="dxa" w:w="2304"/>
            <w:tcMar>
              <w:top w:w="65" w:type="dxa"/>
              <w:start w:w="75" w:type="dxa"/>
              <w:bottom w:w="65" w:type="dxa"/>
              <w:end w:w="75" w:type="dxa"/>
            </w:tcMar>
            <w:vAlign w:val="top"/>
            <w:shd w:fill="F3F5F7"/>
          </w:tcPr>
          <w:p>
            <w:r>
              <w:rPr>
                <w:rFonts w:ascii="Arial" w:hAnsi="Arial"/>
                <w:b w:val="0"/>
                <w:color w:val="1F2933"/>
                <w:sz w:val="17"/>
              </w:rPr>
              <w:t>Supervisor approval</w:t>
            </w:r>
          </w:p>
        </w:tc>
        <w:tc>
          <w:tcPr>
            <w:tcW w:type="dxa" w:w="3600"/>
            <w:tcMar>
              <w:top w:w="65" w:type="dxa"/>
              <w:start w:w="75" w:type="dxa"/>
              <w:bottom w:w="65" w:type="dxa"/>
              <w:end w:w="75" w:type="dxa"/>
            </w:tcMar>
            <w:vAlign w:val="top"/>
            <w:shd w:fill="F3F5F7"/>
          </w:tcPr>
          <w:p>
            <w:r>
              <w:rPr>
                <w:rFonts w:ascii="Arial" w:hAnsi="Arial"/>
                <w:b w:val="0"/>
                <w:color w:val="1F2933"/>
                <w:sz w:val="17"/>
              </w:rPr>
              <w:t>Provides oversight within a lawful supervisory role</w:t>
            </w:r>
          </w:p>
        </w:tc>
        <w:tc>
          <w:tcPr>
            <w:tcW w:type="dxa" w:w="4176"/>
            <w:tcMar>
              <w:top w:w="65" w:type="dxa"/>
              <w:start w:w="75" w:type="dxa"/>
              <w:bottom w:w="65" w:type="dxa"/>
              <w:end w:w="75" w:type="dxa"/>
            </w:tcMar>
            <w:vAlign w:val="top"/>
            <w:shd w:fill="F3F5F7"/>
          </w:tcPr>
          <w:p>
            <w:r>
              <w:rPr>
                <w:rFonts w:ascii="Arial" w:hAnsi="Arial"/>
                <w:b w:val="0"/>
                <w:color w:val="1F2933"/>
                <w:sz w:val="17"/>
              </w:rPr>
              <w:t>Transfer the supervisor’s credential or competence</w:t>
            </w:r>
          </w:p>
        </w:tc>
      </w:tr>
      <w:tr>
        <w:tc>
          <w:tcPr>
            <w:tcW w:type="dxa" w:w="2304"/>
            <w:tcMar>
              <w:top w:w="65" w:type="dxa"/>
              <w:start w:w="75" w:type="dxa"/>
              <w:bottom w:w="65" w:type="dxa"/>
              <w:end w:w="75" w:type="dxa"/>
            </w:tcMar>
            <w:vAlign w:val="top"/>
          </w:tcPr>
          <w:p>
            <w:r>
              <w:rPr>
                <w:rFonts w:ascii="Arial" w:hAnsi="Arial"/>
                <w:b w:val="0"/>
                <w:color w:val="1F2933"/>
                <w:sz w:val="17"/>
              </w:rPr>
              <w:t>Client consent</w:t>
            </w:r>
          </w:p>
        </w:tc>
        <w:tc>
          <w:tcPr>
            <w:tcW w:type="dxa" w:w="3600"/>
            <w:tcMar>
              <w:top w:w="65" w:type="dxa"/>
              <w:start w:w="75" w:type="dxa"/>
              <w:bottom w:w="65" w:type="dxa"/>
              <w:end w:w="75" w:type="dxa"/>
            </w:tcMar>
            <w:vAlign w:val="top"/>
          </w:tcPr>
          <w:p>
            <w:r>
              <w:rPr>
                <w:rFonts w:ascii="Arial" w:hAnsi="Arial"/>
                <w:b w:val="0"/>
                <w:color w:val="1F2933"/>
                <w:sz w:val="17"/>
              </w:rPr>
              <w:t>Supports informed participation</w:t>
            </w:r>
          </w:p>
        </w:tc>
        <w:tc>
          <w:tcPr>
            <w:tcW w:type="dxa" w:w="4176"/>
            <w:tcMar>
              <w:top w:w="65" w:type="dxa"/>
              <w:start w:w="75" w:type="dxa"/>
              <w:bottom w:w="65" w:type="dxa"/>
              <w:end w:w="75" w:type="dxa"/>
            </w:tcMar>
            <w:vAlign w:val="top"/>
          </w:tcPr>
          <w:p>
            <w:r>
              <w:rPr>
                <w:rFonts w:ascii="Arial" w:hAnsi="Arial"/>
                <w:b w:val="0"/>
                <w:color w:val="1F2933"/>
                <w:sz w:val="17"/>
              </w:rPr>
              <w:t>Authorize incompetent or prohibited practice</w:t>
            </w:r>
          </w:p>
        </w:tc>
      </w:tr>
      <w:tr>
        <w:tc>
          <w:tcPr>
            <w:tcW w:type="dxa" w:w="2304"/>
            <w:tcMar>
              <w:top w:w="65" w:type="dxa"/>
              <w:start w:w="75" w:type="dxa"/>
              <w:bottom w:w="65" w:type="dxa"/>
              <w:end w:w="75" w:type="dxa"/>
            </w:tcMar>
            <w:vAlign w:val="top"/>
            <w:shd w:fill="F3F5F7"/>
          </w:tcPr>
          <w:p>
            <w:r>
              <w:rPr>
                <w:rFonts w:ascii="Arial" w:hAnsi="Arial"/>
                <w:b w:val="0"/>
                <w:color w:val="1F2933"/>
                <w:sz w:val="17"/>
              </w:rPr>
              <w:t>Consultation</w:t>
            </w:r>
          </w:p>
        </w:tc>
        <w:tc>
          <w:tcPr>
            <w:tcW w:type="dxa" w:w="3600"/>
            <w:tcMar>
              <w:top w:w="65" w:type="dxa"/>
              <w:start w:w="75" w:type="dxa"/>
              <w:bottom w:w="65" w:type="dxa"/>
              <w:end w:w="75" w:type="dxa"/>
            </w:tcMar>
            <w:vAlign w:val="top"/>
            <w:shd w:fill="F3F5F7"/>
          </w:tcPr>
          <w:p>
            <w:r>
              <w:rPr>
                <w:rFonts w:ascii="Arial" w:hAnsi="Arial"/>
                <w:b w:val="0"/>
                <w:color w:val="1F2933"/>
                <w:sz w:val="17"/>
              </w:rPr>
              <w:t>Supports reasoning and skill development</w:t>
            </w:r>
          </w:p>
        </w:tc>
        <w:tc>
          <w:tcPr>
            <w:tcW w:type="dxa" w:w="4176"/>
            <w:tcMar>
              <w:top w:w="65" w:type="dxa"/>
              <w:start w:w="75" w:type="dxa"/>
              <w:bottom w:w="65" w:type="dxa"/>
              <w:end w:w="75" w:type="dxa"/>
            </w:tcMar>
            <w:vAlign w:val="top"/>
            <w:shd w:fill="F3F5F7"/>
          </w:tcPr>
          <w:p>
            <w:r>
              <w:rPr>
                <w:rFonts w:ascii="Arial" w:hAnsi="Arial"/>
                <w:b w:val="0"/>
                <w:color w:val="1F2933"/>
                <w:sz w:val="17"/>
              </w:rPr>
              <w:t>Create legal authority or replace required supervision</w:t>
            </w:r>
          </w:p>
        </w:tc>
      </w:tr>
    </w:tbl>
    <w:p>
      <w:pPr>
        <w:pStyle w:val="Heading2"/>
        <w:pageBreakBefore w:val="0"/>
      </w:pPr>
      <w:r>
        <w:t>5. Specialized Methods and Instruments</w:t>
      </w:r>
    </w:p>
    <w:p>
      <w:pPr>
        <w:pStyle w:val="CTABody"/>
        <w:pageBreakBefore w:val="0"/>
      </w:pPr>
      <w:r>
        <w:t>A brief introduction may be insufficient for a specialized protocol. Assessment tools can carry publisher or method-specific qualifications. General years in practice do not substitute for tool-specific preparation.</w:t>
      </w:r>
    </w:p>
    <w:p>
      <w:pPr>
        <w:pStyle w:val="Heading2"/>
        <w:pageBreakBefore w:val="0"/>
      </w:pPr>
      <w:r>
        <w:t>6. Cultural and Linguistic Competence</w:t>
      </w:r>
    </w:p>
    <w:p>
      <w:pPr>
        <w:pStyle w:val="CTABody"/>
        <w:pageBreakBefore w:val="0"/>
      </w:pPr>
      <w:r>
        <w:t>Effective communication, cultural humility, individualized inquiry, access, and confidentiality are part of competent care. Arrange appropriate language support, use consultation when useful, and assess whether the gap can be responsibly supported or requires referral.</w:t>
      </w:r>
    </w:p>
    <w:p>
      <w:pPr>
        <w:pStyle w:val="Heading2"/>
        <w:pageBreakBefore w:val="0"/>
      </w:pPr>
      <w:r>
        <w:t>7. Consultation vs. Supervision</w:t>
      </w:r>
    </w:p>
    <w:p>
      <w:pPr>
        <w:pStyle w:val="CTABody"/>
        <w:pageBreakBefore w:val="0"/>
      </w:pPr>
      <w:r>
        <w:t>Consultation can improve reasoning and expose blind spots. Supervision provides structured oversight when required. Neither expands statutory scope. For an ASW, consultation is supplemental and does not replace BBS-required supervision.</w:t>
      </w:r>
    </w:p>
    <w:p>
      <w:pPr>
        <w:pStyle w:val="Heading2"/>
        <w:pageBreakBefore w:val="0"/>
      </w:pPr>
      <w:r>
        <w:t>8. Urgent Bridge Action</w:t>
      </w:r>
    </w:p>
    <w:p>
      <w:pPr>
        <w:pStyle w:val="CTABody"/>
        <w:pageBreakBefore w:val="0"/>
      </w:pPr>
      <w:r>
        <w:t>When acute risk appears outside the clinician’s ordinary specialty, protect the client within the lawful role and current competence, obtain prompt qualified assistance, and arrange the appropriate level of care. Urgency creates a narrow protective bridge, not permanent specialty competence.</w:t>
      </w:r>
    </w:p>
    <w:p>
      <w:pPr>
        <w:pStyle w:val="Heading2"/>
        <w:pageBreakBefore w:val="0"/>
      </w:pPr>
      <w:r>
        <w:t>9. Proportionate Response and Continuity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456"/>
            <w:tcMar>
              <w:top w:w="65" w:type="dxa"/>
              <w:start w:w="75" w:type="dxa"/>
              <w:bottom w:w="65" w:type="dxa"/>
              <w:end w:w="75" w:type="dxa"/>
            </w:tcMar>
            <w:vAlign w:val="top"/>
            <w:shd w:fill="102A43"/>
          </w:tcPr>
          <w:p>
            <w:r>
              <w:rPr>
                <w:rFonts w:ascii="Arial" w:hAnsi="Arial"/>
                <w:b/>
                <w:color w:val="FFFFFF"/>
                <w:sz w:val="17"/>
              </w:rPr>
              <w:t>Situation</w:t>
            </w:r>
          </w:p>
        </w:tc>
        <w:tc>
          <w:tcPr>
            <w:tcW w:type="dxa" w:w="6624"/>
            <w:tcMar>
              <w:top w:w="65" w:type="dxa"/>
              <w:start w:w="75" w:type="dxa"/>
              <w:bottom w:w="65" w:type="dxa"/>
              <w:end w:w="75" w:type="dxa"/>
            </w:tcMar>
            <w:vAlign w:val="top"/>
            <w:shd w:fill="102A43"/>
          </w:tcPr>
          <w:p>
            <w:r>
              <w:rPr>
                <w:rFonts w:ascii="Arial" w:hAnsi="Arial"/>
                <w:b/>
                <w:color w:val="FFFFFF"/>
                <w:sz w:val="17"/>
              </w:rPr>
              <w:t>Proportionate response</w:t>
            </w:r>
          </w:p>
        </w:tc>
      </w:tr>
      <w:tr>
        <w:tc>
          <w:tcPr>
            <w:tcW w:type="dxa" w:w="3456"/>
            <w:tcMar>
              <w:top w:w="65" w:type="dxa"/>
              <w:start w:w="75" w:type="dxa"/>
              <w:bottom w:w="65" w:type="dxa"/>
              <w:end w:w="75" w:type="dxa"/>
            </w:tcMar>
            <w:vAlign w:val="top"/>
          </w:tcPr>
          <w:p>
            <w:r>
              <w:rPr>
                <w:rFonts w:ascii="Arial" w:hAnsi="Arial"/>
                <w:b w:val="0"/>
                <w:color w:val="1F2933"/>
                <w:sz w:val="17"/>
              </w:rPr>
              <w:t>Minor gap / low risk</w:t>
            </w:r>
          </w:p>
        </w:tc>
        <w:tc>
          <w:tcPr>
            <w:tcW w:type="dxa" w:w="6624"/>
            <w:tcMar>
              <w:top w:w="65" w:type="dxa"/>
              <w:start w:w="75" w:type="dxa"/>
              <w:bottom w:w="65" w:type="dxa"/>
              <w:end w:w="75" w:type="dxa"/>
            </w:tcMar>
            <w:vAlign w:val="top"/>
          </w:tcPr>
          <w:p>
            <w:r>
              <w:rPr>
                <w:rFonts w:ascii="Arial" w:hAnsi="Arial"/>
                <w:b w:val="0"/>
                <w:color w:val="1F2933"/>
                <w:sz w:val="17"/>
              </w:rPr>
              <w:t>Focused consultation or supervision; monitor</w:t>
            </w:r>
          </w:p>
        </w:tc>
      </w:tr>
      <w:tr>
        <w:tc>
          <w:tcPr>
            <w:tcW w:type="dxa" w:w="3456"/>
            <w:tcMar>
              <w:top w:w="65" w:type="dxa"/>
              <w:start w:w="75" w:type="dxa"/>
              <w:bottom w:w="65" w:type="dxa"/>
              <w:end w:w="75" w:type="dxa"/>
            </w:tcMar>
            <w:vAlign w:val="top"/>
            <w:shd w:fill="F3F5F7"/>
          </w:tcPr>
          <w:p>
            <w:r>
              <w:rPr>
                <w:rFonts w:ascii="Arial" w:hAnsi="Arial"/>
                <w:b w:val="0"/>
                <w:color w:val="1F2933"/>
                <w:sz w:val="17"/>
              </w:rPr>
              <w:t>Developable skill gap</w:t>
            </w:r>
          </w:p>
        </w:tc>
        <w:tc>
          <w:tcPr>
            <w:tcW w:type="dxa" w:w="6624"/>
            <w:tcMar>
              <w:top w:w="65" w:type="dxa"/>
              <w:start w:w="75" w:type="dxa"/>
              <w:bottom w:w="65" w:type="dxa"/>
              <w:end w:w="75" w:type="dxa"/>
            </w:tcMar>
            <w:vAlign w:val="top"/>
            <w:shd w:fill="F3F5F7"/>
          </w:tcPr>
          <w:p>
            <w:r>
              <w:rPr>
                <w:rFonts w:ascii="Arial" w:hAnsi="Arial"/>
                <w:b w:val="0"/>
                <w:color w:val="1F2933"/>
                <w:sz w:val="17"/>
              </w:rPr>
              <w:t>Training, supervised practice, narrower role, or collaboration</w:t>
            </w:r>
          </w:p>
        </w:tc>
      </w:tr>
      <w:tr>
        <w:tc>
          <w:tcPr>
            <w:tcW w:type="dxa" w:w="3456"/>
            <w:tcMar>
              <w:top w:w="65" w:type="dxa"/>
              <w:start w:w="75" w:type="dxa"/>
              <w:bottom w:w="65" w:type="dxa"/>
              <w:end w:w="75" w:type="dxa"/>
            </w:tcMar>
            <w:vAlign w:val="top"/>
          </w:tcPr>
          <w:p>
            <w:r>
              <w:rPr>
                <w:rFonts w:ascii="Arial" w:hAnsi="Arial"/>
                <w:b w:val="0"/>
                <w:color w:val="1F2933"/>
                <w:sz w:val="17"/>
              </w:rPr>
              <w:t>Material competence gap</w:t>
            </w:r>
          </w:p>
        </w:tc>
        <w:tc>
          <w:tcPr>
            <w:tcW w:type="dxa" w:w="6624"/>
            <w:tcMar>
              <w:top w:w="65" w:type="dxa"/>
              <w:start w:w="75" w:type="dxa"/>
              <w:bottom w:w="65" w:type="dxa"/>
              <w:end w:w="75" w:type="dxa"/>
            </w:tcMar>
            <w:vAlign w:val="top"/>
          </w:tcPr>
          <w:p>
            <w:r>
              <w:rPr>
                <w:rFonts w:ascii="Arial" w:hAnsi="Arial"/>
                <w:b w:val="0"/>
                <w:color w:val="1F2933"/>
                <w:sz w:val="17"/>
              </w:rPr>
              <w:t>Discuss limitation; referral/collaboration; safe handoff</w:t>
            </w:r>
          </w:p>
        </w:tc>
      </w:tr>
      <w:tr>
        <w:tc>
          <w:tcPr>
            <w:tcW w:type="dxa" w:w="3456"/>
            <w:tcMar>
              <w:top w:w="65" w:type="dxa"/>
              <w:start w:w="75" w:type="dxa"/>
              <w:bottom w:w="65" w:type="dxa"/>
              <w:end w:w="75" w:type="dxa"/>
            </w:tcMar>
            <w:vAlign w:val="top"/>
            <w:shd w:fill="F3F5F7"/>
          </w:tcPr>
          <w:p>
            <w:r>
              <w:rPr>
                <w:rFonts w:ascii="Arial" w:hAnsi="Arial"/>
                <w:b w:val="0"/>
                <w:color w:val="1F2933"/>
                <w:sz w:val="17"/>
              </w:rPr>
              <w:t>Immediate danger + specialty gap</w:t>
            </w:r>
          </w:p>
        </w:tc>
        <w:tc>
          <w:tcPr>
            <w:tcW w:type="dxa" w:w="6624"/>
            <w:tcMar>
              <w:top w:w="65" w:type="dxa"/>
              <w:start w:w="75" w:type="dxa"/>
              <w:bottom w:w="65" w:type="dxa"/>
              <w:end w:w="75" w:type="dxa"/>
            </w:tcMar>
            <w:vAlign w:val="top"/>
            <w:shd w:fill="F3F5F7"/>
          </w:tcPr>
          <w:p>
            <w:r>
              <w:rPr>
                <w:rFonts w:ascii="Arial" w:hAnsi="Arial"/>
                <w:b w:val="0"/>
                <w:color w:val="1F2933"/>
                <w:sz w:val="17"/>
              </w:rPr>
              <w:t>Stabilize within competence; prompt qualified help; appropriate level of care</w:t>
            </w:r>
          </w:p>
        </w:tc>
      </w:tr>
      <w:tr>
        <w:tc>
          <w:tcPr>
            <w:tcW w:type="dxa" w:w="3456"/>
            <w:tcMar>
              <w:top w:w="65" w:type="dxa"/>
              <w:start w:w="75" w:type="dxa"/>
              <w:bottom w:w="65" w:type="dxa"/>
              <w:end w:w="75" w:type="dxa"/>
            </w:tcMar>
            <w:vAlign w:val="top"/>
          </w:tcPr>
          <w:p>
            <w:r>
              <w:rPr>
                <w:rFonts w:ascii="Arial" w:hAnsi="Arial"/>
                <w:b w:val="0"/>
                <w:color w:val="1F2933"/>
                <w:sz w:val="17"/>
              </w:rPr>
              <w:t>Legal/status/setting prohibition</w:t>
            </w:r>
          </w:p>
        </w:tc>
        <w:tc>
          <w:tcPr>
            <w:tcW w:type="dxa" w:w="6624"/>
            <w:tcMar>
              <w:top w:w="65" w:type="dxa"/>
              <w:start w:w="75" w:type="dxa"/>
              <w:bottom w:w="65" w:type="dxa"/>
              <w:end w:w="75" w:type="dxa"/>
            </w:tcMar>
            <w:vAlign w:val="top"/>
          </w:tcPr>
          <w:p>
            <w:r>
              <w:rPr>
                <w:rFonts w:ascii="Arial" w:hAnsi="Arial"/>
                <w:b w:val="0"/>
                <w:color w:val="1F2933"/>
                <w:sz w:val="17"/>
              </w:rPr>
              <w:t>Stop or correct the unauthorized arrangement</w:t>
            </w:r>
          </w:p>
        </w:tc>
      </w:tr>
    </w:tbl>
    <w:p>
      <w:pPr>
        <w:pStyle w:val="Heading2"/>
        <w:pageBreakBefore w:val="0"/>
      </w:pPr>
      <w:r>
        <w:t>10. Common Examination Traps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tcMar>
              <w:top w:w="65" w:type="dxa"/>
              <w:start w:w="75" w:type="dxa"/>
              <w:bottom w:w="65" w:type="dxa"/>
              <w:end w:w="75" w:type="dxa"/>
            </w:tcMar>
            <w:vAlign w:val="top"/>
            <w:shd w:fill="102A43"/>
          </w:tcPr>
          <w:p>
            <w:r>
              <w:rPr>
                <w:rFonts w:ascii="Arial" w:hAnsi="Arial"/>
                <w:b/>
                <w:color w:val="FFFFFF"/>
                <w:sz w:val="17"/>
              </w:rPr>
              <w:t>Trap</w:t>
            </w:r>
          </w:p>
        </w:tc>
        <w:tc>
          <w:tcPr>
            <w:tcW w:type="dxa" w:w="7056"/>
            <w:tcMar>
              <w:top w:w="65" w:type="dxa"/>
              <w:start w:w="75" w:type="dxa"/>
              <w:bottom w:w="65" w:type="dxa"/>
              <w:end w:w="75" w:type="dxa"/>
            </w:tcMar>
            <w:vAlign w:val="top"/>
            <w:shd w:fill="102A43"/>
          </w:tcPr>
          <w:p>
            <w:r>
              <w:rPr>
                <w:rFonts w:ascii="Arial" w:hAnsi="Arial"/>
                <w:b/>
                <w:color w:val="FFFFFF"/>
                <w:sz w:val="17"/>
              </w:rPr>
              <w:t>Correction</w:t>
            </w:r>
          </w:p>
        </w:tc>
      </w:tr>
      <w:tr>
        <w:tc>
          <w:tcPr>
            <w:tcW w:type="dxa" w:w="3024"/>
            <w:tcMar>
              <w:top w:w="65" w:type="dxa"/>
              <w:start w:w="75" w:type="dxa"/>
              <w:bottom w:w="65" w:type="dxa"/>
              <w:end w:w="75" w:type="dxa"/>
            </w:tcMar>
            <w:vAlign w:val="top"/>
          </w:tcPr>
          <w:p>
            <w:r>
              <w:rPr>
                <w:rFonts w:ascii="Arial" w:hAnsi="Arial"/>
                <w:b w:val="0"/>
                <w:color w:val="1F2933"/>
                <w:sz w:val="17"/>
              </w:rPr>
              <w:t>Scope equals competence</w:t>
            </w:r>
          </w:p>
        </w:tc>
        <w:tc>
          <w:tcPr>
            <w:tcW w:type="dxa" w:w="7056"/>
            <w:tcMar>
              <w:top w:w="65" w:type="dxa"/>
              <w:start w:w="75" w:type="dxa"/>
              <w:bottom w:w="65" w:type="dxa"/>
              <w:end w:w="75" w:type="dxa"/>
            </w:tcMar>
            <w:vAlign w:val="top"/>
          </w:tcPr>
          <w:p>
            <w:r>
              <w:rPr>
                <w:rFonts w:ascii="Arial" w:hAnsi="Arial"/>
                <w:b w:val="0"/>
                <w:color w:val="1F2933"/>
                <w:sz w:val="17"/>
              </w:rPr>
              <w:t>Legal profession scope does not prove individual readiness.</w:t>
            </w:r>
          </w:p>
        </w:tc>
      </w:tr>
      <w:tr>
        <w:tc>
          <w:tcPr>
            <w:tcW w:type="dxa" w:w="3024"/>
            <w:tcMar>
              <w:top w:w="65" w:type="dxa"/>
              <w:start w:w="75" w:type="dxa"/>
              <w:bottom w:w="65" w:type="dxa"/>
              <w:end w:w="75" w:type="dxa"/>
            </w:tcMar>
            <w:vAlign w:val="top"/>
            <w:shd w:fill="F3F5F7"/>
          </w:tcPr>
          <w:p>
            <w:r>
              <w:rPr>
                <w:rFonts w:ascii="Arial" w:hAnsi="Arial"/>
                <w:b w:val="0"/>
                <w:color w:val="1F2933"/>
                <w:sz w:val="17"/>
              </w:rPr>
              <w:t>Employer permission equals authority</w:t>
            </w:r>
          </w:p>
        </w:tc>
        <w:tc>
          <w:tcPr>
            <w:tcW w:type="dxa" w:w="7056"/>
            <w:tcMar>
              <w:top w:w="65" w:type="dxa"/>
              <w:start w:w="75" w:type="dxa"/>
              <w:bottom w:w="65" w:type="dxa"/>
              <w:end w:w="75" w:type="dxa"/>
            </w:tcMar>
            <w:vAlign w:val="top"/>
            <w:shd w:fill="F3F5F7"/>
          </w:tcPr>
          <w:p>
            <w:r>
              <w:rPr>
                <w:rFonts w:ascii="Arial" w:hAnsi="Arial"/>
                <w:b w:val="0"/>
                <w:color w:val="1F2933"/>
                <w:sz w:val="17"/>
              </w:rPr>
              <w:t>Internal policy cannot expand statute or associate status.</w:t>
            </w:r>
          </w:p>
        </w:tc>
      </w:tr>
      <w:tr>
        <w:tc>
          <w:tcPr>
            <w:tcW w:type="dxa" w:w="3024"/>
            <w:tcMar>
              <w:top w:w="65" w:type="dxa"/>
              <w:start w:w="75" w:type="dxa"/>
              <w:bottom w:w="65" w:type="dxa"/>
              <w:end w:w="75" w:type="dxa"/>
            </w:tcMar>
            <w:vAlign w:val="top"/>
          </w:tcPr>
          <w:p>
            <w:r>
              <w:rPr>
                <w:rFonts w:ascii="Arial" w:hAnsi="Arial"/>
                <w:b w:val="0"/>
                <w:color w:val="1F2933"/>
                <w:sz w:val="17"/>
              </w:rPr>
              <w:t>Consultation equals supervision</w:t>
            </w:r>
          </w:p>
        </w:tc>
        <w:tc>
          <w:tcPr>
            <w:tcW w:type="dxa" w:w="7056"/>
            <w:tcMar>
              <w:top w:w="65" w:type="dxa"/>
              <w:start w:w="75" w:type="dxa"/>
              <w:bottom w:w="65" w:type="dxa"/>
              <w:end w:w="75" w:type="dxa"/>
            </w:tcMar>
            <w:vAlign w:val="top"/>
          </w:tcPr>
          <w:p>
            <w:r>
              <w:rPr>
                <w:rFonts w:ascii="Arial" w:hAnsi="Arial"/>
                <w:b w:val="0"/>
                <w:color w:val="1F2933"/>
                <w:sz w:val="17"/>
              </w:rPr>
              <w:t>Required ASW supervision remains separate.</w:t>
            </w:r>
          </w:p>
        </w:tc>
      </w:tr>
      <w:tr>
        <w:tc>
          <w:tcPr>
            <w:tcW w:type="dxa" w:w="3024"/>
            <w:tcMar>
              <w:top w:w="65" w:type="dxa"/>
              <w:start w:w="75" w:type="dxa"/>
              <w:bottom w:w="65" w:type="dxa"/>
              <w:end w:w="75" w:type="dxa"/>
            </w:tcMar>
            <w:vAlign w:val="top"/>
            <w:shd w:fill="F3F5F7"/>
          </w:tcPr>
          <w:p>
            <w:r>
              <w:rPr>
                <w:rFonts w:ascii="Arial" w:hAnsi="Arial"/>
                <w:b w:val="0"/>
                <w:color w:val="1F2933"/>
                <w:sz w:val="17"/>
              </w:rPr>
              <w:t>Consent cures a competence gap</w:t>
            </w:r>
          </w:p>
        </w:tc>
        <w:tc>
          <w:tcPr>
            <w:tcW w:type="dxa" w:w="7056"/>
            <w:tcMar>
              <w:top w:w="65" w:type="dxa"/>
              <w:start w:w="75" w:type="dxa"/>
              <w:bottom w:w="65" w:type="dxa"/>
              <w:end w:w="75" w:type="dxa"/>
            </w:tcMar>
            <w:vAlign w:val="top"/>
            <w:shd w:fill="F3F5F7"/>
          </w:tcPr>
          <w:p>
            <w:r>
              <w:rPr>
                <w:rFonts w:ascii="Arial" w:hAnsi="Arial"/>
                <w:b w:val="0"/>
                <w:color w:val="1F2933"/>
                <w:sz w:val="17"/>
              </w:rPr>
              <w:t>Consent does not create competence or legal authority.</w:t>
            </w:r>
          </w:p>
        </w:tc>
      </w:tr>
      <w:tr>
        <w:tc>
          <w:tcPr>
            <w:tcW w:type="dxa" w:w="3024"/>
            <w:tcMar>
              <w:top w:w="65" w:type="dxa"/>
              <w:start w:w="75" w:type="dxa"/>
              <w:bottom w:w="65" w:type="dxa"/>
              <w:end w:w="75" w:type="dxa"/>
            </w:tcMar>
            <w:vAlign w:val="top"/>
          </w:tcPr>
          <w:p>
            <w:r>
              <w:rPr>
                <w:rFonts w:ascii="Arial" w:hAnsi="Arial"/>
                <w:b w:val="0"/>
                <w:color w:val="1F2933"/>
                <w:sz w:val="17"/>
              </w:rPr>
              <w:t>Emergency means unlimited scope</w:t>
            </w:r>
          </w:p>
        </w:tc>
        <w:tc>
          <w:tcPr>
            <w:tcW w:type="dxa" w:w="7056"/>
            <w:tcMar>
              <w:top w:w="65" w:type="dxa"/>
              <w:start w:w="75" w:type="dxa"/>
              <w:bottom w:w="65" w:type="dxa"/>
              <w:end w:w="75" w:type="dxa"/>
            </w:tcMar>
            <w:vAlign w:val="top"/>
          </w:tcPr>
          <w:p>
            <w:r>
              <w:rPr>
                <w:rFonts w:ascii="Arial" w:hAnsi="Arial"/>
                <w:b w:val="0"/>
                <w:color w:val="1F2933"/>
                <w:sz w:val="17"/>
              </w:rPr>
              <w:t>Use only a narrow protective bridge and obtain qualified help.</w:t>
            </w:r>
          </w:p>
        </w:tc>
      </w:tr>
      <w:tr>
        <w:tc>
          <w:tcPr>
            <w:tcW w:type="dxa" w:w="3024"/>
            <w:tcMar>
              <w:top w:w="65" w:type="dxa"/>
              <w:start w:w="75" w:type="dxa"/>
              <w:bottom w:w="65" w:type="dxa"/>
              <w:end w:w="75" w:type="dxa"/>
            </w:tcMar>
            <w:vAlign w:val="top"/>
            <w:shd w:fill="F3F5F7"/>
          </w:tcPr>
          <w:p>
            <w:r>
              <w:rPr>
                <w:rFonts w:ascii="Arial" w:hAnsi="Arial"/>
                <w:b w:val="0"/>
                <w:color w:val="1F2933"/>
                <w:sz w:val="17"/>
              </w:rPr>
              <w:t>Any gap means abrupt termination</w:t>
            </w:r>
          </w:p>
        </w:tc>
        <w:tc>
          <w:tcPr>
            <w:tcW w:type="dxa" w:w="7056"/>
            <w:tcMar>
              <w:top w:w="65" w:type="dxa"/>
              <w:start w:w="75" w:type="dxa"/>
              <w:bottom w:w="65" w:type="dxa"/>
              <w:end w:w="75" w:type="dxa"/>
            </w:tcMar>
            <w:vAlign w:val="top"/>
            <w:shd w:fill="F3F5F7"/>
          </w:tcPr>
          <w:p>
            <w:r>
              <w:rPr>
                <w:rFonts w:ascii="Arial" w:hAnsi="Arial"/>
                <w:b w:val="0"/>
                <w:color w:val="1F2933"/>
                <w:sz w:val="17"/>
              </w:rPr>
              <w:t>Use the least disruptive adequate safeguard and protect continuity.</w:t>
            </w:r>
          </w:p>
        </w:tc>
      </w:tr>
    </w:tbl>
    <w:p>
      <w:pPr>
        <w:pStyle w:val="Heading2"/>
        <w:pageBreakBefore w:val="0"/>
      </w:pPr>
      <w:r>
        <w:t>11. Rapid Review</w:t>
      </w:r>
    </w:p>
    <w:p>
      <w:pPr>
        <w:pStyle w:val="ListBullet"/>
        <w:pageBreakBefore w:val="0"/>
      </w:pPr>
      <w:r>
        <w:t>S-C-A: Scope, Competence, Authority now.</w:t>
      </w:r>
    </w:p>
    <w:p>
      <w:pPr>
        <w:pStyle w:val="ListBullet"/>
        <w:pageBreakBefore w:val="0"/>
      </w:pPr>
      <w:r>
        <w:t>Legal and capable are different questions.</w:t>
      </w:r>
    </w:p>
    <w:p>
      <w:pPr>
        <w:pStyle w:val="ListBullet"/>
        <w:pageBreakBefore w:val="0"/>
      </w:pPr>
      <w:r>
        <w:t>ASW authority depends on status, setting, employment, and supervision.</w:t>
      </w:r>
    </w:p>
    <w:p>
      <w:pPr>
        <w:pStyle w:val="ListBullet"/>
        <w:pageBreakBefore w:val="0"/>
      </w:pPr>
      <w:r>
        <w:t>Current functioning is part of competence.</w:t>
      </w:r>
    </w:p>
    <w:p>
      <w:pPr>
        <w:pStyle w:val="ListBullet"/>
        <w:pageBreakBefore w:val="0"/>
      </w:pPr>
      <w:r>
        <w:t>Consultation supports judgment but does not create authority.</w:t>
      </w:r>
    </w:p>
    <w:p>
      <w:pPr>
        <w:pStyle w:val="ListBullet"/>
        <w:pageBreakBefore w:val="0"/>
      </w:pPr>
      <w:r>
        <w:t>Protect continuity when referral or transfer is needed.</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MEMORY CUE</w:t>
              <w:br/>
              <w:t>S-C-A: Scope? Competent? Authority now?</w:t>
            </w:r>
          </w:p>
        </w:tc>
        <w:trPr>
          <w:tblHeader/>
        </w:trPr>
      </w:tr>
    </w:tbl>
    <w:p>
      <w:pPr>
        <w:pStyle w:val="Heading2"/>
        <w:pageBreakBefore w:val="0"/>
      </w:pPr>
      <w:r>
        <w:t>12. Sources and Currency Controls</w:t>
      </w:r>
    </w:p>
    <w:p>
      <w:pPr>
        <w:pStyle w:val="ListBullet"/>
        <w:pageBreakBefore w:val="0"/>
      </w:pPr>
      <w:r>
        <w:t>BPC section 4996.9 - clinical social work definition and methods.</w:t>
      </w:r>
    </w:p>
    <w:p>
      <w:pPr>
        <w:pStyle w:val="ListBullet"/>
        <w:pageBreakBefore w:val="0"/>
      </w:pPr>
      <w:r>
        <w:t>Current BBS Clinical Social Worker Practice Act, ASW FAQ, supervision/setting guidance, and law changes.</w:t>
      </w:r>
    </w:p>
    <w:p>
      <w:pPr>
        <w:pStyle w:val="ListBullet"/>
        <w:pageBreakBefore w:val="0"/>
      </w:pPr>
      <w:r>
        <w:t>NASW Code of Ethics - competence, consultation/referral, client welfare, and confidentiality.</w:t>
      </w:r>
    </w:p>
    <w:p>
      <w:pPr>
        <w:pStyle w:val="ListBullet"/>
        <w:pageBreakBefore w:val="0"/>
      </w:pPr>
      <w:r>
        <w:t>Current method/publisher requirements for specialized assessment instruments.</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CURRENCY RULE</w:t>
              <w:br/>
              <w:t>Recheck current BBS law/guidance, examination materials, and tool-specific qualifications before bank/LMS lock and within 30 days of public release.</w:t>
            </w:r>
          </w:p>
        </w:tc>
        <w:trPr>
          <w:tblHeader/>
        </w:trPr>
      </w:tr>
    </w:tbl>
    <w:p>
      <w:pPr>
        <w:pStyle w:val="Heading2"/>
        <w:pageBreakBefore w:val="0"/>
      </w:pPr>
      <w:r>
        <w:t>Chapter Snapshot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tcMar>
              <w:top w:w="65" w:type="dxa"/>
              <w:start w:w="75" w:type="dxa"/>
              <w:bottom w:w="65" w:type="dxa"/>
              <w:end w:w="75" w:type="dxa"/>
            </w:tcMar>
            <w:vAlign w:val="top"/>
            <w:shd w:fill="102A43"/>
          </w:tcPr>
          <w:p>
            <w:r>
              <w:rPr>
                <w:rFonts w:ascii="Arial" w:hAnsi="Arial"/>
                <w:b/>
                <w:color w:val="FFFFFF"/>
                <w:sz w:val="17"/>
              </w:rPr>
              <w:t>Control</w:t>
            </w:r>
          </w:p>
        </w:tc>
        <w:tc>
          <w:tcPr>
            <w:tcW w:type="dxa" w:w="6768"/>
            <w:tcMar>
              <w:top w:w="65" w:type="dxa"/>
              <w:start w:w="75" w:type="dxa"/>
              <w:bottom w:w="65" w:type="dxa"/>
              <w:end w:w="75" w:type="dxa"/>
            </w:tcMar>
            <w:vAlign w:val="top"/>
            <w:shd w:fill="102A43"/>
          </w:tcPr>
          <w:p>
            <w:r>
              <w:rPr>
                <w:rFonts w:ascii="Arial" w:hAnsi="Arial"/>
                <w:b/>
                <w:color w:val="FFFFFF"/>
                <w:sz w:val="17"/>
              </w:rPr>
              <w:t>Status</w:t>
            </w:r>
          </w:p>
        </w:tc>
      </w:tr>
      <w:tr>
        <w:tc>
          <w:tcPr>
            <w:tcW w:type="dxa" w:w="3312"/>
            <w:tcMar>
              <w:top w:w="65" w:type="dxa"/>
              <w:start w:w="75" w:type="dxa"/>
              <w:bottom w:w="65" w:type="dxa"/>
              <w:end w:w="75" w:type="dxa"/>
            </w:tcMar>
            <w:vAlign w:val="top"/>
          </w:tcPr>
          <w:p>
            <w:r>
              <w:rPr>
                <w:rFonts w:ascii="Arial" w:hAnsi="Arial"/>
                <w:b w:val="0"/>
                <w:color w:val="1F2933"/>
                <w:sz w:val="17"/>
              </w:rPr>
              <w:t>LCSW-first replacement</w:t>
            </w:r>
          </w:p>
        </w:tc>
        <w:tc>
          <w:tcPr>
            <w:tcW w:type="dxa" w:w="6768"/>
            <w:tcMar>
              <w:top w:w="65" w:type="dxa"/>
              <w:start w:w="75" w:type="dxa"/>
              <w:bottom w:w="65" w:type="dxa"/>
              <w:end w:w="75" w:type="dxa"/>
            </w:tcMar>
            <w:vAlign w:val="top"/>
          </w:tcPr>
          <w:p>
            <w:r>
              <w:rPr>
                <w:rFonts w:ascii="Arial" w:hAnsi="Arial"/>
                <w:b w:val="0"/>
                <w:color w:val="1F2933"/>
                <w:sz w:val="17"/>
              </w:rPr>
              <w:t>Complete</w:t>
            </w:r>
          </w:p>
        </w:tc>
      </w:tr>
      <w:tr>
        <w:tc>
          <w:tcPr>
            <w:tcW w:type="dxa" w:w="3312"/>
            <w:tcMar>
              <w:top w:w="65" w:type="dxa"/>
              <w:start w:w="75" w:type="dxa"/>
              <w:bottom w:w="65" w:type="dxa"/>
              <w:end w:w="75" w:type="dxa"/>
            </w:tcMar>
            <w:vAlign w:val="top"/>
            <w:shd w:fill="F3F5F7"/>
          </w:tcPr>
          <w:p>
            <w:r>
              <w:rPr>
                <w:rFonts w:ascii="Arial" w:hAnsi="Arial"/>
                <w:b w:val="0"/>
                <w:color w:val="1F2933"/>
                <w:sz w:val="17"/>
              </w:rPr>
              <w:t>Framework</w:t>
            </w:r>
          </w:p>
        </w:tc>
        <w:tc>
          <w:tcPr>
            <w:tcW w:type="dxa" w:w="6768"/>
            <w:tcMar>
              <w:top w:w="65" w:type="dxa"/>
              <w:start w:w="75" w:type="dxa"/>
              <w:bottom w:w="65" w:type="dxa"/>
              <w:end w:w="75" w:type="dxa"/>
            </w:tcMar>
            <w:vAlign w:val="top"/>
            <w:shd w:fill="F3F5F7"/>
          </w:tcPr>
          <w:p>
            <w:r>
              <w:rPr>
                <w:rFonts w:ascii="Arial" w:hAnsi="Arial"/>
                <w:b w:val="0"/>
                <w:color w:val="1F2933"/>
                <w:sz w:val="17"/>
              </w:rPr>
              <w:t>S-C-A</w:t>
            </w:r>
          </w:p>
        </w:tc>
      </w:tr>
      <w:tr>
        <w:tc>
          <w:tcPr>
            <w:tcW w:type="dxa" w:w="3312"/>
            <w:tcMar>
              <w:top w:w="65" w:type="dxa"/>
              <w:start w:w="75" w:type="dxa"/>
              <w:bottom w:w="65" w:type="dxa"/>
              <w:end w:w="75" w:type="dxa"/>
            </w:tcMar>
            <w:vAlign w:val="top"/>
          </w:tcPr>
          <w:p>
            <w:r>
              <w:rPr>
                <w:rFonts w:ascii="Arial" w:hAnsi="Arial"/>
                <w:b w:val="0"/>
                <w:color w:val="1F2933"/>
                <w:sz w:val="17"/>
              </w:rPr>
              <w:t>Assessment</w:t>
            </w:r>
          </w:p>
        </w:tc>
        <w:tc>
          <w:tcPr>
            <w:tcW w:type="dxa" w:w="6768"/>
            <w:tcMar>
              <w:top w:w="65" w:type="dxa"/>
              <w:start w:w="75" w:type="dxa"/>
              <w:bottom w:w="65" w:type="dxa"/>
              <w:end w:w="75" w:type="dxa"/>
            </w:tcMar>
            <w:vAlign w:val="top"/>
          </w:tcPr>
          <w:p>
            <w:r>
              <w:rPr>
                <w:rFonts w:ascii="Arial" w:hAnsi="Arial"/>
                <w:b w:val="0"/>
                <w:color w:val="1F2933"/>
                <w:sz w:val="17"/>
              </w:rPr>
              <w:t>WB3-C2-Q001 through Q017</w:t>
            </w:r>
          </w:p>
        </w:tc>
      </w:tr>
      <w:tr>
        <w:tc>
          <w:tcPr>
            <w:tcW w:type="dxa" w:w="3312"/>
            <w:tcMar>
              <w:top w:w="65" w:type="dxa"/>
              <w:start w:w="75" w:type="dxa"/>
              <w:bottom w:w="65" w:type="dxa"/>
              <w:end w:w="75" w:type="dxa"/>
            </w:tcMar>
            <w:vAlign w:val="top"/>
            <w:shd w:fill="F3F5F7"/>
          </w:tcPr>
          <w:p>
            <w:r>
              <w:rPr>
                <w:rFonts w:ascii="Arial" w:hAnsi="Arial"/>
                <w:b w:val="0"/>
                <w:color w:val="1F2933"/>
                <w:sz w:val="17"/>
              </w:rPr>
              <w:t>Difficulty</w:t>
            </w:r>
          </w:p>
        </w:tc>
        <w:tc>
          <w:tcPr>
            <w:tcW w:type="dxa" w:w="6768"/>
            <w:tcMar>
              <w:top w:w="65" w:type="dxa"/>
              <w:start w:w="75" w:type="dxa"/>
              <w:bottom w:w="65" w:type="dxa"/>
              <w:end w:w="75" w:type="dxa"/>
            </w:tcMar>
            <w:vAlign w:val="top"/>
            <w:shd w:fill="F3F5F7"/>
          </w:tcPr>
          <w:p>
            <w:r>
              <w:rPr>
                <w:rFonts w:ascii="Arial" w:hAnsi="Arial"/>
                <w:b w:val="0"/>
                <w:color w:val="1F2933"/>
                <w:sz w:val="17"/>
              </w:rPr>
              <w:t>5 Easy / 7 Moderate / 5 Difficult</w:t>
            </w:r>
          </w:p>
        </w:tc>
      </w:tr>
      <w:tr>
        <w:tc>
          <w:tcPr>
            <w:tcW w:type="dxa" w:w="3312"/>
            <w:tcMar>
              <w:top w:w="65" w:type="dxa"/>
              <w:start w:w="75" w:type="dxa"/>
              <w:bottom w:w="65" w:type="dxa"/>
              <w:end w:w="75" w:type="dxa"/>
            </w:tcMar>
            <w:vAlign w:val="top"/>
          </w:tcPr>
          <w:p>
            <w:r>
              <w:rPr>
                <w:rFonts w:ascii="Arial" w:hAnsi="Arial"/>
                <w:b w:val="0"/>
                <w:color w:val="1F2933"/>
                <w:sz w:val="17"/>
              </w:rPr>
              <w:t>Classification</w:t>
            </w:r>
          </w:p>
        </w:tc>
        <w:tc>
          <w:tcPr>
            <w:tcW w:type="dxa" w:w="6768"/>
            <w:tcMar>
              <w:top w:w="65" w:type="dxa"/>
              <w:start w:w="75" w:type="dxa"/>
              <w:bottom w:w="65" w:type="dxa"/>
              <w:end w:w="75" w:type="dxa"/>
            </w:tcMar>
            <w:vAlign w:val="top"/>
          </w:tcPr>
          <w:p>
            <w:r>
              <w:rPr>
                <w:rFonts w:ascii="Arial" w:hAnsi="Arial"/>
                <w:b w:val="0"/>
                <w:color w:val="1F2933"/>
                <w:sz w:val="17"/>
              </w:rPr>
              <w:t>Exam preparation only | No CE credit or certificate</w:t>
            </w:r>
          </w:p>
        </w:tc>
      </w:tr>
    </w:tbl>
    <w:p>
      <w:pPr>
        <w:pStyle w:val="CTAChapterNumber"/>
        <w:spacing w:before="160"/>
      </w:pPr>
      <w:r>
        <w:t>CHAPTER 3</w:t>
      </w:r>
    </w:p>
    <w:p>
      <w:pPr>
        <w:pStyle w:val="CTAChapterTitle"/>
        <w:pBdr>
          <w:bottom w:val="single" w:sz="18" w:space="6" w:color="149B9E"/>
        </w:pBdr>
      </w:pPr>
      <w:r>
        <w:t>Maintaining Professional Competence</w:t>
      </w:r>
    </w:p>
    <w:p>
      <w:pPr>
        <w:pStyle w:val="Heading3"/>
        <w:keepNext/>
      </w:pPr>
      <w:r>
        <w:rPr/>
        <w:t>Learning Objectives</w:t>
      </w:r>
    </w:p>
    <w:p>
      <w:pPr>
        <w:pStyle w:val="ListBullet"/>
      </w:pPr>
      <w:r>
        <w:t>Explain why professional competence must be maintained rather than assumed to continue indefinitely.</w:t>
      </w:r>
    </w:p>
    <w:p>
      <w:pPr>
        <w:pStyle w:val="ListBullet"/>
      </w:pPr>
      <w:r>
        <w:t>Distinguish legal continuing-education compliance from actual competence in current practice.</w:t>
      </w:r>
    </w:p>
    <w:p>
      <w:pPr>
        <w:pStyle w:val="ListBullet"/>
      </w:pPr>
      <w:r>
        <w:t>Identify signs that knowledge, skills, judgment, or procedures may be outdated.</w:t>
      </w:r>
    </w:p>
    <w:p>
      <w:pPr>
        <w:pStyle w:val="ListBullet"/>
      </w:pPr>
      <w:r>
        <w:t>Evaluate how changes in law, research, technology, culture, and client needs affect competence.</w:t>
      </w:r>
    </w:p>
    <w:p>
      <w:pPr>
        <w:pStyle w:val="ListBullet"/>
      </w:pPr>
      <w:r>
        <w:t>Use treatment outcomes, feedback, and recurring practice difficulties to identify development needs.</w:t>
      </w:r>
    </w:p>
    <w:p>
      <w:pPr>
        <w:pStyle w:val="ListBullet"/>
      </w:pPr>
      <w:r>
        <w:t>Select a proportionate professional-development response while protecting current clients.</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w:t>
            </w:r>
            <w:r>
              <w:br/>
            </w:r>
            <w:r>
              <w:t>Competence is current and context-specific. A clinician may have been competent in the past and still need updated knowledge, renewed skill, or changed procedures today. Maintaining competence requires active monitoring—not merely holding an active credential or completing required hours.</w:t>
            </w:r>
          </w:p>
        </w:tc>
      </w:tr>
    </w:tbl>
    <w:p>
      <w:pPr>
        <w:spacing w:after="20"/>
      </w:pPr>
    </w:p>
    <w:p>
      <w:pPr>
        <w:pStyle w:val="Heading3"/>
        <w:keepNext/>
      </w:pPr>
      <w:r>
        <w:rPr/>
        <w:t>1. Competence Can Change Over Time</w:t>
      </w:r>
    </w:p>
    <w:p>
      <w:pPr>
        <w:pStyle w:val="CTABody"/>
      </w:pPr>
      <w:r>
        <w:rPr/>
        <w:t>Graduate education, supervised experience, registration, and licensure establish a professional foundation. They do not guarantee that knowledge and skill remain current forever.</w:t>
      </w:r>
    </w:p>
    <w:p>
      <w:pPr>
        <w:pStyle w:val="ListBullet"/>
      </w:pPr>
      <w:r>
        <w:t>Laws and regulations are amended.</w:t>
      </w:r>
    </w:p>
    <w:p>
      <w:pPr>
        <w:pStyle w:val="ListBullet"/>
      </w:pPr>
      <w:r>
        <w:t>Board guidance and professional standards change.</w:t>
      </w:r>
    </w:p>
    <w:p>
      <w:pPr>
        <w:pStyle w:val="ListBullet"/>
      </w:pPr>
      <w:r>
        <w:t>Research identifies more effective practices or previously unrecognized risks.</w:t>
      </w:r>
    </w:p>
    <w:p>
      <w:pPr>
        <w:pStyle w:val="ListBullet"/>
      </w:pPr>
      <w:r>
        <w:t>Technology changes documentation, communication, privacy, and service delivery.</w:t>
      </w:r>
    </w:p>
    <w:p>
      <w:pPr>
        <w:pStyle w:val="ListBullet"/>
      </w:pPr>
      <w:r>
        <w:t>Clinical skills weaken when they are not used or reviewed.</w:t>
      </w:r>
    </w:p>
    <w:p>
      <w:pPr>
        <w:pStyle w:val="ListBullet"/>
      </w:pPr>
      <w:r>
        <w:t>New populations or presentations create learning needs.</w:t>
      </w:r>
    </w:p>
    <w:p>
      <w:pPr>
        <w:pStyle w:val="ListBullet"/>
      </w:pPr>
      <w:r>
        <w:t>Personal health, workload, and professional functioning change.</w:t>
      </w:r>
    </w:p>
    <w:p>
      <w:pPr>
        <w:pStyle w:val="CTABody"/>
      </w:pPr>
      <w:r>
        <w:rPr/>
        <w:t>The examination may describe a clinician who was once well prepared but is now relying on outdated information or unused skills. The issue is maintenance of competence—not necessarily whether the clinician was competent originally.</w:t>
      </w:r>
    </w:p>
    <w:p>
      <w:pPr>
        <w:pStyle w:val="Heading3"/>
        <w:keepNext/>
      </w:pPr>
      <w:r>
        <w:rPr/>
        <w:t>2. Continuing Professional Development: Requirement and Professional Tool</w:t>
      </w:r>
    </w:p>
    <w:p>
      <w:pPr>
        <w:pStyle w:val="CTABody"/>
      </w:pPr>
      <w:r>
        <w:rPr/>
        <w:t>Continuing education serves two different functions that should not be confused.</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Function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Purpose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Important Limitation</w:t>
            </w:r>
          </w:p>
        </w:tc>
      </w:tr>
      <w:tr>
        <w:trPr>
          <w:cantSplit w:val="1"/>
        </w:trPr>
        <w:tc>
          <w:tcPr>
            <w:tcW w:type="dxa" w:w="3349"/>
            <w:vAlign w:val="center"/>
            <w:tcMar>
              <w:top w:w="80" w:type="dxa"/>
              <w:start w:w="100" w:type="dxa"/>
              <w:bottom w:w="80" w:type="dxa"/>
              <w:end w:w="100" w:type="dxa"/>
            </w:tcMar>
          </w:tcPr>
          <w:p>
            <w:pPr>
              <w:pStyle w:val="CTABody"/>
              <w:spacing w:after="40"/>
            </w:pPr>
            <w:r/>
            <w:r>
              <w:t>Renewal Compliance</w:t>
            </w:r>
          </w:p>
        </w:tc>
        <w:tc>
          <w:tcPr>
            <w:tcW w:type="dxa" w:w="3349"/>
            <w:vAlign w:val="center"/>
            <w:tcMar>
              <w:top w:w="80" w:type="dxa"/>
              <w:start w:w="100" w:type="dxa"/>
              <w:bottom w:w="80" w:type="dxa"/>
              <w:end w:w="100" w:type="dxa"/>
            </w:tcMar>
          </w:tcPr>
          <w:p>
            <w:pPr>
              <w:pStyle w:val="CTABody"/>
              <w:spacing w:after="40"/>
            </w:pPr>
            <w:r/>
            <w:r>
              <w:t>Meeting the Board’s required hours and subject requirements for renewal.</w:t>
            </w:r>
          </w:p>
        </w:tc>
        <w:tc>
          <w:tcPr>
            <w:tcW w:type="dxa" w:w="3348"/>
            <w:vAlign w:val="center"/>
            <w:tcMar>
              <w:top w:w="80" w:type="dxa"/>
              <w:start w:w="100" w:type="dxa"/>
              <w:bottom w:w="80" w:type="dxa"/>
              <w:end w:w="100" w:type="dxa"/>
            </w:tcMar>
          </w:tcPr>
          <w:p>
            <w:pPr>
              <w:pStyle w:val="CTABody"/>
              <w:spacing w:after="40"/>
            </w:pPr>
            <w:r/>
            <w:r>
              <w:t>Necessary for renewal, but does not prove competence in every area.</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Competence Development</w:t>
            </w:r>
          </w:p>
        </w:tc>
        <w:tc>
          <w:tcPr>
            <w:tcW w:type="dxa" w:w="3349"/>
            <w:vAlign w:val="center"/>
            <w:tcMar>
              <w:top w:w="80" w:type="dxa"/>
              <w:start w:w="100" w:type="dxa"/>
              <w:bottom w:w="80" w:type="dxa"/>
              <w:end w:w="100" w:type="dxa"/>
            </w:tcMar>
            <w:shd w:fill="F4F6F8"/>
          </w:tcPr>
          <w:p>
            <w:pPr>
              <w:pStyle w:val="CTABody"/>
              <w:spacing w:after="40"/>
            </w:pPr>
            <w:r/>
            <w:r>
              <w:t>Choosing learning that addresses actual practice needs and applying it appropriately.</w:t>
            </w:r>
          </w:p>
        </w:tc>
        <w:tc>
          <w:tcPr>
            <w:tcW w:type="dxa" w:w="3348"/>
            <w:vAlign w:val="center"/>
            <w:tcMar>
              <w:top w:w="80" w:type="dxa"/>
              <w:start w:w="100" w:type="dxa"/>
              <w:bottom w:w="80" w:type="dxa"/>
              <w:end w:w="100" w:type="dxa"/>
            </w:tcMar>
            <w:shd w:fill="F4F6F8"/>
          </w:tcPr>
          <w:p>
            <w:pPr>
              <w:pStyle w:val="CTABody"/>
              <w:spacing w:after="40"/>
            </w:pPr>
            <w:r/>
            <w:r>
              <w:t>May strengthen knowledge or skill, but often requires additional practice, feedback, or experience.</w:t>
            </w:r>
          </w:p>
        </w:tc>
      </w:tr>
    </w:tbl>
    <w:p>
      <w:pPr>
        <w:spacing w:after="20"/>
      </w:pPr>
    </w:p>
    <w:p>
      <w:pPr>
        <w:pStyle w:val="CTABody"/>
      </w:pPr>
      <w:r>
        <w:rPr/>
        <w:t>Current BBS requirements generally require LCSWs to complete 36 CE hours during each two-year renewal period, including 6 hours of Law and Ethics. Registered ASWs renewing annually must complete at least 3 hours of California Law and Ethics during each renewal period, even after passing the examination. Additional one-time or subject-specific requirements may apply, so candidates should use the current BBS chart rather than memory.</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Trap</w:t>
            </w:r>
            <w:r>
              <w:br/>
            </w:r>
            <w:r>
              <w:t>Completed the required hours does not mean competent in every service. The examination may present a clinician who is legally compliant with CE but has not addressed a known gap in the actual work being performed.</w:t>
            </w:r>
          </w:p>
        </w:tc>
      </w:tr>
    </w:tbl>
    <w:p>
      <w:pPr>
        <w:spacing w:after="20"/>
      </w:pPr>
    </w:p>
    <w:p>
      <w:pPr>
        <w:pStyle w:val="Heading3"/>
        <w:keepNext/>
      </w:pPr>
      <w:r>
        <w:rPr/>
        <w:t>3. Select Learning Based on Practice Needs</w:t>
      </w:r>
    </w:p>
    <w:p>
      <w:pPr>
        <w:pStyle w:val="CTABody"/>
      </w:pPr>
      <w:r>
        <w:rPr/>
        <w:t>A useful professional-development plan begins with the clinician’s current responsibilities and identified risks. Convenient or interesting coursework may be valuable, but it should not replace learning needed for present clients and services.</w:t>
      </w:r>
    </w:p>
    <w:p>
      <w:pPr>
        <w:pStyle w:val="ListBullet"/>
      </w:pPr>
      <w:r>
        <w:t>Which populations and conditions appear most often in the practice?</w:t>
      </w:r>
    </w:p>
    <w:p>
      <w:pPr>
        <w:pStyle w:val="ListBullet"/>
      </w:pPr>
      <w:r>
        <w:t>What recurring situations create uncertainty?</w:t>
      </w:r>
    </w:p>
    <w:p>
      <w:pPr>
        <w:pStyle w:val="ListBullet"/>
      </w:pPr>
      <w:r>
        <w:t>Have laws, ethical standards, or documentation requirements changed?</w:t>
      </w:r>
    </w:p>
    <w:p>
      <w:pPr>
        <w:pStyle w:val="ListBullet"/>
      </w:pPr>
      <w:r>
        <w:t>Are treatment outcomes showing a pattern of limited benefit or unexpected distress?</w:t>
      </w:r>
    </w:p>
    <w:p>
      <w:pPr>
        <w:pStyle w:val="ListBullet"/>
      </w:pPr>
      <w:r>
        <w:t>Has feedback identified a knowledge or skill concern?</w:t>
      </w:r>
    </w:p>
    <w:p>
      <w:pPr>
        <w:pStyle w:val="ListBullet"/>
      </w:pPr>
      <w:r>
        <w:t>Is the clinician beginning a new service, role, setting, or technology?</w:t>
      </w:r>
    </w:p>
    <w:p>
      <w:pPr>
        <w:pStyle w:val="ListBullet"/>
      </w:pPr>
      <w:r>
        <w:t>Which areas have not been practiced or reviewed recently?</w:t>
      </w:r>
    </w:p>
    <w:p>
      <w:pPr>
        <w:pStyle w:val="Heading3"/>
        <w:keepNext/>
      </w:pPr>
      <w:r>
        <w:rPr/>
        <w:t>4. Keep Legal and Ethical Knowledge Current</w:t>
      </w:r>
    </w:p>
    <w:p>
      <w:pPr>
        <w:pStyle w:val="CTABody"/>
      </w:pPr>
      <w:r>
        <w:rPr/>
        <w:t>A legal rule remembered from graduate school may no longer be accurate. Competent practice requires clinicians to verify current authority before relying on older information when the issue can affect client rights, safety, confidentiality, reporting, consent, records, telehealth, supervision, or professional conduct.</w:t>
      </w:r>
    </w:p>
    <w:p>
      <w:pPr>
        <w:pStyle w:val="CTABody"/>
      </w:pPr>
      <w:r>
        <w:rPr/>
        <w:t>Strong sources include current statutes and regulations, official Board materials, current examination outlines, and qualified legal guidance when a case requires legal interpretation. Informal social-media summaries or old office forms should not be treated as controlling authority.</w:t>
      </w:r>
    </w:p>
    <w:p>
      <w:pPr>
        <w:pStyle w:val="Heading3"/>
        <w:keepNext/>
      </w:pPr>
      <w:r>
        <w:rPr/>
        <w:t>5. Evaluate Research and New Professional Developments</w:t>
      </w:r>
    </w:p>
    <w:p>
      <w:pPr>
        <w:pStyle w:val="CTABody"/>
      </w:pPr>
      <w:r>
        <w:rPr/>
        <w:t>Maintaining competence does not mean adopting every new trend. Clinicians should evaluate whether new information is reliable, relevant, supported, and appropriate for the client population and service.</w:t>
      </w:r>
    </w:p>
    <w:p>
      <w:pPr>
        <w:pStyle w:val="ListBullet"/>
      </w:pPr>
      <w:r>
        <w:t>What is the quality and source of the evidence?</w:t>
      </w:r>
    </w:p>
    <w:p>
      <w:pPr>
        <w:pStyle w:val="ListBullet"/>
      </w:pPr>
      <w:r>
        <w:t>Does the development meaningfully change safety, effectiveness, or professional obligations?</w:t>
      </w:r>
    </w:p>
    <w:p>
      <w:pPr>
        <w:pStyle w:val="ListBullet"/>
      </w:pPr>
      <w:r>
        <w:t>Does use of the new method require practical skill beyond reading about it?</w:t>
      </w:r>
    </w:p>
    <w:p>
      <w:pPr>
        <w:pStyle w:val="ListBullet"/>
      </w:pPr>
      <w:r>
        <w:t>Are there contraindications or limitations the clinician must understand?</w:t>
      </w:r>
    </w:p>
    <w:p>
      <w:pPr>
        <w:pStyle w:val="ListBullet"/>
      </w:pPr>
      <w:r>
        <w:t>Can the clinician explain why the change is or is not appropriate for the client?</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Balanced Rule</w:t>
            </w:r>
            <w:r>
              <w:br/>
            </w:r>
            <w:r>
              <w:t>Do not ignore important developments because “I have always done it this way.” Do not adopt every new idea merely because it is popular. Evaluate the evidence and the needs of the client.</w:t>
            </w:r>
          </w:p>
        </w:tc>
      </w:tr>
    </w:tbl>
    <w:p>
      <w:pPr>
        <w:spacing w:after="20"/>
      </w:pPr>
    </w:p>
    <w:p>
      <w:pPr>
        <w:pStyle w:val="Heading3"/>
        <w:keepNext/>
      </w:pPr>
      <w:r>
        <w:rPr/>
        <w:t>6. Monitor Outcomes and Practice Patterns</w:t>
      </w:r>
    </w:p>
    <w:p>
      <w:pPr>
        <w:pStyle w:val="CTABody"/>
      </w:pPr>
      <w:r>
        <w:rPr/>
        <w:t>Competence maintenance includes examining what happens in actual practice. A clinician should not assume that a familiar approach remains effective simply because it has been used for many years.</w:t>
      </w:r>
    </w:p>
    <w:p>
      <w:pPr>
        <w:pStyle w:val="ListBullet"/>
      </w:pPr>
      <w:r>
        <w:t>Repeated lack of progress across similar cases.</w:t>
      </w:r>
    </w:p>
    <w:p>
      <w:pPr>
        <w:pStyle w:val="ListBullet"/>
      </w:pPr>
      <w:r>
        <w:t>Unexpected worsening or adverse reactions.</w:t>
      </w:r>
    </w:p>
    <w:p>
      <w:pPr>
        <w:pStyle w:val="ListBullet"/>
      </w:pPr>
      <w:r>
        <w:t>Recurring documentation or assessment errors.</w:t>
      </w:r>
    </w:p>
    <w:p>
      <w:pPr>
        <w:pStyle w:val="ListBullet"/>
      </w:pPr>
      <w:r>
        <w:t>Frequent uncertainty in the same clinical area.</w:t>
      </w:r>
    </w:p>
    <w:p>
      <w:pPr>
        <w:pStyle w:val="ListBullet"/>
      </w:pPr>
      <w:r>
        <w:t>Feedback identifying the same concern more than once.</w:t>
      </w:r>
    </w:p>
    <w:p>
      <w:pPr>
        <w:pStyle w:val="ListBullet"/>
      </w:pPr>
      <w:r>
        <w:t>Difficulty explaining the rationale for a routine practice.</w:t>
      </w:r>
    </w:p>
    <w:p>
      <w:pPr>
        <w:pStyle w:val="ListBullet"/>
      </w:pPr>
      <w:r>
        <w:t>A pattern of clients needing referral after delayed recognition of risk.</w:t>
      </w:r>
    </w:p>
    <w:p>
      <w:pPr>
        <w:pStyle w:val="CTABody"/>
      </w:pPr>
      <w:r>
        <w:rPr/>
        <w:t>A concerning pattern should trigger reassessment of knowledge, skill, procedures, and professional-development needs. It should not be dismissed automatically as client resistance or bad luck.</w:t>
      </w:r>
    </w:p>
    <w:p>
      <w:pPr>
        <w:pStyle w:val="Heading3"/>
        <w:keepNext/>
      </w:pPr>
      <w:r>
        <w:rPr/>
        <w:t>7. Skill Decay and Return to an Unused Area</w:t>
      </w:r>
    </w:p>
    <w:p>
      <w:pPr>
        <w:pStyle w:val="CTABody"/>
      </w:pPr>
      <w:r>
        <w:rPr/>
        <w:t>Past training may remain relevant, but practical skill can weaken when an intervention or professional function has not been used for a long time. Before resuming an infrequently used service, the clinician should assess whether review, updated training, observed practice, or limited re-entry is needed.</w:t>
      </w:r>
    </w:p>
    <w:p>
      <w:pPr>
        <w:pStyle w:val="CTABody"/>
      </w:pPr>
      <w:r>
        <w:rPr/>
        <w:t>The correct response depends on complexity and risk. A low-risk skill may require review and practice. A specialized or high-risk intervention may require substantially more preparation before independent use.</w:t>
      </w:r>
    </w:p>
    <w:p>
      <w:pPr>
        <w:pStyle w:val="Heading3"/>
        <w:keepNext/>
      </w:pPr>
      <w:r>
        <w:rPr/>
        <w:t>8. Technology and Service-Delivery Changes</w:t>
      </w:r>
    </w:p>
    <w:p>
      <w:pPr>
        <w:pStyle w:val="CTABody"/>
      </w:pPr>
      <w:r>
        <w:rPr/>
        <w:t>A new platform, artificial-intelligence tool, electronic record system, assessment application, or telehealth format may change more than convenience. The clinician should understand the tool’s clinical purpose, privacy and security implications, limitations, reliability, emergency impact, and effect on professional judgment.</w:t>
      </w:r>
    </w:p>
    <w:p>
      <w:pPr>
        <w:pStyle w:val="CTABody"/>
      </w:pPr>
      <w:r>
        <w:rPr/>
        <w:t>Vendor marketing, employer approval, or widespread popularity does not establish competence. The clinician remains responsible for understanding how the technology affects the services provided.</w:t>
      </w:r>
    </w:p>
    <w:p>
      <w:pPr>
        <w:pStyle w:val="Heading3"/>
        <w:keepNext/>
      </w:pPr>
      <w:r>
        <w:rPr/>
        <w:t>9. Cultural Responsiveness Must Be Maintained</w:t>
      </w:r>
    </w:p>
    <w:p>
      <w:pPr>
        <w:pStyle w:val="CTABody"/>
      </w:pPr>
      <w:r>
        <w:rPr/>
        <w:t>Cultural competence and humility are not completed through one course. Clinicians should continue examining assumptions, learning about populations served, adapting communication, and recognizing when unfamiliar cultural or linguistic factors may affect assessment and treatment.</w:t>
      </w:r>
    </w:p>
    <w:p>
      <w:pPr>
        <w:pStyle w:val="CTABody"/>
      </w:pPr>
      <w:r>
        <w:rPr/>
        <w:t>The goal is not to memorize every cultural characteristic. It is to remain curious, avoid stereotypes, evaluate the client’s individual context, and obtain appropriate preparation when current knowledge is insufficient.</w:t>
      </w:r>
    </w:p>
    <w:p>
      <w:pPr>
        <w:pStyle w:val="Heading3"/>
        <w:keepNext/>
      </w:pPr>
      <w:r>
        <w:rPr/>
        <w:t>10. Maintain Current Professional Functioning</w:t>
      </w:r>
    </w:p>
    <w:p>
      <w:pPr>
        <w:pStyle w:val="CTABody"/>
      </w:pPr>
      <w:r>
        <w:rPr/>
        <w:t>Competence also depends on the clinician’s present ability to use knowledge and skill. Fatigue, illness, excessive workload, emotional distress, substance use, or other personal factors may reduce performance even when the clinician has strong education and experience.</w:t>
      </w:r>
    </w:p>
    <w:p>
      <w:pPr>
        <w:pStyle w:val="CTABody"/>
      </w:pPr>
      <w:r>
        <w:rPr/>
        <w:t>When functioning changes, the clinician should assess the effect on current services and take proportionate action. The issue is whether clients can continue receiving safe and effective care now.</w:t>
      </w:r>
    </w:p>
    <w:p>
      <w:pPr>
        <w:pStyle w:val="Heading3"/>
        <w:keepNext/>
      </w:pPr>
      <w:r>
        <w:rPr/>
        <w:t>11. Professional Development Is Broader Than Coursework</w:t>
      </w:r>
    </w:p>
    <w:p>
      <w:pPr>
        <w:pStyle w:val="CTABody"/>
      </w:pPr>
      <w:r>
        <w:rPr/>
        <w:t>Depending on the need, professional development may involve:</w:t>
      </w:r>
    </w:p>
    <w:p>
      <w:pPr>
        <w:pStyle w:val="ListBullet"/>
      </w:pPr>
      <w:r>
        <w:t>Reviewing current statutes, regulations, and official guidance.</w:t>
      </w:r>
    </w:p>
    <w:p>
      <w:pPr>
        <w:pStyle w:val="ListBullet"/>
      </w:pPr>
      <w:r>
        <w:t>Completing relevant continuing education or specialized training.</w:t>
      </w:r>
    </w:p>
    <w:p>
      <w:pPr>
        <w:pStyle w:val="ListBullet"/>
      </w:pPr>
      <w:r>
        <w:t>Reading current professional literature and treatment guidance.</w:t>
      </w:r>
    </w:p>
    <w:p>
      <w:pPr>
        <w:pStyle w:val="ListBullet"/>
      </w:pPr>
      <w:r>
        <w:t>Practicing or refreshing a clinical skill appropriately.</w:t>
      </w:r>
    </w:p>
    <w:p>
      <w:pPr>
        <w:pStyle w:val="ListBullet"/>
      </w:pPr>
      <w:r>
        <w:t>Reviewing treatment outcomes and documentation patterns.</w:t>
      </w:r>
    </w:p>
    <w:p>
      <w:pPr>
        <w:pStyle w:val="ListBullet"/>
      </w:pPr>
      <w:r>
        <w:t>Seeking feedback, consultation, supervision, or specialized assistance.</w:t>
      </w:r>
    </w:p>
    <w:p>
      <w:pPr>
        <w:pStyle w:val="ListBullet"/>
      </w:pPr>
      <w:r>
        <w:t>Updating forms, policies, workflows, and technology procedures.</w:t>
      </w:r>
    </w:p>
    <w:p>
      <w:pPr>
        <w:pStyle w:val="ListBullet"/>
      </w:pPr>
      <w:r>
        <w:t>Limiting or modifying services while competence is strengthened.</w:t>
      </w:r>
    </w:p>
    <w:p>
      <w:pPr>
        <w:pStyle w:val="CTABody"/>
      </w:pPr>
      <w:r>
        <w:rPr/>
        <w:t>Consultation and supervision are examined in detail in Chapters 4 and 5. In this chapter, remember that learning should match the identified gap and the risk involved.</w:t>
      </w:r>
    </w:p>
    <w:p>
      <w:pPr>
        <w:pStyle w:val="Heading3"/>
        <w:keepNext/>
      </w:pPr>
      <w:r>
        <w:rPr/>
        <w:t>What Do I Do First?</w:t>
      </w:r>
    </w:p>
    <w:p>
      <w:pPr>
        <w:pStyle w:val="CTABody"/>
      </w:pPr>
      <w:r>
        <w:rPr>
          <w:b/>
        </w:rPr>
        <w:t xml:space="preserve">1. </w:t>
      </w:r>
      <w:r>
        <w:rPr/>
        <w:t>Identify the specific knowledge, skill, procedure, or professional-functioning concern.</w:t>
      </w:r>
    </w:p>
    <w:p>
      <w:pPr>
        <w:pStyle w:val="CTABody"/>
      </w:pPr>
      <w:r>
        <w:rPr>
          <w:b/>
        </w:rPr>
        <w:t xml:space="preserve">2. </w:t>
      </w:r>
      <w:r>
        <w:rPr/>
        <w:t>Determine whether the concern affects current clients and how urgent the risk is.</w:t>
      </w:r>
    </w:p>
    <w:p>
      <w:pPr>
        <w:pStyle w:val="CTABody"/>
      </w:pPr>
      <w:r>
        <w:rPr>
          <w:b/>
        </w:rPr>
        <w:t xml:space="preserve">3. </w:t>
      </w:r>
      <w:r>
        <w:rPr/>
        <w:t>Check current, authoritative information rather than relying on memory or habit.</w:t>
      </w:r>
    </w:p>
    <w:p>
      <w:pPr>
        <w:pStyle w:val="CTABody"/>
      </w:pPr>
      <w:r>
        <w:rPr>
          <w:b/>
        </w:rPr>
        <w:t xml:space="preserve">4. </w:t>
      </w:r>
      <w:r>
        <w:rPr/>
        <w:t>Select learning or corrective action that matches the actual gap.</w:t>
      </w:r>
    </w:p>
    <w:p>
      <w:pPr>
        <w:pStyle w:val="CTABody"/>
      </w:pPr>
      <w:r>
        <w:rPr>
          <w:b/>
        </w:rPr>
        <w:t xml:space="preserve">5. </w:t>
      </w:r>
      <w:r>
        <w:rPr/>
        <w:t>Protect clients while the issue is addressed by modifying, limiting, or pausing unsafe activity when necessary.</w:t>
      </w:r>
    </w:p>
    <w:p>
      <w:pPr>
        <w:pStyle w:val="CTABody"/>
      </w:pPr>
      <w:r>
        <w:rPr>
          <w:b/>
        </w:rPr>
        <w:t xml:space="preserve">6. </w:t>
      </w:r>
      <w:r>
        <w:rPr/>
        <w:t>Monitor whether the response improves competence and client care.</w:t>
      </w:r>
    </w:p>
    <w:p>
      <w:pPr>
        <w:pStyle w:val="CTABody"/>
      </w:pPr>
      <w:r>
        <w:rPr>
          <w:b/>
        </w:rPr>
        <w:t xml:space="preserve">7. </w:t>
      </w:r>
      <w:r>
        <w:rPr/>
        <w:t>Document significant reasoning, changes, and follow-through when clinically or professionally relevant.</w:t>
      </w:r>
    </w:p>
    <w:p>
      <w:pPr>
        <w:pStyle w:val="Heading3"/>
        <w:keepNext/>
      </w:pPr>
      <w:r>
        <w:rPr/>
        <w:t>Clinical Applications</w:t>
      </w:r>
    </w:p>
    <w:p>
      <w:pPr>
        <w:pStyle w:val="Heading4"/>
        <w:keepNext/>
      </w:pPr>
      <w:r>
        <w:rPr/>
        <w:t>Application 1: Legally Compliant but Professionally Outdated</w:t>
      </w:r>
    </w:p>
    <w:p>
      <w:pPr>
        <w:pStyle w:val="CTABody"/>
      </w:pPr>
      <w:r>
        <w:rPr/>
        <w:t>A licensed therapist completes 36 CE hours every renewal period, but chooses only introductory wellness courses unrelated to the high-risk population now comprising most of the practice. The therapist has not reviewed current risk-assessment guidance in years.</w:t>
      </w:r>
    </w:p>
    <w:p>
      <w:pPr>
        <w:pStyle w:val="CTABody"/>
      </w:pPr>
      <w:r>
        <w:rPr/>
        <w:t>Best analysis: The therapist may satisfy the numerical renewal requirement while failing to address an actual competence-maintenance need. The clinician should evaluate the current gap and pursue relevant learning before continuing to rely on outdated practice.</w:t>
      </w:r>
    </w:p>
    <w:p>
      <w:pPr>
        <w:pStyle w:val="Heading4"/>
        <w:keepNext/>
      </w:pPr>
      <w:r>
        <w:rPr/>
        <w:t>Application 2: Old Law Remembered From Graduate School</w:t>
      </w:r>
    </w:p>
    <w:p>
      <w:pPr>
        <w:pStyle w:val="CTABody"/>
      </w:pPr>
      <w:r>
        <w:rPr/>
        <w:t>A therapist relies on a confidentiality rule learned fifteen years ago and does not verify whether California law has changed. A current client decision depends on the rule.</w:t>
      </w:r>
    </w:p>
    <w:p>
      <w:pPr>
        <w:pStyle w:val="CTABody"/>
      </w:pPr>
      <w:r>
        <w:rPr/>
        <w:t>Best response: Review current law and official guidance before acting. Prior education is not a reliable substitute for current authority when the rule may have changed.</w:t>
      </w:r>
    </w:p>
    <w:p>
      <w:pPr>
        <w:pStyle w:val="Heading4"/>
        <w:keepNext/>
      </w:pPr>
      <w:r>
        <w:rPr/>
        <w:t>Application 3: New Technology Adopted by the Practice</w:t>
      </w:r>
    </w:p>
    <w:p>
      <w:pPr>
        <w:pStyle w:val="CTABody"/>
      </w:pPr>
      <w:r>
        <w:rPr/>
        <w:t>An employer requires use of a new artificial-intelligence documentation tool. The therapist does not understand how the tool uses client data, how errors are detected, or whether generated text accurately reflects the session.</w:t>
      </w:r>
    </w:p>
    <w:p>
      <w:pPr>
        <w:pStyle w:val="CTABody"/>
      </w:pPr>
      <w:r>
        <w:rPr/>
        <w:t>Best response: Pause uncritical reliance on the tool, determine the applicable requirements and limitations, obtain adequate training, independently review all clinical content, and protect client information. Employer adoption does not eliminate the clinician’s responsibility.</w:t>
      </w:r>
    </w:p>
    <w:p>
      <w:pPr>
        <w:pStyle w:val="Heading3"/>
        <w:keepNext/>
      </w:pPr>
      <w:r>
        <w:rPr/>
        <w:t>Common Exam Traps</w:t>
      </w:r>
    </w:p>
    <w:p>
      <w:pPr>
        <w:pStyle w:val="CTABody"/>
      </w:pPr>
      <w:r>
        <w:rPr>
          <w:b/>
        </w:rPr>
        <w:t>CE completion proves competence.</w:t>
      </w:r>
      <w:r>
        <w:rPr/>
        <w:t xml:space="preserve"> Required hours establish renewal compliance, not competence in every population, intervention, or high-risk situation.</w:t>
      </w:r>
    </w:p>
    <w:p>
      <w:pPr>
        <w:pStyle w:val="CTABody"/>
      </w:pPr>
      <w:r>
        <w:rPr>
          <w:b/>
        </w:rPr>
        <w:t>Experience keeps itself current.</w:t>
      </w:r>
      <w:r>
        <w:rPr/>
        <w:t xml:space="preserve"> Experience can reinforce outdated habits unless outcomes, standards, and feedback are reviewed.</w:t>
      </w:r>
    </w:p>
    <w:p>
      <w:pPr>
        <w:pStyle w:val="CTABody"/>
      </w:pPr>
      <w:r>
        <w:rPr>
          <w:b/>
        </w:rPr>
        <w:t>One course creates expertise.</w:t>
      </w:r>
      <w:r>
        <w:rPr/>
        <w:t xml:space="preserve"> A course may increase knowledge without developing the practical skill required for independent specialized practice.</w:t>
      </w:r>
    </w:p>
    <w:p>
      <w:pPr>
        <w:pStyle w:val="CTABody"/>
      </w:pPr>
      <w:r>
        <w:rPr>
          <w:b/>
        </w:rPr>
        <w:t>Every new trend must be adopted.</w:t>
      </w:r>
      <w:r>
        <w:rPr/>
        <w:t xml:space="preserve"> Clinicians should evaluate reliability, relevance, risk, and fit rather than adopting or rejecting developments automatically.</w:t>
      </w:r>
    </w:p>
    <w:p>
      <w:pPr>
        <w:pStyle w:val="CTABody"/>
      </w:pPr>
      <w:r>
        <w:rPr>
          <w:b/>
        </w:rPr>
        <w:t>The employer is responsible for all updates.</w:t>
      </w:r>
      <w:r>
        <w:rPr/>
        <w:t xml:space="preserve"> Organizations may provide training, but clinicians remain responsible for their own professional conduct and current competence.</w:t>
      </w:r>
    </w:p>
    <w:p>
      <w:pPr>
        <w:pStyle w:val="CTABody"/>
      </w:pPr>
      <w:r>
        <w:rPr>
          <w:b/>
        </w:rPr>
        <w:t>No complaint means the practice is effective.</w:t>
      </w:r>
      <w:r>
        <w:rPr/>
        <w:t xml:space="preserve"> Absence of a complaint does not replace outcome monitoring, self-assessment, or professional development.</w:t>
      </w:r>
    </w:p>
    <w:p>
      <w:pPr>
        <w:pStyle w:val="CTABody"/>
      </w:pPr>
      <w:r>
        <w:rPr>
          <w:b/>
        </w:rPr>
        <w:t>Referral is the only response to an outdated skill.</w:t>
      </w:r>
      <w:r>
        <w:rPr/>
        <w:t xml:space="preserve"> The proportionate response may include review, training, limited practice, collaboration, modification, or referral depending on risk.</w:t>
      </w:r>
    </w:p>
    <w:p>
      <w:pPr>
        <w:pStyle w:val="Heading3"/>
        <w:keepNext/>
      </w:pPr>
      <w:r>
        <w:rPr/>
        <w:t>Chapter Snapshot</w:t>
      </w:r>
    </w:p>
    <w:p>
      <w:pPr>
        <w:pStyle w:val="ListBullet"/>
      </w:pPr>
      <w:r>
        <w:t>Competence must be actively maintained throughout practice.</w:t>
      </w:r>
    </w:p>
    <w:p>
      <w:pPr>
        <w:pStyle w:val="ListBullet"/>
      </w:pPr>
      <w:r>
        <w:t>California CE requirements are a legal floor, not proof of competence.</w:t>
      </w:r>
    </w:p>
    <w:p>
      <w:pPr>
        <w:pStyle w:val="ListBullet"/>
      </w:pPr>
      <w:r>
        <w:t>Learning should address actual practice needs and identified risk.</w:t>
      </w:r>
    </w:p>
    <w:p>
      <w:pPr>
        <w:pStyle w:val="ListBullet"/>
      </w:pPr>
      <w:r>
        <w:t>Clinicians should verify current law and professional standards.</w:t>
      </w:r>
    </w:p>
    <w:p>
      <w:pPr>
        <w:pStyle w:val="ListBullet"/>
      </w:pPr>
      <w:r>
        <w:t>New research should be evaluated—not ignored or adopted automatically.</w:t>
      </w:r>
    </w:p>
    <w:p>
      <w:pPr>
        <w:pStyle w:val="ListBullet"/>
      </w:pPr>
      <w:r>
        <w:t>Treatment outcomes, recurring errors, and feedback can reveal maintenance needs.</w:t>
      </w:r>
    </w:p>
    <w:p>
      <w:pPr>
        <w:pStyle w:val="ListBullet"/>
      </w:pPr>
      <w:r>
        <w:t>Unused skills, new technologies, cultural contexts, and changes in functioning require reassessment.</w:t>
      </w:r>
    </w:p>
    <w:p>
      <w:pPr>
        <w:pStyle w:val="ListBullet"/>
      </w:pPr>
      <w:r>
        <w:t>The response should match the gap and protect current clients without unnecessary disruption.</w:t>
      </w:r>
    </w:p>
    <w:p>
      <w:r/>
    </w:p>
    <w:p>
      <w:pPr>
        <w:pStyle w:val="CTAChapterNumber"/>
        <w:spacing w:before="160"/>
      </w:pPr>
      <w:r>
        <w:t>CHAPTER 4</w:t>
      </w:r>
    </w:p>
    <w:p>
      <w:pPr>
        <w:pStyle w:val="CTAChapterTitle"/>
        <w:pBdr>
          <w:bottom w:val="single" w:sz="18" w:space="6" w:color="149B9E"/>
        </w:pBdr>
      </w:pPr>
      <w:r>
        <w:t>Consultation and Seeking Professional Assistance</w:t>
      </w:r>
    </w:p>
    <w:p>
      <w:pPr>
        <w:pStyle w:val="CTABody"/>
        <w:spacing w:before="120" w:after="120"/>
        <w:ind w:left="230" w:right="144"/>
        <w:shd w:fill="EAF6F6"/>
        <w:pBdr>
          <w:left w:val="single" w:sz="18" w:space="5" w:color="149B9E"/>
        </w:pBdr>
      </w:pPr>
      <w:r>
        <w:rPr>
          <w:b/>
        </w:rPr>
        <w:t xml:space="preserve">BIG IDEA  </w:t>
      </w:r>
      <w:r>
        <w:rPr/>
        <w:t>Consultation is a professional resource, not a transfer of responsibility. Use it early enough to help—but never as a substitute for required supervision, competent practice, a clear legal duty, or urgent protective action.</w:t>
      </w:r>
    </w:p>
    <w:p>
      <w:pPr>
        <w:pStyle w:val="Heading3"/>
        <w:keepNext/>
      </w:pPr>
      <w:r>
        <w:rPr/>
        <w:t>Learning Objectives</w:t>
      </w:r>
    </w:p>
    <w:p>
      <w:pPr>
        <w:pStyle w:val="CTABody"/>
        <w:ind w:left="346" w:hanging="346"/>
      </w:pPr>
      <w:r>
        <w:rPr>
          <w:b/>
        </w:rPr>
        <w:t xml:space="preserve">1.  </w:t>
      </w:r>
      <w:r>
        <w:t>Define consultation and distinguish it from supervision, referral, training, and legal advice.</w:t>
      </w:r>
    </w:p>
    <w:p>
      <w:pPr>
        <w:pStyle w:val="CTABody"/>
        <w:ind w:left="346" w:hanging="346"/>
      </w:pPr>
      <w:r>
        <w:rPr>
          <w:b/>
        </w:rPr>
        <w:t xml:space="preserve">2.  </w:t>
      </w:r>
      <w:r>
        <w:t>Identify circumstances that indicate a need for consultation or other professional assistance.</w:t>
      </w:r>
    </w:p>
    <w:p>
      <w:pPr>
        <w:pStyle w:val="CTABody"/>
        <w:ind w:left="346" w:hanging="346"/>
      </w:pPr>
      <w:r>
        <w:rPr>
          <w:b/>
        </w:rPr>
        <w:t xml:space="preserve">3.  </w:t>
      </w:r>
      <w:r>
        <w:t>Choose a consultant whose expertise, role, and conflicts fit the question presented.</w:t>
      </w:r>
    </w:p>
    <w:p>
      <w:pPr>
        <w:pStyle w:val="CTABody"/>
        <w:ind w:left="346" w:hanging="346"/>
      </w:pPr>
      <w:r>
        <w:rPr>
          <w:b/>
        </w:rPr>
        <w:t xml:space="preserve">4.  </w:t>
      </w:r>
      <w:r>
        <w:t>Analyze confidentiality and authorization before sharing client information.</w:t>
      </w:r>
    </w:p>
    <w:p>
      <w:pPr>
        <w:pStyle w:val="CTABody"/>
        <w:ind w:left="346" w:hanging="346"/>
      </w:pPr>
      <w:r>
        <w:rPr>
          <w:b/>
        </w:rPr>
        <w:t xml:space="preserve">5.  </w:t>
      </w:r>
      <w:r>
        <w:t>Determine when consultation must occur alongside—rather than before—urgent or legally required action.</w:t>
      </w:r>
    </w:p>
    <w:p>
      <w:pPr>
        <w:pStyle w:val="CTABody"/>
        <w:ind w:left="346" w:hanging="346"/>
      </w:pPr>
      <w:r>
        <w:rPr>
          <w:b/>
        </w:rPr>
        <w:t xml:space="preserve">6.  </w:t>
      </w:r>
      <w:r>
        <w:t>Evaluate recommendations without surrendering professional judgment.</w:t>
      </w:r>
    </w:p>
    <w:p>
      <w:pPr>
        <w:pStyle w:val="CTABody"/>
        <w:ind w:left="346" w:hanging="346"/>
      </w:pPr>
      <w:r>
        <w:rPr>
          <w:b/>
        </w:rPr>
        <w:t xml:space="preserve">7.  </w:t>
      </w:r>
      <w:r>
        <w:t>Document consultation proportionately when it materially affects assessment, risk management, treatment, or continuity of care.</w:t>
      </w:r>
    </w:p>
    <w:p>
      <w:pPr>
        <w:pStyle w:val="Heading3"/>
        <w:keepNext/>
      </w:pPr>
      <w:r>
        <w:rPr/>
        <w:t>California Legal and Examination Framework</w:t>
      </w:r>
    </w:p>
    <w:p>
      <w:pPr>
        <w:pStyle w:val="CTABody"/>
      </w:pPr>
      <w:r>
        <w:rPr>
          <w:i w:val="0"/>
        </w:rPr>
        <w:t>California law does not create a single stand-alone rule stating that every uncertainty requires consultation. The analysis begins with the clinician's actual legal duties and present competence. Under the Clinical Social Worker Practice Act, incompetence, gross negligence, and unprofessional conduct can create disciplinary exposure. Consultation is one tool for clarifying uncertainty, improving competence, and protecting clients; it does not replace required ASW supervision or create authority that the credential, registration, setting, or law does not provide.</w:t>
      </w:r>
    </w:p>
    <w:p>
      <w:pPr>
        <w:pStyle w:val="CTABody"/>
      </w:pPr>
      <w:r>
        <w:rPr>
          <w:i w:val="0"/>
        </w:rPr>
        <w:t>The current LCSW California Law and Ethics examination framework requires candidates to distinguish legal rules from ethical reasoning and to recognize when consultation, supervision, referral, legal guidance, or other professional assistance is needed. Current BBS and testing-administrator materials control; verify the active examination outline before public release.</w:t>
      </w:r>
    </w:p>
    <w:p>
      <w:pPr>
        <w:pStyle w:val="CTABody"/>
        <w:spacing w:before="120" w:after="120"/>
        <w:ind w:left="230" w:right="144"/>
        <w:shd w:fill="EAF6F6"/>
        <w:pBdr>
          <w:left w:val="single" w:sz="18" w:space="5" w:color="149B9E"/>
        </w:pBdr>
      </w:pPr>
      <w:r>
        <w:rPr>
          <w:b/>
        </w:rPr>
        <w:t xml:space="preserve">EXAM DISTINCTION  </w:t>
      </w:r>
      <w:r>
        <w:rPr/>
        <w:t>A legal mandate controls when its elements are met. Consultation can clarify application, but it cannot authorize delay, override an individual reporting duty, or convert prohibited conduct into permissible practice.</w:t>
      </w:r>
    </w:p>
    <w:p>
      <w:pPr>
        <w:pStyle w:val="Heading3"/>
        <w:keepNext/>
      </w:pPr>
      <w:r>
        <w:rPr/>
        <w:t>What Professional Consultation Is</w:t>
      </w:r>
    </w:p>
    <w:p>
      <w:pPr>
        <w:pStyle w:val="CTABody"/>
      </w:pPr>
      <w:r>
        <w:rPr>
          <w:i w:val="0"/>
        </w:rPr>
        <w:t>Professional consultation is a focused request for information, perspective, or specialized expertise concerning a clinical, ethical, legal, cultural, technological, business, or risk-management question. The treating clinician ordinarily remains responsible for the client and for the final professional decision.</w:t>
      </w:r>
    </w:p>
    <w:p>
      <w:pPr>
        <w:pStyle w:val="ListBullet"/>
      </w:pPr>
      <w:r>
        <w:rPr/>
        <w:t>Clinical consultation: case formulation, assessment, intervention, risk, diagnosis, or level of care.</w:t>
      </w:r>
    </w:p>
    <w:p>
      <w:pPr>
        <w:pStyle w:val="ListBullet"/>
      </w:pPr>
      <w:r>
        <w:rPr/>
        <w:t>Ethics consultation: competing responsibilities, boundaries, conflicts, values, or professional roles.</w:t>
      </w:r>
    </w:p>
    <w:p>
      <w:pPr>
        <w:pStyle w:val="ListBullet"/>
      </w:pPr>
      <w:r>
        <w:rPr/>
        <w:t>Legal consultation: interpretation of statutes, subpoenas, court orders, reporting duties, or jurisdiction—usually with qualified legal counsel when legal advice is needed.</w:t>
      </w:r>
    </w:p>
    <w:p>
      <w:pPr>
        <w:pStyle w:val="ListBullet"/>
      </w:pPr>
      <w:r>
        <w:rPr/>
        <w:t>Cultural consultation: context, lived experience, community knowledge, language, identity, or culturally responsive adaptation.</w:t>
      </w:r>
    </w:p>
    <w:p>
      <w:pPr>
        <w:pStyle w:val="ListBullet"/>
      </w:pPr>
      <w:r>
        <w:rPr/>
        <w:t>Risk-management consultation: documentation, practice procedures, insurance concerns, or response planning.</w:t>
      </w:r>
    </w:p>
    <w:p>
      <w:pPr>
        <w:pStyle w:val="ListBullet"/>
      </w:pPr>
      <w:r>
        <w:rPr/>
        <w:t>Technology consultation: privacy, security, vendors, telehealth, data use, or system configuration.</w:t>
      </w:r>
    </w:p>
    <w:p>
      <w:pPr>
        <w:pStyle w:val="CTABody"/>
      </w:pPr>
      <w:r>
        <w:rPr>
          <w:i w:val="0"/>
        </w:rPr>
        <w:t>A consultant may become a treating provider, evaluator, supervisor, or other formal participant only through a separate, clearly defined arrangement. The label “consultant” does not decide legal role, responsibility, confidentiality, billing, or access to records.</w:t>
      </w:r>
    </w:p>
    <w:p>
      <w:pPr>
        <w:pStyle w:val="Heading3"/>
        <w:keepNext/>
      </w:pPr>
      <w:r>
        <w:rPr/>
        <w:t>Consultation Is Not the Same as Other Assistance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Primary function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Key limit</w:t>
            </w:r>
          </w:p>
        </w:tc>
      </w:tr>
      <w:tr>
        <w:trPr>
          <w:cantSplit w:val="1"/>
        </w:trPr>
        <w:tc>
          <w:tcPr>
            <w:tcW w:type="dxa" w:w="3349"/>
            <w:vAlign w:val="center"/>
            <w:tcMar>
              <w:top w:w="80" w:type="dxa"/>
              <w:start w:w="100" w:type="dxa"/>
              <w:bottom w:w="80" w:type="dxa"/>
              <w:end w:w="100" w:type="dxa"/>
            </w:tcMar>
          </w:tcPr>
          <w:p>
            <w:pPr>
              <w:pStyle w:val="CTABody"/>
              <w:spacing w:after="40"/>
            </w:pPr>
            <w:r/>
            <w:r>
              <w:t>Consultation</w:t>
            </w:r>
          </w:p>
        </w:tc>
        <w:tc>
          <w:tcPr>
            <w:tcW w:type="dxa" w:w="3349"/>
            <w:vAlign w:val="center"/>
            <w:tcMar>
              <w:top w:w="80" w:type="dxa"/>
              <w:start w:w="100" w:type="dxa"/>
              <w:bottom w:w="80" w:type="dxa"/>
              <w:end w:w="100" w:type="dxa"/>
            </w:tcMar>
          </w:tcPr>
          <w:p>
            <w:pPr>
              <w:pStyle w:val="CTABody"/>
              <w:spacing w:after="40"/>
            </w:pPr>
            <w:r/>
            <w:r>
              <w:t>Adds focused expertise or perspective while the treating clinician generally remains responsible.</w:t>
            </w:r>
          </w:p>
        </w:tc>
        <w:tc>
          <w:tcPr>
            <w:tcW w:type="dxa" w:w="3348"/>
            <w:vAlign w:val="center"/>
            <w:tcMar>
              <w:top w:w="80" w:type="dxa"/>
              <w:start w:w="100" w:type="dxa"/>
              <w:bottom w:w="80" w:type="dxa"/>
              <w:end w:w="100" w:type="dxa"/>
            </w:tcMar>
          </w:tcPr>
          <w:p>
            <w:pPr>
              <w:pStyle w:val="CTABody"/>
              <w:spacing w:after="40"/>
            </w:pPr>
            <w:r/>
            <w:r>
              <w:t>Does not itself transfer care, create competence, or satisfy required supervision.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Formal supervision</w:t>
            </w:r>
          </w:p>
        </w:tc>
        <w:tc>
          <w:tcPr>
            <w:tcW w:type="dxa" w:w="3349"/>
            <w:vAlign w:val="center"/>
            <w:tcMar>
              <w:top w:w="80" w:type="dxa"/>
              <w:start w:w="100" w:type="dxa"/>
              <w:bottom w:w="80" w:type="dxa"/>
              <w:end w:w="100" w:type="dxa"/>
            </w:tcMar>
            <w:shd w:fill="F4F6F8"/>
          </w:tcPr>
          <w:p>
            <w:pPr>
              <w:pStyle w:val="CTABody"/>
              <w:spacing w:after="40"/>
            </w:pPr>
            <w:r/>
            <w:r>
              <w:t>Provides structured oversight, evaluation, accountability, and authority within a recognized supervisory relationship.</w:t>
            </w:r>
          </w:p>
        </w:tc>
        <w:tc>
          <w:tcPr>
            <w:tcW w:type="dxa" w:w="3348"/>
            <w:vAlign w:val="center"/>
            <w:tcMar>
              <w:top w:w="80" w:type="dxa"/>
              <w:start w:w="100" w:type="dxa"/>
              <w:bottom w:w="80" w:type="dxa"/>
              <w:end w:w="100" w:type="dxa"/>
            </w:tcMar>
            <w:shd w:fill="F4F6F8"/>
          </w:tcPr>
          <w:p>
            <w:pPr>
              <w:pStyle w:val="CTABody"/>
              <w:spacing w:after="40"/>
            </w:pPr>
            <w:r/>
            <w:r>
              <w:t>Peer consultation cannot replace BBS-required direct supervisor contact for ASWs.</w:t>
            </w:r>
          </w:p>
        </w:tc>
      </w:tr>
      <w:tr>
        <w:trPr>
          <w:cantSplit w:val="1"/>
        </w:trPr>
        <w:tc>
          <w:tcPr>
            <w:tcW w:type="dxa" w:w="3349"/>
            <w:vAlign w:val="center"/>
            <w:tcMar>
              <w:top w:w="80" w:type="dxa"/>
              <w:start w:w="100" w:type="dxa"/>
              <w:bottom w:w="80" w:type="dxa"/>
              <w:end w:w="100" w:type="dxa"/>
            </w:tcMar>
          </w:tcPr>
          <w:p>
            <w:pPr>
              <w:pStyle w:val="CTABody"/>
              <w:spacing w:after="40"/>
            </w:pPr>
            <w:r/>
            <w:r>
              <w:t>Referral / transfer</w:t>
            </w:r>
          </w:p>
        </w:tc>
        <w:tc>
          <w:tcPr>
            <w:tcW w:type="dxa" w:w="3349"/>
            <w:vAlign w:val="center"/>
            <w:tcMar>
              <w:top w:w="80" w:type="dxa"/>
              <w:start w:w="100" w:type="dxa"/>
              <w:bottom w:w="80" w:type="dxa"/>
              <w:end w:w="100" w:type="dxa"/>
            </w:tcMar>
          </w:tcPr>
          <w:p>
            <w:pPr>
              <w:pStyle w:val="CTABody"/>
              <w:spacing w:after="40"/>
            </w:pPr>
            <w:r/>
            <w:r>
              <w:t>Directs the client to another provider or service; responsibility may be shared or shift according to the arrangement.</w:t>
            </w:r>
          </w:p>
        </w:tc>
        <w:tc>
          <w:tcPr>
            <w:tcW w:type="dxa" w:w="3348"/>
            <w:vAlign w:val="center"/>
            <w:tcMar>
              <w:top w:w="80" w:type="dxa"/>
              <w:start w:w="100" w:type="dxa"/>
              <w:bottom w:w="80" w:type="dxa"/>
              <w:end w:w="100" w:type="dxa"/>
            </w:tcMar>
          </w:tcPr>
          <w:p>
            <w:pPr>
              <w:pStyle w:val="CTABody"/>
              <w:spacing w:after="40"/>
            </w:pPr>
            <w:r/>
            <w:r>
              <w:t>A referral is not complete merely because contact information was given; continuity and risk still require attention.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Training / education</w:t>
            </w:r>
          </w:p>
        </w:tc>
        <w:tc>
          <w:tcPr>
            <w:tcW w:type="dxa" w:w="3349"/>
            <w:vAlign w:val="center"/>
            <w:tcMar>
              <w:top w:w="80" w:type="dxa"/>
              <w:start w:w="100" w:type="dxa"/>
              <w:bottom w:w="80" w:type="dxa"/>
              <w:end w:w="100" w:type="dxa"/>
            </w:tcMar>
            <w:shd w:fill="F4F6F8"/>
          </w:tcPr>
          <w:p>
            <w:pPr>
              <w:pStyle w:val="CTABody"/>
              <w:spacing w:after="40"/>
            </w:pPr>
            <w:r/>
            <w:r>
              <w:t>Develops knowledge and skill over time.</w:t>
            </w:r>
          </w:p>
        </w:tc>
        <w:tc>
          <w:tcPr>
            <w:tcW w:type="dxa" w:w="3348"/>
            <w:vAlign w:val="center"/>
            <w:tcMar>
              <w:top w:w="80" w:type="dxa"/>
              <w:start w:w="100" w:type="dxa"/>
              <w:bottom w:w="80" w:type="dxa"/>
              <w:end w:w="100" w:type="dxa"/>
            </w:tcMar>
            <w:shd w:fill="F4F6F8"/>
          </w:tcPr>
          <w:p>
            <w:pPr>
              <w:pStyle w:val="CTABody"/>
              <w:spacing w:after="40"/>
            </w:pPr>
            <w:r/>
            <w:r>
              <w:t>Attendance alone does not establish present competence for a complex or high-risk service.</w:t>
            </w:r>
          </w:p>
        </w:tc>
      </w:tr>
      <w:tr>
        <w:trPr>
          <w:cantSplit w:val="1"/>
        </w:trPr>
        <w:tc>
          <w:tcPr>
            <w:tcW w:type="dxa" w:w="3349"/>
            <w:vAlign w:val="center"/>
            <w:tcMar>
              <w:top w:w="80" w:type="dxa"/>
              <w:start w:w="100" w:type="dxa"/>
              <w:bottom w:w="80" w:type="dxa"/>
              <w:end w:w="100" w:type="dxa"/>
            </w:tcMar>
          </w:tcPr>
          <w:p>
            <w:pPr>
              <w:pStyle w:val="CTABody"/>
              <w:spacing w:after="40"/>
            </w:pPr>
            <w:r/>
            <w:r>
              <w:t>Legal advice</w:t>
            </w:r>
          </w:p>
        </w:tc>
        <w:tc>
          <w:tcPr>
            <w:tcW w:type="dxa" w:w="3349"/>
            <w:vAlign w:val="center"/>
            <w:tcMar>
              <w:top w:w="80" w:type="dxa"/>
              <w:start w:w="100" w:type="dxa"/>
              <w:bottom w:w="80" w:type="dxa"/>
              <w:end w:w="100" w:type="dxa"/>
            </w:tcMar>
          </w:tcPr>
          <w:p>
            <w:pPr>
              <w:pStyle w:val="CTABody"/>
              <w:spacing w:after="40"/>
            </w:pPr>
            <w:r/>
            <w:r>
              <w:t>Applies law to the clinician’s facts and legal exposure.</w:t>
            </w:r>
          </w:p>
        </w:tc>
        <w:tc>
          <w:tcPr>
            <w:tcW w:type="dxa" w:w="3348"/>
            <w:vAlign w:val="center"/>
            <w:tcMar>
              <w:top w:w="80" w:type="dxa"/>
              <w:start w:w="100" w:type="dxa"/>
              <w:bottom w:w="80" w:type="dxa"/>
              <w:end w:w="100" w:type="dxa"/>
            </w:tcMar>
          </w:tcPr>
          <w:p>
            <w:pPr>
              <w:pStyle w:val="CTABody"/>
              <w:spacing w:after="40"/>
            </w:pPr>
            <w:r/>
            <w:r>
              <w:t>A colleague’s opinion is not a substitute for qualified counsel when formal legal analysis is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Emergency / mandated action</w:t>
            </w:r>
          </w:p>
        </w:tc>
        <w:tc>
          <w:tcPr>
            <w:tcW w:type="dxa" w:w="3349"/>
            <w:vAlign w:val="center"/>
            <w:tcMar>
              <w:top w:w="80" w:type="dxa"/>
              <w:start w:w="100" w:type="dxa"/>
              <w:bottom w:w="80" w:type="dxa"/>
              <w:end w:w="100" w:type="dxa"/>
            </w:tcMar>
            <w:shd w:fill="F4F6F8"/>
          </w:tcPr>
          <w:p>
            <w:pPr>
              <w:pStyle w:val="CTABody"/>
              <w:spacing w:after="40"/>
            </w:pPr>
            <w:r/>
            <w:r>
              <w:t>Protects a client or others and satisfies time-sensitive legal duties.</w:t>
            </w:r>
          </w:p>
        </w:tc>
        <w:tc>
          <w:tcPr>
            <w:tcW w:type="dxa" w:w="3348"/>
            <w:vAlign w:val="center"/>
            <w:tcMar>
              <w:top w:w="80" w:type="dxa"/>
              <w:start w:w="100" w:type="dxa"/>
              <w:bottom w:w="80" w:type="dxa"/>
              <w:end w:w="100" w:type="dxa"/>
            </w:tcMar>
            <w:shd w:fill="F4F6F8"/>
          </w:tcPr>
          <w:p>
            <w:pPr>
              <w:pStyle w:val="CTABody"/>
              <w:spacing w:after="40"/>
            </w:pPr>
            <w:r/>
            <w:r>
              <w:t>Consultation must not delay action required by the facts and controlling law.</w:t>
            </w:r>
          </w:p>
        </w:tc>
      </w:tr>
    </w:tbl>
    <w:p>
      <w:pPr>
        <w:spacing w:after="20"/>
      </w:pPr>
    </w:p>
    <w:p>
      <w:pPr>
        <w:pStyle w:val="Heading3"/>
        <w:keepNext/>
      </w:pPr>
      <w:r>
        <w:rPr/>
        <w:t>When Professional Assistance May Be Indicated</w:t>
      </w:r>
    </w:p>
    <w:p>
      <w:pPr>
        <w:pStyle w:val="CTABody"/>
      </w:pPr>
      <w:r>
        <w:rPr>
          <w:i w:val="0"/>
        </w:rPr>
        <w:t>Consultation is most useful when there is a material gap or uncertainty that another qualified perspective could help resolve. The response should match the issue, the clinician’s role, and the risk of delay.</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Signal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Possible response</w:t>
            </w:r>
          </w:p>
        </w:tc>
      </w:tr>
      <w:tr>
        <w:trPr>
          <w:cantSplit w:val="1"/>
        </w:trPr>
        <w:tc>
          <w:tcPr>
            <w:tcW w:type="dxa" w:w="5023"/>
            <w:vAlign w:val="center"/>
            <w:tcMar>
              <w:top w:w="80" w:type="dxa"/>
              <w:start w:w="100" w:type="dxa"/>
              <w:bottom w:w="80" w:type="dxa"/>
              <w:end w:w="100" w:type="dxa"/>
            </w:tcMar>
          </w:tcPr>
          <w:p>
            <w:pPr>
              <w:pStyle w:val="CTABody"/>
              <w:spacing w:after="40"/>
            </w:pPr>
            <w:r/>
            <w:r>
              <w:t>Unfamiliar presentation, intervention, or population</w:t>
            </w:r>
          </w:p>
        </w:tc>
        <w:tc>
          <w:tcPr>
            <w:tcW w:type="dxa" w:w="5023"/>
            <w:vAlign w:val="center"/>
            <w:tcMar>
              <w:top w:w="80" w:type="dxa"/>
              <w:start w:w="100" w:type="dxa"/>
              <w:bottom w:w="80" w:type="dxa"/>
              <w:end w:w="100" w:type="dxa"/>
            </w:tcMar>
          </w:tcPr>
          <w:p>
            <w:pPr>
              <w:pStyle w:val="CTABody"/>
              <w:spacing w:after="40"/>
            </w:pPr>
            <w:r/>
            <w:r>
              <w:t>Assess competence; obtain targeted consultation, supervision, training, collaboration, or referral.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Conflicting ethical considerations</w:t>
            </w:r>
          </w:p>
        </w:tc>
        <w:tc>
          <w:tcPr>
            <w:tcW w:type="dxa" w:w="5023"/>
            <w:vAlign w:val="center"/>
            <w:tcMar>
              <w:top w:w="80" w:type="dxa"/>
              <w:start w:w="100" w:type="dxa"/>
              <w:bottom w:w="80" w:type="dxa"/>
              <w:end w:w="100" w:type="dxa"/>
            </w:tcMar>
            <w:shd w:fill="F4F6F8"/>
          </w:tcPr>
          <w:p>
            <w:pPr>
              <w:pStyle w:val="CTABody"/>
              <w:spacing w:after="40"/>
            </w:pPr>
            <w:r/>
            <w:r>
              <w:t>Identify the competing duties, consult relevant standards, and seek qualified ethics or legal input.</w:t>
            </w:r>
          </w:p>
        </w:tc>
      </w:tr>
      <w:tr>
        <w:trPr>
          <w:cantSplit w:val="1"/>
        </w:trPr>
        <w:tc>
          <w:tcPr>
            <w:tcW w:type="dxa" w:w="5023"/>
            <w:vAlign w:val="center"/>
            <w:tcMar>
              <w:top w:w="80" w:type="dxa"/>
              <w:start w:w="100" w:type="dxa"/>
              <w:bottom w:w="80" w:type="dxa"/>
              <w:end w:w="100" w:type="dxa"/>
            </w:tcMar>
          </w:tcPr>
          <w:p>
            <w:pPr>
              <w:pStyle w:val="CTABody"/>
              <w:spacing w:after="40"/>
            </w:pPr>
            <w:r/>
            <w:r>
              <w:t>Strong values, bias, countertransference, or personal reaction</w:t>
            </w:r>
          </w:p>
        </w:tc>
        <w:tc>
          <w:tcPr>
            <w:tcW w:type="dxa" w:w="5023"/>
            <w:vAlign w:val="center"/>
            <w:tcMar>
              <w:top w:w="80" w:type="dxa"/>
              <w:start w:w="100" w:type="dxa"/>
              <w:bottom w:w="80" w:type="dxa"/>
              <w:end w:w="100" w:type="dxa"/>
            </w:tcMar>
          </w:tcPr>
          <w:p>
            <w:pPr>
              <w:pStyle w:val="CTABody"/>
              <w:spacing w:after="40"/>
            </w:pPr>
            <w:r/>
            <w:r>
              <w:t>Assess effect on judgment; consult or seek personal support while protecting the client from burden or exploitation.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Unexpected deterioration, elevated risk, or unclear level of care</w:t>
            </w:r>
          </w:p>
        </w:tc>
        <w:tc>
          <w:tcPr>
            <w:tcW w:type="dxa" w:w="5023"/>
            <w:vAlign w:val="center"/>
            <w:tcMar>
              <w:top w:w="80" w:type="dxa"/>
              <w:start w:w="100" w:type="dxa"/>
              <w:bottom w:w="80" w:type="dxa"/>
              <w:end w:w="100" w:type="dxa"/>
            </w:tcMar>
            <w:shd w:fill="F4F6F8"/>
          </w:tcPr>
          <w:p>
            <w:pPr>
              <w:pStyle w:val="CTABody"/>
              <w:spacing w:after="40"/>
            </w:pPr>
            <w:r/>
            <w:r>
              <w:t>Assess risk immediately; consult promptly; arrange collaboration, emergency response, or higher care when indicated.</w:t>
            </w:r>
          </w:p>
        </w:tc>
      </w:tr>
      <w:tr>
        <w:trPr>
          <w:cantSplit w:val="1"/>
        </w:trPr>
        <w:tc>
          <w:tcPr>
            <w:tcW w:type="dxa" w:w="5023"/>
            <w:vAlign w:val="center"/>
            <w:tcMar>
              <w:top w:w="80" w:type="dxa"/>
              <w:start w:w="100" w:type="dxa"/>
              <w:bottom w:w="80" w:type="dxa"/>
              <w:end w:w="100" w:type="dxa"/>
            </w:tcMar>
          </w:tcPr>
          <w:p>
            <w:pPr>
              <w:pStyle w:val="CTABody"/>
              <w:spacing w:after="40"/>
            </w:pPr>
            <w:r/>
            <w:r>
              <w:t>Treatment is not progressing or errors recur</w:t>
            </w:r>
          </w:p>
        </w:tc>
        <w:tc>
          <w:tcPr>
            <w:tcW w:type="dxa" w:w="5023"/>
            <w:vAlign w:val="center"/>
            <w:tcMar>
              <w:top w:w="80" w:type="dxa"/>
              <w:start w:w="100" w:type="dxa"/>
              <w:bottom w:w="80" w:type="dxa"/>
              <w:end w:w="100" w:type="dxa"/>
            </w:tcMar>
          </w:tcPr>
          <w:p>
            <w:pPr>
              <w:pStyle w:val="CTABody"/>
              <w:spacing w:after="40"/>
            </w:pPr>
            <w:r/>
            <w:r>
              <w:t>Review outcomes and formulation; seek feedback; modify treatment or refer when safe progress cannot be supported.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Boundary, role, or conflict-of-interest concern</w:t>
            </w:r>
          </w:p>
        </w:tc>
        <w:tc>
          <w:tcPr>
            <w:tcW w:type="dxa" w:w="5023"/>
            <w:vAlign w:val="center"/>
            <w:tcMar>
              <w:top w:w="80" w:type="dxa"/>
              <w:start w:w="100" w:type="dxa"/>
              <w:bottom w:w="80" w:type="dxa"/>
              <w:end w:w="100" w:type="dxa"/>
            </w:tcMar>
            <w:shd w:fill="F4F6F8"/>
          </w:tcPr>
          <w:p>
            <w:pPr>
              <w:pStyle w:val="CTABody"/>
              <w:spacing w:after="40"/>
            </w:pPr>
            <w:r/>
            <w:r>
              <w:t>Clarify roles, reduce risk, consult, disclose or obtain consent when required, and document material decisions.</w:t>
            </w:r>
          </w:p>
        </w:tc>
      </w:tr>
      <w:tr>
        <w:trPr>
          <w:cantSplit w:val="1"/>
        </w:trPr>
        <w:tc>
          <w:tcPr>
            <w:tcW w:type="dxa" w:w="5023"/>
            <w:vAlign w:val="center"/>
            <w:tcMar>
              <w:top w:w="80" w:type="dxa"/>
              <w:start w:w="100" w:type="dxa"/>
              <w:bottom w:w="80" w:type="dxa"/>
              <w:end w:w="100" w:type="dxa"/>
            </w:tcMar>
          </w:tcPr>
          <w:p>
            <w:pPr>
              <w:pStyle w:val="CTABody"/>
              <w:spacing w:after="40"/>
            </w:pPr>
            <w:r/>
            <w:r>
              <w:t>Unclear legal demand or document</w:t>
            </w:r>
          </w:p>
        </w:tc>
        <w:tc>
          <w:tcPr>
            <w:tcW w:type="dxa" w:w="5023"/>
            <w:vAlign w:val="center"/>
            <w:tcMar>
              <w:top w:w="80" w:type="dxa"/>
              <w:start w:w="100" w:type="dxa"/>
              <w:bottom w:w="80" w:type="dxa"/>
              <w:end w:w="100" w:type="dxa"/>
            </w:tcMar>
          </w:tcPr>
          <w:p>
            <w:pPr>
              <w:pStyle w:val="CTABody"/>
              <w:spacing w:after="40"/>
            </w:pPr>
            <w:r/>
            <w:r>
              <w:t>Preserve confidentiality and obtain qualified legal guidance before disclosing or acting, unless a time-sensitive duty already applies.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Impairment or reduced professional functioning</w:t>
            </w:r>
          </w:p>
        </w:tc>
        <w:tc>
          <w:tcPr>
            <w:tcW w:type="dxa" w:w="5023"/>
            <w:vAlign w:val="center"/>
            <w:tcMar>
              <w:top w:w="80" w:type="dxa"/>
              <w:start w:w="100" w:type="dxa"/>
              <w:bottom w:w="80" w:type="dxa"/>
              <w:end w:w="100" w:type="dxa"/>
            </w:tcMar>
            <w:shd w:fill="F4F6F8"/>
          </w:tcPr>
          <w:p>
            <w:pPr>
              <w:pStyle w:val="CTABody"/>
              <w:spacing w:after="40"/>
            </w:pPr>
            <w:r/>
            <w:r>
              <w:t>Protect clients first; obtain professional assistance and modify, reduce, or suspend practice as needed.</w:t>
            </w:r>
          </w:p>
        </w:tc>
      </w:tr>
    </w:tbl>
    <w:p>
      <w:pPr>
        <w:spacing w:after="20"/>
      </w:pPr>
    </w:p>
    <w:p>
      <w:pPr>
        <w:pStyle w:val="Heading3"/>
        <w:keepNext/>
      </w:pPr>
      <w:r>
        <w:rPr/>
        <w:t>Selecting an Appropriate Consultant</w:t>
      </w:r>
    </w:p>
    <w:p>
      <w:pPr>
        <w:pStyle w:val="CTABody"/>
      </w:pPr>
      <w:r>
        <w:rPr>
          <w:i w:val="0"/>
        </w:rPr>
        <w:t>The consultant should fit the question—not merely be convenient or familiar. Before disclosing client information or relying on advice, evaluate:</w:t>
      </w:r>
    </w:p>
    <w:p>
      <w:pPr>
        <w:pStyle w:val="ListBullet"/>
      </w:pPr>
      <w:r>
        <w:rPr/>
        <w:t>Relevant education, license, training, experience, and jurisdiction.</w:t>
      </w:r>
    </w:p>
    <w:p>
      <w:pPr>
        <w:pStyle w:val="ListBullet"/>
      </w:pPr>
      <w:r>
        <w:rPr/>
        <w:t>Whether the person is qualified for the specific clinical, legal, cultural, or technical issue.</w:t>
      </w:r>
    </w:p>
    <w:p>
      <w:pPr>
        <w:pStyle w:val="ListBullet"/>
      </w:pPr>
      <w:r>
        <w:rPr/>
        <w:t>Conflicts of interest, dual roles, prior relationships, and financial incentives.</w:t>
      </w:r>
    </w:p>
    <w:p>
      <w:pPr>
        <w:pStyle w:val="ListBullet"/>
      </w:pPr>
      <w:r>
        <w:rPr/>
        <w:t>Whether the consultant can preserve information appropriately and use a secure communication method.</w:t>
      </w:r>
    </w:p>
    <w:p>
      <w:pPr>
        <w:pStyle w:val="ListBullet"/>
      </w:pPr>
      <w:r>
        <w:rPr/>
        <w:t>Whether the consultation is treatment-related, administrative, forensic, supervisory, or legal—and what that role means for disclosure.</w:t>
      </w:r>
    </w:p>
    <w:p>
      <w:pPr>
        <w:pStyle w:val="ListBullet"/>
      </w:pPr>
      <w:r>
        <w:rPr/>
        <w:t>Whether the advice is current, evidence-informed, consistent with California law, and responsive to the actual facts.</w:t>
      </w:r>
    </w:p>
    <w:p>
      <w:pPr>
        <w:pStyle w:val="ListBullet"/>
      </w:pPr>
      <w:r>
        <w:rPr/>
        <w:t>Whether a second or more specialized opinion is needed when advice is incomplete or conflicting.</w:t>
      </w:r>
    </w:p>
    <w:p>
      <w:pPr>
        <w:pStyle w:val="CTABody"/>
        <w:spacing w:before="120" w:after="120"/>
        <w:ind w:left="230" w:right="144"/>
        <w:shd w:fill="EAF6F6"/>
        <w:pBdr>
          <w:left w:val="single" w:sz="18" w:space="5" w:color="149B9E"/>
        </w:pBdr>
      </w:pPr>
      <w:r>
        <w:rPr>
          <w:b/>
        </w:rPr>
        <w:t xml:space="preserve">COMMON TRAP  </w:t>
      </w:r>
      <w:r>
        <w:rPr/>
        <w:t>A respected colleague may still be the wrong consultant. Trust and experience do not substitute for issue-specific expertise or a lawful basis to disclose information.</w:t>
      </w:r>
    </w:p>
    <w:p>
      <w:pPr>
        <w:pStyle w:val="Heading3"/>
        <w:keepNext/>
      </w:pPr>
      <w:r>
        <w:rPr/>
        <w:t>Confidentiality During Consultation</w:t>
      </w:r>
    </w:p>
    <w:p>
      <w:pPr>
        <w:pStyle w:val="CTABody"/>
      </w:pPr>
      <w:r>
        <w:rPr>
          <w:i w:val="0"/>
        </w:rPr>
        <w:t>Consultation does not create a blanket exception to confidentiality. California’s Confidentiality of Medical Information Act generally prohibits disclosure without authorization but permits certain disclosures, including disclosure to health care providers or professionals for diagnosis or treatment. HIPAA, when it applies, also permits covered entities to disclose protected health information for another provider’s treatment activities. [Civ. Code § 56.10(a), (c)(1); 45 C.F.R. § 164.506]</w:t>
      </w:r>
    </w:p>
    <w:p>
      <w:pPr>
        <w:pStyle w:val="CTABody"/>
      </w:pPr>
      <w:r>
        <w:rPr>
          <w:i w:val="0"/>
        </w:rPr>
        <w:t>Those permissions do not mean that client information may be shared freely with any colleague, community member, trainer, online group, or informal advisor. The purpose, recipient, professional role, setting, applicable law, contracts, and organizational policy matter. Some disclosures require authorization; some may be permitted without it; some are prohibited.</w:t>
      </w:r>
    </w:p>
    <w:p>
      <w:pPr>
        <w:pStyle w:val="CTABody"/>
      </w:pPr>
      <w:r>
        <w:rPr>
          <w:i w:val="0"/>
        </w:rPr>
        <w:t>California Evidence Code section 1012 also defines a confidential psychotherapist-patient communication to include limited third persons who further the patient’s interest in the consultation or are reasonably necessary to transmit or accomplish the purpose of the psychotherapy. Privilege and general confidentiality are related but distinct analyses; neither should be reduced to a slogan.</w:t>
      </w:r>
    </w:p>
    <w:p>
      <w:pPr>
        <w:pStyle w:val="Heading4"/>
        <w:keepNext/>
      </w:pPr>
      <w:r>
        <w:rPr/>
        <w:t>Before Sharing Client Information</w:t>
      </w:r>
    </w:p>
    <w:p>
      <w:pPr>
        <w:pStyle w:val="CTABody"/>
        <w:ind w:left="346" w:hanging="346"/>
      </w:pPr>
      <w:r>
        <w:rPr>
          <w:b/>
        </w:rPr>
        <w:t xml:space="preserve">1.  </w:t>
      </w:r>
      <w:r>
        <w:t>Identify the exact purpose of the consultation and whether identifiable information is genuinely needed.</w:t>
      </w:r>
    </w:p>
    <w:p>
      <w:pPr>
        <w:pStyle w:val="CTABody"/>
        <w:ind w:left="346" w:hanging="346"/>
      </w:pPr>
      <w:r>
        <w:rPr>
          <w:b/>
        </w:rPr>
        <w:t xml:space="preserve">2.  </w:t>
      </w:r>
      <w:r>
        <w:t>Identify the recipient’s professional role, qualifications, confidentiality obligations, and relationship to treatment.</w:t>
      </w:r>
    </w:p>
    <w:p>
      <w:pPr>
        <w:pStyle w:val="CTABody"/>
        <w:ind w:left="346" w:hanging="346"/>
      </w:pPr>
      <w:r>
        <w:rPr>
          <w:b/>
        </w:rPr>
        <w:t xml:space="preserve">3.  </w:t>
      </w:r>
      <w:r>
        <w:t>Determine the governing legal permission, exception, authorization, contract, and agency policy.</w:t>
      </w:r>
    </w:p>
    <w:p>
      <w:pPr>
        <w:pStyle w:val="CTABody"/>
        <w:ind w:left="346" w:hanging="346"/>
      </w:pPr>
      <w:r>
        <w:rPr>
          <w:b/>
        </w:rPr>
        <w:t xml:space="preserve">4.  </w:t>
      </w:r>
      <w:r>
        <w:t>Use de-identified or limited facts when they can answer the question; avoid unnecessary names, dates, employers, locations, or unusual combinations that could reveal identity.</w:t>
      </w:r>
    </w:p>
    <w:p>
      <w:pPr>
        <w:pStyle w:val="CTABody"/>
        <w:ind w:left="346" w:hanging="346"/>
      </w:pPr>
      <w:r>
        <w:rPr>
          <w:b/>
        </w:rPr>
        <w:t xml:space="preserve">5.  </w:t>
      </w:r>
      <w:r>
        <w:t>Use an appropriately secure channel and state the consultation’s confidentiality expectations.</w:t>
      </w:r>
    </w:p>
    <w:p>
      <w:pPr>
        <w:pStyle w:val="CTABody"/>
        <w:ind w:left="346" w:hanging="346"/>
      </w:pPr>
      <w:r>
        <w:rPr>
          <w:b/>
        </w:rPr>
        <w:t xml:space="preserve">6.  </w:t>
      </w:r>
      <w:r>
        <w:t>Document the disclosure or authorization when clinically or legally significant.</w:t>
      </w:r>
    </w:p>
    <w:p>
      <w:pPr>
        <w:pStyle w:val="CTABody"/>
      </w:pPr>
      <w:r>
        <w:rPr>
          <w:b/>
        </w:rPr>
        <w:t xml:space="preserve">PRECISION POINT  </w:t>
      </w:r>
      <w:r>
        <w:rPr/>
        <w:t>“Share only what is needed” is prudent ethical and risk-management guidance. Do not misstate it as a universal statutory minimum-necessary rule for every treatment consultation. The correct exam approach is to determine the legal basis and then limit disclosure to the consultation’s legitimate purpose.</w:t>
      </w:r>
    </w:p>
    <w:p>
      <w:pPr>
        <w:pStyle w:val="Heading3"/>
        <w:keepNext/>
      </w:pPr>
      <w:r>
        <w:rPr/>
        <w:t>Urgency Comes Before Routine Consultation</w:t>
      </w:r>
    </w:p>
    <w:p>
      <w:pPr>
        <w:pStyle w:val="CTABody"/>
      </w:pPr>
      <w:r>
        <w:rPr>
          <w:i w:val="0"/>
        </w:rPr>
        <w:t>When the facts activate a time-sensitive legal or safety duty, the clinician must not wait for routine consultation. Consultation may occur immediately and concurrently when feasible, but it cannot be used as permission to delay.</w:t>
      </w:r>
    </w:p>
    <w:p>
      <w:pPr>
        <w:pStyle w:val="ListBullet"/>
      </w:pPr>
      <w:r>
        <w:rPr/>
        <w:t>A mandated reporter with knowledge or reasonable suspicion of child abuse or neglect has an individual reporting duty. A supervisor or consultant cannot veto that duty. [Pen. Code § 11166]</w:t>
      </w:r>
    </w:p>
    <w:p>
      <w:pPr>
        <w:pStyle w:val="ListBullet"/>
      </w:pPr>
      <w:r>
        <w:rPr/>
        <w:t>Elder or dependent-adult abuse reporting timelines can also require immediate or prompt action. [Welf. &amp; Inst. Code § 15630]</w:t>
      </w:r>
    </w:p>
    <w:p>
      <w:pPr>
        <w:pStyle w:val="ListBullet"/>
      </w:pPr>
      <w:r>
        <w:rPr/>
        <w:t>A client’s communicated serious threat of physical violence against a reasonably identifiable victim triggers analysis under California’s duty-to-protect statute. [Civ. Code § 43.92]</w:t>
      </w:r>
    </w:p>
    <w:p>
      <w:pPr>
        <w:pStyle w:val="ListBullet"/>
      </w:pPr>
      <w:r>
        <w:rPr/>
        <w:t>Acute suicide, medical, violence, or grave-disability risk may require immediate assessment, emergency intervention, coordination, or higher-level care even when a legal question remains.</w:t>
      </w:r>
    </w:p>
    <w:p>
      <w:pPr>
        <w:pStyle w:val="CTABody"/>
      </w:pPr>
      <w:r>
        <w:rPr>
          <w:b/>
        </w:rPr>
        <w:t xml:space="preserve">EXAM ORDER  </w:t>
      </w:r>
      <w:r>
        <w:rPr/>
        <w:t>Assess immediate risk and the controlling duty first. Then obtain prompt consultation or legal guidance without delaying necessary protection.</w:t>
      </w:r>
    </w:p>
    <w:p>
      <w:pPr>
        <w:pStyle w:val="Heading3"/>
        <w:keepNext/>
      </w:pPr>
      <w:r>
        <w:rPr/>
        <w:t>Consultation Does Not Create Competence</w:t>
      </w:r>
    </w:p>
    <w:p>
      <w:pPr>
        <w:pStyle w:val="CTABody"/>
      </w:pPr>
      <w:r>
        <w:rPr>
          <w:i w:val="0"/>
        </w:rPr>
        <w:t>A brief consultation can improve a decision; it does not transform an untrained clinician into a specialist. If the clinician lacks essential knowledge or skill, the next step may include targeted training, formal supervision, collaboration, treatment modification, referral, transfer, or a higher level of care.</w:t>
      </w:r>
    </w:p>
    <w:p>
      <w:pPr>
        <w:pStyle w:val="CTABody"/>
      </w:pPr>
      <w:r>
        <w:rPr>
          <w:i w:val="0"/>
        </w:rPr>
        <w:t>The least disruptive option is appropriate only if it adequately protects the client. Client preference, lack of local specialists, employer pressure, or a consultant’s reassurance does not authorize unsafe or incompetent practice. At the same time, uncertainty alone does not always require immediate termination; a proportionate support plan may allow safe continuity.</w:t>
      </w:r>
    </w:p>
    <w:p>
      <w:pPr>
        <w:pStyle w:val="Heading3"/>
        <w:keepNext/>
      </w:pPr>
      <w:r>
        <w:t>ASWs: Consultation Is Supplemental</w:t>
      </w:r>
    </w:p>
    <w:p>
      <w:pPr>
        <w:pStyle w:val="CTABody"/>
      </w:pPr>
      <w:r>
        <w:rPr>
          <w:i w:val="0"/>
        </w:rPr>
        <w:t>California requires qualifying supervision for ASWs gaining experience. Peer consultation may enrich learning, but it does not replace formal supervision, supervisor availability, documented oversight, or required reporting to the supervisor. Use current BBS ASW supervision statutes, regulations, forms, and guidance for exact requirements.</w:t>
      </w:r>
    </w:p>
    <w:p>
      <w:pPr>
        <w:pStyle w:val="CTABody"/>
      </w:pPr>
      <w:r>
        <w:rPr>
          <w:b/>
        </w:rPr>
        <w:t>EXAM TRAP  If a question describes a ASW or ASW using a peer consultant instead of the required supervisor, the strongest answer restores formal supervision. Consultation may be added; it cannot be substituted.</w:t>
      </w:r>
      <w:r>
        <w:rPr/>
      </w:r>
    </w:p>
    <w:p>
      <w:pPr>
        <w:pStyle w:val="Heading3"/>
        <w:keepNext/>
      </w:pPr>
      <w:r>
        <w:rPr/>
        <w:t>Evaluating Recommendations and Retaining Responsibility</w:t>
      </w:r>
    </w:p>
    <w:p>
      <w:pPr>
        <w:pStyle w:val="CTABody"/>
      </w:pPr>
      <w:r>
        <w:rPr>
          <w:i w:val="0"/>
        </w:rPr>
        <w:t>After consultation, the clinician should neither obey automatically nor reject advice defensively. Evaluate the recommendation against:</w:t>
      </w:r>
    </w:p>
    <w:p>
      <w:pPr>
        <w:pStyle w:val="ListBullet"/>
      </w:pPr>
      <w:r>
        <w:rPr/>
        <w:t>The complete and current facts—not a partial or distorted presentation.</w:t>
      </w:r>
    </w:p>
    <w:p>
      <w:pPr>
        <w:pStyle w:val="ListBullet"/>
      </w:pPr>
      <w:r>
        <w:rPr/>
        <w:t>Applicable California law, professional standards, organizational duties, and the clinician’s role.</w:t>
      </w:r>
    </w:p>
    <w:p>
      <w:pPr>
        <w:pStyle w:val="ListBullet"/>
      </w:pPr>
      <w:r>
        <w:rPr/>
        <w:t>Client needs, culture, preferences, risks, continuity, and foreseeable consequences.</w:t>
      </w:r>
    </w:p>
    <w:p>
      <w:pPr>
        <w:pStyle w:val="ListBullet"/>
      </w:pPr>
      <w:r>
        <w:rPr/>
        <w:t>The consultant’s expertise, assumptions, conflicts, and limits.</w:t>
      </w:r>
    </w:p>
    <w:p>
      <w:pPr>
        <w:pStyle w:val="ListBullet"/>
      </w:pPr>
      <w:r>
        <w:rPr/>
        <w:t>The clinician’s own competence, resources, and ability to implement the plan safely.</w:t>
      </w:r>
    </w:p>
    <w:p>
      <w:pPr>
        <w:pStyle w:val="CTABody"/>
      </w:pPr>
      <w:r>
        <w:rPr>
          <w:i w:val="0"/>
        </w:rPr>
        <w:t>If consultations conflict, clarify the question and assumptions, gather missing information, obtain a more qualified opinion when needed, and make an independent decision. A clinician cannot defend an unsafe act solely by stating, “The consultant told me to do it.”</w:t>
      </w:r>
    </w:p>
    <w:p>
      <w:pPr>
        <w:pStyle w:val="Heading3"/>
        <w:keepNext/>
      </w:pPr>
      <w:r>
        <w:rPr/>
        <w:t>Documentation: Proportionate and Clinically Relevant</w:t>
      </w:r>
    </w:p>
    <w:p>
      <w:pPr>
        <w:pStyle w:val="CTABody"/>
      </w:pPr>
      <w:r>
        <w:rPr>
          <w:i w:val="0"/>
        </w:rPr>
        <w:t>California professional-conduct statutes require records consistent with sound clinical judgment, professional standards, and the nature of the services. They do not require a separate consultation note for every informal exchange. Document when the consultation materially affects assessment, risk, treatment planning, disclosure, referral, level of care, or continuity.</w:t>
      </w:r>
    </w:p>
    <w:p>
      <w:pPr>
        <w:pStyle w:val="ListBullet"/>
      </w:pPr>
      <w:r>
        <w:rPr/>
        <w:t>Reason consultation was sought and the material facts or question presented.</w:t>
      </w:r>
    </w:p>
    <w:p>
      <w:pPr>
        <w:pStyle w:val="ListBullet"/>
      </w:pPr>
      <w:r>
        <w:rPr/>
        <w:t>Date and the consultant’s relevant role or expertise, when useful to understand the decision.</w:t>
      </w:r>
    </w:p>
    <w:p>
      <w:pPr>
        <w:pStyle w:val="ListBullet"/>
      </w:pPr>
      <w:r>
        <w:rPr/>
        <w:t>Significant recommendations, including material disagreement or limitations.</w:t>
      </w:r>
    </w:p>
    <w:p>
      <w:pPr>
        <w:pStyle w:val="ListBullet"/>
      </w:pPr>
      <w:r>
        <w:rPr/>
        <w:t>The treating clinician’s independent assessment, decision, action, and follow-up plan.</w:t>
      </w:r>
    </w:p>
    <w:p>
      <w:pPr>
        <w:pStyle w:val="ListBullet"/>
      </w:pPr>
      <w:r>
        <w:rPr/>
        <w:t>Relevant disclosure basis, authorization, or confidentiality safeguards when client information was shared.</w:t>
      </w:r>
    </w:p>
    <w:p>
      <w:pPr>
        <w:pStyle w:val="CTABody"/>
      </w:pPr>
      <w:r>
        <w:rPr>
          <w:i w:val="0"/>
        </w:rPr>
        <w:t>Do not copy an entire conversation into the record merely to appear thorough. Avoid unnecessary identifying information about others, misleading language that transfers responsibility, or documentation created only after a complaint arises.</w:t>
      </w:r>
    </w:p>
    <w:p>
      <w:pPr>
        <w:pStyle w:val="Heading3"/>
        <w:keepNext/>
      </w:pPr>
      <w:r>
        <w:rPr/>
        <w:t>A Repeatable Exam Sequence: R-D-G-R-S-D-D</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Best action</w:t>
            </w:r>
          </w:p>
        </w:tc>
      </w:tr>
      <w:tr>
        <w:trPr>
          <w:cantSplit w:val="1"/>
        </w:trPr>
        <w:tc>
          <w:tcPr>
            <w:tcW w:type="dxa" w:w="3349"/>
            <w:vAlign w:val="center"/>
            <w:tcMar>
              <w:top w:w="80" w:type="dxa"/>
              <w:start w:w="100" w:type="dxa"/>
              <w:bottom w:w="80" w:type="dxa"/>
              <w:end w:w="100" w:type="dxa"/>
            </w:tcMar>
          </w:tcPr>
          <w:p>
            <w:pPr>
              <w:pStyle w:val="CTABody"/>
              <w:spacing w:after="40"/>
            </w:pPr>
            <w:r/>
            <w:r>
              <w:t>1. Risk</w:t>
            </w:r>
          </w:p>
        </w:tc>
        <w:tc>
          <w:tcPr>
            <w:tcW w:type="dxa" w:w="3349"/>
            <w:vAlign w:val="center"/>
            <w:tcMar>
              <w:top w:w="80" w:type="dxa"/>
              <w:start w:w="100" w:type="dxa"/>
              <w:bottom w:w="80" w:type="dxa"/>
              <w:end w:w="100" w:type="dxa"/>
            </w:tcMar>
          </w:tcPr>
          <w:p>
            <w:pPr>
              <w:pStyle w:val="CTABody"/>
              <w:spacing w:after="40"/>
            </w:pPr>
            <w:r/>
            <w:r>
              <w:t>Is anyone in immediate danger?</w:t>
            </w:r>
          </w:p>
        </w:tc>
        <w:tc>
          <w:tcPr>
            <w:tcW w:type="dxa" w:w="3348"/>
            <w:vAlign w:val="center"/>
            <w:tcMar>
              <w:top w:w="80" w:type="dxa"/>
              <w:start w:w="100" w:type="dxa"/>
              <w:bottom w:w="80" w:type="dxa"/>
              <w:end w:w="100" w:type="dxa"/>
            </w:tcMar>
          </w:tcPr>
          <w:p>
            <w:pPr>
              <w:pStyle w:val="CTABody"/>
              <w:spacing w:after="40"/>
            </w:pPr>
            <w:r/>
            <w:r>
              <w:t>Assess and take necessary protective or emergency action.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Duty</w:t>
            </w:r>
          </w:p>
        </w:tc>
        <w:tc>
          <w:tcPr>
            <w:tcW w:type="dxa" w:w="3349"/>
            <w:vAlign w:val="center"/>
            <w:tcMar>
              <w:top w:w="80" w:type="dxa"/>
              <w:start w:w="100" w:type="dxa"/>
              <w:bottom w:w="80" w:type="dxa"/>
              <w:end w:w="100" w:type="dxa"/>
            </w:tcMar>
            <w:shd w:fill="F4F6F8"/>
          </w:tcPr>
          <w:p>
            <w:pPr>
              <w:pStyle w:val="CTABody"/>
              <w:spacing w:after="40"/>
            </w:pPr>
            <w:r/>
            <w:r>
              <w:t>Does a statute, order, reporting rule, or supervisor requirement control?</w:t>
            </w:r>
          </w:p>
        </w:tc>
        <w:tc>
          <w:tcPr>
            <w:tcW w:type="dxa" w:w="3348"/>
            <w:vAlign w:val="center"/>
            <w:tcMar>
              <w:top w:w="80" w:type="dxa"/>
              <w:start w:w="100" w:type="dxa"/>
              <w:bottom w:w="80" w:type="dxa"/>
              <w:end w:w="100" w:type="dxa"/>
            </w:tcMar>
            <w:shd w:fill="F4F6F8"/>
          </w:tcPr>
          <w:p>
            <w:pPr>
              <w:pStyle w:val="CTABody"/>
              <w:spacing w:after="40"/>
            </w:pPr>
            <w:r/>
            <w:r>
              <w:t>Follow the controlling duty within its timeframe.</w:t>
            </w:r>
          </w:p>
        </w:tc>
      </w:tr>
      <w:tr>
        <w:trPr>
          <w:cantSplit w:val="1"/>
        </w:trPr>
        <w:tc>
          <w:tcPr>
            <w:tcW w:type="dxa" w:w="3349"/>
            <w:vAlign w:val="center"/>
            <w:tcMar>
              <w:top w:w="80" w:type="dxa"/>
              <w:start w:w="100" w:type="dxa"/>
              <w:bottom w:w="80" w:type="dxa"/>
              <w:end w:w="100" w:type="dxa"/>
            </w:tcMar>
          </w:tcPr>
          <w:p>
            <w:pPr>
              <w:pStyle w:val="CTABody"/>
              <w:spacing w:after="40"/>
            </w:pPr>
            <w:r/>
            <w:r>
              <w:t>3. Gap</w:t>
            </w:r>
          </w:p>
        </w:tc>
        <w:tc>
          <w:tcPr>
            <w:tcW w:type="dxa" w:w="3349"/>
            <w:vAlign w:val="center"/>
            <w:tcMar>
              <w:top w:w="80" w:type="dxa"/>
              <w:start w:w="100" w:type="dxa"/>
              <w:bottom w:w="80" w:type="dxa"/>
              <w:end w:w="100" w:type="dxa"/>
            </w:tcMar>
          </w:tcPr>
          <w:p>
            <w:pPr>
              <w:pStyle w:val="CTABody"/>
              <w:spacing w:after="40"/>
            </w:pPr>
            <w:r/>
            <w:r>
              <w:t>What knowledge, skill, role, or judgment gap remains?</w:t>
            </w:r>
          </w:p>
        </w:tc>
        <w:tc>
          <w:tcPr>
            <w:tcW w:type="dxa" w:w="3348"/>
            <w:vAlign w:val="center"/>
            <w:tcMar>
              <w:top w:w="80" w:type="dxa"/>
              <w:start w:w="100" w:type="dxa"/>
              <w:bottom w:w="80" w:type="dxa"/>
              <w:end w:w="100" w:type="dxa"/>
            </w:tcMar>
          </w:tcPr>
          <w:p>
            <w:pPr>
              <w:pStyle w:val="CTABody"/>
              <w:spacing w:after="40"/>
            </w:pPr>
            <w:r/>
            <w:r>
              <w:t>Define the actual question rather than seeking vague reassurance.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Resource</w:t>
            </w:r>
          </w:p>
        </w:tc>
        <w:tc>
          <w:tcPr>
            <w:tcW w:type="dxa" w:w="3349"/>
            <w:vAlign w:val="center"/>
            <w:tcMar>
              <w:top w:w="80" w:type="dxa"/>
              <w:start w:w="100" w:type="dxa"/>
              <w:bottom w:w="80" w:type="dxa"/>
              <w:end w:w="100" w:type="dxa"/>
            </w:tcMar>
            <w:shd w:fill="F4F6F8"/>
          </w:tcPr>
          <w:p>
            <w:pPr>
              <w:pStyle w:val="CTABody"/>
              <w:spacing w:after="40"/>
            </w:pPr>
            <w:r/>
            <w:r>
              <w:t>Which qualified resource matches that gap?</w:t>
            </w:r>
          </w:p>
        </w:tc>
        <w:tc>
          <w:tcPr>
            <w:tcW w:type="dxa" w:w="3348"/>
            <w:vAlign w:val="center"/>
            <w:tcMar>
              <w:top w:w="80" w:type="dxa"/>
              <w:start w:w="100" w:type="dxa"/>
              <w:bottom w:w="80" w:type="dxa"/>
              <w:end w:w="100" w:type="dxa"/>
            </w:tcMar>
            <w:shd w:fill="F4F6F8"/>
          </w:tcPr>
          <w:p>
            <w:pPr>
              <w:pStyle w:val="CTABody"/>
              <w:spacing w:after="40"/>
            </w:pPr>
            <w:r/>
            <w:r>
              <w:t>Choose consultation, supervision, legal advice, training, collaboration, or referral.</w:t>
            </w:r>
          </w:p>
        </w:tc>
      </w:tr>
      <w:tr>
        <w:trPr>
          <w:cantSplit w:val="1"/>
        </w:trPr>
        <w:tc>
          <w:tcPr>
            <w:tcW w:type="dxa" w:w="3349"/>
            <w:vAlign w:val="center"/>
            <w:tcMar>
              <w:top w:w="80" w:type="dxa"/>
              <w:start w:w="100" w:type="dxa"/>
              <w:bottom w:w="80" w:type="dxa"/>
              <w:end w:w="100" w:type="dxa"/>
            </w:tcMar>
          </w:tcPr>
          <w:p>
            <w:pPr>
              <w:pStyle w:val="CTABody"/>
              <w:spacing w:after="40"/>
            </w:pPr>
            <w:r/>
            <w:r>
              <w:t>5. Share</w:t>
            </w:r>
          </w:p>
        </w:tc>
        <w:tc>
          <w:tcPr>
            <w:tcW w:type="dxa" w:w="3349"/>
            <w:vAlign w:val="center"/>
            <w:tcMar>
              <w:top w:w="80" w:type="dxa"/>
              <w:start w:w="100" w:type="dxa"/>
              <w:bottom w:w="80" w:type="dxa"/>
              <w:end w:w="100" w:type="dxa"/>
            </w:tcMar>
          </w:tcPr>
          <w:p>
            <w:pPr>
              <w:pStyle w:val="CTABody"/>
              <w:spacing w:after="40"/>
            </w:pPr>
            <w:r/>
            <w:r>
              <w:t>What may lawfully be disclosed, and how much is useful?</w:t>
            </w:r>
          </w:p>
        </w:tc>
        <w:tc>
          <w:tcPr>
            <w:tcW w:type="dxa" w:w="3348"/>
            <w:vAlign w:val="center"/>
            <w:tcMar>
              <w:top w:w="80" w:type="dxa"/>
              <w:start w:w="100" w:type="dxa"/>
              <w:bottom w:w="80" w:type="dxa"/>
              <w:end w:w="100" w:type="dxa"/>
            </w:tcMar>
          </w:tcPr>
          <w:p>
            <w:pPr>
              <w:pStyle w:val="CTABody"/>
              <w:spacing w:after="40"/>
            </w:pPr>
            <w:r/>
            <w:r>
              <w:t>Determine the legal basis; de-identify or limit when feasible; use secure communication.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Decide</w:t>
            </w:r>
          </w:p>
        </w:tc>
        <w:tc>
          <w:tcPr>
            <w:tcW w:type="dxa" w:w="3349"/>
            <w:vAlign w:val="center"/>
            <w:tcMar>
              <w:top w:w="80" w:type="dxa"/>
              <w:start w:w="100" w:type="dxa"/>
              <w:bottom w:w="80" w:type="dxa"/>
              <w:end w:w="100" w:type="dxa"/>
            </w:tcMar>
            <w:shd w:fill="F4F6F8"/>
          </w:tcPr>
          <w:p>
            <w:pPr>
              <w:pStyle w:val="CTABody"/>
              <w:spacing w:after="40"/>
            </w:pPr>
            <w:r/>
            <w:r>
              <w:t>How does the advice fit the client and governing standards?</w:t>
            </w:r>
          </w:p>
        </w:tc>
        <w:tc>
          <w:tcPr>
            <w:tcW w:type="dxa" w:w="3348"/>
            <w:vAlign w:val="center"/>
            <w:tcMar>
              <w:top w:w="80" w:type="dxa"/>
              <w:start w:w="100" w:type="dxa"/>
              <w:bottom w:w="80" w:type="dxa"/>
              <w:end w:w="100" w:type="dxa"/>
            </w:tcMar>
            <w:shd w:fill="F4F6F8"/>
          </w:tcPr>
          <w:p>
            <w:pPr>
              <w:pStyle w:val="CTABody"/>
              <w:spacing w:after="40"/>
            </w:pPr>
            <w:r/>
            <w:r>
              <w:t>Exercise independent judgment; modify, reject, or seek further input as needed.</w:t>
            </w:r>
          </w:p>
        </w:tc>
      </w:tr>
      <w:tr>
        <w:trPr>
          <w:cantSplit w:val="1"/>
        </w:trPr>
        <w:tc>
          <w:tcPr>
            <w:tcW w:type="dxa" w:w="3349"/>
            <w:vAlign w:val="center"/>
            <w:tcMar>
              <w:top w:w="80" w:type="dxa"/>
              <w:start w:w="100" w:type="dxa"/>
              <w:bottom w:w="80" w:type="dxa"/>
              <w:end w:w="100" w:type="dxa"/>
            </w:tcMar>
          </w:tcPr>
          <w:p>
            <w:pPr>
              <w:pStyle w:val="CTABody"/>
              <w:spacing w:after="40"/>
            </w:pPr>
            <w:r/>
            <w:r>
              <w:t>7. Document</w:t>
            </w:r>
          </w:p>
        </w:tc>
        <w:tc>
          <w:tcPr>
            <w:tcW w:type="dxa" w:w="3349"/>
            <w:vAlign w:val="center"/>
            <w:tcMar>
              <w:top w:w="80" w:type="dxa"/>
              <w:start w:w="100" w:type="dxa"/>
              <w:bottom w:w="80" w:type="dxa"/>
              <w:end w:w="100" w:type="dxa"/>
            </w:tcMar>
          </w:tcPr>
          <w:p>
            <w:pPr>
              <w:pStyle w:val="CTABody"/>
              <w:spacing w:after="40"/>
            </w:pPr>
            <w:r/>
            <w:r>
              <w:t>Did the consultation materially affect care or legal reasoning?</w:t>
            </w:r>
          </w:p>
        </w:tc>
        <w:tc>
          <w:tcPr>
            <w:tcW w:type="dxa" w:w="3348"/>
            <w:vAlign w:val="center"/>
            <w:tcMar>
              <w:top w:w="80" w:type="dxa"/>
              <w:start w:w="100" w:type="dxa"/>
              <w:bottom w:w="80" w:type="dxa"/>
              <w:end w:w="100" w:type="dxa"/>
            </w:tcMar>
          </w:tcPr>
          <w:p>
            <w:pPr>
              <w:pStyle w:val="CTABody"/>
              <w:spacing w:after="40"/>
            </w:pPr>
            <w:r/>
            <w:r>
              <w:t>Record the significant reasoning, action, and follow-up proportionately.</w:t>
            </w:r>
          </w:p>
        </w:tc>
      </w:tr>
    </w:tbl>
    <w:p>
      <w:pPr>
        <w:spacing w:after="20"/>
      </w:pPr>
    </w:p>
    <w:p>
      <w:pPr>
        <w:pStyle w:val="Heading3"/>
        <w:keepNext/>
      </w:pPr>
      <w:r>
        <w:rPr/>
        <w:t>Clinical Applications</w:t>
      </w:r>
    </w:p>
    <w:p>
      <w:pPr>
        <w:pStyle w:val="Heading4"/>
        <w:keepNext/>
      </w:pPr>
      <w:r>
        <w:rPr/>
        <w:t>Application 1: A Consultant Advises Delay</w:t>
      </w:r>
    </w:p>
    <w:p>
      <w:pPr>
        <w:pStyle w:val="CTABody"/>
      </w:pPr>
      <w:r>
        <w:rPr>
          <w:i w:val="0"/>
        </w:rPr>
        <w:t>A therapist has reasonable suspicion of child abuse. A colleague says the facts are “probably not enough” and recommends waiting for the next session. The therapist should make the required report within the statutory timeframe. Consultation may help with clinical support or process questions, but the reporting duty is individual and cannot be delegated or vetoed.</w:t>
      </w:r>
    </w:p>
    <w:p>
      <w:pPr>
        <w:pStyle w:val="Heading4"/>
        <w:keepNext/>
      </w:pPr>
      <w:r>
        <w:rPr/>
        <w:t>Application 2: Treatment Consultation Without a Blanket Rule</w:t>
      </w:r>
    </w:p>
    <w:p>
      <w:pPr>
        <w:pStyle w:val="CTABody"/>
      </w:pPr>
      <w:r>
        <w:rPr>
          <w:i w:val="0"/>
        </w:rPr>
        <w:t>A licensed clinician seeks input from a qualified health care professional who specializes in the client’s condition. Before sharing identifiable information, the clinician identifies the treatment purpose, confirms the recipient’s role and applicable confidentiality protections, determines the legal disclosure basis, and limits the facts to the consultation’s legitimate purpose. A signed authorization is not automatically required for every treatment consultation, but neither is colleague status a blanket permission to disclose.</w:t>
      </w:r>
    </w:p>
    <w:p>
      <w:pPr>
        <w:pStyle w:val="Heading4"/>
        <w:keepNext/>
      </w:pPr>
      <w:r>
        <w:rPr/>
        <w:t>Application 3: Consultation Cannot Repair a Material Skill Gap</w:t>
      </w:r>
    </w:p>
    <w:p>
      <w:pPr>
        <w:pStyle w:val="CTABody"/>
      </w:pPr>
      <w:r>
        <w:rPr>
          <w:i w:val="0"/>
        </w:rPr>
        <w:t>A clinician with no training in a high-risk intervention receives a one-hour consultation and wants to begin using it. The consultation may clarify next steps, but it does not establish competence. The clinician should assess whether formal training, supervision, collaboration, modification, or referral is needed before proceeding.</w:t>
      </w:r>
    </w:p>
    <w:p>
      <w:pPr>
        <w:pStyle w:val="Heading3"/>
        <w:keepNext/>
      </w:pPr>
      <w:r>
        <w:rPr/>
        <w:t>Common Exam Traps</w:t>
      </w:r>
    </w:p>
    <w:p>
      <w:pPr>
        <w:pStyle w:val="CTABody"/>
      </w:pPr>
      <w:r>
        <w:rPr>
          <w:b/>
        </w:rPr>
        <w:t xml:space="preserve">TRAP  </w:t>
      </w:r>
      <w:r>
        <w:rPr>
          <w:b/>
        </w:rPr>
        <w:t xml:space="preserve">Consultation is always the first action. </w:t>
      </w:r>
      <w:r>
        <w:rPr/>
        <w:t>Risk and a clear legal duty may require action before or alongside consultation.</w:t>
      </w:r>
    </w:p>
    <w:p>
      <w:pPr>
        <w:pStyle w:val="CTABody"/>
      </w:pPr>
      <w:r>
        <w:rPr>
          <w:b/>
        </w:rPr>
        <w:t xml:space="preserve">TRAP  </w:t>
      </w:r>
      <w:r>
        <w:rPr>
          <w:b/>
        </w:rPr>
        <w:t xml:space="preserve">Asking for help proves incompetence. </w:t>
      </w:r>
      <w:r>
        <w:rPr/>
        <w:t>Appropriate consultation often demonstrates insight and competent judgment.</w:t>
      </w:r>
    </w:p>
    <w:p>
      <w:pPr>
        <w:pStyle w:val="CTABody"/>
      </w:pPr>
      <w:r>
        <w:rPr>
          <w:b/>
        </w:rPr>
        <w:t xml:space="preserve">TRAP  </w:t>
      </w:r>
      <w:r>
        <w:rPr>
          <w:b/>
        </w:rPr>
        <w:t xml:space="preserve">The consultant becomes responsible. </w:t>
      </w:r>
      <w:r>
        <w:rPr/>
        <w:t>Responsibility changes only through a separate professional arrangement; advice alone does not transfer the case.</w:t>
      </w:r>
    </w:p>
    <w:p>
      <w:pPr>
        <w:pStyle w:val="CTABody"/>
      </w:pPr>
      <w:r>
        <w:rPr>
          <w:b/>
        </w:rPr>
        <w:t xml:space="preserve">TRAP  </w:t>
      </w:r>
      <w:r>
        <w:rPr>
          <w:b/>
        </w:rPr>
        <w:t xml:space="preserve">A signed authorization is always required. </w:t>
      </w:r>
      <w:r>
        <w:rPr/>
        <w:t>Some treatment disclosures may be permitted without authorization; the clinician must analyze the purpose, recipient, and governing law.</w:t>
      </w:r>
    </w:p>
    <w:p>
      <w:pPr>
        <w:pStyle w:val="CTABody"/>
      </w:pPr>
      <w:r>
        <w:rPr>
          <w:b/>
        </w:rPr>
        <w:t xml:space="preserve">TRAP  </w:t>
      </w:r>
      <w:r>
        <w:rPr>
          <w:b/>
        </w:rPr>
        <w:t xml:space="preserve">Any licensed colleague is an appropriate consultant. </w:t>
      </w:r>
      <w:r>
        <w:rPr/>
        <w:t>The consultant needs issue-specific expertise and a role compatible with confidentiality.</w:t>
      </w:r>
    </w:p>
    <w:p>
      <w:pPr>
        <w:pStyle w:val="CTABody"/>
      </w:pPr>
      <w:r>
        <w:rPr>
          <w:b/>
        </w:rPr>
        <w:t xml:space="preserve">TRAP  Consultation satisfies ASW supervision. </w:t>
      </w:r>
      <w:r>
        <w:rPr>
          <w:b/>
        </w:rPr>
      </w:r>
      <w:r>
        <w:rPr/>
        <w:t>Required direct supervisor contact and oversight remain mandatory.</w:t>
      </w:r>
    </w:p>
    <w:p>
      <w:pPr>
        <w:pStyle w:val="CTABody"/>
      </w:pPr>
      <w:r>
        <w:rPr>
          <w:b/>
        </w:rPr>
        <w:t xml:space="preserve">TRAP  </w:t>
      </w:r>
      <w:r>
        <w:rPr>
          <w:b/>
        </w:rPr>
        <w:t xml:space="preserve">Consultation creates competence. </w:t>
      </w:r>
      <w:r>
        <w:rPr/>
        <w:t>Advice can guide a plan but cannot replace education, training, supervised skill, or referral when needed.</w:t>
      </w:r>
    </w:p>
    <w:p>
      <w:pPr>
        <w:pStyle w:val="CTABody"/>
      </w:pPr>
      <w:r>
        <w:rPr>
          <w:b/>
        </w:rPr>
        <w:t xml:space="preserve">TRAP  </w:t>
      </w:r>
      <w:r>
        <w:rPr>
          <w:b/>
        </w:rPr>
        <w:t xml:space="preserve">Documenting the consultant’s name transfers liability. </w:t>
      </w:r>
      <w:r>
        <w:rPr/>
        <w:t>Documentation should reflect the clinician’s own analysis and action; a name neither transfers nor eliminates responsibility.</w:t>
      </w:r>
    </w:p>
    <w:p>
      <w:pPr>
        <w:pStyle w:val="CTABody"/>
      </w:pPr>
      <w:r>
        <w:rPr>
          <w:b/>
        </w:rPr>
        <w:t xml:space="preserve">TRAP  </w:t>
      </w:r>
      <w:r>
        <w:rPr>
          <w:b/>
        </w:rPr>
        <w:t xml:space="preserve">More disclosure produces better advice. </w:t>
      </w:r>
      <w:r>
        <w:rPr/>
        <w:t>Unnecessary identifiers increase confidentiality risk without necessarily improving consultation.</w:t>
      </w:r>
    </w:p>
    <w:p>
      <w:pPr>
        <w:pStyle w:val="CTABody"/>
      </w:pPr>
      <w:r>
        <w:rPr>
          <w:b/>
        </w:rPr>
        <w:t xml:space="preserve">TRAP  </w:t>
      </w:r>
      <w:r>
        <w:rPr>
          <w:b/>
        </w:rPr>
        <w:t xml:space="preserve">Consultation guarantees the correct answer. </w:t>
      </w:r>
      <w:r>
        <w:rPr/>
        <w:t>Advice is evidence to evaluate, not a liability shield or substitute for judgment.</w:t>
      </w:r>
    </w:p>
    <w:p>
      <w:pPr>
        <w:pStyle w:val="Heading3"/>
        <w:keepNext/>
      </w:pPr>
      <w:r>
        <w:rPr/>
        <w:t>Chapter Summary</w:t>
      </w:r>
    </w:p>
    <w:p>
      <w:pPr>
        <w:pStyle w:val="CTABody"/>
      </w:pPr>
      <w:r>
        <w:rPr>
          <w:i w:val="0"/>
        </w:rPr>
        <w:t>Consultation is one method of professional assistance. It is appropriate when focused, qualified input can improve a clinical, ethical, legal, cultural, technological, or practice decision. The clinician must first assess immediate risk and controlling duties; select a resource that matches the actual gap; protect confidentiality; evaluate advice independently; take proportionate action; and document significant reasoning.</w:t>
      </w:r>
    </w:p>
    <w:p>
      <w:pPr>
        <w:pStyle w:val="CTABody"/>
      </w:pPr>
      <w:r>
        <w:rPr>
          <w:i w:val="0"/>
        </w:rPr>
        <w:t>California law disciplines incompetence, practice beyond competence, confidentiality failures, and inadequate records. The BBS examination outlines separately test the situations that indicate a need for professional assistance or consultation. Strong exam answers integrate both: obey the controlling law, obtain the right help, and remain accountable.</w:t>
      </w:r>
    </w:p>
    <w:p>
      <w:r/>
    </w:p>
    <w:p>
      <w:pPr>
        <w:pStyle w:val="CTAChapterNumber"/>
        <w:pageBreakBefore/>
      </w:pPr>
      <w:r>
        <w:t>CHAPTER 5</w:t>
      </w:r>
    </w:p>
    <w:p>
      <w:pPr>
        <w:pStyle w:val="CTAChapterTitle"/>
        <w:pageBreakBefore w:val="0"/>
      </w:pPr>
      <w:r>
        <w:t>Clinical Supervision, Feedback, and Accountability</w:t>
      </w:r>
    </w:p>
    <w:p>
      <w:pPr>
        <w:pStyle w:val="Subtitle"/>
        <w:pageBreakBefore w:val="0"/>
      </w:pPr>
      <w:r>
        <w:t>LCSW/ASW Candidate Chapter</w:t>
      </w:r>
    </w:p>
    <w:p>
      <w:pPr>
        <w:pStyle w:val="CTASmall"/>
        <w:pageBreakBefore w:val="0"/>
      </w:pPr>
      <w:r>
        <w:t>CTA-EP-002 | Version 1.0 | Source Review: August 7, 2026</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CHAPTER PURPOSE</w:t>
              <w:br/>
              <w:t>Distinguish legal ASW supervision from consultation, apply weekly supervision and supervision-record controls, and respond to feedback or supervision breakdowns in a client-protective sequence.</w:t>
            </w:r>
          </w:p>
        </w:tc>
        <w:trPr>
          <w:tblHeader/>
        </w:trPr>
      </w:tr>
    </w:tbl>
    <w:p>
      <w:pPr>
        <w:pStyle w:val="Heading2"/>
        <w:pageBreakBefore w:val="0"/>
      </w:pPr>
      <w:r>
        <w:t>Learning Objectives</w:t>
      </w:r>
    </w:p>
    <w:p>
      <w:pPr>
        <w:pStyle w:val="ListBullet"/>
        <w:pageBreakBefore w:val="0"/>
      </w:pPr>
      <w:r>
        <w:t>Define clinical supervision and distinguish consultation.</w:t>
      </w:r>
    </w:p>
    <w:p>
      <w:pPr>
        <w:pStyle w:val="ListBullet"/>
        <w:pageBreakBefore w:val="0"/>
      </w:pPr>
      <w:r>
        <w:t>Apply ASW employment, payment, setting, and supervisor-qualification controls.</w:t>
      </w:r>
    </w:p>
    <w:p>
      <w:pPr>
        <w:pStyle w:val="ListBullet"/>
        <w:pageBreakBefore w:val="0"/>
      </w:pPr>
      <w:r>
        <w:t>Calculate supervision separately by week and setting.</w:t>
      </w:r>
    </w:p>
    <w:p>
      <w:pPr>
        <w:pStyle w:val="ListBullet"/>
        <w:pageBreakBefore w:val="0"/>
      </w:pPr>
      <w:r>
        <w:t>Apply remote-supervision and 60-day appropriateness controls.</w:t>
      </w:r>
    </w:p>
    <w:p>
      <w:pPr>
        <w:pStyle w:val="ListBullet"/>
        <w:pageBreakBefore w:val="0"/>
      </w:pPr>
      <w:r>
        <w:t>Use agreements, plans, logs, record access, feedback, remediation, and escalation correctly.</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BIG IDEA</w:t>
              <w:br/>
              <w:t>Supervision is accountable responsibility for service quality, not merely a meeting or advice.</w:t>
            </w:r>
          </w:p>
        </w:tc>
        <w:trPr>
          <w:tblHeader/>
        </w:trPr>
      </w:tr>
    </w:tbl>
    <w:p>
      <w:pPr>
        <w:pStyle w:val="Heading2"/>
        <w:pageBreakBefore w:val="0"/>
      </w:pPr>
      <w:r>
        <w:t>1. What Clinical Supervision Means</w:t>
      </w:r>
    </w:p>
    <w:p>
      <w:pPr>
        <w:pStyle w:val="CTABody"/>
        <w:pageBreakBefore w:val="0"/>
      </w:pPr>
      <w:r>
        <w:t>A qualified supervisor accepts responsibility for and control of service quality, receives enough information to evaluate the work, provides direction and feedback, and intervenes when client welfare or professional standards require action.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40"/>
            <w:tcMar>
              <w:top w:w="65" w:type="dxa"/>
              <w:start w:w="75" w:type="dxa"/>
              <w:bottom w:w="65" w:type="dxa"/>
              <w:end w:w="75" w:type="dxa"/>
            </w:tcMar>
            <w:vAlign w:val="top"/>
            <w:shd w:fill="102A43"/>
          </w:tcPr>
          <w:p>
            <w:r>
              <w:rPr>
                <w:rFonts w:ascii="Arial" w:hAnsi="Arial"/>
                <w:b/>
                <w:color w:val="FFFFFF"/>
                <w:sz w:val="17"/>
              </w:rPr>
              <w:t>Supervision</w:t>
            </w:r>
          </w:p>
        </w:tc>
        <w:tc>
          <w:tcPr>
            <w:tcW w:type="dxa" w:w="5040"/>
            <w:tcMar>
              <w:top w:w="65" w:type="dxa"/>
              <w:start w:w="75" w:type="dxa"/>
              <w:bottom w:w="65" w:type="dxa"/>
              <w:end w:w="75" w:type="dxa"/>
            </w:tcMar>
            <w:vAlign w:val="top"/>
            <w:shd w:fill="102A43"/>
          </w:tcPr>
          <w:p>
            <w:r>
              <w:rPr>
                <w:rFonts w:ascii="Arial" w:hAnsi="Arial"/>
                <w:b/>
                <w:color w:val="FFFFFF"/>
                <w:sz w:val="17"/>
              </w:rPr>
              <w:t>Consultation</w:t>
            </w:r>
          </w:p>
        </w:tc>
      </w:tr>
      <w:tr>
        <w:tc>
          <w:tcPr>
            <w:tcW w:type="dxa" w:w="5040"/>
            <w:tcMar>
              <w:top w:w="65" w:type="dxa"/>
              <w:start w:w="75" w:type="dxa"/>
              <w:bottom w:w="65" w:type="dxa"/>
              <w:end w:w="75" w:type="dxa"/>
            </w:tcMar>
            <w:vAlign w:val="top"/>
          </w:tcPr>
          <w:p>
            <w:r>
              <w:rPr>
                <w:rFonts w:ascii="Arial" w:hAnsi="Arial"/>
                <w:b w:val="0"/>
                <w:color w:val="1F2933"/>
                <w:sz w:val="17"/>
              </w:rPr>
              <w:t>Qualified documented relationship</w:t>
            </w:r>
          </w:p>
        </w:tc>
        <w:tc>
          <w:tcPr>
            <w:tcW w:type="dxa" w:w="5040"/>
            <w:tcMar>
              <w:top w:w="65" w:type="dxa"/>
              <w:start w:w="75" w:type="dxa"/>
              <w:bottom w:w="65" w:type="dxa"/>
              <w:end w:w="75" w:type="dxa"/>
            </w:tcMar>
            <w:vAlign w:val="top"/>
          </w:tcPr>
          <w:p>
            <w:r>
              <w:rPr>
                <w:rFonts w:ascii="Arial" w:hAnsi="Arial"/>
                <w:b w:val="0"/>
                <w:color w:val="1F2933"/>
                <w:sz w:val="17"/>
              </w:rPr>
              <w:t>Advice or expert input</w:t>
            </w:r>
          </w:p>
        </w:tc>
      </w:tr>
      <w:tr>
        <w:tc>
          <w:tcPr>
            <w:tcW w:type="dxa" w:w="5040"/>
            <w:tcMar>
              <w:top w:w="65" w:type="dxa"/>
              <w:start w:w="75" w:type="dxa"/>
              <w:bottom w:w="65" w:type="dxa"/>
              <w:end w:w="75" w:type="dxa"/>
            </w:tcMar>
            <w:vAlign w:val="top"/>
            <w:shd w:fill="F3F5F7"/>
          </w:tcPr>
          <w:p>
            <w:r>
              <w:rPr>
                <w:rFonts w:ascii="Arial" w:hAnsi="Arial"/>
                <w:b w:val="0"/>
                <w:color w:val="1F2933"/>
                <w:sz w:val="17"/>
              </w:rPr>
              <w:t>Responsibility/control of service quality</w:t>
            </w:r>
          </w:p>
        </w:tc>
        <w:tc>
          <w:tcPr>
            <w:tcW w:type="dxa" w:w="5040"/>
            <w:tcMar>
              <w:top w:w="65" w:type="dxa"/>
              <w:start w:w="75" w:type="dxa"/>
              <w:bottom w:w="65" w:type="dxa"/>
              <w:end w:w="75" w:type="dxa"/>
            </w:tcMar>
            <w:vAlign w:val="top"/>
            <w:shd w:fill="F3F5F7"/>
          </w:tcPr>
          <w:p>
            <w:r>
              <w:rPr>
                <w:rFonts w:ascii="Arial" w:hAnsi="Arial"/>
                <w:b w:val="0"/>
                <w:color w:val="1F2933"/>
                <w:sz w:val="17"/>
              </w:rPr>
              <w:t>No automatic transfer of responsibility</w:t>
            </w:r>
          </w:p>
        </w:tc>
      </w:tr>
      <w:tr>
        <w:tc>
          <w:tcPr>
            <w:tcW w:type="dxa" w:w="5040"/>
            <w:tcMar>
              <w:top w:w="65" w:type="dxa"/>
              <w:start w:w="75" w:type="dxa"/>
              <w:bottom w:w="65" w:type="dxa"/>
              <w:end w:w="75" w:type="dxa"/>
            </w:tcMar>
            <w:vAlign w:val="top"/>
          </w:tcPr>
          <w:p>
            <w:r>
              <w:rPr>
                <w:rFonts w:ascii="Arial" w:hAnsi="Arial"/>
                <w:b w:val="0"/>
                <w:color w:val="1F2933"/>
                <w:sz w:val="17"/>
              </w:rPr>
              <w:t>Evaluative authority and feedback</w:t>
            </w:r>
          </w:p>
        </w:tc>
        <w:tc>
          <w:tcPr>
            <w:tcW w:type="dxa" w:w="5040"/>
            <w:tcMar>
              <w:top w:w="65" w:type="dxa"/>
              <w:start w:w="75" w:type="dxa"/>
              <w:bottom w:w="65" w:type="dxa"/>
              <w:end w:w="75" w:type="dxa"/>
            </w:tcMar>
            <w:vAlign w:val="top"/>
          </w:tcPr>
          <w:p>
            <w:r>
              <w:rPr>
                <w:rFonts w:ascii="Arial" w:hAnsi="Arial"/>
                <w:b w:val="0"/>
                <w:color w:val="1F2933"/>
                <w:sz w:val="17"/>
              </w:rPr>
              <w:t>May be non-evaluative</w:t>
            </w:r>
          </w:p>
        </w:tc>
      </w:tr>
      <w:tr>
        <w:tc>
          <w:tcPr>
            <w:tcW w:type="dxa" w:w="5040"/>
            <w:tcMar>
              <w:top w:w="65" w:type="dxa"/>
              <w:start w:w="75" w:type="dxa"/>
              <w:bottom w:w="65" w:type="dxa"/>
              <w:end w:w="75" w:type="dxa"/>
            </w:tcMar>
            <w:vAlign w:val="top"/>
            <w:shd w:fill="F3F5F7"/>
          </w:tcPr>
          <w:p>
            <w:r>
              <w:rPr>
                <w:rFonts w:ascii="Arial" w:hAnsi="Arial"/>
                <w:b w:val="0"/>
                <w:color w:val="1F2933"/>
                <w:sz w:val="17"/>
              </w:rPr>
              <w:t>Required direct supervisor contact for qualifying experience</w:t>
            </w:r>
          </w:p>
        </w:tc>
        <w:tc>
          <w:tcPr>
            <w:tcW w:type="dxa" w:w="5040"/>
            <w:tcMar>
              <w:top w:w="65" w:type="dxa"/>
              <w:start w:w="75" w:type="dxa"/>
              <w:bottom w:w="65" w:type="dxa"/>
              <w:end w:w="75" w:type="dxa"/>
            </w:tcMar>
            <w:vAlign w:val="top"/>
            <w:shd w:fill="F3F5F7"/>
          </w:tcPr>
          <w:p>
            <w:r>
              <w:rPr>
                <w:rFonts w:ascii="Arial" w:hAnsi="Arial"/>
                <w:b w:val="0"/>
                <w:color w:val="1F2933"/>
                <w:sz w:val="17"/>
              </w:rPr>
              <w:t>Cannot replace required ASW supervision</w:t>
            </w:r>
          </w:p>
        </w:tc>
      </w:tr>
    </w:tbl>
    <w:p>
      <w:pPr>
        <w:pStyle w:val="Heading2"/>
        <w:pageBreakBefore w:val="0"/>
      </w:pPr>
      <w:r>
        <w:t>2. ASW Employment, Payment, and Setting</w:t>
      </w:r>
    </w:p>
    <w:p>
      <w:pPr>
        <w:pStyle w:val="CTABody"/>
        <w:pageBreakBefore w:val="0"/>
      </w:pPr>
      <w:r>
        <w:t>Qualifying ASW experience occurs in a lawful W-2 employee or volunteer structure, not as independent contractor practice. The ASW does not receive client payment directly or pay the employer’s business obligations. Supervision does not cure an unlawful employment/payment structure. A subsequent ASW registration cannot be used in private practice or a professional corporation.</w:t>
      </w:r>
    </w:p>
    <w:p>
      <w:pPr>
        <w:pStyle w:val="Heading2"/>
        <w:pageBreakBefore w:val="0"/>
      </w:pPr>
      <w:r>
        <w:t>3. Supervisor Qualification</w:t>
      </w:r>
    </w:p>
    <w:p>
      <w:pPr>
        <w:pStyle w:val="CTABody"/>
        <w:pageBreakBefore w:val="0"/>
      </w:pPr>
      <w:r>
        <w:t>Verify an eligible current and active California license in good standing, required licensure/practice history, supervision training, subject competence, and lawful relationship boundaries before supervision begins.</w:t>
      </w:r>
    </w:p>
    <w:p>
      <w:pPr>
        <w:pStyle w:val="Heading2"/>
        <w:pageBreakBefore w:val="0"/>
      </w:pPr>
      <w:r>
        <w:t>4. Weekly Supervision Units - Week by Week, Setting by Setting</w:t>
      </w:r>
    </w:p>
    <w:p>
      <w:pPr>
        <w:pStyle w:val="CTABody"/>
        <w:pageBreakBefore w:val="0"/>
      </w:pPr>
      <w:r>
        <w:t>Apply the requirement separately in each setting where experience is gained. Through 10 qualifying clinical hours in a setting/week, one unit is required; when the ASW exceeds 10 qualifying clinical hours there, two units are required. The tested rule does not keep increasing merely because hours exceed 20.</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472"/>
            <w:tcMar>
              <w:top w:w="65" w:type="dxa"/>
              <w:start w:w="75" w:type="dxa"/>
              <w:bottom w:w="65" w:type="dxa"/>
              <w:end w:w="75" w:type="dxa"/>
            </w:tcMar>
            <w:vAlign w:val="top"/>
            <w:shd w:fill="102A43"/>
          </w:tcPr>
          <w:p>
            <w:r>
              <w:rPr>
                <w:rFonts w:ascii="Arial" w:hAnsi="Arial"/>
                <w:b/>
                <w:color w:val="FFFFFF"/>
                <w:sz w:val="17"/>
              </w:rPr>
              <w:t>Example</w:t>
            </w:r>
          </w:p>
        </w:tc>
        <w:tc>
          <w:tcPr>
            <w:tcW w:type="dxa" w:w="4608"/>
            <w:tcMar>
              <w:top w:w="65" w:type="dxa"/>
              <w:start w:w="75" w:type="dxa"/>
              <w:bottom w:w="65" w:type="dxa"/>
              <w:end w:w="75" w:type="dxa"/>
            </w:tcMar>
            <w:vAlign w:val="top"/>
            <w:shd w:fill="102A43"/>
          </w:tcPr>
          <w:p>
            <w:r>
              <w:rPr>
                <w:rFonts w:ascii="Arial" w:hAnsi="Arial"/>
                <w:b/>
                <w:color w:val="FFFFFF"/>
                <w:sz w:val="17"/>
              </w:rPr>
              <w:t>Required units</w:t>
            </w:r>
          </w:p>
        </w:tc>
      </w:tr>
      <w:tr>
        <w:tc>
          <w:tcPr>
            <w:tcW w:type="dxa" w:w="5472"/>
            <w:tcMar>
              <w:top w:w="65" w:type="dxa"/>
              <w:start w:w="75" w:type="dxa"/>
              <w:bottom w:w="65" w:type="dxa"/>
              <w:end w:w="75" w:type="dxa"/>
            </w:tcMar>
            <w:vAlign w:val="top"/>
          </w:tcPr>
          <w:p>
            <w:r>
              <w:rPr>
                <w:rFonts w:ascii="Arial" w:hAnsi="Arial"/>
                <w:b w:val="0"/>
                <w:color w:val="1F2933"/>
                <w:sz w:val="17"/>
              </w:rPr>
              <w:t>9 clinical hours in one setting</w:t>
            </w:r>
          </w:p>
        </w:tc>
        <w:tc>
          <w:tcPr>
            <w:tcW w:type="dxa" w:w="4608"/>
            <w:tcMar>
              <w:top w:w="65" w:type="dxa"/>
              <w:start w:w="75" w:type="dxa"/>
              <w:bottom w:w="65" w:type="dxa"/>
              <w:end w:w="75" w:type="dxa"/>
            </w:tcMar>
            <w:vAlign w:val="top"/>
          </w:tcPr>
          <w:p>
            <w:r>
              <w:rPr>
                <w:rFonts w:ascii="Arial" w:hAnsi="Arial"/>
                <w:b w:val="0"/>
                <w:color w:val="1F2933"/>
                <w:sz w:val="17"/>
              </w:rPr>
              <w:t>1</w:t>
            </w:r>
          </w:p>
        </w:tc>
      </w:tr>
      <w:tr>
        <w:tc>
          <w:tcPr>
            <w:tcW w:type="dxa" w:w="5472"/>
            <w:tcMar>
              <w:top w:w="65" w:type="dxa"/>
              <w:start w:w="75" w:type="dxa"/>
              <w:bottom w:w="65" w:type="dxa"/>
              <w:end w:w="75" w:type="dxa"/>
            </w:tcMar>
            <w:vAlign w:val="top"/>
            <w:shd w:fill="F3F5F7"/>
          </w:tcPr>
          <w:p>
            <w:r>
              <w:rPr>
                <w:rFonts w:ascii="Arial" w:hAnsi="Arial"/>
                <w:b w:val="0"/>
                <w:color w:val="1F2933"/>
                <w:sz w:val="17"/>
              </w:rPr>
              <w:t>14 clinical hours in one setting</w:t>
            </w:r>
          </w:p>
        </w:tc>
        <w:tc>
          <w:tcPr>
            <w:tcW w:type="dxa" w:w="4608"/>
            <w:tcMar>
              <w:top w:w="65" w:type="dxa"/>
              <w:start w:w="75" w:type="dxa"/>
              <w:bottom w:w="65" w:type="dxa"/>
              <w:end w:w="75" w:type="dxa"/>
            </w:tcMar>
            <w:vAlign w:val="top"/>
            <w:shd w:fill="F3F5F7"/>
          </w:tcPr>
          <w:p>
            <w:r>
              <w:rPr>
                <w:rFonts w:ascii="Arial" w:hAnsi="Arial"/>
                <w:b w:val="0"/>
                <w:color w:val="1F2933"/>
                <w:sz w:val="17"/>
              </w:rPr>
              <w:t>2</w:t>
            </w:r>
          </w:p>
        </w:tc>
      </w:tr>
      <w:tr>
        <w:tc>
          <w:tcPr>
            <w:tcW w:type="dxa" w:w="5472"/>
            <w:tcMar>
              <w:top w:w="65" w:type="dxa"/>
              <w:start w:w="75" w:type="dxa"/>
              <w:bottom w:w="65" w:type="dxa"/>
              <w:end w:w="75" w:type="dxa"/>
            </w:tcMar>
            <w:vAlign w:val="top"/>
          </w:tcPr>
          <w:p>
            <w:r>
              <w:rPr>
                <w:rFonts w:ascii="Arial" w:hAnsi="Arial"/>
                <w:b w:val="0"/>
                <w:color w:val="1F2933"/>
                <w:sz w:val="17"/>
              </w:rPr>
              <w:t>12 hours Setting A + 9 Setting B</w:t>
            </w:r>
          </w:p>
        </w:tc>
        <w:tc>
          <w:tcPr>
            <w:tcW w:type="dxa" w:w="4608"/>
            <w:tcMar>
              <w:top w:w="65" w:type="dxa"/>
              <w:start w:w="75" w:type="dxa"/>
              <w:bottom w:w="65" w:type="dxa"/>
              <w:end w:w="75" w:type="dxa"/>
            </w:tcMar>
            <w:vAlign w:val="top"/>
          </w:tcPr>
          <w:p>
            <w:r>
              <w:rPr>
                <w:rFonts w:ascii="Arial" w:hAnsi="Arial"/>
                <w:b w:val="0"/>
                <w:color w:val="1F2933"/>
                <w:sz w:val="17"/>
              </w:rPr>
              <w:t>2 + 1 = 3 total</w:t>
            </w:r>
          </w:p>
        </w:tc>
      </w:tr>
      <w:tr>
        <w:tc>
          <w:tcPr>
            <w:tcW w:type="dxa" w:w="5472"/>
            <w:tcMar>
              <w:top w:w="65" w:type="dxa"/>
              <w:start w:w="75" w:type="dxa"/>
              <w:bottom w:w="65" w:type="dxa"/>
              <w:end w:w="75" w:type="dxa"/>
            </w:tcMar>
            <w:vAlign w:val="top"/>
            <w:shd w:fill="F3F5F7"/>
          </w:tcPr>
          <w:p>
            <w:r>
              <w:rPr>
                <w:rFonts w:ascii="Arial" w:hAnsi="Arial"/>
                <w:b w:val="0"/>
                <w:color w:val="1F2933"/>
                <w:sz w:val="17"/>
              </w:rPr>
              <w:t>25 clinical hours in one setting</w:t>
            </w:r>
          </w:p>
        </w:tc>
        <w:tc>
          <w:tcPr>
            <w:tcW w:type="dxa" w:w="4608"/>
            <w:tcMar>
              <w:top w:w="65" w:type="dxa"/>
              <w:start w:w="75" w:type="dxa"/>
              <w:bottom w:w="65" w:type="dxa"/>
              <w:end w:w="75" w:type="dxa"/>
            </w:tcMar>
            <w:vAlign w:val="top"/>
            <w:shd w:fill="F3F5F7"/>
          </w:tcPr>
          <w:p>
            <w:r>
              <w:rPr>
                <w:rFonts w:ascii="Arial" w:hAnsi="Arial"/>
                <w:b w:val="0"/>
                <w:color w:val="1F2933"/>
                <w:sz w:val="17"/>
              </w:rPr>
              <w:t>2 under the threshold/cap rule</w:t>
            </w:r>
          </w:p>
        </w:tc>
      </w:tr>
    </w:tbl>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EXAM PEARL</w:t>
              <w:br/>
              <w:t>Never combine settings before applying the weekly rule.</w:t>
            </w:r>
          </w:p>
        </w:tc>
        <w:trPr>
          <w:tblHeader/>
        </w:trPr>
      </w:tr>
    </w:tbl>
    <w:p>
      <w:pPr>
        <w:pStyle w:val="Heading2"/>
        <w:pageBreakBefore w:val="0"/>
      </w:pPr>
      <w:r>
        <w:t>5. Supervision Modes and Videoconferencing</w:t>
      </w:r>
    </w:p>
    <w:p>
      <w:pPr>
        <w:pStyle w:val="CTABody"/>
        <w:pageBreakBefore w:val="0"/>
      </w:pPr>
      <w:r>
        <w:t>Appropriate live two-way videoconferencing may satisfy the face-to-face component when current requirements are met. Telephone-only contact does not. When regular videoconference supervision begins, the supervisor should assess and document appropriateness within 60 days and discontinue it if unsuitable.</w:t>
      </w:r>
    </w:p>
    <w:p>
      <w:pPr>
        <w:pStyle w:val="Heading2"/>
        <w:pageBreakBefore w:val="0"/>
      </w:pPr>
      <w:r>
        <w:t>6. Agreements, Supervisory Plan, and Records</w:t>
      </w:r>
    </w:p>
    <w:p>
      <w:pPr>
        <w:pStyle w:val="CTABody"/>
        <w:pageBreakBefore w:val="0"/>
      </w:pPr>
      <w:r>
        <w:t>Use current required supervision agreements and a collaborative supervisory plan within the applicable 60-day window. The ASW maintains the weekly experience/supervision log for contemporaneous supervisor signature. End-of-relationship experience verification serves a different purpose.</w:t>
      </w:r>
    </w:p>
    <w:p>
      <w:pPr>
        <w:pStyle w:val="Heading2"/>
        <w:pageBreakBefore w:val="0"/>
      </w:pPr>
      <w:r>
        <w:t>7. External Supervisors and Record Access</w:t>
      </w:r>
    </w:p>
    <w:p>
      <w:pPr>
        <w:pStyle w:val="CTABody"/>
        <w:pageBreakBefore w:val="0"/>
      </w:pPr>
      <w:r>
        <w:t>External or voluntary supervision requires a written oversight structure establishing authority, responsibility, meaningful record access, and protection from inappropriate organizational interference. Verbal summaries alone may be insufficient if the supervisor cannot evaluate service quality. Repair the lawful access/authorization structure before assuming the arrangement or hours are protected.</w:t>
      </w:r>
    </w:p>
    <w:p>
      <w:pPr>
        <w:pStyle w:val="Heading2"/>
        <w:pageBreakBefore w:val="0"/>
      </w:pPr>
      <w:r>
        <w:t>8. Feedback and Remediation</w:t>
      </w:r>
    </w:p>
    <w:p>
      <w:pPr>
        <w:pStyle w:val="CTABody"/>
        <w:pageBreakBefore w:val="0"/>
      </w:pPr>
      <w:r>
        <w:t>Use specific behavior-based feedback, clear standards, measurable correction steps, monitoring, and reassessment. When a current client-safety risk is present, immediate protection comes first; routine remediation follows once the active risk is controlled.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tcMar>
              <w:top w:w="65" w:type="dxa"/>
              <w:start w:w="75" w:type="dxa"/>
              <w:bottom w:w="65" w:type="dxa"/>
              <w:end w:w="75" w:type="dxa"/>
            </w:tcMar>
            <w:vAlign w:val="top"/>
            <w:shd w:fill="102A43"/>
          </w:tcPr>
          <w:p>
            <w:r>
              <w:rPr>
                <w:rFonts w:ascii="Arial" w:hAnsi="Arial"/>
                <w:b/>
                <w:color w:val="FFFFFF"/>
                <w:sz w:val="17"/>
              </w:rPr>
              <w:t>Concern</w:t>
            </w:r>
          </w:p>
        </w:tc>
        <w:tc>
          <w:tcPr>
            <w:tcW w:type="dxa" w:w="3168"/>
            <w:tcMar>
              <w:top w:w="65" w:type="dxa"/>
              <w:start w:w="75" w:type="dxa"/>
              <w:bottom w:w="65" w:type="dxa"/>
              <w:end w:w="75" w:type="dxa"/>
            </w:tcMar>
            <w:vAlign w:val="top"/>
            <w:shd w:fill="102A43"/>
          </w:tcPr>
          <w:p>
            <w:r>
              <w:rPr>
                <w:rFonts w:ascii="Arial" w:hAnsi="Arial"/>
                <w:b/>
                <w:color w:val="FFFFFF"/>
                <w:sz w:val="17"/>
              </w:rPr>
              <w:t>First priority</w:t>
            </w:r>
          </w:p>
        </w:tc>
        <w:tc>
          <w:tcPr>
            <w:tcW w:type="dxa" w:w="3744"/>
            <w:tcMar>
              <w:top w:w="65" w:type="dxa"/>
              <w:start w:w="75" w:type="dxa"/>
              <w:bottom w:w="65" w:type="dxa"/>
              <w:end w:w="75" w:type="dxa"/>
            </w:tcMar>
            <w:vAlign w:val="top"/>
            <w:shd w:fill="102A43"/>
          </w:tcPr>
          <w:p>
            <w:r>
              <w:rPr>
                <w:rFonts w:ascii="Arial" w:hAnsi="Arial"/>
                <w:b/>
                <w:color w:val="FFFFFF"/>
                <w:sz w:val="17"/>
              </w:rPr>
              <w:t>Follow-through</w:t>
            </w:r>
          </w:p>
        </w:tc>
      </w:tr>
      <w:tr>
        <w:tc>
          <w:tcPr>
            <w:tcW w:type="dxa" w:w="3168"/>
            <w:tcMar>
              <w:top w:w="65" w:type="dxa"/>
              <w:start w:w="75" w:type="dxa"/>
              <w:bottom w:w="65" w:type="dxa"/>
              <w:end w:w="75" w:type="dxa"/>
            </w:tcMar>
            <w:vAlign w:val="top"/>
          </w:tcPr>
          <w:p>
            <w:r>
              <w:rPr>
                <w:rFonts w:ascii="Arial" w:hAnsi="Arial"/>
                <w:b w:val="0"/>
                <w:color w:val="1F2933"/>
                <w:sz w:val="17"/>
              </w:rPr>
              <w:t>Ordinary performance gap</w:t>
            </w:r>
          </w:p>
        </w:tc>
        <w:tc>
          <w:tcPr>
            <w:tcW w:type="dxa" w:w="3168"/>
            <w:tcMar>
              <w:top w:w="65" w:type="dxa"/>
              <w:start w:w="75" w:type="dxa"/>
              <w:bottom w:w="65" w:type="dxa"/>
              <w:end w:w="75" w:type="dxa"/>
            </w:tcMar>
            <w:vAlign w:val="top"/>
          </w:tcPr>
          <w:p>
            <w:r>
              <w:rPr>
                <w:rFonts w:ascii="Arial" w:hAnsi="Arial"/>
                <w:b w:val="0"/>
                <w:color w:val="1F2933"/>
                <w:sz w:val="17"/>
              </w:rPr>
              <w:t>Specific feedback/correction</w:t>
            </w:r>
          </w:p>
        </w:tc>
        <w:tc>
          <w:tcPr>
            <w:tcW w:type="dxa" w:w="3744"/>
            <w:tcMar>
              <w:top w:w="65" w:type="dxa"/>
              <w:start w:w="75" w:type="dxa"/>
              <w:bottom w:w="65" w:type="dxa"/>
              <w:end w:w="75" w:type="dxa"/>
            </w:tcMar>
            <w:vAlign w:val="top"/>
          </w:tcPr>
          <w:p>
            <w:r>
              <w:rPr>
                <w:rFonts w:ascii="Arial" w:hAnsi="Arial"/>
                <w:b w:val="0"/>
                <w:color w:val="1F2933"/>
                <w:sz w:val="17"/>
              </w:rPr>
              <w:t>Monitor and reassess</w:t>
            </w:r>
          </w:p>
        </w:tc>
      </w:tr>
      <w:tr>
        <w:tc>
          <w:tcPr>
            <w:tcW w:type="dxa" w:w="3168"/>
            <w:tcMar>
              <w:top w:w="65" w:type="dxa"/>
              <w:start w:w="75" w:type="dxa"/>
              <w:bottom w:w="65" w:type="dxa"/>
              <w:end w:w="75" w:type="dxa"/>
            </w:tcMar>
            <w:vAlign w:val="top"/>
            <w:shd w:fill="F3F5F7"/>
          </w:tcPr>
          <w:p>
            <w:r>
              <w:rPr>
                <w:rFonts w:ascii="Arial" w:hAnsi="Arial"/>
                <w:b w:val="0"/>
                <w:color w:val="1F2933"/>
                <w:sz w:val="17"/>
              </w:rPr>
              <w:t>Repeated error</w:t>
            </w:r>
          </w:p>
        </w:tc>
        <w:tc>
          <w:tcPr>
            <w:tcW w:type="dxa" w:w="3168"/>
            <w:tcMar>
              <w:top w:w="65" w:type="dxa"/>
              <w:start w:w="75" w:type="dxa"/>
              <w:bottom w:w="65" w:type="dxa"/>
              <w:end w:w="75" w:type="dxa"/>
            </w:tcMar>
            <w:vAlign w:val="top"/>
            <w:shd w:fill="F3F5F7"/>
          </w:tcPr>
          <w:p>
            <w:r>
              <w:rPr>
                <w:rFonts w:ascii="Arial" w:hAnsi="Arial"/>
                <w:b w:val="0"/>
                <w:color w:val="1F2933"/>
                <w:sz w:val="17"/>
              </w:rPr>
              <w:t>Identify pattern and measurable remediation</w:t>
            </w:r>
          </w:p>
        </w:tc>
        <w:tc>
          <w:tcPr>
            <w:tcW w:type="dxa" w:w="3744"/>
            <w:tcMar>
              <w:top w:w="65" w:type="dxa"/>
              <w:start w:w="75" w:type="dxa"/>
              <w:bottom w:w="65" w:type="dxa"/>
              <w:end w:w="75" w:type="dxa"/>
            </w:tcMar>
            <w:vAlign w:val="top"/>
            <w:shd w:fill="F3F5F7"/>
          </w:tcPr>
          <w:p>
            <w:r>
              <w:rPr>
                <w:rFonts w:ascii="Arial" w:hAnsi="Arial"/>
                <w:b w:val="0"/>
                <w:color w:val="1F2933"/>
                <w:sz w:val="17"/>
              </w:rPr>
              <w:t>Timeline, examples, follow-through</w:t>
            </w:r>
          </w:p>
        </w:tc>
      </w:tr>
      <w:tr>
        <w:tc>
          <w:tcPr>
            <w:tcW w:type="dxa" w:w="3168"/>
            <w:tcMar>
              <w:top w:w="65" w:type="dxa"/>
              <w:start w:w="75" w:type="dxa"/>
              <w:bottom w:w="65" w:type="dxa"/>
              <w:end w:w="75" w:type="dxa"/>
            </w:tcMar>
            <w:vAlign w:val="top"/>
          </w:tcPr>
          <w:p>
            <w:r>
              <w:rPr>
                <w:rFonts w:ascii="Arial" w:hAnsi="Arial"/>
                <w:b w:val="0"/>
                <w:color w:val="1F2933"/>
                <w:sz w:val="17"/>
              </w:rPr>
              <w:t>Current client-safety risk</w:t>
            </w:r>
          </w:p>
        </w:tc>
        <w:tc>
          <w:tcPr>
            <w:tcW w:type="dxa" w:w="3168"/>
            <w:tcMar>
              <w:top w:w="65" w:type="dxa"/>
              <w:start w:w="75" w:type="dxa"/>
              <w:bottom w:w="65" w:type="dxa"/>
              <w:end w:w="75" w:type="dxa"/>
            </w:tcMar>
            <w:vAlign w:val="top"/>
          </w:tcPr>
          <w:p>
            <w:r>
              <w:rPr>
                <w:rFonts w:ascii="Arial" w:hAnsi="Arial"/>
                <w:b w:val="0"/>
                <w:color w:val="1F2933"/>
                <w:sz w:val="17"/>
              </w:rPr>
              <w:t>Immediate restriction/review/coverage</w:t>
            </w:r>
          </w:p>
        </w:tc>
        <w:tc>
          <w:tcPr>
            <w:tcW w:type="dxa" w:w="3744"/>
            <w:tcMar>
              <w:top w:w="65" w:type="dxa"/>
              <w:start w:w="75" w:type="dxa"/>
              <w:bottom w:w="65" w:type="dxa"/>
              <w:end w:w="75" w:type="dxa"/>
            </w:tcMar>
            <w:vAlign w:val="top"/>
          </w:tcPr>
          <w:p>
            <w:r>
              <w:rPr>
                <w:rFonts w:ascii="Arial" w:hAnsi="Arial"/>
                <w:b w:val="0"/>
                <w:color w:val="1F2933"/>
                <w:sz w:val="17"/>
              </w:rPr>
              <w:t>Remediation and documentation</w:t>
            </w:r>
          </w:p>
        </w:tc>
      </w:tr>
      <w:tr>
        <w:tc>
          <w:tcPr>
            <w:tcW w:type="dxa" w:w="3168"/>
            <w:tcMar>
              <w:top w:w="65" w:type="dxa"/>
              <w:start w:w="75" w:type="dxa"/>
              <w:bottom w:w="65" w:type="dxa"/>
              <w:end w:w="75" w:type="dxa"/>
            </w:tcMar>
            <w:vAlign w:val="top"/>
            <w:shd w:fill="F3F5F7"/>
          </w:tcPr>
          <w:p>
            <w:r>
              <w:rPr>
                <w:rFonts w:ascii="Arial" w:hAnsi="Arial"/>
                <w:b w:val="0"/>
                <w:color w:val="1F2933"/>
                <w:sz w:val="17"/>
              </w:rPr>
              <w:t>Unsafe supervisory direction in crisis</w:t>
            </w:r>
          </w:p>
        </w:tc>
        <w:tc>
          <w:tcPr>
            <w:tcW w:type="dxa" w:w="3168"/>
            <w:tcMar>
              <w:top w:w="65" w:type="dxa"/>
              <w:start w:w="75" w:type="dxa"/>
              <w:bottom w:w="65" w:type="dxa"/>
              <w:end w:w="75" w:type="dxa"/>
            </w:tcMar>
            <w:vAlign w:val="top"/>
            <w:shd w:fill="F3F5F7"/>
          </w:tcPr>
          <w:p>
            <w:r>
              <w:rPr>
                <w:rFonts w:ascii="Arial" w:hAnsi="Arial"/>
                <w:b w:val="0"/>
                <w:color w:val="1F2933"/>
                <w:sz w:val="17"/>
              </w:rPr>
              <w:t>Protect client; use alternate/crisis procedure</w:t>
            </w:r>
          </w:p>
        </w:tc>
        <w:tc>
          <w:tcPr>
            <w:tcW w:type="dxa" w:w="3744"/>
            <w:tcMar>
              <w:top w:w="65" w:type="dxa"/>
              <w:start w:w="75" w:type="dxa"/>
              <w:bottom w:w="65" w:type="dxa"/>
              <w:end w:w="75" w:type="dxa"/>
            </w:tcMar>
            <w:vAlign w:val="top"/>
            <w:shd w:fill="F3F5F7"/>
          </w:tcPr>
          <w:p>
            <w:r>
              <w:rPr>
                <w:rFonts w:ascii="Arial" w:hAnsi="Arial"/>
                <w:b w:val="0"/>
                <w:color w:val="1F2933"/>
                <w:sz w:val="17"/>
              </w:rPr>
              <w:t>Document and escalate</w:t>
            </w:r>
          </w:p>
        </w:tc>
      </w:tr>
      <w:tr>
        <w:tc>
          <w:tcPr>
            <w:tcW w:type="dxa" w:w="3168"/>
            <w:tcMar>
              <w:top w:w="65" w:type="dxa"/>
              <w:start w:w="75" w:type="dxa"/>
              <w:bottom w:w="65" w:type="dxa"/>
              <w:end w:w="75" w:type="dxa"/>
            </w:tcMar>
            <w:vAlign w:val="top"/>
          </w:tcPr>
          <w:p>
            <w:r>
              <w:rPr>
                <w:rFonts w:ascii="Arial" w:hAnsi="Arial"/>
                <w:b w:val="0"/>
                <w:color w:val="1F2933"/>
                <w:sz w:val="17"/>
              </w:rPr>
              <w:t>Surprise negative evaluation</w:t>
            </w:r>
          </w:p>
        </w:tc>
        <w:tc>
          <w:tcPr>
            <w:tcW w:type="dxa" w:w="3168"/>
            <w:tcMar>
              <w:top w:w="65" w:type="dxa"/>
              <w:start w:w="75" w:type="dxa"/>
              <w:bottom w:w="65" w:type="dxa"/>
              <w:end w:w="75" w:type="dxa"/>
            </w:tcMar>
            <w:vAlign w:val="top"/>
          </w:tcPr>
          <w:p>
            <w:r>
              <w:rPr>
                <w:rFonts w:ascii="Arial" w:hAnsi="Arial"/>
                <w:b w:val="0"/>
                <w:color w:val="1F2933"/>
                <w:sz w:val="17"/>
              </w:rPr>
              <w:t>Clarify facts/criteria; protect clients</w:t>
            </w:r>
          </w:p>
        </w:tc>
        <w:tc>
          <w:tcPr>
            <w:tcW w:type="dxa" w:w="3744"/>
            <w:tcMar>
              <w:top w:w="65" w:type="dxa"/>
              <w:start w:w="75" w:type="dxa"/>
              <w:bottom w:w="65" w:type="dxa"/>
              <w:end w:w="75" w:type="dxa"/>
            </w:tcMar>
            <w:vAlign w:val="top"/>
          </w:tcPr>
          <w:p>
            <w:r>
              <w:rPr>
                <w:rFonts w:ascii="Arial" w:hAnsi="Arial"/>
                <w:b w:val="0"/>
                <w:color w:val="1F2933"/>
                <w:sz w:val="17"/>
              </w:rPr>
              <w:t>Preserve records; seek review/alternate supervision</w:t>
            </w:r>
          </w:p>
        </w:tc>
      </w:tr>
    </w:tbl>
    <w:p>
      <w:pPr>
        <w:pStyle w:val="Heading2"/>
        <w:pageBreakBefore w:val="0"/>
      </w:pPr>
      <w:r>
        <w:t>9. Crisis and Unsafe Supervisory Direction</w:t>
      </w:r>
    </w:p>
    <w:p>
      <w:pPr>
        <w:pStyle w:val="CTABody"/>
        <w:pageBreakBefore w:val="0"/>
      </w:pPr>
      <w:r>
        <w:t>Supervisor responsibility does not erase the ASW’s own duty to act within the lawful role when immediate safety is at stake. Use written crisis or qualified alternate-supervisor procedures, protect the client, document, and escalate without letting complaint processing delay protection.</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SAFE BEFORE SCHEDULED</w:t>
              <w:br/>
              <w:t>Current danger is addressed before waiting for the routine supervision meeting.</w:t>
            </w:r>
          </w:p>
        </w:tc>
        <w:trPr>
          <w:tblHeader/>
        </w:trPr>
      </w:tr>
    </w:tbl>
    <w:p>
      <w:pPr>
        <w:pStyle w:val="Heading2"/>
        <w:pageBreakBefore w:val="0"/>
      </w:pPr>
      <w:r>
        <w:t>10. Repair Sequence</w:t>
      </w:r>
    </w:p>
    <w:p>
      <w:pPr>
        <w:pStyle w:val="CTABody"/>
        <w:pageBreakBefore w:val="0"/>
      </w:pPr>
      <w:r>
        <w:t>Protect the client and stop active unsafe or unlawful conduct; obtain valid supervision and organizational help; document; repair the structure; protect continuity; and escalate proportionately as required.</w:t>
      </w:r>
    </w:p>
    <w:p>
      <w:pPr>
        <w:pStyle w:val="Heading2"/>
        <w:pageBreakBefore w:val="0"/>
      </w:pPr>
      <w:r>
        <w:t>11. Common Examination Traps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tcMar>
              <w:top w:w="65" w:type="dxa"/>
              <w:start w:w="75" w:type="dxa"/>
              <w:bottom w:w="65" w:type="dxa"/>
              <w:end w:w="75" w:type="dxa"/>
            </w:tcMar>
            <w:vAlign w:val="top"/>
            <w:shd w:fill="102A43"/>
          </w:tcPr>
          <w:p>
            <w:r>
              <w:rPr>
                <w:rFonts w:ascii="Arial" w:hAnsi="Arial"/>
                <w:b/>
                <w:color w:val="FFFFFF"/>
                <w:sz w:val="17"/>
              </w:rPr>
              <w:t>Trap</w:t>
            </w:r>
          </w:p>
        </w:tc>
        <w:tc>
          <w:tcPr>
            <w:tcW w:type="dxa" w:w="6912"/>
            <w:tcMar>
              <w:top w:w="65" w:type="dxa"/>
              <w:start w:w="75" w:type="dxa"/>
              <w:bottom w:w="65" w:type="dxa"/>
              <w:end w:w="75" w:type="dxa"/>
            </w:tcMar>
            <w:vAlign w:val="top"/>
            <w:shd w:fill="102A43"/>
          </w:tcPr>
          <w:p>
            <w:r>
              <w:rPr>
                <w:rFonts w:ascii="Arial" w:hAnsi="Arial"/>
                <w:b/>
                <w:color w:val="FFFFFF"/>
                <w:sz w:val="17"/>
              </w:rPr>
              <w:t>Correction</w:t>
            </w:r>
          </w:p>
        </w:tc>
      </w:tr>
      <w:tr>
        <w:tc>
          <w:tcPr>
            <w:tcW w:type="dxa" w:w="3168"/>
            <w:tcMar>
              <w:top w:w="65" w:type="dxa"/>
              <w:start w:w="75" w:type="dxa"/>
              <w:bottom w:w="65" w:type="dxa"/>
              <w:end w:w="75" w:type="dxa"/>
            </w:tcMar>
            <w:vAlign w:val="top"/>
          </w:tcPr>
          <w:p>
            <w:r>
              <w:rPr>
                <w:rFonts w:ascii="Arial" w:hAnsi="Arial"/>
                <w:b w:val="0"/>
                <w:color w:val="1F2933"/>
                <w:sz w:val="17"/>
              </w:rPr>
              <w:t>Licensed colleague equals supervisor</w:t>
            </w:r>
          </w:p>
        </w:tc>
        <w:tc>
          <w:tcPr>
            <w:tcW w:type="dxa" w:w="6912"/>
            <w:tcMar>
              <w:top w:w="65" w:type="dxa"/>
              <w:start w:w="75" w:type="dxa"/>
              <w:bottom w:w="65" w:type="dxa"/>
              <w:end w:w="75" w:type="dxa"/>
            </w:tcMar>
            <w:vAlign w:val="top"/>
          </w:tcPr>
          <w:p>
            <w:r>
              <w:rPr>
                <w:rFonts w:ascii="Arial" w:hAnsi="Arial"/>
                <w:b w:val="0"/>
                <w:color w:val="1F2933"/>
                <w:sz w:val="17"/>
              </w:rPr>
              <w:t>Look for approved supervisor role, qualification, responsibility, and control.</w:t>
            </w:r>
          </w:p>
        </w:tc>
      </w:tr>
      <w:tr>
        <w:tc>
          <w:tcPr>
            <w:tcW w:type="dxa" w:w="3168"/>
            <w:tcMar>
              <w:top w:w="65" w:type="dxa"/>
              <w:start w:w="75" w:type="dxa"/>
              <w:bottom w:w="65" w:type="dxa"/>
              <w:end w:w="75" w:type="dxa"/>
            </w:tcMar>
            <w:vAlign w:val="top"/>
            <w:shd w:fill="F3F5F7"/>
          </w:tcPr>
          <w:p>
            <w:r>
              <w:rPr>
                <w:rFonts w:ascii="Arial" w:hAnsi="Arial"/>
                <w:b w:val="0"/>
                <w:color w:val="1F2933"/>
                <w:sz w:val="17"/>
              </w:rPr>
              <w:t>Combine all jobs for the weekly ratio</w:t>
            </w:r>
          </w:p>
        </w:tc>
        <w:tc>
          <w:tcPr>
            <w:tcW w:type="dxa" w:w="6912"/>
            <w:tcMar>
              <w:top w:w="65" w:type="dxa"/>
              <w:start w:w="75" w:type="dxa"/>
              <w:bottom w:w="65" w:type="dxa"/>
              <w:end w:w="75" w:type="dxa"/>
            </w:tcMar>
            <w:vAlign w:val="top"/>
            <w:shd w:fill="F3F5F7"/>
          </w:tcPr>
          <w:p>
            <w:r>
              <w:rPr>
                <w:rFonts w:ascii="Arial" w:hAnsi="Arial"/>
                <w:b w:val="0"/>
                <w:color w:val="1F2933"/>
                <w:sz w:val="17"/>
              </w:rPr>
              <w:t>Calculate each setting separately.</w:t>
            </w:r>
          </w:p>
        </w:tc>
      </w:tr>
      <w:tr>
        <w:tc>
          <w:tcPr>
            <w:tcW w:type="dxa" w:w="3168"/>
            <w:tcMar>
              <w:top w:w="65" w:type="dxa"/>
              <w:start w:w="75" w:type="dxa"/>
              <w:bottom w:w="65" w:type="dxa"/>
              <w:end w:w="75" w:type="dxa"/>
            </w:tcMar>
            <w:vAlign w:val="top"/>
          </w:tcPr>
          <w:p>
            <w:r>
              <w:rPr>
                <w:rFonts w:ascii="Arial" w:hAnsi="Arial"/>
                <w:b w:val="0"/>
                <w:color w:val="1F2933"/>
                <w:sz w:val="17"/>
              </w:rPr>
              <w:t>More hours always means more units</w:t>
            </w:r>
          </w:p>
        </w:tc>
        <w:tc>
          <w:tcPr>
            <w:tcW w:type="dxa" w:w="6912"/>
            <w:tcMar>
              <w:top w:w="65" w:type="dxa"/>
              <w:start w:w="75" w:type="dxa"/>
              <w:bottom w:w="65" w:type="dxa"/>
              <w:end w:w="75" w:type="dxa"/>
            </w:tcMar>
            <w:vAlign w:val="top"/>
          </w:tcPr>
          <w:p>
            <w:r>
              <w:rPr>
                <w:rFonts w:ascii="Arial" w:hAnsi="Arial"/>
                <w:b w:val="0"/>
                <w:color w:val="1F2933"/>
                <w:sz w:val="17"/>
              </w:rPr>
              <w:t>Use the threshold/cap rule.</w:t>
            </w:r>
          </w:p>
        </w:tc>
      </w:tr>
      <w:tr>
        <w:tc>
          <w:tcPr>
            <w:tcW w:type="dxa" w:w="3168"/>
            <w:tcMar>
              <w:top w:w="65" w:type="dxa"/>
              <w:start w:w="75" w:type="dxa"/>
              <w:bottom w:w="65" w:type="dxa"/>
              <w:end w:w="75" w:type="dxa"/>
            </w:tcMar>
            <w:vAlign w:val="top"/>
            <w:shd w:fill="F3F5F7"/>
          </w:tcPr>
          <w:p>
            <w:r>
              <w:rPr>
                <w:rFonts w:ascii="Arial" w:hAnsi="Arial"/>
                <w:b w:val="0"/>
                <w:color w:val="1F2933"/>
                <w:sz w:val="17"/>
              </w:rPr>
              <w:t>Telephone equals face-to-face</w:t>
            </w:r>
          </w:p>
        </w:tc>
        <w:tc>
          <w:tcPr>
            <w:tcW w:type="dxa" w:w="6912"/>
            <w:tcMar>
              <w:top w:w="65" w:type="dxa"/>
              <w:start w:w="75" w:type="dxa"/>
              <w:bottom w:w="65" w:type="dxa"/>
              <w:end w:w="75" w:type="dxa"/>
            </w:tcMar>
            <w:vAlign w:val="top"/>
            <w:shd w:fill="F3F5F7"/>
          </w:tcPr>
          <w:p>
            <w:r>
              <w:rPr>
                <w:rFonts w:ascii="Arial" w:hAnsi="Arial"/>
                <w:b w:val="0"/>
                <w:color w:val="1F2933"/>
                <w:sz w:val="17"/>
              </w:rPr>
              <w:t>Audio-only support does not satisfy the required component.</w:t>
            </w:r>
          </w:p>
        </w:tc>
      </w:tr>
      <w:tr>
        <w:tc>
          <w:tcPr>
            <w:tcW w:type="dxa" w:w="3168"/>
            <w:tcMar>
              <w:top w:w="65" w:type="dxa"/>
              <w:start w:w="75" w:type="dxa"/>
              <w:bottom w:w="65" w:type="dxa"/>
              <w:end w:w="75" w:type="dxa"/>
            </w:tcMar>
            <w:vAlign w:val="top"/>
          </w:tcPr>
          <w:p>
            <w:r>
              <w:rPr>
                <w:rFonts w:ascii="Arial" w:hAnsi="Arial"/>
                <w:b w:val="0"/>
                <w:color w:val="1F2933"/>
                <w:sz w:val="17"/>
              </w:rPr>
              <w:t>Weekly log equals final verification</w:t>
            </w:r>
          </w:p>
        </w:tc>
        <w:tc>
          <w:tcPr>
            <w:tcW w:type="dxa" w:w="6912"/>
            <w:tcMar>
              <w:top w:w="65" w:type="dxa"/>
              <w:start w:w="75" w:type="dxa"/>
              <w:bottom w:w="65" w:type="dxa"/>
              <w:end w:w="75" w:type="dxa"/>
            </w:tcMar>
            <w:vAlign w:val="top"/>
          </w:tcPr>
          <w:p>
            <w:r>
              <w:rPr>
                <w:rFonts w:ascii="Arial" w:hAnsi="Arial"/>
                <w:b w:val="0"/>
                <w:color w:val="1F2933"/>
                <w:sz w:val="17"/>
              </w:rPr>
              <w:t>Different timing and evidentiary functions.</w:t>
            </w:r>
          </w:p>
        </w:tc>
      </w:tr>
      <w:tr>
        <w:tc>
          <w:tcPr>
            <w:tcW w:type="dxa" w:w="3168"/>
            <w:tcMar>
              <w:top w:w="65" w:type="dxa"/>
              <w:start w:w="75" w:type="dxa"/>
              <w:bottom w:w="65" w:type="dxa"/>
              <w:end w:w="75" w:type="dxa"/>
            </w:tcMar>
            <w:vAlign w:val="top"/>
            <w:shd w:fill="F3F5F7"/>
          </w:tcPr>
          <w:p>
            <w:r>
              <w:rPr>
                <w:rFonts w:ascii="Arial" w:hAnsi="Arial"/>
                <w:b w:val="0"/>
                <w:color w:val="1F2933"/>
                <w:sz w:val="17"/>
              </w:rPr>
              <w:t>Supervisor said so = safe/lawful</w:t>
            </w:r>
          </w:p>
        </w:tc>
        <w:tc>
          <w:tcPr>
            <w:tcW w:type="dxa" w:w="6912"/>
            <w:tcMar>
              <w:top w:w="65" w:type="dxa"/>
              <w:start w:w="75" w:type="dxa"/>
              <w:bottom w:w="65" w:type="dxa"/>
              <w:end w:w="75" w:type="dxa"/>
            </w:tcMar>
            <w:vAlign w:val="top"/>
            <w:shd w:fill="F3F5F7"/>
          </w:tcPr>
          <w:p>
            <w:r>
              <w:rPr>
                <w:rFonts w:ascii="Arial" w:hAnsi="Arial"/>
                <w:b w:val="0"/>
                <w:color w:val="1F2933"/>
                <w:sz w:val="17"/>
              </w:rPr>
              <w:t>Supervision does not excuse unsafe or unlawful conduct.</w:t>
            </w:r>
          </w:p>
        </w:tc>
      </w:tr>
    </w:tbl>
    <w:p>
      <w:pPr>
        <w:pStyle w:val="Heading2"/>
        <w:pageBreakBefore w:val="0"/>
      </w:pPr>
      <w:r>
        <w:t>12. Rapid Review</w:t>
      </w:r>
    </w:p>
    <w:p>
      <w:pPr>
        <w:pStyle w:val="ListBullet"/>
        <w:pageBreakBefore w:val="0"/>
      </w:pPr>
      <w:r>
        <w:t>Supervision = responsibility and control of service quality.</w:t>
      </w:r>
    </w:p>
    <w:p>
      <w:pPr>
        <w:pStyle w:val="ListBullet"/>
        <w:pageBreakBefore w:val="0"/>
      </w:pPr>
      <w:r>
        <w:t>Consultation is supplemental.</w:t>
      </w:r>
    </w:p>
    <w:p>
      <w:pPr>
        <w:pStyle w:val="ListBullet"/>
        <w:pageBreakBefore w:val="0"/>
      </w:pPr>
      <w:r>
        <w:t>ASW qualifying experience requires a lawful employee/volunteer setting.</w:t>
      </w:r>
    </w:p>
    <w:p>
      <w:pPr>
        <w:pStyle w:val="ListBullet"/>
        <w:pageBreakBefore w:val="0"/>
      </w:pPr>
      <w:r>
        <w:t>Count weekly supervision separately by setting.</w:t>
      </w:r>
    </w:p>
    <w:p>
      <w:pPr>
        <w:pStyle w:val="ListBullet"/>
        <w:pageBreakBefore w:val="0"/>
      </w:pPr>
      <w:r>
        <w:t>More than 10 qualifying clinical hours triggers the second unit.</w:t>
      </w:r>
    </w:p>
    <w:p>
      <w:pPr>
        <w:pStyle w:val="ListBullet"/>
        <w:pageBreakBefore w:val="0"/>
      </w:pPr>
      <w:r>
        <w:t>Telephone-only contact does not satisfy face-to-face supervision.</w:t>
      </w:r>
    </w:p>
    <w:p>
      <w:pPr>
        <w:pStyle w:val="ListBullet"/>
        <w:pageBreakBefore w:val="0"/>
      </w:pPr>
      <w:r>
        <w:t>Use current agreements/plans/logs and the 60-day remote-appropriateness control.</w:t>
      </w:r>
    </w:p>
    <w:p>
      <w:pPr>
        <w:pStyle w:val="ListBullet"/>
        <w:pageBreakBefore w:val="0"/>
      </w:pPr>
      <w:r>
        <w:t>Client protection precedes routine remediation.</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MEMORY CUE</w:t>
              <w:br/>
              <w:t>CONTROL + CANDOR: lawful structure, enough access to evaluate, specific feedback, prompt risk disclosure, proportionate repair.</w:t>
            </w:r>
          </w:p>
        </w:tc>
        <w:trPr>
          <w:tblHeader/>
        </w:trPr>
      </w:tr>
    </w:tbl>
    <w:p>
      <w:pPr>
        <w:pStyle w:val="Heading2"/>
        <w:pageBreakBefore w:val="0"/>
      </w:pPr>
      <w:r>
        <w:t>13. Sources and Currency Controls</w:t>
      </w:r>
    </w:p>
    <w:p>
      <w:pPr>
        <w:pStyle w:val="ListBullet"/>
        <w:pageBreakBefore w:val="0"/>
      </w:pPr>
      <w:r>
        <w:t>Current BBS ASW supervision statutes, regulations, FAQs, supervisor resources, and forms.</w:t>
      </w:r>
    </w:p>
    <w:p>
      <w:pPr>
        <w:pStyle w:val="ListBullet"/>
        <w:pageBreakBefore w:val="0"/>
      </w:pPr>
      <w:r>
        <w:t>BPC sections 4996.20, 4996.23, 4996.23.1, and 4996.23.2 as applicable.</w:t>
      </w:r>
    </w:p>
    <w:p>
      <w:pPr>
        <w:pStyle w:val="ListBullet"/>
        <w:pageBreakBefore w:val="0"/>
      </w:pPr>
      <w:r>
        <w:t>NASW Code of Ethics - supervision/consultation, competence, confidentiality, evaluation, and client welfare.</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CURRENCY RULE</w:t>
              <w:br/>
              <w:t>Recheck BBS supervision statutes, forms, ASW FAQ, videoconference rules, and law changes before bank/LMS lock and within 30 days of public release.</w:t>
            </w:r>
          </w:p>
        </w:tc>
        <w:trPr>
          <w:tblHeader/>
        </w:trPr>
      </w:tr>
    </w:tbl>
    <w:p>
      <w:pPr>
        <w:pStyle w:val="Heading2"/>
        <w:pageBreakBefore w:val="0"/>
      </w:pPr>
      <w:r>
        <w:t>Chapter Snapshot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tcMar>
              <w:top w:w="65" w:type="dxa"/>
              <w:start w:w="75" w:type="dxa"/>
              <w:bottom w:w="65" w:type="dxa"/>
              <w:end w:w="75" w:type="dxa"/>
            </w:tcMar>
            <w:vAlign w:val="top"/>
            <w:shd w:fill="102A43"/>
          </w:tcPr>
          <w:p>
            <w:r>
              <w:rPr>
                <w:rFonts w:ascii="Arial" w:hAnsi="Arial"/>
                <w:b/>
                <w:color w:val="FFFFFF"/>
                <w:sz w:val="17"/>
              </w:rPr>
              <w:t>Control</w:t>
            </w:r>
          </w:p>
        </w:tc>
        <w:tc>
          <w:tcPr>
            <w:tcW w:type="dxa" w:w="6768"/>
            <w:tcMar>
              <w:top w:w="65" w:type="dxa"/>
              <w:start w:w="75" w:type="dxa"/>
              <w:bottom w:w="65" w:type="dxa"/>
              <w:end w:w="75" w:type="dxa"/>
            </w:tcMar>
            <w:vAlign w:val="top"/>
            <w:shd w:fill="102A43"/>
          </w:tcPr>
          <w:p>
            <w:r>
              <w:rPr>
                <w:rFonts w:ascii="Arial" w:hAnsi="Arial"/>
                <w:b/>
                <w:color w:val="FFFFFF"/>
                <w:sz w:val="17"/>
              </w:rPr>
              <w:t>Status</w:t>
            </w:r>
          </w:p>
        </w:tc>
      </w:tr>
      <w:tr>
        <w:tc>
          <w:tcPr>
            <w:tcW w:type="dxa" w:w="3312"/>
            <w:tcMar>
              <w:top w:w="65" w:type="dxa"/>
              <w:start w:w="75" w:type="dxa"/>
              <w:bottom w:w="65" w:type="dxa"/>
              <w:end w:w="75" w:type="dxa"/>
            </w:tcMar>
            <w:vAlign w:val="top"/>
          </w:tcPr>
          <w:p>
            <w:r>
              <w:rPr>
                <w:rFonts w:ascii="Arial" w:hAnsi="Arial"/>
                <w:b w:val="0"/>
                <w:color w:val="1F2933"/>
                <w:sz w:val="17"/>
              </w:rPr>
              <w:t>LCSW/ASW replacement</w:t>
            </w:r>
          </w:p>
        </w:tc>
        <w:tc>
          <w:tcPr>
            <w:tcW w:type="dxa" w:w="6768"/>
            <w:tcMar>
              <w:top w:w="65" w:type="dxa"/>
              <w:start w:w="75" w:type="dxa"/>
              <w:bottom w:w="65" w:type="dxa"/>
              <w:end w:w="75" w:type="dxa"/>
            </w:tcMar>
            <w:vAlign w:val="top"/>
          </w:tcPr>
          <w:p>
            <w:r>
              <w:rPr>
                <w:rFonts w:ascii="Arial" w:hAnsi="Arial"/>
                <w:b w:val="0"/>
                <w:color w:val="1F2933"/>
                <w:sz w:val="17"/>
              </w:rPr>
              <w:t>Complete</w:t>
            </w:r>
          </w:p>
        </w:tc>
      </w:tr>
      <w:tr>
        <w:tc>
          <w:tcPr>
            <w:tcW w:type="dxa" w:w="3312"/>
            <w:tcMar>
              <w:top w:w="65" w:type="dxa"/>
              <w:start w:w="75" w:type="dxa"/>
              <w:bottom w:w="65" w:type="dxa"/>
              <w:end w:w="75" w:type="dxa"/>
            </w:tcMar>
            <w:vAlign w:val="top"/>
            <w:shd w:fill="F3F5F7"/>
          </w:tcPr>
          <w:p>
            <w:r>
              <w:rPr>
                <w:rFonts w:ascii="Arial" w:hAnsi="Arial"/>
                <w:b w:val="0"/>
                <w:color w:val="1F2933"/>
                <w:sz w:val="17"/>
              </w:rPr>
              <w:t>Assessment</w:t>
            </w:r>
          </w:p>
        </w:tc>
        <w:tc>
          <w:tcPr>
            <w:tcW w:type="dxa" w:w="6768"/>
            <w:tcMar>
              <w:top w:w="65" w:type="dxa"/>
              <w:start w:w="75" w:type="dxa"/>
              <w:bottom w:w="65" w:type="dxa"/>
              <w:end w:w="75" w:type="dxa"/>
            </w:tcMar>
            <w:vAlign w:val="top"/>
            <w:shd w:fill="F3F5F7"/>
          </w:tcPr>
          <w:p>
            <w:r>
              <w:rPr>
                <w:rFonts w:ascii="Arial" w:hAnsi="Arial"/>
                <w:b w:val="0"/>
                <w:color w:val="1F2933"/>
                <w:sz w:val="17"/>
              </w:rPr>
              <w:t>WB3-C5-Q001 through Q017</w:t>
            </w:r>
          </w:p>
        </w:tc>
      </w:tr>
      <w:tr>
        <w:tc>
          <w:tcPr>
            <w:tcW w:type="dxa" w:w="3312"/>
            <w:tcMar>
              <w:top w:w="65" w:type="dxa"/>
              <w:start w:w="75" w:type="dxa"/>
              <w:bottom w:w="65" w:type="dxa"/>
              <w:end w:w="75" w:type="dxa"/>
            </w:tcMar>
            <w:vAlign w:val="top"/>
          </w:tcPr>
          <w:p>
            <w:r>
              <w:rPr>
                <w:rFonts w:ascii="Arial" w:hAnsi="Arial"/>
                <w:b w:val="0"/>
                <w:color w:val="1F2933"/>
                <w:sz w:val="17"/>
              </w:rPr>
              <w:t>Flashcards</w:t>
            </w:r>
          </w:p>
        </w:tc>
        <w:tc>
          <w:tcPr>
            <w:tcW w:type="dxa" w:w="6768"/>
            <w:tcMar>
              <w:top w:w="65" w:type="dxa"/>
              <w:start w:w="75" w:type="dxa"/>
              <w:bottom w:w="65" w:type="dxa"/>
              <w:end w:w="75" w:type="dxa"/>
            </w:tcMar>
            <w:vAlign w:val="top"/>
          </w:tcPr>
          <w:p>
            <w:r>
              <w:rPr>
                <w:rFonts w:ascii="Arial" w:hAnsi="Arial"/>
                <w:b w:val="0"/>
                <w:color w:val="1F2933"/>
                <w:sz w:val="17"/>
              </w:rPr>
              <w:t>FC-WB3C5-001 through 017</w:t>
            </w:r>
          </w:p>
        </w:tc>
      </w:tr>
      <w:tr>
        <w:tc>
          <w:tcPr>
            <w:tcW w:type="dxa" w:w="3312"/>
            <w:tcMar>
              <w:top w:w="65" w:type="dxa"/>
              <w:start w:w="75" w:type="dxa"/>
              <w:bottom w:w="65" w:type="dxa"/>
              <w:end w:w="75" w:type="dxa"/>
            </w:tcMar>
            <w:vAlign w:val="top"/>
            <w:shd w:fill="F3F5F7"/>
          </w:tcPr>
          <w:p>
            <w:r>
              <w:rPr>
                <w:rFonts w:ascii="Arial" w:hAnsi="Arial"/>
                <w:b w:val="0"/>
                <w:color w:val="1F2933"/>
                <w:sz w:val="17"/>
              </w:rPr>
              <w:t>Difficulty</w:t>
            </w:r>
          </w:p>
        </w:tc>
        <w:tc>
          <w:tcPr>
            <w:tcW w:type="dxa" w:w="6768"/>
            <w:tcMar>
              <w:top w:w="65" w:type="dxa"/>
              <w:start w:w="75" w:type="dxa"/>
              <w:bottom w:w="65" w:type="dxa"/>
              <w:end w:w="75" w:type="dxa"/>
            </w:tcMar>
            <w:vAlign w:val="top"/>
            <w:shd w:fill="F3F5F7"/>
          </w:tcPr>
          <w:p>
            <w:r>
              <w:rPr>
                <w:rFonts w:ascii="Arial" w:hAnsi="Arial"/>
                <w:b w:val="0"/>
                <w:color w:val="1F2933"/>
                <w:sz w:val="17"/>
              </w:rPr>
              <w:t>5 Easy / 7 Moderate / 5 Difficult</w:t>
            </w:r>
          </w:p>
        </w:tc>
      </w:tr>
      <w:tr>
        <w:tc>
          <w:tcPr>
            <w:tcW w:type="dxa" w:w="3312"/>
            <w:tcMar>
              <w:top w:w="65" w:type="dxa"/>
              <w:start w:w="75" w:type="dxa"/>
              <w:bottom w:w="65" w:type="dxa"/>
              <w:end w:w="75" w:type="dxa"/>
            </w:tcMar>
            <w:vAlign w:val="top"/>
          </w:tcPr>
          <w:p>
            <w:r>
              <w:rPr>
                <w:rFonts w:ascii="Arial" w:hAnsi="Arial"/>
                <w:b w:val="0"/>
                <w:color w:val="1F2933"/>
                <w:sz w:val="17"/>
              </w:rPr>
              <w:t>Classification</w:t>
            </w:r>
          </w:p>
        </w:tc>
        <w:tc>
          <w:tcPr>
            <w:tcW w:type="dxa" w:w="6768"/>
            <w:tcMar>
              <w:top w:w="65" w:type="dxa"/>
              <w:start w:w="75" w:type="dxa"/>
              <w:bottom w:w="65" w:type="dxa"/>
              <w:end w:w="75" w:type="dxa"/>
            </w:tcMar>
            <w:vAlign w:val="top"/>
          </w:tcPr>
          <w:p>
            <w:r>
              <w:rPr>
                <w:rFonts w:ascii="Arial" w:hAnsi="Arial"/>
                <w:b w:val="0"/>
                <w:color w:val="1F2933"/>
                <w:sz w:val="17"/>
              </w:rPr>
              <w:t>Exam preparation only | No CE credit or certificate</w:t>
            </w:r>
          </w:p>
        </w:tc>
      </w:tr>
    </w:tbl>
    <w:p>
      <w:pPr>
        <w:pStyle w:val="CTAChapterNumber"/>
        <w:pageBreakBefore/>
      </w:pPr>
      <w:r>
        <w:t>CHAPTER 6</w:t>
      </w:r>
    </w:p>
    <w:p>
      <w:pPr>
        <w:pStyle w:val="CTAChapterTitle"/>
        <w:pageBreakBefore w:val="0"/>
      </w:pPr>
      <w:r>
        <w:t>Professional Roles and Role Clarification</w:t>
      </w:r>
    </w:p>
    <w:p>
      <w:pPr>
        <w:pStyle w:val="Subtitle"/>
        <w:pageBreakBefore w:val="0"/>
      </w:pPr>
      <w:r>
        <w:t>LCSW/ASW Candidate Chapter</w:t>
      </w:r>
    </w:p>
    <w:p>
      <w:pPr>
        <w:pStyle w:val="CTASmall"/>
        <w:pageBreakBefore w:val="0"/>
      </w:pPr>
      <w:r>
        <w:t>CTA-EP-002 | Version 1.0 | Source Review: August 7, 2026</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CHAPTER PURPOSE</w:t>
              <w:br/>
              <w:t>Identify the social worker's actual role, the parties, the purpose and audience, confidentiality and authority limits, and conflicts when professional roles change or overlap.</w:t>
            </w:r>
          </w:p>
        </w:tc>
        <w:trPr>
          <w:tblHeader/>
        </w:trPr>
      </w:tr>
    </w:tbl>
    <w:p>
      <w:pPr>
        <w:pStyle w:val="Heading2"/>
        <w:pageBreakBefore w:val="0"/>
      </w:pPr>
      <w:r>
        <w:t>Learning Objectives</w:t>
      </w:r>
    </w:p>
    <w:p>
      <w:pPr>
        <w:pStyle w:val="ListBullet"/>
        <w:pageBreakBefore w:val="0"/>
      </w:pPr>
      <w:r>
        <w:t>Distinguish clinical, advocacy, evaluative, administrative, supervisory, educational, research, and organizational roles.</w:t>
      </w:r>
    </w:p>
    <w:p>
      <w:pPr>
        <w:pStyle w:val="ListBullet"/>
        <w:pageBreakBefore w:val="0"/>
      </w:pPr>
      <w:r>
        <w:t>Identify the client separately from the payer, referral source, retaining party, evaluee, report recipient, and privilege holder.</w:t>
      </w:r>
    </w:p>
    <w:p>
      <w:pPr>
        <w:pStyle w:val="ListBullet"/>
        <w:pageBreakBefore w:val="0"/>
      </w:pPr>
      <w:r>
        <w:t>Clarify role, purpose, authority, audience, confidentiality, and expected output before sensitive information is gathered.</w:t>
      </w:r>
    </w:p>
    <w:p>
      <w:pPr>
        <w:pStyle w:val="ListBullet"/>
        <w:pageBreakBefore w:val="0"/>
      </w:pPr>
      <w:r>
        <w:t>Evaluate changing or multiple roles for impaired judgment, exploitation, confidentiality confusion, and client harm.</w:t>
      </w:r>
    </w:p>
    <w:p>
      <w:pPr>
        <w:pStyle w:val="ListBullet"/>
        <w:pageBreakBefore w:val="0"/>
      </w:pPr>
      <w:r>
        <w:t>Apply the CTA R-O-L-E framework to role-conflict examination scenarios.</w:t>
      </w:r>
    </w:p>
    <w:p>
      <w:pPr>
        <w:pStyle w:val="Heading2"/>
        <w:pageBreakBefore w:val="0"/>
      </w:pPr>
      <w:r>
        <w:t>Why This Matters</w:t>
      </w:r>
    </w:p>
    <w:p>
      <w:pPr>
        <w:pStyle w:val="CTABody"/>
        <w:pageBreakBefore w:val="0"/>
      </w:pPr>
      <w:r>
        <w:t>Many difficult ethics questions become easier once the candidate names the professional role. Treatment, third-party evaluation, custody evaluation, benefits review, supervision, research, advocacy, and organizational decision-making can involve different clients, audiences, information flows, authority, and expected outputs.</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BIG IDEA</w:t>
              <w:br/>
              <w:t>Clarify the role before gathering sensitive information, making promises, accepting a new task, changing the audience, or offering an opinion. Payment, referral, employment, or a court request does not by itself identify the client or define the social worker's duties.</w:t>
            </w:r>
          </w:p>
        </w:tc>
        <w:trPr>
          <w:tblHeader/>
        </w:trPr>
      </w:tr>
    </w:tbl>
    <w:p>
      <w:pPr>
        <w:pStyle w:val="Heading2"/>
        <w:pageBreakBefore w:val="0"/>
      </w:pPr>
      <w:r>
        <w:t>1. Social Work Includes Multiple Professional Roles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tcMar>
              <w:top w:w="65" w:type="dxa"/>
              <w:start w:w="75" w:type="dxa"/>
              <w:bottom w:w="65" w:type="dxa"/>
              <w:end w:w="75" w:type="dxa"/>
            </w:tcMar>
            <w:vAlign w:val="top"/>
            <w:shd w:fill="102A43"/>
          </w:tcPr>
          <w:p>
            <w:r>
              <w:rPr>
                <w:rFonts w:ascii="Arial" w:hAnsi="Arial"/>
                <w:b/>
                <w:color w:val="FFFFFF"/>
                <w:sz w:val="17"/>
              </w:rPr>
              <w:t>Role</w:t>
            </w:r>
          </w:p>
        </w:tc>
        <w:tc>
          <w:tcPr>
            <w:tcW w:type="dxa" w:w="4176"/>
            <w:tcMar>
              <w:top w:w="65" w:type="dxa"/>
              <w:start w:w="75" w:type="dxa"/>
              <w:bottom w:w="65" w:type="dxa"/>
              <w:end w:w="75" w:type="dxa"/>
            </w:tcMar>
            <w:vAlign w:val="top"/>
            <w:shd w:fill="102A43"/>
          </w:tcPr>
          <w:p>
            <w:r>
              <w:rPr>
                <w:rFonts w:ascii="Arial" w:hAnsi="Arial"/>
                <w:b/>
                <w:color w:val="FFFFFF"/>
                <w:sz w:val="17"/>
              </w:rPr>
              <w:t>Primary purpose</w:t>
            </w:r>
          </w:p>
        </w:tc>
        <w:tc>
          <w:tcPr>
            <w:tcW w:type="dxa" w:w="3312"/>
            <w:tcMar>
              <w:top w:w="65" w:type="dxa"/>
              <w:start w:w="75" w:type="dxa"/>
              <w:bottom w:w="65" w:type="dxa"/>
              <w:end w:w="75" w:type="dxa"/>
            </w:tcMar>
            <w:vAlign w:val="top"/>
            <w:shd w:fill="102A43"/>
          </w:tcPr>
          <w:p>
            <w:r>
              <w:rPr>
                <w:rFonts w:ascii="Arial" w:hAnsi="Arial"/>
                <w:b/>
                <w:color w:val="FFFFFF"/>
                <w:sz w:val="17"/>
              </w:rPr>
              <w:t>Major role risk</w:t>
            </w:r>
          </w:p>
        </w:tc>
      </w:tr>
      <w:tr>
        <w:tc>
          <w:tcPr>
            <w:tcW w:type="dxa" w:w="2592"/>
            <w:tcMar>
              <w:top w:w="65" w:type="dxa"/>
              <w:start w:w="75" w:type="dxa"/>
              <w:bottom w:w="65" w:type="dxa"/>
              <w:end w:w="75" w:type="dxa"/>
            </w:tcMar>
            <w:vAlign w:val="top"/>
          </w:tcPr>
          <w:p>
            <w:r>
              <w:rPr>
                <w:rFonts w:ascii="Arial" w:hAnsi="Arial"/>
                <w:b w:val="0"/>
                <w:color w:val="1F2933"/>
                <w:sz w:val="17"/>
              </w:rPr>
              <w:t>Clinician / therapist</w:t>
            </w:r>
          </w:p>
        </w:tc>
        <w:tc>
          <w:tcPr>
            <w:tcW w:type="dxa" w:w="4176"/>
            <w:tcMar>
              <w:top w:w="65" w:type="dxa"/>
              <w:start w:w="75" w:type="dxa"/>
              <w:bottom w:w="65" w:type="dxa"/>
              <w:end w:w="75" w:type="dxa"/>
            </w:tcMar>
            <w:vAlign w:val="top"/>
          </w:tcPr>
          <w:p>
            <w:r>
              <w:rPr>
                <w:rFonts w:ascii="Arial" w:hAnsi="Arial"/>
                <w:b w:val="0"/>
                <w:color w:val="1F2933"/>
                <w:sz w:val="17"/>
              </w:rPr>
              <w:t>Assessment, treatment, support, psychosocial adaptation</w:t>
            </w:r>
          </w:p>
        </w:tc>
        <w:tc>
          <w:tcPr>
            <w:tcW w:type="dxa" w:w="3312"/>
            <w:tcMar>
              <w:top w:w="65" w:type="dxa"/>
              <w:start w:w="75" w:type="dxa"/>
              <w:bottom w:w="65" w:type="dxa"/>
              <w:end w:w="75" w:type="dxa"/>
            </w:tcMar>
            <w:vAlign w:val="top"/>
          </w:tcPr>
          <w:p>
            <w:r>
              <w:rPr>
                <w:rFonts w:ascii="Arial" w:hAnsi="Arial"/>
                <w:b w:val="0"/>
                <w:color w:val="1F2933"/>
                <w:sz w:val="17"/>
              </w:rPr>
              <w:t>Confidentiality, boundaries, competence, dependency</w:t>
            </w:r>
          </w:p>
        </w:tc>
      </w:tr>
      <w:tr>
        <w:tc>
          <w:tcPr>
            <w:tcW w:type="dxa" w:w="2592"/>
            <w:tcMar>
              <w:top w:w="65" w:type="dxa"/>
              <w:start w:w="75" w:type="dxa"/>
              <w:bottom w:w="65" w:type="dxa"/>
              <w:end w:w="75" w:type="dxa"/>
            </w:tcMar>
            <w:vAlign w:val="top"/>
            <w:shd w:fill="F3F5F7"/>
          </w:tcPr>
          <w:p>
            <w:r>
              <w:rPr>
                <w:rFonts w:ascii="Arial" w:hAnsi="Arial"/>
                <w:b w:val="0"/>
                <w:color w:val="1F2933"/>
                <w:sz w:val="17"/>
              </w:rPr>
              <w:t>Advocate</w:t>
            </w:r>
          </w:p>
        </w:tc>
        <w:tc>
          <w:tcPr>
            <w:tcW w:type="dxa" w:w="4176"/>
            <w:tcMar>
              <w:top w:w="65" w:type="dxa"/>
              <w:start w:w="75" w:type="dxa"/>
              <w:bottom w:w="65" w:type="dxa"/>
              <w:end w:w="75" w:type="dxa"/>
            </w:tcMar>
            <w:vAlign w:val="top"/>
            <w:shd w:fill="F3F5F7"/>
          </w:tcPr>
          <w:p>
            <w:r>
              <w:rPr>
                <w:rFonts w:ascii="Arial" w:hAnsi="Arial"/>
                <w:b w:val="0"/>
                <w:color w:val="1F2933"/>
                <w:sz w:val="17"/>
              </w:rPr>
              <w:t>Advance client/community goals and address barriers</w:t>
            </w:r>
          </w:p>
        </w:tc>
        <w:tc>
          <w:tcPr>
            <w:tcW w:type="dxa" w:w="3312"/>
            <w:tcMar>
              <w:top w:w="65" w:type="dxa"/>
              <w:start w:w="75" w:type="dxa"/>
              <w:bottom w:w="65" w:type="dxa"/>
              <w:end w:w="75" w:type="dxa"/>
            </w:tcMar>
            <w:vAlign w:val="top"/>
            <w:shd w:fill="F3F5F7"/>
          </w:tcPr>
          <w:p>
            <w:r>
              <w:rPr>
                <w:rFonts w:ascii="Arial" w:hAnsi="Arial"/>
                <w:b w:val="0"/>
                <w:color w:val="1F2933"/>
                <w:sz w:val="17"/>
              </w:rPr>
              <w:t>Replacing client goals with the social worker's agenda</w:t>
            </w:r>
          </w:p>
        </w:tc>
      </w:tr>
      <w:tr>
        <w:tc>
          <w:tcPr>
            <w:tcW w:type="dxa" w:w="2592"/>
            <w:tcMar>
              <w:top w:w="65" w:type="dxa"/>
              <w:start w:w="75" w:type="dxa"/>
              <w:bottom w:w="65" w:type="dxa"/>
              <w:end w:w="75" w:type="dxa"/>
            </w:tcMar>
            <w:vAlign w:val="top"/>
          </w:tcPr>
          <w:p>
            <w:r>
              <w:rPr>
                <w:rFonts w:ascii="Arial" w:hAnsi="Arial"/>
                <w:b w:val="0"/>
                <w:color w:val="1F2933"/>
                <w:sz w:val="17"/>
              </w:rPr>
              <w:t>Evaluator</w:t>
            </w:r>
          </w:p>
        </w:tc>
        <w:tc>
          <w:tcPr>
            <w:tcW w:type="dxa" w:w="4176"/>
            <w:tcMar>
              <w:top w:w="65" w:type="dxa"/>
              <w:start w:w="75" w:type="dxa"/>
              <w:bottom w:w="65" w:type="dxa"/>
              <w:end w:w="75" w:type="dxa"/>
            </w:tcMar>
            <w:vAlign w:val="top"/>
          </w:tcPr>
          <w:p>
            <w:r>
              <w:rPr>
                <w:rFonts w:ascii="Arial" w:hAnsi="Arial"/>
                <w:b w:val="0"/>
                <w:color w:val="1F2933"/>
                <w:sz w:val="17"/>
              </w:rPr>
              <w:t>Answer a defined referral or decision question</w:t>
            </w:r>
          </w:p>
        </w:tc>
        <w:tc>
          <w:tcPr>
            <w:tcW w:type="dxa" w:w="3312"/>
            <w:tcMar>
              <w:top w:w="65" w:type="dxa"/>
              <w:start w:w="75" w:type="dxa"/>
              <w:bottom w:w="65" w:type="dxa"/>
              <w:end w:w="75" w:type="dxa"/>
            </w:tcMar>
            <w:vAlign w:val="top"/>
          </w:tcPr>
          <w:p>
            <w:r>
              <w:rPr>
                <w:rFonts w:ascii="Arial" w:hAnsi="Arial"/>
                <w:b w:val="0"/>
                <w:color w:val="1F2933"/>
                <w:sz w:val="17"/>
              </w:rPr>
              <w:t>Objectivity, competence, audience/confidentiality confusion</w:t>
            </w:r>
          </w:p>
        </w:tc>
      </w:tr>
      <w:tr>
        <w:tc>
          <w:tcPr>
            <w:tcW w:type="dxa" w:w="2592"/>
            <w:tcMar>
              <w:top w:w="65" w:type="dxa"/>
              <w:start w:w="75" w:type="dxa"/>
              <w:bottom w:w="65" w:type="dxa"/>
              <w:end w:w="75" w:type="dxa"/>
            </w:tcMar>
            <w:vAlign w:val="top"/>
            <w:shd w:fill="F3F5F7"/>
          </w:tcPr>
          <w:p>
            <w:r>
              <w:rPr>
                <w:rFonts w:ascii="Arial" w:hAnsi="Arial"/>
                <w:b w:val="0"/>
                <w:color w:val="1F2933"/>
                <w:sz w:val="17"/>
              </w:rPr>
              <w:t>Administrator / gatekeeper</w:t>
            </w:r>
          </w:p>
        </w:tc>
        <w:tc>
          <w:tcPr>
            <w:tcW w:type="dxa" w:w="4176"/>
            <w:tcMar>
              <w:top w:w="65" w:type="dxa"/>
              <w:start w:w="75" w:type="dxa"/>
              <w:bottom w:w="65" w:type="dxa"/>
              <w:end w:w="75" w:type="dxa"/>
            </w:tcMar>
            <w:vAlign w:val="top"/>
            <w:shd w:fill="F3F5F7"/>
          </w:tcPr>
          <w:p>
            <w:r>
              <w:rPr>
                <w:rFonts w:ascii="Arial" w:hAnsi="Arial"/>
                <w:b w:val="0"/>
                <w:color w:val="1F2933"/>
                <w:sz w:val="17"/>
              </w:rPr>
              <w:t>Operate programs, allocate resources, make organizational decisions</w:t>
            </w:r>
          </w:p>
        </w:tc>
        <w:tc>
          <w:tcPr>
            <w:tcW w:type="dxa" w:w="3312"/>
            <w:tcMar>
              <w:top w:w="65" w:type="dxa"/>
              <w:start w:w="75" w:type="dxa"/>
              <w:bottom w:w="65" w:type="dxa"/>
              <w:end w:w="75" w:type="dxa"/>
            </w:tcMar>
            <w:vAlign w:val="top"/>
            <w:shd w:fill="F3F5F7"/>
          </w:tcPr>
          <w:p>
            <w:r>
              <w:rPr>
                <w:rFonts w:ascii="Arial" w:hAnsi="Arial"/>
                <w:b w:val="0"/>
                <w:color w:val="1F2933"/>
                <w:sz w:val="17"/>
              </w:rPr>
              <w:t>Hidden power, conflicting loyalties, information misuse</w:t>
            </w:r>
          </w:p>
        </w:tc>
      </w:tr>
      <w:tr>
        <w:tc>
          <w:tcPr>
            <w:tcW w:type="dxa" w:w="2592"/>
            <w:tcMar>
              <w:top w:w="65" w:type="dxa"/>
              <w:start w:w="75" w:type="dxa"/>
              <w:bottom w:w="65" w:type="dxa"/>
              <w:end w:w="75" w:type="dxa"/>
            </w:tcMar>
            <w:vAlign w:val="top"/>
          </w:tcPr>
          <w:p>
            <w:r>
              <w:rPr>
                <w:rFonts w:ascii="Arial" w:hAnsi="Arial"/>
                <w:b w:val="0"/>
                <w:color w:val="1F2933"/>
                <w:sz w:val="17"/>
              </w:rPr>
              <w:t>Supervisor</w:t>
            </w:r>
          </w:p>
        </w:tc>
        <w:tc>
          <w:tcPr>
            <w:tcW w:type="dxa" w:w="4176"/>
            <w:tcMar>
              <w:top w:w="65" w:type="dxa"/>
              <w:start w:w="75" w:type="dxa"/>
              <w:bottom w:w="65" w:type="dxa"/>
              <w:end w:w="75" w:type="dxa"/>
            </w:tcMar>
            <w:vAlign w:val="top"/>
          </w:tcPr>
          <w:p>
            <w:r>
              <w:rPr>
                <w:rFonts w:ascii="Arial" w:hAnsi="Arial"/>
                <w:b w:val="0"/>
                <w:color w:val="1F2933"/>
                <w:sz w:val="17"/>
              </w:rPr>
              <w:t>Protect clients and develop supervisee competence through accountable oversight</w:t>
            </w:r>
          </w:p>
        </w:tc>
        <w:tc>
          <w:tcPr>
            <w:tcW w:type="dxa" w:w="3312"/>
            <w:tcMar>
              <w:top w:w="65" w:type="dxa"/>
              <w:start w:w="75" w:type="dxa"/>
              <w:bottom w:w="65" w:type="dxa"/>
              <w:end w:w="75" w:type="dxa"/>
            </w:tcMar>
            <w:vAlign w:val="top"/>
          </w:tcPr>
          <w:p>
            <w:r>
              <w:rPr>
                <w:rFonts w:ascii="Arial" w:hAnsi="Arial"/>
                <w:b w:val="0"/>
                <w:color w:val="1F2933"/>
                <w:sz w:val="17"/>
              </w:rPr>
              <w:t>Dual relationships, unfair evaluation, inadequate oversight</w:t>
            </w:r>
          </w:p>
        </w:tc>
      </w:tr>
      <w:tr>
        <w:tc>
          <w:tcPr>
            <w:tcW w:type="dxa" w:w="2592"/>
            <w:tcMar>
              <w:top w:w="65" w:type="dxa"/>
              <w:start w:w="75" w:type="dxa"/>
              <w:bottom w:w="65" w:type="dxa"/>
              <w:end w:w="75" w:type="dxa"/>
            </w:tcMar>
            <w:vAlign w:val="top"/>
            <w:shd w:fill="F3F5F7"/>
          </w:tcPr>
          <w:p>
            <w:r>
              <w:rPr>
                <w:rFonts w:ascii="Arial" w:hAnsi="Arial"/>
                <w:b w:val="0"/>
                <w:color w:val="1F2933"/>
                <w:sz w:val="17"/>
              </w:rPr>
              <w:t>Educator / trainer</w:t>
            </w:r>
          </w:p>
        </w:tc>
        <w:tc>
          <w:tcPr>
            <w:tcW w:type="dxa" w:w="4176"/>
            <w:tcMar>
              <w:top w:w="65" w:type="dxa"/>
              <w:start w:w="75" w:type="dxa"/>
              <w:bottom w:w="65" w:type="dxa"/>
              <w:end w:w="75" w:type="dxa"/>
            </w:tcMar>
            <w:vAlign w:val="top"/>
            <w:shd w:fill="F3F5F7"/>
          </w:tcPr>
          <w:p>
            <w:r>
              <w:rPr>
                <w:rFonts w:ascii="Arial" w:hAnsi="Arial"/>
                <w:b w:val="0"/>
                <w:color w:val="1F2933"/>
                <w:sz w:val="17"/>
              </w:rPr>
              <w:t>Teach knowledge, skill, ethics, or professional reasoning</w:t>
            </w:r>
          </w:p>
        </w:tc>
        <w:tc>
          <w:tcPr>
            <w:tcW w:type="dxa" w:w="3312"/>
            <w:tcMar>
              <w:top w:w="65" w:type="dxa"/>
              <w:start w:w="75" w:type="dxa"/>
              <w:bottom w:w="65" w:type="dxa"/>
              <w:end w:w="75" w:type="dxa"/>
            </w:tcMar>
            <w:vAlign w:val="top"/>
            <w:shd w:fill="F3F5F7"/>
          </w:tcPr>
          <w:p>
            <w:r>
              <w:rPr>
                <w:rFonts w:ascii="Arial" w:hAnsi="Arial"/>
                <w:b w:val="0"/>
                <w:color w:val="1F2933"/>
                <w:sz w:val="17"/>
              </w:rPr>
              <w:t>Confidential examples, grading conflicts, misrepresentation</w:t>
            </w:r>
          </w:p>
        </w:tc>
      </w:tr>
      <w:tr>
        <w:tc>
          <w:tcPr>
            <w:tcW w:type="dxa" w:w="2592"/>
            <w:tcMar>
              <w:top w:w="65" w:type="dxa"/>
              <w:start w:w="75" w:type="dxa"/>
              <w:bottom w:w="65" w:type="dxa"/>
              <w:end w:w="75" w:type="dxa"/>
            </w:tcMar>
            <w:vAlign w:val="top"/>
          </w:tcPr>
          <w:p>
            <w:r>
              <w:rPr>
                <w:rFonts w:ascii="Arial" w:hAnsi="Arial"/>
                <w:b w:val="0"/>
                <w:color w:val="1F2933"/>
                <w:sz w:val="17"/>
              </w:rPr>
              <w:t>Researcher / program evaluator</w:t>
            </w:r>
          </w:p>
        </w:tc>
        <w:tc>
          <w:tcPr>
            <w:tcW w:type="dxa" w:w="4176"/>
            <w:tcMar>
              <w:top w:w="65" w:type="dxa"/>
              <w:start w:w="75" w:type="dxa"/>
              <w:bottom w:w="65" w:type="dxa"/>
              <w:end w:w="75" w:type="dxa"/>
            </w:tcMar>
            <w:vAlign w:val="top"/>
          </w:tcPr>
          <w:p>
            <w:r>
              <w:rPr>
                <w:rFonts w:ascii="Arial" w:hAnsi="Arial"/>
                <w:b w:val="0"/>
                <w:color w:val="1F2933"/>
                <w:sz w:val="17"/>
              </w:rPr>
              <w:t>Generate/evaluate knowledge, services, or policy</w:t>
            </w:r>
          </w:p>
        </w:tc>
        <w:tc>
          <w:tcPr>
            <w:tcW w:type="dxa" w:w="3312"/>
            <w:tcMar>
              <w:top w:w="65" w:type="dxa"/>
              <w:start w:w="75" w:type="dxa"/>
              <w:bottom w:w="65" w:type="dxa"/>
              <w:end w:w="75" w:type="dxa"/>
            </w:tcMar>
            <w:vAlign w:val="top"/>
          </w:tcPr>
          <w:p>
            <w:r>
              <w:rPr>
                <w:rFonts w:ascii="Arial" w:hAnsi="Arial"/>
                <w:b w:val="0"/>
                <w:color w:val="1F2933"/>
                <w:sz w:val="17"/>
              </w:rPr>
              <w:t>Consent, coercion, confidentiality, conflicts</w:t>
            </w:r>
          </w:p>
        </w:tc>
      </w:tr>
      <w:tr>
        <w:tc>
          <w:tcPr>
            <w:tcW w:type="dxa" w:w="2592"/>
            <w:tcMar>
              <w:top w:w="65" w:type="dxa"/>
              <w:start w:w="75" w:type="dxa"/>
              <w:bottom w:w="65" w:type="dxa"/>
              <w:end w:w="75" w:type="dxa"/>
            </w:tcMar>
            <w:vAlign w:val="top"/>
            <w:shd w:fill="F3F5F7"/>
          </w:tcPr>
          <w:p>
            <w:r>
              <w:rPr>
                <w:rFonts w:ascii="Arial" w:hAnsi="Arial"/>
                <w:b w:val="0"/>
                <w:color w:val="1F2933"/>
                <w:sz w:val="17"/>
              </w:rPr>
              <w:t>Team / organizational representative</w:t>
            </w:r>
          </w:p>
        </w:tc>
        <w:tc>
          <w:tcPr>
            <w:tcW w:type="dxa" w:w="4176"/>
            <w:tcMar>
              <w:top w:w="65" w:type="dxa"/>
              <w:start w:w="75" w:type="dxa"/>
              <w:bottom w:w="65" w:type="dxa"/>
              <w:end w:w="75" w:type="dxa"/>
            </w:tcMar>
            <w:vAlign w:val="top"/>
            <w:shd w:fill="F3F5F7"/>
          </w:tcPr>
          <w:p>
            <w:r>
              <w:rPr>
                <w:rFonts w:ascii="Arial" w:hAnsi="Arial"/>
                <w:b w:val="0"/>
                <w:color w:val="1F2933"/>
                <w:sz w:val="17"/>
              </w:rPr>
              <w:t>Coordinate care or act within an agency role</w:t>
            </w:r>
          </w:p>
        </w:tc>
        <w:tc>
          <w:tcPr>
            <w:tcW w:type="dxa" w:w="3312"/>
            <w:tcMar>
              <w:top w:w="65" w:type="dxa"/>
              <w:start w:w="75" w:type="dxa"/>
              <w:bottom w:w="65" w:type="dxa"/>
              <w:end w:w="75" w:type="dxa"/>
            </w:tcMar>
            <w:vAlign w:val="top"/>
            <w:shd w:fill="F3F5F7"/>
          </w:tcPr>
          <w:p>
            <w:r>
              <w:rPr>
                <w:rFonts w:ascii="Arial" w:hAnsi="Arial"/>
                <w:b w:val="0"/>
                <w:color w:val="1F2933"/>
                <w:sz w:val="17"/>
              </w:rPr>
              <w:t>Unclear authority, overdisclosure, conflicting team duties</w:t>
            </w:r>
          </w:p>
        </w:tc>
      </w:tr>
    </w:tbl>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EXAM PEARL</w:t>
              <w:br/>
              <w:t>The same person may be capable of several social-work roles. The question is whether the role is clear, competent, lawful, and compatible with the other roles in the case.</w:t>
            </w:r>
          </w:p>
        </w:tc>
        <w:trPr>
          <w:tblHeader/>
        </w:trPr>
      </w:tr>
    </w:tbl>
    <w:p>
      <w:pPr>
        <w:pStyle w:val="Heading2"/>
        <w:pageBreakBefore w:val="0"/>
      </w:pPr>
      <w:r>
        <w:t>2. Identify the Client and Every Other Party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tcMar>
              <w:top w:w="65" w:type="dxa"/>
              <w:start w:w="75" w:type="dxa"/>
              <w:bottom w:w="65" w:type="dxa"/>
              <w:end w:w="75" w:type="dxa"/>
            </w:tcMar>
            <w:vAlign w:val="top"/>
            <w:shd w:fill="102A43"/>
          </w:tcPr>
          <w:p>
            <w:r>
              <w:rPr>
                <w:rFonts w:ascii="Arial" w:hAnsi="Arial"/>
                <w:b/>
                <w:color w:val="FFFFFF"/>
                <w:sz w:val="17"/>
              </w:rPr>
              <w:t>Party</w:t>
            </w:r>
          </w:p>
        </w:tc>
        <w:tc>
          <w:tcPr>
            <w:tcW w:type="dxa" w:w="6336"/>
            <w:tcMar>
              <w:top w:w="65" w:type="dxa"/>
              <w:start w:w="75" w:type="dxa"/>
              <w:bottom w:w="65" w:type="dxa"/>
              <w:end w:w="75" w:type="dxa"/>
            </w:tcMar>
            <w:vAlign w:val="top"/>
            <w:shd w:fill="102A43"/>
          </w:tcPr>
          <w:p>
            <w:r>
              <w:rPr>
                <w:rFonts w:ascii="Arial" w:hAnsi="Arial"/>
                <w:b/>
                <w:color w:val="FFFFFF"/>
                <w:sz w:val="17"/>
              </w:rPr>
              <w:t>Question to clarify</w:t>
            </w:r>
          </w:p>
        </w:tc>
      </w:tr>
      <w:tr>
        <w:tc>
          <w:tcPr>
            <w:tcW w:type="dxa" w:w="3744"/>
            <w:tcMar>
              <w:top w:w="65" w:type="dxa"/>
              <w:start w:w="75" w:type="dxa"/>
              <w:bottom w:w="65" w:type="dxa"/>
              <w:end w:w="75" w:type="dxa"/>
            </w:tcMar>
            <w:vAlign w:val="top"/>
          </w:tcPr>
          <w:p>
            <w:r>
              <w:rPr>
                <w:rFonts w:ascii="Arial" w:hAnsi="Arial"/>
                <w:b w:val="0"/>
                <w:color w:val="1F2933"/>
                <w:sz w:val="17"/>
              </w:rPr>
              <w:t>Client</w:t>
            </w:r>
          </w:p>
        </w:tc>
        <w:tc>
          <w:tcPr>
            <w:tcW w:type="dxa" w:w="6336"/>
            <w:tcMar>
              <w:top w:w="65" w:type="dxa"/>
              <w:start w:w="75" w:type="dxa"/>
              <w:bottom w:w="65" w:type="dxa"/>
              <w:end w:w="75" w:type="dxa"/>
            </w:tcMar>
            <w:vAlign w:val="top"/>
          </w:tcPr>
          <w:p>
            <w:r>
              <w:rPr>
                <w:rFonts w:ascii="Arial" w:hAnsi="Arial"/>
                <w:b w:val="0"/>
                <w:color w:val="1F2933"/>
                <w:sz w:val="17"/>
              </w:rPr>
              <w:t>Whose well-being and professional relationship is the social worker serving?</w:t>
            </w:r>
          </w:p>
        </w:tc>
      </w:tr>
      <w:tr>
        <w:tc>
          <w:tcPr>
            <w:tcW w:type="dxa" w:w="3744"/>
            <w:tcMar>
              <w:top w:w="65" w:type="dxa"/>
              <w:start w:w="75" w:type="dxa"/>
              <w:bottom w:w="65" w:type="dxa"/>
              <w:end w:w="75" w:type="dxa"/>
            </w:tcMar>
            <w:vAlign w:val="top"/>
            <w:shd w:fill="F3F5F7"/>
          </w:tcPr>
          <w:p>
            <w:r>
              <w:rPr>
                <w:rFonts w:ascii="Arial" w:hAnsi="Arial"/>
                <w:b w:val="0"/>
                <w:color w:val="1F2933"/>
                <w:sz w:val="17"/>
              </w:rPr>
              <w:t>Payer</w:t>
            </w:r>
          </w:p>
        </w:tc>
        <w:tc>
          <w:tcPr>
            <w:tcW w:type="dxa" w:w="6336"/>
            <w:tcMar>
              <w:top w:w="65" w:type="dxa"/>
              <w:start w:w="75" w:type="dxa"/>
              <w:bottom w:w="65" w:type="dxa"/>
              <w:end w:w="75" w:type="dxa"/>
            </w:tcMar>
            <w:vAlign w:val="top"/>
            <w:shd w:fill="F3F5F7"/>
          </w:tcPr>
          <w:p>
            <w:r>
              <w:rPr>
                <w:rFonts w:ascii="Arial" w:hAnsi="Arial"/>
                <w:b w:val="0"/>
                <w:color w:val="1F2933"/>
                <w:sz w:val="17"/>
              </w:rPr>
              <w:t>Who pays? Payment does not automatically create client status or disclosure rights.</w:t>
            </w:r>
          </w:p>
        </w:tc>
      </w:tr>
      <w:tr>
        <w:tc>
          <w:tcPr>
            <w:tcW w:type="dxa" w:w="3744"/>
            <w:tcMar>
              <w:top w:w="65" w:type="dxa"/>
              <w:start w:w="75" w:type="dxa"/>
              <w:bottom w:w="65" w:type="dxa"/>
              <w:end w:w="75" w:type="dxa"/>
            </w:tcMar>
            <w:vAlign w:val="top"/>
          </w:tcPr>
          <w:p>
            <w:r>
              <w:rPr>
                <w:rFonts w:ascii="Arial" w:hAnsi="Arial"/>
                <w:b w:val="0"/>
                <w:color w:val="1F2933"/>
                <w:sz w:val="17"/>
              </w:rPr>
              <w:t>Referral source</w:t>
            </w:r>
          </w:p>
        </w:tc>
        <w:tc>
          <w:tcPr>
            <w:tcW w:type="dxa" w:w="6336"/>
            <w:tcMar>
              <w:top w:w="65" w:type="dxa"/>
              <w:start w:w="75" w:type="dxa"/>
              <w:bottom w:w="65" w:type="dxa"/>
              <w:end w:w="75" w:type="dxa"/>
            </w:tcMar>
            <w:vAlign w:val="top"/>
          </w:tcPr>
          <w:p>
            <w:r>
              <w:rPr>
                <w:rFonts w:ascii="Arial" w:hAnsi="Arial"/>
                <w:b w:val="0"/>
                <w:color w:val="1F2933"/>
                <w:sz w:val="17"/>
              </w:rPr>
              <w:t>Who asked that services be considered?</w:t>
            </w:r>
          </w:p>
        </w:tc>
      </w:tr>
      <w:tr>
        <w:tc>
          <w:tcPr>
            <w:tcW w:type="dxa" w:w="3744"/>
            <w:tcMar>
              <w:top w:w="65" w:type="dxa"/>
              <w:start w:w="75" w:type="dxa"/>
              <w:bottom w:w="65" w:type="dxa"/>
              <w:end w:w="75" w:type="dxa"/>
            </w:tcMar>
            <w:vAlign w:val="top"/>
            <w:shd w:fill="F3F5F7"/>
          </w:tcPr>
          <w:p>
            <w:r>
              <w:rPr>
                <w:rFonts w:ascii="Arial" w:hAnsi="Arial"/>
                <w:b w:val="0"/>
                <w:color w:val="1F2933"/>
                <w:sz w:val="17"/>
              </w:rPr>
              <w:t>Retaining party</w:t>
            </w:r>
          </w:p>
        </w:tc>
        <w:tc>
          <w:tcPr>
            <w:tcW w:type="dxa" w:w="6336"/>
            <w:tcMar>
              <w:top w:w="65" w:type="dxa"/>
              <w:start w:w="75" w:type="dxa"/>
              <w:bottom w:w="65" w:type="dxa"/>
              <w:end w:w="75" w:type="dxa"/>
            </w:tcMar>
            <w:vAlign w:val="top"/>
            <w:shd w:fill="F3F5F7"/>
          </w:tcPr>
          <w:p>
            <w:r>
              <w:rPr>
                <w:rFonts w:ascii="Arial" w:hAnsi="Arial"/>
                <w:b w:val="0"/>
                <w:color w:val="1F2933"/>
                <w:sz w:val="17"/>
              </w:rPr>
              <w:t>Who contracted for an evaluation or consultation?</w:t>
            </w:r>
          </w:p>
        </w:tc>
      </w:tr>
      <w:tr>
        <w:tc>
          <w:tcPr>
            <w:tcW w:type="dxa" w:w="3744"/>
            <w:tcMar>
              <w:top w:w="65" w:type="dxa"/>
              <w:start w:w="75" w:type="dxa"/>
              <w:bottom w:w="65" w:type="dxa"/>
              <w:end w:w="75" w:type="dxa"/>
            </w:tcMar>
            <w:vAlign w:val="top"/>
          </w:tcPr>
          <w:p>
            <w:r>
              <w:rPr>
                <w:rFonts w:ascii="Arial" w:hAnsi="Arial"/>
                <w:b w:val="0"/>
                <w:color w:val="1F2933"/>
                <w:sz w:val="17"/>
              </w:rPr>
              <w:t>Evaluee</w:t>
            </w:r>
          </w:p>
        </w:tc>
        <w:tc>
          <w:tcPr>
            <w:tcW w:type="dxa" w:w="6336"/>
            <w:tcMar>
              <w:top w:w="65" w:type="dxa"/>
              <w:start w:w="75" w:type="dxa"/>
              <w:bottom w:w="65" w:type="dxa"/>
              <w:end w:w="75" w:type="dxa"/>
            </w:tcMar>
            <w:vAlign w:val="top"/>
          </w:tcPr>
          <w:p>
            <w:r>
              <w:rPr>
                <w:rFonts w:ascii="Arial" w:hAnsi="Arial"/>
                <w:b w:val="0"/>
                <w:color w:val="1F2933"/>
                <w:sz w:val="17"/>
              </w:rPr>
              <w:t>Whose functioning or circumstances are being assessed?</w:t>
            </w:r>
          </w:p>
        </w:tc>
      </w:tr>
      <w:tr>
        <w:tc>
          <w:tcPr>
            <w:tcW w:type="dxa" w:w="3744"/>
            <w:tcMar>
              <w:top w:w="65" w:type="dxa"/>
              <w:start w:w="75" w:type="dxa"/>
              <w:bottom w:w="65" w:type="dxa"/>
              <w:end w:w="75" w:type="dxa"/>
            </w:tcMar>
            <w:vAlign w:val="top"/>
            <w:shd w:fill="F3F5F7"/>
          </w:tcPr>
          <w:p>
            <w:r>
              <w:rPr>
                <w:rFonts w:ascii="Arial" w:hAnsi="Arial"/>
                <w:b w:val="0"/>
                <w:color w:val="1F2933"/>
                <w:sz w:val="17"/>
              </w:rPr>
              <w:t>Report recipient</w:t>
            </w:r>
          </w:p>
        </w:tc>
        <w:tc>
          <w:tcPr>
            <w:tcW w:type="dxa" w:w="6336"/>
            <w:tcMar>
              <w:top w:w="65" w:type="dxa"/>
              <w:start w:w="75" w:type="dxa"/>
              <w:bottom w:w="65" w:type="dxa"/>
              <w:end w:w="75" w:type="dxa"/>
            </w:tcMar>
            <w:vAlign w:val="top"/>
            <w:shd w:fill="F3F5F7"/>
          </w:tcPr>
          <w:p>
            <w:r>
              <w:rPr>
                <w:rFonts w:ascii="Arial" w:hAnsi="Arial"/>
                <w:b w:val="0"/>
                <w:color w:val="1F2933"/>
                <w:sz w:val="17"/>
              </w:rPr>
              <w:t>Who is authorized to receive the result?</w:t>
            </w:r>
          </w:p>
        </w:tc>
      </w:tr>
      <w:tr>
        <w:tc>
          <w:tcPr>
            <w:tcW w:type="dxa" w:w="3744"/>
            <w:tcMar>
              <w:top w:w="65" w:type="dxa"/>
              <w:start w:w="75" w:type="dxa"/>
              <w:bottom w:w="65" w:type="dxa"/>
              <w:end w:w="75" w:type="dxa"/>
            </w:tcMar>
            <w:vAlign w:val="top"/>
          </w:tcPr>
          <w:p>
            <w:r>
              <w:rPr>
                <w:rFonts w:ascii="Arial" w:hAnsi="Arial"/>
                <w:b w:val="0"/>
                <w:color w:val="1F2933"/>
                <w:sz w:val="17"/>
              </w:rPr>
              <w:t>Privilege holder / legally authorized person</w:t>
            </w:r>
          </w:p>
        </w:tc>
        <w:tc>
          <w:tcPr>
            <w:tcW w:type="dxa" w:w="6336"/>
            <w:tcMar>
              <w:top w:w="65" w:type="dxa"/>
              <w:start w:w="75" w:type="dxa"/>
              <w:bottom w:w="65" w:type="dxa"/>
              <w:end w:w="75" w:type="dxa"/>
            </w:tcMar>
            <w:vAlign w:val="top"/>
          </w:tcPr>
          <w:p>
            <w:r>
              <w:rPr>
                <w:rFonts w:ascii="Arial" w:hAnsi="Arial"/>
                <w:b w:val="0"/>
                <w:color w:val="1F2933"/>
                <w:sz w:val="17"/>
              </w:rPr>
              <w:t>Who controls the applicable legal right to assert/waive privilege or consent?</w:t>
            </w:r>
          </w:p>
        </w:tc>
      </w:tr>
      <w:tr>
        <w:tc>
          <w:tcPr>
            <w:tcW w:type="dxa" w:w="3744"/>
            <w:tcMar>
              <w:top w:w="65" w:type="dxa"/>
              <w:start w:w="75" w:type="dxa"/>
              <w:bottom w:w="65" w:type="dxa"/>
              <w:end w:w="75" w:type="dxa"/>
            </w:tcMar>
            <w:vAlign w:val="top"/>
            <w:shd w:fill="F3F5F7"/>
          </w:tcPr>
          <w:p>
            <w:r>
              <w:rPr>
                <w:rFonts w:ascii="Arial" w:hAnsi="Arial"/>
                <w:b w:val="0"/>
                <w:color w:val="1F2933"/>
                <w:sz w:val="17"/>
              </w:rPr>
              <w:t>Organization / community</w:t>
            </w:r>
          </w:p>
        </w:tc>
        <w:tc>
          <w:tcPr>
            <w:tcW w:type="dxa" w:w="6336"/>
            <w:tcMar>
              <w:top w:w="65" w:type="dxa"/>
              <w:start w:w="75" w:type="dxa"/>
              <w:bottom w:w="65" w:type="dxa"/>
              <w:end w:w="75" w:type="dxa"/>
            </w:tcMar>
            <w:vAlign w:val="top"/>
            <w:shd w:fill="F3F5F7"/>
          </w:tcPr>
          <w:p>
            <w:r>
              <w:rPr>
                <w:rFonts w:ascii="Arial" w:hAnsi="Arial"/>
                <w:b w:val="0"/>
                <w:color w:val="1F2933"/>
                <w:sz w:val="17"/>
              </w:rPr>
              <w:t>Is the service directed to a system rather than an individual?</w:t>
            </w:r>
          </w:p>
        </w:tc>
      </w:tr>
    </w:tbl>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RETAINING PARTY VS. CLIENT</w:t>
              <w:br/>
              <w:t>Payment alone does not answer client status, confidentiality, authorization, report scope, privilege, or legal rights. Clarify each role explicitly.</w:t>
            </w:r>
          </w:p>
        </w:tc>
        <w:trPr>
          <w:tblHeader/>
        </w:trPr>
      </w:tr>
    </w:tbl>
    <w:p>
      <w:pPr>
        <w:pStyle w:val="Heading2"/>
        <w:pageBreakBefore w:val="0"/>
      </w:pPr>
      <w:r>
        <w:t>3. Role Clarification Before Services Begin</w:t>
      </w:r>
    </w:p>
    <w:p>
      <w:pPr>
        <w:pStyle w:val="ListBullet"/>
        <w:pageBreakBefore w:val="0"/>
      </w:pPr>
      <w:r>
        <w:t>Name the role: treatment, advocacy, evaluation, supervision, administration, education, research, consultation, or another defined function.</w:t>
      </w:r>
    </w:p>
    <w:p>
      <w:pPr>
        <w:pStyle w:val="ListBullet"/>
        <w:pageBreakBefore w:val="0"/>
      </w:pPr>
      <w:r>
        <w:t>Identify the client and every other party.</w:t>
      </w:r>
    </w:p>
    <w:p>
      <w:pPr>
        <w:pStyle w:val="ListBullet"/>
        <w:pageBreakBefore w:val="0"/>
      </w:pPr>
      <w:r>
        <w:t>State the purpose and decision question.</w:t>
      </w:r>
    </w:p>
    <w:p>
      <w:pPr>
        <w:pStyle w:val="ListBullet"/>
        <w:pageBreakBefore w:val="0"/>
      </w:pPr>
      <w:r>
        <w:t>Explain authority and voluntariness.</w:t>
      </w:r>
    </w:p>
    <w:p>
      <w:pPr>
        <w:pStyle w:val="ListBullet"/>
        <w:pageBreakBefore w:val="0"/>
      </w:pPr>
      <w:r>
        <w:t>Explain confidentiality and information flow.</w:t>
      </w:r>
    </w:p>
    <w:p>
      <w:pPr>
        <w:pStyle w:val="ListBullet"/>
        <w:pageBreakBefore w:val="0"/>
      </w:pPr>
      <w:r>
        <w:t>Define the expected output: treatment, recommendation, report, testimony, eligibility decision, evaluation, teaching product, or research result.</w:t>
      </w:r>
    </w:p>
    <w:p>
      <w:pPr>
        <w:pStyle w:val="ListBullet"/>
        <w:pageBreakBefore w:val="0"/>
      </w:pPr>
      <w:r>
        <w:t>State competence and role limits, unavailable services, and any need for referral or independent evaluation.</w:t>
      </w:r>
    </w:p>
    <w:p>
      <w:pPr>
        <w:pStyle w:val="ListBullet"/>
        <w:pageBreakBefore w:val="0"/>
      </w:pPr>
      <w:r>
        <w:t>Document the explanation, questions, consent or notice, and later role changes.</w:t>
      </w:r>
    </w:p>
    <w:p>
      <w:pPr>
        <w:pStyle w:val="Heading2"/>
        <w:pageBreakBefore w:val="0"/>
      </w:pPr>
      <w:r>
        <w:t>4. Changing Roles and Multiple Relationships</w:t>
      </w:r>
    </w:p>
    <w:p>
      <w:pPr>
        <w:pStyle w:val="CTABody"/>
        <w:pageBreakBefore w:val="0"/>
      </w:pPr>
      <w:r>
        <w:t>A role change can alter purpose, audience, confidentiality expectations, power, competence requirements, and loyalties. A signature alone does not create neutrality, competence, or safe boundaries. When a multiple relationship is unavoidable, use clear culturally responsive boundaries, safeguards, documentation, and ongoing monitoring.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tcMar>
              <w:top w:w="65" w:type="dxa"/>
              <w:start w:w="75" w:type="dxa"/>
              <w:bottom w:w="65" w:type="dxa"/>
              <w:end w:w="75" w:type="dxa"/>
            </w:tcMar>
            <w:vAlign w:val="top"/>
            <w:shd w:fill="102A43"/>
          </w:tcPr>
          <w:p>
            <w:r>
              <w:rPr>
                <w:rFonts w:ascii="Arial" w:hAnsi="Arial"/>
                <w:b/>
                <w:color w:val="FFFFFF"/>
                <w:sz w:val="17"/>
              </w:rPr>
              <w:t>Change</w:t>
            </w:r>
          </w:p>
        </w:tc>
        <w:tc>
          <w:tcPr>
            <w:tcW w:type="dxa" w:w="3744"/>
            <w:tcMar>
              <w:top w:w="65" w:type="dxa"/>
              <w:start w:w="75" w:type="dxa"/>
              <w:bottom w:w="65" w:type="dxa"/>
              <w:end w:w="75" w:type="dxa"/>
            </w:tcMar>
            <w:vAlign w:val="top"/>
            <w:shd w:fill="102A43"/>
          </w:tcPr>
          <w:p>
            <w:r>
              <w:rPr>
                <w:rFonts w:ascii="Arial" w:hAnsi="Arial"/>
                <w:b/>
                <w:color w:val="FFFFFF"/>
                <w:sz w:val="17"/>
              </w:rPr>
              <w:t>Primary risk</w:t>
            </w:r>
          </w:p>
        </w:tc>
        <w:tc>
          <w:tcPr>
            <w:tcW w:type="dxa" w:w="3312"/>
            <w:tcMar>
              <w:top w:w="65" w:type="dxa"/>
              <w:start w:w="75" w:type="dxa"/>
              <w:bottom w:w="65" w:type="dxa"/>
              <w:end w:w="75" w:type="dxa"/>
            </w:tcMar>
            <w:vAlign w:val="top"/>
            <w:shd w:fill="102A43"/>
          </w:tcPr>
          <w:p>
            <w:r>
              <w:rPr>
                <w:rFonts w:ascii="Arial" w:hAnsi="Arial"/>
                <w:b/>
                <w:color w:val="FFFFFF"/>
                <w:sz w:val="17"/>
              </w:rPr>
              <w:t>Likely control</w:t>
            </w:r>
          </w:p>
        </w:tc>
      </w:tr>
      <w:tr>
        <w:tc>
          <w:tcPr>
            <w:tcW w:type="dxa" w:w="3024"/>
            <w:tcMar>
              <w:top w:w="65" w:type="dxa"/>
              <w:start w:w="75" w:type="dxa"/>
              <w:bottom w:w="65" w:type="dxa"/>
              <w:end w:w="75" w:type="dxa"/>
            </w:tcMar>
            <w:vAlign w:val="top"/>
          </w:tcPr>
          <w:p>
            <w:r>
              <w:rPr>
                <w:rFonts w:ascii="Arial" w:hAnsi="Arial"/>
                <w:b w:val="0"/>
                <w:color w:val="1F2933"/>
                <w:sz w:val="17"/>
              </w:rPr>
              <w:t>Treating clinician to evaluator</w:t>
            </w:r>
          </w:p>
        </w:tc>
        <w:tc>
          <w:tcPr>
            <w:tcW w:type="dxa" w:w="3744"/>
            <w:tcMar>
              <w:top w:w="65" w:type="dxa"/>
              <w:start w:w="75" w:type="dxa"/>
              <w:bottom w:w="65" w:type="dxa"/>
              <w:end w:w="75" w:type="dxa"/>
            </w:tcMar>
            <w:vAlign w:val="top"/>
          </w:tcPr>
          <w:p>
            <w:r>
              <w:rPr>
                <w:rFonts w:ascii="Arial" w:hAnsi="Arial"/>
                <w:b w:val="0"/>
                <w:color w:val="1F2933"/>
                <w:sz w:val="17"/>
              </w:rPr>
              <w:t>Loss of objectivity and changed confidentiality</w:t>
            </w:r>
          </w:p>
        </w:tc>
        <w:tc>
          <w:tcPr>
            <w:tcW w:type="dxa" w:w="3312"/>
            <w:tcMar>
              <w:top w:w="65" w:type="dxa"/>
              <w:start w:w="75" w:type="dxa"/>
              <w:bottom w:w="65" w:type="dxa"/>
              <w:end w:w="75" w:type="dxa"/>
            </w:tcMar>
            <w:vAlign w:val="top"/>
          </w:tcPr>
          <w:p>
            <w:r>
              <w:rPr>
                <w:rFonts w:ascii="Arial" w:hAnsi="Arial"/>
                <w:b w:val="0"/>
                <w:color w:val="1F2933"/>
                <w:sz w:val="17"/>
              </w:rPr>
              <w:t>Separate roles when feasible; clarify and refer</w:t>
            </w:r>
          </w:p>
        </w:tc>
      </w:tr>
      <w:tr>
        <w:tc>
          <w:tcPr>
            <w:tcW w:type="dxa" w:w="3024"/>
            <w:tcMar>
              <w:top w:w="65" w:type="dxa"/>
              <w:start w:w="75" w:type="dxa"/>
              <w:bottom w:w="65" w:type="dxa"/>
              <w:end w:w="75" w:type="dxa"/>
            </w:tcMar>
            <w:vAlign w:val="top"/>
            <w:shd w:fill="F3F5F7"/>
          </w:tcPr>
          <w:p>
            <w:r>
              <w:rPr>
                <w:rFonts w:ascii="Arial" w:hAnsi="Arial"/>
                <w:b w:val="0"/>
                <w:color w:val="1F2933"/>
                <w:sz w:val="17"/>
              </w:rPr>
              <w:t>Clinician to witness</w:t>
            </w:r>
          </w:p>
        </w:tc>
        <w:tc>
          <w:tcPr>
            <w:tcW w:type="dxa" w:w="3744"/>
            <w:tcMar>
              <w:top w:w="65" w:type="dxa"/>
              <w:start w:w="75" w:type="dxa"/>
              <w:bottom w:w="65" w:type="dxa"/>
              <w:end w:w="75" w:type="dxa"/>
            </w:tcMar>
            <w:vAlign w:val="top"/>
            <w:shd w:fill="F3F5F7"/>
          </w:tcPr>
          <w:p>
            <w:r>
              <w:rPr>
                <w:rFonts w:ascii="Arial" w:hAnsi="Arial"/>
                <w:b w:val="0"/>
                <w:color w:val="1F2933"/>
                <w:sz w:val="17"/>
              </w:rPr>
              <w:t>Pressure to disclose or overstate</w:t>
            </w:r>
          </w:p>
        </w:tc>
        <w:tc>
          <w:tcPr>
            <w:tcW w:type="dxa" w:w="3312"/>
            <w:tcMar>
              <w:top w:w="65" w:type="dxa"/>
              <w:start w:w="75" w:type="dxa"/>
              <w:bottom w:w="65" w:type="dxa"/>
              <w:end w:w="75" w:type="dxa"/>
            </w:tcMar>
            <w:vAlign w:val="top"/>
            <w:shd w:fill="F3F5F7"/>
          </w:tcPr>
          <w:p>
            <w:r>
              <w:rPr>
                <w:rFonts w:ascii="Arial" w:hAnsi="Arial"/>
                <w:b w:val="0"/>
                <w:color w:val="1F2933"/>
                <w:sz w:val="17"/>
              </w:rPr>
              <w:t>Legal review, narrow testimony, role statement</w:t>
            </w:r>
          </w:p>
        </w:tc>
      </w:tr>
      <w:tr>
        <w:tc>
          <w:tcPr>
            <w:tcW w:type="dxa" w:w="3024"/>
            <w:tcMar>
              <w:top w:w="65" w:type="dxa"/>
              <w:start w:w="75" w:type="dxa"/>
              <w:bottom w:w="65" w:type="dxa"/>
              <w:end w:w="75" w:type="dxa"/>
            </w:tcMar>
            <w:vAlign w:val="top"/>
          </w:tcPr>
          <w:p>
            <w:r>
              <w:rPr>
                <w:rFonts w:ascii="Arial" w:hAnsi="Arial"/>
                <w:b w:val="0"/>
                <w:color w:val="1F2933"/>
                <w:sz w:val="17"/>
              </w:rPr>
              <w:t>Advocate to neutral decision-maker</w:t>
            </w:r>
          </w:p>
        </w:tc>
        <w:tc>
          <w:tcPr>
            <w:tcW w:type="dxa" w:w="3744"/>
            <w:tcMar>
              <w:top w:w="65" w:type="dxa"/>
              <w:start w:w="75" w:type="dxa"/>
              <w:bottom w:w="65" w:type="dxa"/>
              <w:end w:w="75" w:type="dxa"/>
            </w:tcMar>
            <w:vAlign w:val="top"/>
          </w:tcPr>
          <w:p>
            <w:r>
              <w:rPr>
                <w:rFonts w:ascii="Arial" w:hAnsi="Arial"/>
                <w:b w:val="0"/>
                <w:color w:val="1F2933"/>
                <w:sz w:val="17"/>
              </w:rPr>
              <w:t>Incompatible loyalty and impartiality</w:t>
            </w:r>
          </w:p>
        </w:tc>
        <w:tc>
          <w:tcPr>
            <w:tcW w:type="dxa" w:w="3312"/>
            <w:tcMar>
              <w:top w:w="65" w:type="dxa"/>
              <w:start w:w="75" w:type="dxa"/>
              <w:bottom w:w="65" w:type="dxa"/>
              <w:end w:w="75" w:type="dxa"/>
            </w:tcMar>
            <w:vAlign w:val="top"/>
          </w:tcPr>
          <w:p>
            <w:r>
              <w:rPr>
                <w:rFonts w:ascii="Arial" w:hAnsi="Arial"/>
                <w:b w:val="0"/>
                <w:color w:val="1F2933"/>
                <w:sz w:val="17"/>
              </w:rPr>
              <w:t>Disclose and use independent review when needed</w:t>
            </w:r>
          </w:p>
        </w:tc>
      </w:tr>
      <w:tr>
        <w:tc>
          <w:tcPr>
            <w:tcW w:type="dxa" w:w="3024"/>
            <w:tcMar>
              <w:top w:w="65" w:type="dxa"/>
              <w:start w:w="75" w:type="dxa"/>
              <w:bottom w:w="65" w:type="dxa"/>
              <w:end w:w="75" w:type="dxa"/>
            </w:tcMar>
            <w:vAlign w:val="top"/>
            <w:shd w:fill="F3F5F7"/>
          </w:tcPr>
          <w:p>
            <w:r>
              <w:rPr>
                <w:rFonts w:ascii="Arial" w:hAnsi="Arial"/>
                <w:b w:val="0"/>
                <w:color w:val="1F2933"/>
                <w:sz w:val="17"/>
              </w:rPr>
              <w:t>Therapist to mediator</w:t>
            </w:r>
          </w:p>
        </w:tc>
        <w:tc>
          <w:tcPr>
            <w:tcW w:type="dxa" w:w="3744"/>
            <w:tcMar>
              <w:top w:w="65" w:type="dxa"/>
              <w:start w:w="75" w:type="dxa"/>
              <w:bottom w:w="65" w:type="dxa"/>
              <w:end w:w="75" w:type="dxa"/>
            </w:tcMar>
            <w:vAlign w:val="top"/>
            <w:shd w:fill="F3F5F7"/>
          </w:tcPr>
          <w:p>
            <w:r>
              <w:rPr>
                <w:rFonts w:ascii="Arial" w:hAnsi="Arial"/>
                <w:b w:val="0"/>
                <w:color w:val="1F2933"/>
                <w:sz w:val="17"/>
              </w:rPr>
              <w:t>Prior alliance may undermine neutrality</w:t>
            </w:r>
          </w:p>
        </w:tc>
        <w:tc>
          <w:tcPr>
            <w:tcW w:type="dxa" w:w="3312"/>
            <w:tcMar>
              <w:top w:w="65" w:type="dxa"/>
              <w:start w:w="75" w:type="dxa"/>
              <w:bottom w:w="65" w:type="dxa"/>
              <w:end w:w="75" w:type="dxa"/>
            </w:tcMar>
            <w:vAlign w:val="top"/>
            <w:shd w:fill="F3F5F7"/>
          </w:tcPr>
          <w:p>
            <w:r>
              <w:rPr>
                <w:rFonts w:ascii="Arial" w:hAnsi="Arial"/>
                <w:b w:val="0"/>
                <w:color w:val="1F2933"/>
                <w:sz w:val="17"/>
              </w:rPr>
              <w:t>Independent mediator and continuity plan</w:t>
            </w:r>
          </w:p>
        </w:tc>
      </w:tr>
      <w:tr>
        <w:tc>
          <w:tcPr>
            <w:tcW w:type="dxa" w:w="3024"/>
            <w:tcMar>
              <w:top w:w="65" w:type="dxa"/>
              <w:start w:w="75" w:type="dxa"/>
              <w:bottom w:w="65" w:type="dxa"/>
              <w:end w:w="75" w:type="dxa"/>
            </w:tcMar>
            <w:vAlign w:val="top"/>
          </w:tcPr>
          <w:p>
            <w:r>
              <w:rPr>
                <w:rFonts w:ascii="Arial" w:hAnsi="Arial"/>
                <w:b w:val="0"/>
                <w:color w:val="1F2933"/>
                <w:sz w:val="17"/>
              </w:rPr>
              <w:t>Treating provider to benefits gatekeeper</w:t>
            </w:r>
          </w:p>
        </w:tc>
        <w:tc>
          <w:tcPr>
            <w:tcW w:type="dxa" w:w="3744"/>
            <w:tcMar>
              <w:top w:w="65" w:type="dxa"/>
              <w:start w:w="75" w:type="dxa"/>
              <w:bottom w:w="65" w:type="dxa"/>
              <w:end w:w="75" w:type="dxa"/>
            </w:tcMar>
            <w:vAlign w:val="top"/>
          </w:tcPr>
          <w:p>
            <w:r>
              <w:rPr>
                <w:rFonts w:ascii="Arial" w:hAnsi="Arial"/>
                <w:b w:val="0"/>
                <w:color w:val="1F2933"/>
                <w:sz w:val="17"/>
              </w:rPr>
              <w:t>Treatment information may affect access or income</w:t>
            </w:r>
          </w:p>
        </w:tc>
        <w:tc>
          <w:tcPr>
            <w:tcW w:type="dxa" w:w="3312"/>
            <w:tcMar>
              <w:top w:w="65" w:type="dxa"/>
              <w:start w:w="75" w:type="dxa"/>
              <w:bottom w:w="65" w:type="dxa"/>
              <w:end w:w="75" w:type="dxa"/>
            </w:tcMar>
            <w:vAlign w:val="top"/>
          </w:tcPr>
          <w:p>
            <w:r>
              <w:rPr>
                <w:rFonts w:ascii="Arial" w:hAnsi="Arial"/>
                <w:b w:val="0"/>
                <w:color w:val="1F2933"/>
                <w:sz w:val="17"/>
              </w:rPr>
              <w:t>Transparency, limited authorized information, separation</w:t>
            </w:r>
          </w:p>
        </w:tc>
      </w:tr>
      <w:tr>
        <w:tc>
          <w:tcPr>
            <w:tcW w:type="dxa" w:w="3024"/>
            <w:tcMar>
              <w:top w:w="65" w:type="dxa"/>
              <w:start w:w="75" w:type="dxa"/>
              <w:bottom w:w="65" w:type="dxa"/>
              <w:end w:w="75" w:type="dxa"/>
            </w:tcMar>
            <w:vAlign w:val="top"/>
            <w:shd w:fill="F3F5F7"/>
          </w:tcPr>
          <w:p>
            <w:r>
              <w:rPr>
                <w:rFonts w:ascii="Arial" w:hAnsi="Arial"/>
                <w:b w:val="0"/>
                <w:color w:val="1F2933"/>
                <w:sz w:val="17"/>
              </w:rPr>
              <w:t>Supervisor to therapist/friend</w:t>
            </w:r>
          </w:p>
        </w:tc>
        <w:tc>
          <w:tcPr>
            <w:tcW w:type="dxa" w:w="3744"/>
            <w:tcMar>
              <w:top w:w="65" w:type="dxa"/>
              <w:start w:w="75" w:type="dxa"/>
              <w:bottom w:w="65" w:type="dxa"/>
              <w:end w:w="75" w:type="dxa"/>
            </w:tcMar>
            <w:vAlign w:val="top"/>
            <w:shd w:fill="F3F5F7"/>
          </w:tcPr>
          <w:p>
            <w:r>
              <w:rPr>
                <w:rFonts w:ascii="Arial" w:hAnsi="Arial"/>
                <w:b w:val="0"/>
                <w:color w:val="1F2933"/>
                <w:sz w:val="17"/>
              </w:rPr>
              <w:t>Power, evaluation, confidentiality, exploitation</w:t>
            </w:r>
          </w:p>
        </w:tc>
        <w:tc>
          <w:tcPr>
            <w:tcW w:type="dxa" w:w="3312"/>
            <w:tcMar>
              <w:top w:w="65" w:type="dxa"/>
              <w:start w:w="75" w:type="dxa"/>
              <w:bottom w:w="65" w:type="dxa"/>
              <w:end w:w="75" w:type="dxa"/>
            </w:tcMar>
            <w:vAlign w:val="top"/>
            <w:shd w:fill="F3F5F7"/>
          </w:tcPr>
          <w:p>
            <w:r>
              <w:rPr>
                <w:rFonts w:ascii="Arial" w:hAnsi="Arial"/>
                <w:b w:val="0"/>
                <w:color w:val="1F2933"/>
                <w:sz w:val="17"/>
              </w:rPr>
              <w:t>Avoid conflicting relationship; arrange appropriate support</w:t>
            </w:r>
          </w:p>
        </w:tc>
      </w:tr>
    </w:tbl>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ROLE-CHANGE PAUSE</w:t>
              <w:br/>
              <w:t>Before accepting a new role, identify the new purpose, client, audience, authority, competence requirement, confidentiality limits, conflicts, alternatives, and continuity needs.</w:t>
            </w:r>
          </w:p>
        </w:tc>
        <w:trPr>
          <w:tblHeader/>
        </w:trPr>
      </w:tr>
    </w:tbl>
    <w:p>
      <w:pPr>
        <w:pStyle w:val="Heading2"/>
        <w:pageBreakBefore w:val="0"/>
      </w:pPr>
      <w:r>
        <w:t>5. Clinical and Advocacy Roles</w:t>
      </w:r>
    </w:p>
    <w:p>
      <w:pPr>
        <w:pStyle w:val="CTABody"/>
        <w:pageBreakBefore w:val="0"/>
      </w:pPr>
      <w:r>
        <w:t>Clinical social work and advocacy often overlap. Advocacy should remain connected to the client's informed goals and consent, not the social worker's personal agenda. Describe the role accurately, share only authorized information, avoid promising outcomes outside the social worker's control, and document significant contacts and recommendations.</w:t>
      </w:r>
    </w:p>
    <w:p>
      <w:pPr>
        <w:pStyle w:val="Heading2"/>
        <w:pageBreakBefore w:val="0"/>
      </w:pPr>
      <w:r>
        <w:t>6. Evaluator and Third-Party Roles</w:t>
      </w:r>
    </w:p>
    <w:p>
      <w:pPr>
        <w:pStyle w:val="CTABody"/>
        <w:pageBreakBefore w:val="0"/>
      </w:pPr>
      <w:r>
        <w:t>A third-party evaluation answers a defined question for an authorized recipient. The evaluee may not be a treatment client and confidentiality may be limited by the evaluation arrangement. Before gathering sensitive information, clarify who requested the evaluation, who is being evaluated, purpose and methods, qualifications, voluntariness, confidentiality limits, intended recipient, possible uses/consequences, access to results, and the distinction from treatment.</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CUSTODY-EVALUATION CONTROL</w:t>
              <w:br/>
              <w:t>California Rules of Court 5.220 and 5.225 govern specialized child-custody-evaluation processes and appointment qualifications. A treating social worker is not automatically positioned to become a neutral custody evaluator because a court, attorney, or client requests an opinion.</w:t>
            </w:r>
          </w:p>
        </w:tc>
        <w:trPr>
          <w:tblHeader/>
        </w:trPr>
      </w:tr>
    </w:tbl>
    <w:p>
      <w:pPr>
        <w:pStyle w:val="Heading2"/>
        <w:pageBreakBefore w:val="0"/>
      </w:pPr>
      <w:r>
        <w:t>7. Court Requests, Testimony, and Expert Opinions</w:t>
      </w:r>
    </w:p>
    <w:p>
      <w:pPr>
        <w:pStyle w:val="CTABody"/>
        <w:pageBreakBefore w:val="0"/>
      </w:pPr>
      <w:r>
        <w:t>A subpoena, court request, or attorney contact requires legal and ethical analysis. It does not automatically authorize unrestricted disclosure and it does not transform a treating social worker into a qualified expert on every disputed issue.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tcMar>
              <w:top w:w="65" w:type="dxa"/>
              <w:start w:w="75" w:type="dxa"/>
              <w:bottom w:w="65" w:type="dxa"/>
              <w:end w:w="75" w:type="dxa"/>
            </w:tcMar>
            <w:vAlign w:val="top"/>
            <w:shd w:fill="102A43"/>
          </w:tcPr>
          <w:p>
            <w:r>
              <w:rPr>
                <w:rFonts w:ascii="Arial" w:hAnsi="Arial"/>
                <w:b/>
                <w:color w:val="FFFFFF"/>
                <w:sz w:val="17"/>
              </w:rPr>
              <w:t>Role</w:t>
            </w:r>
          </w:p>
        </w:tc>
        <w:tc>
          <w:tcPr>
            <w:tcW w:type="dxa" w:w="3744"/>
            <w:tcMar>
              <w:top w:w="65" w:type="dxa"/>
              <w:start w:w="75" w:type="dxa"/>
              <w:bottom w:w="65" w:type="dxa"/>
              <w:end w:w="75" w:type="dxa"/>
            </w:tcMar>
            <w:vAlign w:val="top"/>
            <w:shd w:fill="102A43"/>
          </w:tcPr>
          <w:p>
            <w:r>
              <w:rPr>
                <w:rFonts w:ascii="Arial" w:hAnsi="Arial"/>
                <w:b/>
                <w:color w:val="FFFFFF"/>
                <w:sz w:val="17"/>
              </w:rPr>
              <w:t>Permissible focus</w:t>
            </w:r>
          </w:p>
        </w:tc>
        <w:tc>
          <w:tcPr>
            <w:tcW w:type="dxa" w:w="3456"/>
            <w:tcMar>
              <w:top w:w="65" w:type="dxa"/>
              <w:start w:w="75" w:type="dxa"/>
              <w:bottom w:w="65" w:type="dxa"/>
              <w:end w:w="75" w:type="dxa"/>
            </w:tcMar>
            <w:vAlign w:val="top"/>
            <w:shd w:fill="102A43"/>
          </w:tcPr>
          <w:p>
            <w:r>
              <w:rPr>
                <w:rFonts w:ascii="Arial" w:hAnsi="Arial"/>
                <w:b/>
                <w:color w:val="FFFFFF"/>
                <w:sz w:val="17"/>
              </w:rPr>
              <w:t>Key limit</w:t>
            </w:r>
          </w:p>
        </w:tc>
      </w:tr>
      <w:tr>
        <w:tc>
          <w:tcPr>
            <w:tcW w:type="dxa" w:w="2880"/>
            <w:tcMar>
              <w:top w:w="65" w:type="dxa"/>
              <w:start w:w="75" w:type="dxa"/>
              <w:bottom w:w="65" w:type="dxa"/>
              <w:end w:w="75" w:type="dxa"/>
            </w:tcMar>
            <w:vAlign w:val="top"/>
          </w:tcPr>
          <w:p>
            <w:r>
              <w:rPr>
                <w:rFonts w:ascii="Arial" w:hAnsi="Arial"/>
                <w:b w:val="0"/>
                <w:color w:val="1F2933"/>
                <w:sz w:val="17"/>
              </w:rPr>
              <w:t>Treating fact witness</w:t>
            </w:r>
          </w:p>
        </w:tc>
        <w:tc>
          <w:tcPr>
            <w:tcW w:type="dxa" w:w="3744"/>
            <w:tcMar>
              <w:top w:w="65" w:type="dxa"/>
              <w:start w:w="75" w:type="dxa"/>
              <w:bottom w:w="65" w:type="dxa"/>
              <w:end w:w="75" w:type="dxa"/>
            </w:tcMar>
            <w:vAlign w:val="top"/>
          </w:tcPr>
          <w:p>
            <w:r>
              <w:rPr>
                <w:rFonts w:ascii="Arial" w:hAnsi="Arial"/>
                <w:b w:val="0"/>
                <w:color w:val="1F2933"/>
                <w:sz w:val="17"/>
              </w:rPr>
              <w:t>Treatment dates, observations, interventions, records, facts within lawful disclosure</w:t>
            </w:r>
          </w:p>
        </w:tc>
        <w:tc>
          <w:tcPr>
            <w:tcW w:type="dxa" w:w="3456"/>
            <w:tcMar>
              <w:top w:w="65" w:type="dxa"/>
              <w:start w:w="75" w:type="dxa"/>
              <w:bottom w:w="65" w:type="dxa"/>
              <w:end w:w="75" w:type="dxa"/>
            </w:tcMar>
            <w:vAlign w:val="top"/>
          </w:tcPr>
          <w:p>
            <w:r>
              <w:rPr>
                <w:rFonts w:ascii="Arial" w:hAnsi="Arial"/>
                <w:b w:val="0"/>
                <w:color w:val="1F2933"/>
                <w:sz w:val="17"/>
              </w:rPr>
              <w:t>Avoid unsupported forensic conclusions or opinions about unexamined people</w:t>
            </w:r>
          </w:p>
        </w:tc>
      </w:tr>
      <w:tr>
        <w:tc>
          <w:tcPr>
            <w:tcW w:type="dxa" w:w="2880"/>
            <w:tcMar>
              <w:top w:w="65" w:type="dxa"/>
              <w:start w:w="75" w:type="dxa"/>
              <w:bottom w:w="65" w:type="dxa"/>
              <w:end w:w="75" w:type="dxa"/>
            </w:tcMar>
            <w:vAlign w:val="top"/>
            <w:shd w:fill="F3F5F7"/>
          </w:tcPr>
          <w:p>
            <w:r>
              <w:rPr>
                <w:rFonts w:ascii="Arial" w:hAnsi="Arial"/>
                <w:b w:val="0"/>
                <w:color w:val="1F2933"/>
                <w:sz w:val="17"/>
              </w:rPr>
              <w:t>Expert witness</w:t>
            </w:r>
          </w:p>
        </w:tc>
        <w:tc>
          <w:tcPr>
            <w:tcW w:type="dxa" w:w="3744"/>
            <w:tcMar>
              <w:top w:w="65" w:type="dxa"/>
              <w:start w:w="75" w:type="dxa"/>
              <w:bottom w:w="65" w:type="dxa"/>
              <w:end w:w="75" w:type="dxa"/>
            </w:tcMar>
            <w:vAlign w:val="top"/>
            <w:shd w:fill="F3F5F7"/>
          </w:tcPr>
          <w:p>
            <w:r>
              <w:rPr>
                <w:rFonts w:ascii="Arial" w:hAnsi="Arial"/>
                <w:b w:val="0"/>
                <w:color w:val="1F2933"/>
                <w:sz w:val="17"/>
              </w:rPr>
              <w:t>Qualified opinion using appropriate evidence, methods, and disclosed assumptions</w:t>
            </w:r>
          </w:p>
        </w:tc>
        <w:tc>
          <w:tcPr>
            <w:tcW w:type="dxa" w:w="3456"/>
            <w:tcMar>
              <w:top w:w="65" w:type="dxa"/>
              <w:start w:w="75" w:type="dxa"/>
              <w:bottom w:w="65" w:type="dxa"/>
              <w:end w:w="75" w:type="dxa"/>
            </w:tcMar>
            <w:vAlign w:val="top"/>
            <w:shd w:fill="F3F5F7"/>
          </w:tcPr>
          <w:p>
            <w:r>
              <w:rPr>
                <w:rFonts w:ascii="Arial" w:hAnsi="Arial"/>
                <w:b w:val="0"/>
                <w:color w:val="1F2933"/>
                <w:sz w:val="17"/>
              </w:rPr>
              <w:t>Remain within competence; do not misrepresent certainty or role</w:t>
            </w:r>
          </w:p>
        </w:tc>
      </w:tr>
      <w:tr>
        <w:tc>
          <w:tcPr>
            <w:tcW w:type="dxa" w:w="2880"/>
            <w:tcMar>
              <w:top w:w="65" w:type="dxa"/>
              <w:start w:w="75" w:type="dxa"/>
              <w:bottom w:w="65" w:type="dxa"/>
              <w:end w:w="75" w:type="dxa"/>
            </w:tcMar>
            <w:vAlign w:val="top"/>
          </w:tcPr>
          <w:p>
            <w:r>
              <w:rPr>
                <w:rFonts w:ascii="Arial" w:hAnsi="Arial"/>
                <w:b w:val="0"/>
                <w:color w:val="1F2933"/>
                <w:sz w:val="17"/>
              </w:rPr>
              <w:t>Custody evaluator</w:t>
            </w:r>
          </w:p>
        </w:tc>
        <w:tc>
          <w:tcPr>
            <w:tcW w:type="dxa" w:w="3744"/>
            <w:tcMar>
              <w:top w:w="65" w:type="dxa"/>
              <w:start w:w="75" w:type="dxa"/>
              <w:bottom w:w="65" w:type="dxa"/>
              <w:end w:w="75" w:type="dxa"/>
            </w:tcMar>
            <w:vAlign w:val="top"/>
          </w:tcPr>
          <w:p>
            <w:r>
              <w:rPr>
                <w:rFonts w:ascii="Arial" w:hAnsi="Arial"/>
                <w:b w:val="0"/>
                <w:color w:val="1F2933"/>
                <w:sz w:val="17"/>
              </w:rPr>
              <w:t>Defined court-appointed evaluative task under specialized rules</w:t>
            </w:r>
          </w:p>
        </w:tc>
        <w:tc>
          <w:tcPr>
            <w:tcW w:type="dxa" w:w="3456"/>
            <w:tcMar>
              <w:top w:w="65" w:type="dxa"/>
              <w:start w:w="75" w:type="dxa"/>
              <w:bottom w:w="65" w:type="dxa"/>
              <w:end w:w="75" w:type="dxa"/>
            </w:tcMar>
            <w:vAlign w:val="top"/>
          </w:tcPr>
          <w:p>
            <w:r>
              <w:rPr>
                <w:rFonts w:ascii="Arial" w:hAnsi="Arial"/>
                <w:b w:val="0"/>
                <w:color w:val="1F2933"/>
                <w:sz w:val="17"/>
              </w:rPr>
              <w:t>Do not combine casually with an existing treatment role</w:t>
            </w:r>
          </w:p>
        </w:tc>
      </w:tr>
      <w:tr>
        <w:tc>
          <w:tcPr>
            <w:tcW w:type="dxa" w:w="2880"/>
            <w:tcMar>
              <w:top w:w="65" w:type="dxa"/>
              <w:start w:w="75" w:type="dxa"/>
              <w:bottom w:w="65" w:type="dxa"/>
              <w:end w:w="75" w:type="dxa"/>
            </w:tcMar>
            <w:vAlign w:val="top"/>
            <w:shd w:fill="F3F5F7"/>
          </w:tcPr>
          <w:p>
            <w:r>
              <w:rPr>
                <w:rFonts w:ascii="Arial" w:hAnsi="Arial"/>
                <w:b w:val="0"/>
                <w:color w:val="1F2933"/>
                <w:sz w:val="17"/>
              </w:rPr>
              <w:t>Organizational witness</w:t>
            </w:r>
          </w:p>
        </w:tc>
        <w:tc>
          <w:tcPr>
            <w:tcW w:type="dxa" w:w="3744"/>
            <w:tcMar>
              <w:top w:w="65" w:type="dxa"/>
              <w:start w:w="75" w:type="dxa"/>
              <w:bottom w:w="65" w:type="dxa"/>
              <w:end w:w="75" w:type="dxa"/>
            </w:tcMar>
            <w:vAlign w:val="top"/>
            <w:shd w:fill="F3F5F7"/>
          </w:tcPr>
          <w:p>
            <w:r>
              <w:rPr>
                <w:rFonts w:ascii="Arial" w:hAnsi="Arial"/>
                <w:b w:val="0"/>
                <w:color w:val="1F2933"/>
                <w:sz w:val="17"/>
              </w:rPr>
              <w:t>Agency policy, operations, records, authorized organizational knowledge</w:t>
            </w:r>
          </w:p>
        </w:tc>
        <w:tc>
          <w:tcPr>
            <w:tcW w:type="dxa" w:w="3456"/>
            <w:tcMar>
              <w:top w:w="65" w:type="dxa"/>
              <w:start w:w="75" w:type="dxa"/>
              <w:bottom w:w="65" w:type="dxa"/>
              <w:end w:w="75" w:type="dxa"/>
            </w:tcMar>
            <w:vAlign w:val="top"/>
            <w:shd w:fill="F3F5F7"/>
          </w:tcPr>
          <w:p>
            <w:r>
              <w:rPr>
                <w:rFonts w:ascii="Arial" w:hAnsi="Arial"/>
                <w:b w:val="0"/>
                <w:color w:val="1F2933"/>
                <w:sz w:val="17"/>
              </w:rPr>
              <w:t>Clarify whether speaking personally, clinically, or for the organization</w:t>
            </w:r>
          </w:p>
        </w:tc>
      </w:tr>
    </w:tbl>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SUBPOENA EXAM TRAP</w:t>
              <w:br/>
              <w:t>Avoid both extremes: do not release everything automatically and do not ignore legal process. Preserve information, assess the request, clarify the role, obtain appropriate legal guidance, and disclose only as lawfully authorized or required.</w:t>
            </w:r>
          </w:p>
        </w:tc>
        <w:trPr>
          <w:tblHeader/>
        </w:trPr>
      </w:tr>
    </w:tbl>
    <w:p>
      <w:pPr>
        <w:pStyle w:val="Heading2"/>
        <w:pageBreakBefore w:val="0"/>
      </w:pPr>
      <w:r>
        <w:t>8. Administrative, Organizational, and Gatekeeping Roles</w:t>
      </w:r>
    </w:p>
    <w:p>
      <w:pPr>
        <w:pStyle w:val="CTABody"/>
        <w:pageBreakBefore w:val="0"/>
      </w:pPr>
      <w:r>
        <w:t>These roles can affect treatment access, employment, benefits, housing, or other important interests. Explain decision authority and information use, use only relevant authorized information, and separate treatment from gatekeeping when feasible.</w:t>
      </w:r>
    </w:p>
    <w:p>
      <w:pPr>
        <w:pStyle w:val="Heading2"/>
        <w:pageBreakBefore w:val="0"/>
      </w:pPr>
      <w:r>
        <w:t>9. Supervisor, Educator, and Research Roles</w:t>
      </w:r>
    </w:p>
    <w:p>
      <w:pPr>
        <w:pStyle w:val="CTABody"/>
        <w:pageBreakBefore w:val="0"/>
      </w:pPr>
      <w:r>
        <w:t>Supervisors and educators hold evaluative power. Establish clear expectations and fair criteria, avoid exploitative dual relationships, and protect client information used in teaching through rigorous de-identification or appropriate consent. Research and program evaluation require voluntariness, privacy/confidentiality, conflict review, accurate reporting, and appropriate oversight.</w:t>
      </w:r>
    </w:p>
    <w:p>
      <w:pPr>
        <w:pStyle w:val="Heading2"/>
        <w:pageBreakBefore w:val="0"/>
      </w:pPr>
      <w:r>
        <w:t>10. Interdisciplinary and Organizational Team Roles</w:t>
      </w:r>
    </w:p>
    <w:p>
      <w:pPr>
        <w:pStyle w:val="ListBullet"/>
        <w:pageBreakBefore w:val="0"/>
      </w:pPr>
      <w:r>
        <w:t>Clarify who has decision authority and what the client has been told.</w:t>
      </w:r>
    </w:p>
    <w:p>
      <w:pPr>
        <w:pStyle w:val="ListBullet"/>
        <w:pageBreakBefore w:val="0"/>
      </w:pPr>
      <w:r>
        <w:t>Share only information relevant and authorized for the team purpose.</w:t>
      </w:r>
    </w:p>
    <w:p>
      <w:pPr>
        <w:pStyle w:val="ListBullet"/>
        <w:pageBreakBefore w:val="0"/>
      </w:pPr>
      <w:r>
        <w:t>Correct misunderstandings about the social worker's role or authority.</w:t>
      </w:r>
    </w:p>
    <w:p>
      <w:pPr>
        <w:pStyle w:val="ListBullet"/>
        <w:pageBreakBefore w:val="0"/>
      </w:pPr>
      <w:r>
        <w:t>Do not let a broad team label conceal an evaluation, investigation, discipline, or benefits-review function.</w:t>
      </w:r>
    </w:p>
    <w:p>
      <w:pPr>
        <w:pStyle w:val="ListBullet"/>
        <w:pageBreakBefore w:val="0"/>
      </w:pPr>
      <w:r>
        <w:t>Document significant disagreements, consultation, decisions, and client communication.</w:t>
      </w:r>
    </w:p>
    <w:p>
      <w:pPr>
        <w:pStyle w:val="ListBullet"/>
        <w:pageBreakBefore w:val="0"/>
      </w:pPr>
      <w:r>
        <w:t>If the organization asks for conduct outside role or competence, clarify limits and escalate appropriately.</w:t>
      </w:r>
    </w:p>
    <w:p>
      <w:pPr>
        <w:pStyle w:val="Heading2"/>
        <w:pageBreakBefore w:val="0"/>
      </w:pPr>
      <w:r>
        <w:t>11. CTA R-O-L-E Decision Framework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tcMar>
              <w:top w:w="65" w:type="dxa"/>
              <w:start w:w="75" w:type="dxa"/>
              <w:bottom w:w="65" w:type="dxa"/>
              <w:end w:w="75" w:type="dxa"/>
            </w:tcMar>
            <w:vAlign w:val="top"/>
            <w:shd w:fill="102A43"/>
          </w:tcPr>
          <w:p>
            <w:r>
              <w:rPr>
                <w:rFonts w:ascii="Arial" w:hAnsi="Arial"/>
                <w:b/>
                <w:color w:val="FFFFFF"/>
                <w:sz w:val="17"/>
              </w:rPr>
              <w:t>Step</w:t>
            </w:r>
          </w:p>
        </w:tc>
        <w:tc>
          <w:tcPr>
            <w:tcW w:type="dxa" w:w="7200"/>
            <w:tcMar>
              <w:top w:w="65" w:type="dxa"/>
              <w:start w:w="75" w:type="dxa"/>
              <w:bottom w:w="65" w:type="dxa"/>
              <w:end w:w="75" w:type="dxa"/>
            </w:tcMar>
            <w:vAlign w:val="top"/>
            <w:shd w:fill="102A43"/>
          </w:tcPr>
          <w:p>
            <w:r>
              <w:rPr>
                <w:rFonts w:ascii="Arial" w:hAnsi="Arial"/>
                <w:b/>
                <w:color w:val="FFFFFF"/>
                <w:sz w:val="17"/>
              </w:rPr>
              <w:t>Candidate question</w:t>
            </w:r>
          </w:p>
        </w:tc>
      </w:tr>
      <w:tr>
        <w:tc>
          <w:tcPr>
            <w:tcW w:type="dxa" w:w="2880"/>
            <w:tcMar>
              <w:top w:w="65" w:type="dxa"/>
              <w:start w:w="75" w:type="dxa"/>
              <w:bottom w:w="65" w:type="dxa"/>
              <w:end w:w="75" w:type="dxa"/>
            </w:tcMar>
            <w:vAlign w:val="top"/>
          </w:tcPr>
          <w:p>
            <w:r>
              <w:rPr>
                <w:rFonts w:ascii="Arial" w:hAnsi="Arial"/>
                <w:b w:val="0"/>
                <w:color w:val="1F2933"/>
                <w:sz w:val="17"/>
              </w:rPr>
              <w:t>R - Role and purpose</w:t>
            </w:r>
          </w:p>
        </w:tc>
        <w:tc>
          <w:tcPr>
            <w:tcW w:type="dxa" w:w="7200"/>
            <w:tcMar>
              <w:top w:w="65" w:type="dxa"/>
              <w:start w:w="75" w:type="dxa"/>
              <w:bottom w:w="65" w:type="dxa"/>
              <w:end w:w="75" w:type="dxa"/>
            </w:tcMar>
            <w:vAlign w:val="top"/>
          </w:tcPr>
          <w:p>
            <w:r>
              <w:rPr>
                <w:rFonts w:ascii="Arial" w:hAnsi="Arial"/>
                <w:b w:val="0"/>
                <w:color w:val="1F2933"/>
                <w:sz w:val="17"/>
              </w:rPr>
              <w:t>What professional role am I being asked to perform, and what is the defined purpose?</w:t>
            </w:r>
          </w:p>
        </w:tc>
      </w:tr>
      <w:tr>
        <w:tc>
          <w:tcPr>
            <w:tcW w:type="dxa" w:w="2880"/>
            <w:tcMar>
              <w:top w:w="65" w:type="dxa"/>
              <w:start w:w="75" w:type="dxa"/>
              <w:bottom w:w="65" w:type="dxa"/>
              <w:end w:w="75" w:type="dxa"/>
            </w:tcMar>
            <w:vAlign w:val="top"/>
            <w:shd w:fill="F3F5F7"/>
          </w:tcPr>
          <w:p>
            <w:r>
              <w:rPr>
                <w:rFonts w:ascii="Arial" w:hAnsi="Arial"/>
                <w:b w:val="0"/>
                <w:color w:val="1F2933"/>
                <w:sz w:val="17"/>
              </w:rPr>
              <w:t>O - Others and obligations</w:t>
            </w:r>
          </w:p>
        </w:tc>
        <w:tc>
          <w:tcPr>
            <w:tcW w:type="dxa" w:w="7200"/>
            <w:tcMar>
              <w:top w:w="65" w:type="dxa"/>
              <w:start w:w="75" w:type="dxa"/>
              <w:bottom w:w="65" w:type="dxa"/>
              <w:end w:w="75" w:type="dxa"/>
            </w:tcMar>
            <w:vAlign w:val="top"/>
            <w:shd w:fill="F3F5F7"/>
          </w:tcPr>
          <w:p>
            <w:r>
              <w:rPr>
                <w:rFonts w:ascii="Arial" w:hAnsi="Arial"/>
                <w:b w:val="0"/>
                <w:color w:val="1F2933"/>
                <w:sz w:val="17"/>
              </w:rPr>
              <w:t>Who is the client, payer, referral source, retaining party, evaluee, report recipient, team, or organization? What duties are owed to each?</w:t>
            </w:r>
          </w:p>
        </w:tc>
      </w:tr>
      <w:tr>
        <w:tc>
          <w:tcPr>
            <w:tcW w:type="dxa" w:w="2880"/>
            <w:tcMar>
              <w:top w:w="65" w:type="dxa"/>
              <w:start w:w="75" w:type="dxa"/>
              <w:bottom w:w="65" w:type="dxa"/>
              <w:end w:w="75" w:type="dxa"/>
            </w:tcMar>
            <w:vAlign w:val="top"/>
          </w:tcPr>
          <w:p>
            <w:r>
              <w:rPr>
                <w:rFonts w:ascii="Arial" w:hAnsi="Arial"/>
                <w:b w:val="0"/>
                <w:color w:val="1F2933"/>
                <w:sz w:val="17"/>
              </w:rPr>
              <w:t>L - Limits, loyalties, and law</w:t>
            </w:r>
          </w:p>
        </w:tc>
        <w:tc>
          <w:tcPr>
            <w:tcW w:type="dxa" w:w="7200"/>
            <w:tcMar>
              <w:top w:w="65" w:type="dxa"/>
              <w:start w:w="75" w:type="dxa"/>
              <w:bottom w:w="65" w:type="dxa"/>
              <w:end w:w="75" w:type="dxa"/>
            </w:tcMar>
            <w:vAlign w:val="top"/>
          </w:tcPr>
          <w:p>
            <w:r>
              <w:rPr>
                <w:rFonts w:ascii="Arial" w:hAnsi="Arial"/>
                <w:b w:val="0"/>
                <w:color w:val="1F2933"/>
                <w:sz w:val="17"/>
              </w:rPr>
              <w:t>What competence, confidentiality, privilege, conflict, neutrality, authority, or setting limits apply?</w:t>
            </w:r>
          </w:p>
        </w:tc>
      </w:tr>
      <w:tr>
        <w:tc>
          <w:tcPr>
            <w:tcW w:type="dxa" w:w="2880"/>
            <w:tcMar>
              <w:top w:w="65" w:type="dxa"/>
              <w:start w:w="75" w:type="dxa"/>
              <w:bottom w:w="65" w:type="dxa"/>
              <w:end w:w="75" w:type="dxa"/>
            </w:tcMar>
            <w:vAlign w:val="top"/>
            <w:shd w:fill="F3F5F7"/>
          </w:tcPr>
          <w:p>
            <w:r>
              <w:rPr>
                <w:rFonts w:ascii="Arial" w:hAnsi="Arial"/>
                <w:b w:val="0"/>
                <w:color w:val="1F2933"/>
                <w:sz w:val="17"/>
              </w:rPr>
              <w:t>E - Explain, establish safeguards, and evaluate</w:t>
            </w:r>
          </w:p>
        </w:tc>
        <w:tc>
          <w:tcPr>
            <w:tcW w:type="dxa" w:w="7200"/>
            <w:tcMar>
              <w:top w:w="65" w:type="dxa"/>
              <w:start w:w="75" w:type="dxa"/>
              <w:bottom w:w="65" w:type="dxa"/>
              <w:end w:w="75" w:type="dxa"/>
            </w:tcMar>
            <w:vAlign w:val="top"/>
            <w:shd w:fill="F3F5F7"/>
          </w:tcPr>
          <w:p>
            <w:r>
              <w:rPr>
                <w:rFonts w:ascii="Arial" w:hAnsi="Arial"/>
                <w:b w:val="0"/>
                <w:color w:val="1F2933"/>
                <w:sz w:val="17"/>
              </w:rPr>
              <w:t>Clarify/document the role, obtain consent or provide notice, separate roles when needed, monitor conflict, and reassess when circumstances change.</w:t>
            </w:r>
          </w:p>
        </w:tc>
      </w:tr>
    </w:tbl>
    <w:p>
      <w:pPr>
        <w:pStyle w:val="Heading2"/>
        <w:pageBreakBefore w:val="0"/>
      </w:pPr>
      <w:r>
        <w:t>12. Applied Scenarios</w:t>
      </w:r>
    </w:p>
    <w:p>
      <w:pPr>
        <w:pStyle w:val="Heading3"/>
        <w:pageBreakBefore w:val="0"/>
      </w:pPr>
      <w:r>
        <w:t>Scenario 1 - Treating Clinician Asked for Custody Opinion</w:t>
      </w:r>
    </w:p>
    <w:p>
      <w:pPr>
        <w:pStyle w:val="CTABody"/>
        <w:pageBreakBefore w:val="0"/>
      </w:pPr>
      <w:r>
        <w:t>Clarify the treatment role, avoid assuming an incompatible custody-evaluator role without appropriate qualification and appointment, and consider an independent evaluator.</w:t>
      </w:r>
    </w:p>
    <w:p>
      <w:pPr>
        <w:pStyle w:val="Heading3"/>
        <w:pageBreakBefore w:val="0"/>
      </w:pPr>
      <w:r>
        <w:t>Scenario 2 - Third-Party Workplace Evaluation</w:t>
      </w:r>
    </w:p>
    <w:p>
      <w:pPr>
        <w:pStyle w:val="CTABody"/>
        <w:pageBreakBefore w:val="0"/>
      </w:pPr>
      <w:r>
        <w:t>Before gathering information, clarify evaluator role, retaining party, purpose, voluntariness, confidentiality limits, report recipient, consequences, and distinction from treatment.</w:t>
      </w:r>
    </w:p>
    <w:p>
      <w:pPr>
        <w:pStyle w:val="Heading3"/>
        <w:pageBreakBefore w:val="0"/>
      </w:pPr>
      <w:r>
        <w:t>Scenario 3 - Benefits Gatekeeping</w:t>
      </w:r>
    </w:p>
    <w:p>
      <w:pPr>
        <w:pStyle w:val="CTABody"/>
        <w:pageBreakBefore w:val="0"/>
      </w:pPr>
      <w:r>
        <w:t>Make power and information use transparent, use only authorized relevant information, evaluate the conflict, and separate treatment and eligibility roles when feasible.</w:t>
      </w:r>
    </w:p>
    <w:p>
      <w:pPr>
        <w:pStyle w:val="Heading3"/>
        <w:pageBreakBefore w:val="0"/>
      </w:pPr>
      <w:r>
        <w:t>Scenario 4 - Treating Social Worker Receives a Subpoena</w:t>
      </w:r>
    </w:p>
    <w:p>
      <w:pPr>
        <w:pStyle w:val="CTABody"/>
        <w:pageBreakBefore w:val="0"/>
      </w:pPr>
      <w:r>
        <w:t>Preserve the record, obtain legal analysis, address authorization/privilege, limit disclosure appropriately, distinguish treatment facts from forensic conclusions, and decline opinions beyond role/evidence/competence.</w:t>
      </w:r>
    </w:p>
    <w:p>
      <w:pPr>
        <w:pStyle w:val="Heading3"/>
        <w:pageBreakBefore w:val="0"/>
      </w:pPr>
      <w:r>
        <w:t>Scenario 5 - Advocate Asked to Be Neutral Reviewer</w:t>
      </w:r>
    </w:p>
    <w:p>
      <w:pPr>
        <w:pStyle w:val="CTABody"/>
        <w:pageBreakBefore w:val="0"/>
      </w:pPr>
      <w:r>
        <w:t>Disclose prior advocacy and use an independent reviewer when impartiality or its appearance cannot reasonably be maintained.</w:t>
      </w:r>
    </w:p>
    <w:p>
      <w:pPr>
        <w:pStyle w:val="Heading3"/>
        <w:pageBreakBefore w:val="0"/>
      </w:pPr>
      <w:r>
        <w:t>Scenario 6 - Research Recruitment From Current Caseload</w:t>
      </w:r>
    </w:p>
    <w:p>
      <w:pPr>
        <w:pStyle w:val="CTABody"/>
        <w:pageBreakBefore w:val="0"/>
      </w:pPr>
      <w:r>
        <w:t>Clarify the research role, remove coercive pressure, ensure voluntary informed consent and alternatives, protect confidentiality, and obtain appropriate oversight.</w:t>
      </w:r>
    </w:p>
    <w:p>
      <w:pPr>
        <w:pStyle w:val="Heading2"/>
        <w:pageBreakBefore w:val="0"/>
      </w:pPr>
      <w:r>
        <w:t>13. Common Examination Traps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tcMar>
              <w:top w:w="65" w:type="dxa"/>
              <w:start w:w="75" w:type="dxa"/>
              <w:bottom w:w="65" w:type="dxa"/>
              <w:end w:w="75" w:type="dxa"/>
            </w:tcMar>
            <w:vAlign w:val="top"/>
            <w:shd w:fill="102A43"/>
          </w:tcPr>
          <w:p>
            <w:r>
              <w:rPr>
                <w:rFonts w:ascii="Arial" w:hAnsi="Arial"/>
                <w:b/>
                <w:color w:val="FFFFFF"/>
                <w:sz w:val="17"/>
              </w:rPr>
              <w:t>Trap</w:t>
            </w:r>
          </w:p>
        </w:tc>
        <w:tc>
          <w:tcPr>
            <w:tcW w:type="dxa" w:w="6912"/>
            <w:tcMar>
              <w:top w:w="65" w:type="dxa"/>
              <w:start w:w="75" w:type="dxa"/>
              <w:bottom w:w="65" w:type="dxa"/>
              <w:end w:w="75" w:type="dxa"/>
            </w:tcMar>
            <w:vAlign w:val="top"/>
            <w:shd w:fill="102A43"/>
          </w:tcPr>
          <w:p>
            <w:r>
              <w:rPr>
                <w:rFonts w:ascii="Arial" w:hAnsi="Arial"/>
                <w:b/>
                <w:color w:val="FFFFFF"/>
                <w:sz w:val="17"/>
              </w:rPr>
              <w:t>Correction</w:t>
            </w:r>
          </w:p>
        </w:tc>
      </w:tr>
      <w:tr>
        <w:tc>
          <w:tcPr>
            <w:tcW w:type="dxa" w:w="3168"/>
            <w:tcMar>
              <w:top w:w="65" w:type="dxa"/>
              <w:start w:w="75" w:type="dxa"/>
              <w:bottom w:w="65" w:type="dxa"/>
              <w:end w:w="75" w:type="dxa"/>
            </w:tcMar>
            <w:vAlign w:val="top"/>
          </w:tcPr>
          <w:p>
            <w:r>
              <w:rPr>
                <w:rFonts w:ascii="Arial" w:hAnsi="Arial"/>
                <w:b w:val="0"/>
                <w:color w:val="1F2933"/>
                <w:sz w:val="17"/>
              </w:rPr>
              <w:t>Payer equals client</w:t>
            </w:r>
          </w:p>
        </w:tc>
        <w:tc>
          <w:tcPr>
            <w:tcW w:type="dxa" w:w="6912"/>
            <w:tcMar>
              <w:top w:w="65" w:type="dxa"/>
              <w:start w:w="75" w:type="dxa"/>
              <w:bottom w:w="65" w:type="dxa"/>
              <w:end w:w="75" w:type="dxa"/>
            </w:tcMar>
            <w:vAlign w:val="top"/>
          </w:tcPr>
          <w:p>
            <w:r>
              <w:rPr>
                <w:rFonts w:ascii="Arial" w:hAnsi="Arial"/>
                <w:b w:val="0"/>
                <w:color w:val="1F2933"/>
                <w:sz w:val="17"/>
              </w:rPr>
              <w:t>Clarify payer, client, authority, privilege, and information rights separately.</w:t>
            </w:r>
          </w:p>
        </w:tc>
      </w:tr>
      <w:tr>
        <w:tc>
          <w:tcPr>
            <w:tcW w:type="dxa" w:w="3168"/>
            <w:tcMar>
              <w:top w:w="65" w:type="dxa"/>
              <w:start w:w="75" w:type="dxa"/>
              <w:bottom w:w="65" w:type="dxa"/>
              <w:end w:w="75" w:type="dxa"/>
            </w:tcMar>
            <w:vAlign w:val="top"/>
            <w:shd w:fill="F3F5F7"/>
          </w:tcPr>
          <w:p>
            <w:r>
              <w:rPr>
                <w:rFonts w:ascii="Arial" w:hAnsi="Arial"/>
                <w:b w:val="0"/>
                <w:color w:val="1F2933"/>
                <w:sz w:val="17"/>
              </w:rPr>
              <w:t>Request equals authorization</w:t>
            </w:r>
          </w:p>
        </w:tc>
        <w:tc>
          <w:tcPr>
            <w:tcW w:type="dxa" w:w="6912"/>
            <w:tcMar>
              <w:top w:w="65" w:type="dxa"/>
              <w:start w:w="75" w:type="dxa"/>
              <w:bottom w:w="65" w:type="dxa"/>
              <w:end w:w="75" w:type="dxa"/>
            </w:tcMar>
            <w:vAlign w:val="top"/>
            <w:shd w:fill="F3F5F7"/>
          </w:tcPr>
          <w:p>
            <w:r>
              <w:rPr>
                <w:rFonts w:ascii="Arial" w:hAnsi="Arial"/>
                <w:b w:val="0"/>
                <w:color w:val="1F2933"/>
                <w:sz w:val="17"/>
              </w:rPr>
              <w:t>Verify consent, privilege, law, and scope before disclosure.</w:t>
            </w:r>
          </w:p>
        </w:tc>
      </w:tr>
      <w:tr>
        <w:tc>
          <w:tcPr>
            <w:tcW w:type="dxa" w:w="3168"/>
            <w:tcMar>
              <w:top w:w="65" w:type="dxa"/>
              <w:start w:w="75" w:type="dxa"/>
              <w:bottom w:w="65" w:type="dxa"/>
              <w:end w:w="75" w:type="dxa"/>
            </w:tcMar>
            <w:vAlign w:val="top"/>
          </w:tcPr>
          <w:p>
            <w:r>
              <w:rPr>
                <w:rFonts w:ascii="Arial" w:hAnsi="Arial"/>
                <w:b w:val="0"/>
                <w:color w:val="1F2933"/>
                <w:sz w:val="17"/>
              </w:rPr>
              <w:t>Therapist equals evaluator</w:t>
            </w:r>
          </w:p>
        </w:tc>
        <w:tc>
          <w:tcPr>
            <w:tcW w:type="dxa" w:w="6912"/>
            <w:tcMar>
              <w:top w:w="65" w:type="dxa"/>
              <w:start w:w="75" w:type="dxa"/>
              <w:bottom w:w="65" w:type="dxa"/>
              <w:end w:w="75" w:type="dxa"/>
            </w:tcMar>
            <w:vAlign w:val="top"/>
          </w:tcPr>
          <w:p>
            <w:r>
              <w:rPr>
                <w:rFonts w:ascii="Arial" w:hAnsi="Arial"/>
                <w:b w:val="0"/>
                <w:color w:val="1F2933"/>
                <w:sz w:val="17"/>
              </w:rPr>
              <w:t>Separate treatment from specialized evaluation when neutrality/competence are unreliable.</w:t>
            </w:r>
          </w:p>
        </w:tc>
      </w:tr>
      <w:tr>
        <w:tc>
          <w:tcPr>
            <w:tcW w:type="dxa" w:w="3168"/>
            <w:tcMar>
              <w:top w:w="65" w:type="dxa"/>
              <w:start w:w="75" w:type="dxa"/>
              <w:bottom w:w="65" w:type="dxa"/>
              <w:end w:w="75" w:type="dxa"/>
            </w:tcMar>
            <w:vAlign w:val="top"/>
            <w:shd w:fill="F3F5F7"/>
          </w:tcPr>
          <w:p>
            <w:r>
              <w:rPr>
                <w:rFonts w:ascii="Arial" w:hAnsi="Arial"/>
                <w:b w:val="0"/>
                <w:color w:val="1F2933"/>
                <w:sz w:val="17"/>
              </w:rPr>
              <w:t>Consent cures conflict</w:t>
            </w:r>
          </w:p>
        </w:tc>
        <w:tc>
          <w:tcPr>
            <w:tcW w:type="dxa" w:w="6912"/>
            <w:tcMar>
              <w:top w:w="65" w:type="dxa"/>
              <w:start w:w="75" w:type="dxa"/>
              <w:bottom w:w="65" w:type="dxa"/>
              <w:end w:w="75" w:type="dxa"/>
            </w:tcMar>
            <w:vAlign w:val="top"/>
            <w:shd w:fill="F3F5F7"/>
          </w:tcPr>
          <w:p>
            <w:r>
              <w:rPr>
                <w:rFonts w:ascii="Arial" w:hAnsi="Arial"/>
                <w:b w:val="0"/>
                <w:color w:val="1F2933"/>
                <w:sz w:val="17"/>
              </w:rPr>
              <w:t>Consent does not create objectivity, competence, or safety.</w:t>
            </w:r>
          </w:p>
        </w:tc>
      </w:tr>
      <w:tr>
        <w:tc>
          <w:tcPr>
            <w:tcW w:type="dxa" w:w="3168"/>
            <w:tcMar>
              <w:top w:w="65" w:type="dxa"/>
              <w:start w:w="75" w:type="dxa"/>
              <w:bottom w:w="65" w:type="dxa"/>
              <w:end w:w="75" w:type="dxa"/>
            </w:tcMar>
            <w:vAlign w:val="top"/>
          </w:tcPr>
          <w:p>
            <w:r>
              <w:rPr>
                <w:rFonts w:ascii="Arial" w:hAnsi="Arial"/>
                <w:b w:val="0"/>
                <w:color w:val="1F2933"/>
                <w:sz w:val="17"/>
              </w:rPr>
              <w:t>Role label changes reality</w:t>
            </w:r>
          </w:p>
        </w:tc>
        <w:tc>
          <w:tcPr>
            <w:tcW w:type="dxa" w:w="6912"/>
            <w:tcMar>
              <w:top w:w="65" w:type="dxa"/>
              <w:start w:w="75" w:type="dxa"/>
              <w:bottom w:w="65" w:type="dxa"/>
              <w:end w:w="75" w:type="dxa"/>
            </w:tcMar>
            <w:vAlign w:val="top"/>
          </w:tcPr>
          <w:p>
            <w:r>
              <w:rPr>
                <w:rFonts w:ascii="Arial" w:hAnsi="Arial"/>
                <w:b w:val="0"/>
                <w:color w:val="1F2933"/>
                <w:sz w:val="17"/>
              </w:rPr>
              <w:t>Examine actual purpose, power, audience, and loyalties.</w:t>
            </w:r>
          </w:p>
        </w:tc>
      </w:tr>
      <w:tr>
        <w:tc>
          <w:tcPr>
            <w:tcW w:type="dxa" w:w="3168"/>
            <w:tcMar>
              <w:top w:w="65" w:type="dxa"/>
              <w:start w:w="75" w:type="dxa"/>
              <w:bottom w:w="65" w:type="dxa"/>
              <w:end w:w="75" w:type="dxa"/>
            </w:tcMar>
            <w:vAlign w:val="top"/>
            <w:shd w:fill="F3F5F7"/>
          </w:tcPr>
          <w:p>
            <w:r>
              <w:rPr>
                <w:rFonts w:ascii="Arial" w:hAnsi="Arial"/>
                <w:b w:val="0"/>
                <w:color w:val="1F2933"/>
                <w:sz w:val="17"/>
              </w:rPr>
              <w:t>Expertise without examination</w:t>
            </w:r>
          </w:p>
        </w:tc>
        <w:tc>
          <w:tcPr>
            <w:tcW w:type="dxa" w:w="6912"/>
            <w:tcMar>
              <w:top w:w="65" w:type="dxa"/>
              <w:start w:w="75" w:type="dxa"/>
              <w:bottom w:w="65" w:type="dxa"/>
              <w:end w:w="75" w:type="dxa"/>
            </w:tcMar>
            <w:vAlign w:val="top"/>
            <w:shd w:fill="F3F5F7"/>
          </w:tcPr>
          <w:p>
            <w:r>
              <w:rPr>
                <w:rFonts w:ascii="Arial" w:hAnsi="Arial"/>
                <w:b w:val="0"/>
                <w:color w:val="1F2933"/>
                <w:sz w:val="17"/>
              </w:rPr>
              <w:t>Limit opinions to role, evidence, methods, and competence.</w:t>
            </w:r>
          </w:p>
        </w:tc>
      </w:tr>
      <w:tr>
        <w:tc>
          <w:tcPr>
            <w:tcW w:type="dxa" w:w="3168"/>
            <w:tcMar>
              <w:top w:w="65" w:type="dxa"/>
              <w:start w:w="75" w:type="dxa"/>
              <w:bottom w:w="65" w:type="dxa"/>
              <w:end w:w="75" w:type="dxa"/>
            </w:tcMar>
            <w:vAlign w:val="top"/>
          </w:tcPr>
          <w:p>
            <w:r>
              <w:rPr>
                <w:rFonts w:ascii="Arial" w:hAnsi="Arial"/>
                <w:b w:val="0"/>
                <w:color w:val="1F2933"/>
                <w:sz w:val="17"/>
              </w:rPr>
              <w:t>Team means unlimited sharing</w:t>
            </w:r>
          </w:p>
        </w:tc>
        <w:tc>
          <w:tcPr>
            <w:tcW w:type="dxa" w:w="6912"/>
            <w:tcMar>
              <w:top w:w="65" w:type="dxa"/>
              <w:start w:w="75" w:type="dxa"/>
              <w:bottom w:w="65" w:type="dxa"/>
              <w:end w:w="75" w:type="dxa"/>
            </w:tcMar>
            <w:vAlign w:val="top"/>
          </w:tcPr>
          <w:p>
            <w:r>
              <w:rPr>
                <w:rFonts w:ascii="Arial" w:hAnsi="Arial"/>
                <w:b w:val="0"/>
                <w:color w:val="1F2933"/>
                <w:sz w:val="17"/>
              </w:rPr>
              <w:t>Use relevant authorized information; team membership is not blanket authorization.</w:t>
            </w:r>
          </w:p>
        </w:tc>
      </w:tr>
    </w:tbl>
    <w:p>
      <w:pPr>
        <w:pStyle w:val="Heading2"/>
        <w:pageBreakBefore w:val="0"/>
      </w:pPr>
      <w:r>
        <w:t>14. Rapid Review</w:t>
      </w:r>
    </w:p>
    <w:p>
      <w:pPr>
        <w:pStyle w:val="ListBullet"/>
        <w:pageBreakBefore w:val="0"/>
      </w:pPr>
      <w:r>
        <w:t>Identify the role before applying the rule.</w:t>
      </w:r>
    </w:p>
    <w:p>
      <w:pPr>
        <w:pStyle w:val="ListBullet"/>
        <w:pageBreakBefore w:val="0"/>
      </w:pPr>
      <w:r>
        <w:t>Distinguish client from payer, requester, retaining party, evaluee, report recipient, and privilege holder.</w:t>
      </w:r>
    </w:p>
    <w:p>
      <w:pPr>
        <w:pStyle w:val="ListBullet"/>
        <w:pageBreakBefore w:val="0"/>
      </w:pPr>
      <w:r>
        <w:t>Clarify purpose, authority, confidentiality limits, audience, competence boundaries, and expected output before services.</w:t>
      </w:r>
    </w:p>
    <w:p>
      <w:pPr>
        <w:pStyle w:val="ListBullet"/>
        <w:pageBreakBefore w:val="0"/>
      </w:pPr>
      <w:r>
        <w:t>Role changes require renewed analysis and documentation.</w:t>
      </w:r>
    </w:p>
    <w:p>
      <w:pPr>
        <w:pStyle w:val="ListBullet"/>
        <w:pageBreakBefore w:val="0"/>
      </w:pPr>
      <w:r>
        <w:t>Treating clinicians should not be converted casually into neutral evaluators or broad forensic experts.</w:t>
      </w:r>
    </w:p>
    <w:p>
      <w:pPr>
        <w:pStyle w:val="ListBullet"/>
        <w:pageBreakBefore w:val="0"/>
      </w:pPr>
      <w:r>
        <w:t>Court and attorney requests require legal analysis, not automatic disclosure or automatic refusal.</w:t>
      </w:r>
    </w:p>
    <w:p>
      <w:pPr>
        <w:pStyle w:val="ListBullet"/>
        <w:pageBreakBefore w:val="0"/>
      </w:pPr>
      <w:r>
        <w:t>Organizational and benefits roles require transparency about power and information use.</w:t>
      </w:r>
    </w:p>
    <w:p>
      <w:pPr>
        <w:pStyle w:val="ListBullet"/>
        <w:pageBreakBefore w:val="0"/>
      </w:pPr>
      <w:r>
        <w:t>Use R-O-L-E: Role, Others, Limits, Explain and evaluate.</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MEMORY CUE</w:t>
              <w:br/>
              <w:t>Unclear roles create risk. Clear roles create protection. When the purpose, audience, or authority changes, clarify again.</w:t>
            </w:r>
          </w:p>
        </w:tc>
        <w:trPr>
          <w:tblHeader/>
        </w:trPr>
      </w:tr>
    </w:tbl>
    <w:p>
      <w:pPr>
        <w:pStyle w:val="Heading2"/>
        <w:pageBreakBefore w:val="0"/>
      </w:pPr>
      <w:r>
        <w:t>15. Sources and Currency Controls</w:t>
      </w:r>
    </w:p>
    <w:p>
      <w:pPr>
        <w:pStyle w:val="ListBullet"/>
        <w:pageBreakBefore w:val="0"/>
      </w:pPr>
      <w:r>
        <w:t>California Business and Professions Code section 4996.9 - definition and methods of clinical social work.</w:t>
      </w:r>
    </w:p>
    <w:p>
      <w:pPr>
        <w:pStyle w:val="ListBullet"/>
        <w:pageBreakBefore w:val="0"/>
      </w:pPr>
      <w:r>
        <w:t>Current Clinical Social Worker Practice Act and BBS law-change materials.</w:t>
      </w:r>
    </w:p>
    <w:p>
      <w:pPr>
        <w:pStyle w:val="ListBullet"/>
        <w:pageBreakBefore w:val="0"/>
      </w:pPr>
      <w:r>
        <w:t>California Rules of Court 5.220 and 5.225 - child custody evaluation process and evaluator appointments.</w:t>
      </w:r>
    </w:p>
    <w:p>
      <w:pPr>
        <w:pStyle w:val="ListBullet"/>
        <w:pageBreakBefore w:val="0"/>
      </w:pPr>
      <w:r>
        <w:t>NASW Code of Ethics - informed consent, competence, conflicts, confidentiality, supervision, administration, education, and research.</w:t>
      </w:r>
    </w:p>
    <w:p>
      <w:pPr>
        <w:pStyle w:val="ListBullet"/>
        <w:pageBreakBefore w:val="0"/>
      </w:pPr>
      <w:r>
        <w:t>Current California privilege, confidentiality, subpoena, and legal-process law applicable to the specific setting.</w:t>
      </w:r>
    </w:p>
    <w:tbl>
      <w:tblPr>
        <w:tblStyle w:val="TableGrid"/>
        <w:tblW w:type="auto" w:w="0"/>
        <w:jc w:val="center"/>
        <w:tblLayout w:type="fixed"/>
        <w:tblLook w:firstColumn="1" w:firstRow="1" w:lastColumn="0" w:lastRow="0" w:noHBand="0" w:noVBand="1" w:val="04A0"/>
      </w:tblPr>
      <w:tblGrid>
        <w:gridCol w:w="10166"/>
      </w:tblGrid>
      <w:tr>
        <w:tc>
          <w:tcPr>
            <w:tcW w:type="dxa" w:w="10080"/>
            <w:shd w:fill="E8F6F6"/>
            <w:tcMar>
              <w:top w:w="65" w:type="dxa"/>
              <w:start w:w="75" w:type="dxa"/>
              <w:bottom w:w="65" w:type="dxa"/>
              <w:end w:w="75" w:type="dxa"/>
            </w:tcMar>
          </w:tcPr>
          <w:p>
            <w:r>
              <w:rPr>
                <w:rFonts w:ascii="Arial" w:hAnsi="Arial"/>
                <w:b/>
                <w:color w:val="176B78"/>
                <w:sz w:val="19"/>
              </w:rPr>
              <w:t>CURRENCY RULE</w:t>
              <w:br/>
              <w:t>Recheck the Clinical Social Worker Practice Act, BBS Law Changes page, NASW Code, California Rules of Court, examination resources, and role-specific legal requirements before bank/LMS lock and within 30 days of public release.</w:t>
            </w:r>
          </w:p>
        </w:tc>
        <w:trPr>
          <w:tblHeader/>
        </w:trPr>
      </w:tr>
    </w:tbl>
    <w:p>
      <w:pPr>
        <w:pStyle w:val="Heading2"/>
        <w:pageBreakBefore w:val="0"/>
      </w:pPr>
      <w:r>
        <w:t>Chapter Snapshot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tcMar>
              <w:top w:w="65" w:type="dxa"/>
              <w:start w:w="75" w:type="dxa"/>
              <w:bottom w:w="65" w:type="dxa"/>
              <w:end w:w="75" w:type="dxa"/>
            </w:tcMar>
            <w:vAlign w:val="top"/>
            <w:shd w:fill="102A43"/>
          </w:tcPr>
          <w:p>
            <w:r>
              <w:rPr>
                <w:rFonts w:ascii="Arial" w:hAnsi="Arial"/>
                <w:b/>
                <w:color w:val="FFFFFF"/>
                <w:sz w:val="17"/>
              </w:rPr>
              <w:t>Control</w:t>
            </w:r>
          </w:p>
        </w:tc>
        <w:tc>
          <w:tcPr>
            <w:tcW w:type="dxa" w:w="6768"/>
            <w:tcMar>
              <w:top w:w="65" w:type="dxa"/>
              <w:start w:w="75" w:type="dxa"/>
              <w:bottom w:w="65" w:type="dxa"/>
              <w:end w:w="75" w:type="dxa"/>
            </w:tcMar>
            <w:vAlign w:val="top"/>
            <w:shd w:fill="102A43"/>
          </w:tcPr>
          <w:p>
            <w:r>
              <w:rPr>
                <w:rFonts w:ascii="Arial" w:hAnsi="Arial"/>
                <w:b/>
                <w:color w:val="FFFFFF"/>
                <w:sz w:val="17"/>
              </w:rPr>
              <w:t>Status</w:t>
            </w:r>
          </w:p>
        </w:tc>
      </w:tr>
      <w:tr>
        <w:tc>
          <w:tcPr>
            <w:tcW w:type="dxa" w:w="3312"/>
            <w:tcMar>
              <w:top w:w="65" w:type="dxa"/>
              <w:start w:w="75" w:type="dxa"/>
              <w:bottom w:w="65" w:type="dxa"/>
              <w:end w:w="75" w:type="dxa"/>
            </w:tcMar>
            <w:vAlign w:val="top"/>
          </w:tcPr>
          <w:p>
            <w:r>
              <w:rPr>
                <w:rFonts w:ascii="Arial" w:hAnsi="Arial"/>
                <w:b w:val="0"/>
                <w:color w:val="1F2933"/>
                <w:sz w:val="17"/>
              </w:rPr>
              <w:t>LCSW-first replacement</w:t>
            </w:r>
          </w:p>
        </w:tc>
        <w:tc>
          <w:tcPr>
            <w:tcW w:type="dxa" w:w="6768"/>
            <w:tcMar>
              <w:top w:w="65" w:type="dxa"/>
              <w:start w:w="75" w:type="dxa"/>
              <w:bottom w:w="65" w:type="dxa"/>
              <w:end w:w="75" w:type="dxa"/>
            </w:tcMar>
            <w:vAlign w:val="top"/>
          </w:tcPr>
          <w:p>
            <w:r>
              <w:rPr>
                <w:rFonts w:ascii="Arial" w:hAnsi="Arial"/>
                <w:b w:val="0"/>
                <w:color w:val="1F2933"/>
                <w:sz w:val="17"/>
              </w:rPr>
              <w:t>Complete</w:t>
            </w:r>
          </w:p>
        </w:tc>
      </w:tr>
      <w:tr>
        <w:tc>
          <w:tcPr>
            <w:tcW w:type="dxa" w:w="3312"/>
            <w:tcMar>
              <w:top w:w="65" w:type="dxa"/>
              <w:start w:w="75" w:type="dxa"/>
              <w:bottom w:w="65" w:type="dxa"/>
              <w:end w:w="75" w:type="dxa"/>
            </w:tcMar>
            <w:vAlign w:val="top"/>
            <w:shd w:fill="F3F5F7"/>
          </w:tcPr>
          <w:p>
            <w:r>
              <w:rPr>
                <w:rFonts w:ascii="Arial" w:hAnsi="Arial"/>
                <w:b w:val="0"/>
                <w:color w:val="1F2933"/>
                <w:sz w:val="17"/>
              </w:rPr>
              <w:t>Framework</w:t>
            </w:r>
          </w:p>
        </w:tc>
        <w:tc>
          <w:tcPr>
            <w:tcW w:type="dxa" w:w="6768"/>
            <w:tcMar>
              <w:top w:w="65" w:type="dxa"/>
              <w:start w:w="75" w:type="dxa"/>
              <w:bottom w:w="65" w:type="dxa"/>
              <w:end w:w="75" w:type="dxa"/>
            </w:tcMar>
            <w:vAlign w:val="top"/>
            <w:shd w:fill="F3F5F7"/>
          </w:tcPr>
          <w:p>
            <w:r>
              <w:rPr>
                <w:rFonts w:ascii="Arial" w:hAnsi="Arial"/>
                <w:b w:val="0"/>
                <w:color w:val="1F2933"/>
                <w:sz w:val="17"/>
              </w:rPr>
              <w:t>R-O-L-E</w:t>
            </w:r>
          </w:p>
        </w:tc>
      </w:tr>
      <w:tr>
        <w:tc>
          <w:tcPr>
            <w:tcW w:type="dxa" w:w="3312"/>
            <w:tcMar>
              <w:top w:w="65" w:type="dxa"/>
              <w:start w:w="75" w:type="dxa"/>
              <w:bottom w:w="65" w:type="dxa"/>
              <w:end w:w="75" w:type="dxa"/>
            </w:tcMar>
            <w:vAlign w:val="top"/>
          </w:tcPr>
          <w:p>
            <w:r>
              <w:rPr>
                <w:rFonts w:ascii="Arial" w:hAnsi="Arial"/>
                <w:b w:val="0"/>
                <w:color w:val="1F2933"/>
                <w:sz w:val="17"/>
              </w:rPr>
              <w:t>Assessment</w:t>
            </w:r>
          </w:p>
        </w:tc>
        <w:tc>
          <w:tcPr>
            <w:tcW w:type="dxa" w:w="6768"/>
            <w:tcMar>
              <w:top w:w="65" w:type="dxa"/>
              <w:start w:w="75" w:type="dxa"/>
              <w:bottom w:w="65" w:type="dxa"/>
              <w:end w:w="75" w:type="dxa"/>
            </w:tcMar>
            <w:vAlign w:val="top"/>
          </w:tcPr>
          <w:p>
            <w:r>
              <w:rPr>
                <w:rFonts w:ascii="Arial" w:hAnsi="Arial"/>
                <w:b w:val="0"/>
                <w:color w:val="1F2933"/>
                <w:sz w:val="17"/>
              </w:rPr>
              <w:t>WB3-C6-Q001 through Q017</w:t>
            </w:r>
          </w:p>
        </w:tc>
      </w:tr>
      <w:tr>
        <w:tc>
          <w:tcPr>
            <w:tcW w:type="dxa" w:w="3312"/>
            <w:tcMar>
              <w:top w:w="65" w:type="dxa"/>
              <w:start w:w="75" w:type="dxa"/>
              <w:bottom w:w="65" w:type="dxa"/>
              <w:end w:w="75" w:type="dxa"/>
            </w:tcMar>
            <w:vAlign w:val="top"/>
            <w:shd w:fill="F3F5F7"/>
          </w:tcPr>
          <w:p>
            <w:r>
              <w:rPr>
                <w:rFonts w:ascii="Arial" w:hAnsi="Arial"/>
                <w:b w:val="0"/>
                <w:color w:val="1F2933"/>
                <w:sz w:val="17"/>
              </w:rPr>
              <w:t>Difficulty</w:t>
            </w:r>
          </w:p>
        </w:tc>
        <w:tc>
          <w:tcPr>
            <w:tcW w:type="dxa" w:w="6768"/>
            <w:tcMar>
              <w:top w:w="65" w:type="dxa"/>
              <w:start w:w="75" w:type="dxa"/>
              <w:bottom w:w="65" w:type="dxa"/>
              <w:end w:w="75" w:type="dxa"/>
            </w:tcMar>
            <w:vAlign w:val="top"/>
            <w:shd w:fill="F3F5F7"/>
          </w:tcPr>
          <w:p>
            <w:r>
              <w:rPr>
                <w:rFonts w:ascii="Arial" w:hAnsi="Arial"/>
                <w:b w:val="0"/>
                <w:color w:val="1F2933"/>
                <w:sz w:val="17"/>
              </w:rPr>
              <w:t>5 Easy / 7 Moderate / 5 Difficult</w:t>
            </w:r>
          </w:p>
        </w:tc>
      </w:tr>
      <w:tr>
        <w:tc>
          <w:tcPr>
            <w:tcW w:type="dxa" w:w="3312"/>
            <w:tcMar>
              <w:top w:w="65" w:type="dxa"/>
              <w:start w:w="75" w:type="dxa"/>
              <w:bottom w:w="65" w:type="dxa"/>
              <w:end w:w="75" w:type="dxa"/>
            </w:tcMar>
            <w:vAlign w:val="top"/>
          </w:tcPr>
          <w:p>
            <w:r>
              <w:rPr>
                <w:rFonts w:ascii="Arial" w:hAnsi="Arial"/>
                <w:b w:val="0"/>
                <w:color w:val="1F2933"/>
                <w:sz w:val="17"/>
              </w:rPr>
              <w:t>Classification</w:t>
            </w:r>
          </w:p>
        </w:tc>
        <w:tc>
          <w:tcPr>
            <w:tcW w:type="dxa" w:w="6768"/>
            <w:tcMar>
              <w:top w:w="65" w:type="dxa"/>
              <w:start w:w="75" w:type="dxa"/>
              <w:bottom w:w="65" w:type="dxa"/>
              <w:end w:w="75" w:type="dxa"/>
            </w:tcMar>
            <w:vAlign w:val="top"/>
          </w:tcPr>
          <w:p>
            <w:r>
              <w:rPr>
                <w:rFonts w:ascii="Arial" w:hAnsi="Arial"/>
                <w:b w:val="0"/>
                <w:color w:val="1F2933"/>
                <w:sz w:val="17"/>
              </w:rPr>
              <w:t>Exam preparation only | No CE credit or certificate</w:t>
            </w:r>
          </w:p>
        </w:tc>
      </w:tr>
    </w:tbl>
    <w:p>
      <w:pPr>
        <w:pStyle w:val="CTAEyebrow"/>
        <w:spacing w:before="1400"/>
      </w:pPr>
      <w:r>
        <w:t>SECTION II</w:t>
      </w:r>
    </w:p>
    <w:p>
      <w:pPr>
        <w:pStyle w:val="CTASectionDivider"/>
        <w:jc w:val="left"/>
      </w:pPr>
      <w:r>
        <w:t>Rapid Review</w:t>
      </w:r>
    </w:p>
    <w:tbl>
      <w:tblPr>
        <w:tblW w:type="dxa" w:w="10046"/>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80" w:type="dxa"/>
              <w:bottom w:w="160" w:type="dxa"/>
              <w:end w:w="180" w:type="dxa"/>
            </w:tcMar>
          </w:tcPr>
          <w:p>
            <w:pPr>
              <w:pStyle w:val="CTACallout"/>
            </w:pPr>
            <w:r>
              <w:t>High-yield exam traps, core concepts, memory aids, and quick-reference decision tools for final preparation.</w:t>
            </w:r>
          </w:p>
        </w:tc>
        <w:trPr>
          <w:tblHeader/>
          <w:cantSplit w:val="1"/>
        </w:trPr>
      </w:tr>
    </w:tbl>
    <w:p>
      <w:r/>
    </w:p>
    <w:p>
      <w:pPr>
        <w:pStyle w:val="CTAChapterNumber"/>
        <w:spacing w:before="160"/>
      </w:pPr>
      <w:r>
        <w:t>CHAPTER 7</w:t>
      </w:r>
      <w:r>
        <w:rPr>
          <w:color w:val="D3A32B"/>
        </w:rPr>
        <w:t xml:space="preserve">  •  RAPID REVIEW</w:t>
      </w:r>
    </w:p>
    <w:p>
      <w:pPr>
        <w:pStyle w:val="CTAChapterTitle"/>
        <w:pBdr>
          <w:bottom w:val="single" w:sz="18" w:space="6" w:color="149B9E"/>
        </w:pBdr>
      </w:pPr>
      <w:r>
        <w:t>Common Professional Competence Exam Traps</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The hardest distractors are often not obviously reckless. They sound responsible but solve the wrong problem, skip a controlling duty, confuse legal authority with competence, transfer responsibility, or overreact. Identify the governing issue before choosing the action.</w:t>
            </w:r>
          </w:p>
        </w:tc>
      </w:tr>
    </w:tbl>
    <w:p>
      <w:pPr>
        <w:spacing w:after="20"/>
      </w:pPr>
    </w:p>
    <w:p>
      <w:pPr>
        <w:pStyle w:val="Heading3"/>
        <w:keepNext/>
      </w:pPr>
      <w:r>
        <w:rPr/>
        <w:t>Learning Objectives</w:t>
      </w:r>
    </w:p>
    <w:p>
      <w:pPr>
        <w:pStyle w:val="CTABody"/>
        <w:ind w:left="346" w:hanging="346"/>
      </w:pPr>
      <w:r>
        <w:rPr>
          <w:b/>
        </w:rPr>
        <w:t xml:space="preserve">1.  </w:t>
      </w:r>
      <w:r>
        <w:t>Recognize the assumptions that make plausible professional-competence distractors incorrect.</w:t>
      </w:r>
    </w:p>
    <w:p>
      <w:pPr>
        <w:pStyle w:val="CTABody"/>
        <w:ind w:left="346" w:hanging="346"/>
      </w:pPr>
      <w:r>
        <w:rPr>
          <w:b/>
        </w:rPr>
        <w:t xml:space="preserve">2.  </w:t>
      </w:r>
      <w:r>
        <w:t>Separate legal authority, professional role, actual competence, urgency, and client risk.</w:t>
      </w:r>
    </w:p>
    <w:p>
      <w:pPr>
        <w:pStyle w:val="CTABody"/>
        <w:ind w:left="346" w:hanging="346"/>
      </w:pPr>
      <w:r>
        <w:rPr>
          <w:b/>
        </w:rPr>
        <w:t xml:space="preserve">3.  </w:t>
      </w:r>
      <w:r>
        <w:t>Identify the proper uses and limits of consultation, supervision, training, corrective action, and referral.</w:t>
      </w:r>
    </w:p>
    <w:p>
      <w:pPr>
        <w:pStyle w:val="CTABody"/>
        <w:ind w:left="346" w:hanging="346"/>
      </w:pPr>
      <w:r>
        <w:rPr>
          <w:b/>
        </w:rPr>
        <w:t xml:space="preserve">4.  </w:t>
      </w:r>
      <w:r>
        <w:t>Distinguish a measured response from delay, avoidance, and unnecessary disruption.</w:t>
      </w:r>
    </w:p>
    <w:p>
      <w:pPr>
        <w:pStyle w:val="CTABody"/>
        <w:ind w:left="346" w:hanging="346"/>
      </w:pPr>
      <w:r>
        <w:rPr>
          <w:b/>
        </w:rPr>
        <w:t xml:space="preserve">5.  </w:t>
      </w:r>
      <w:r>
        <w:t>Apply the CLEAR rapid-review scan to California LCSW Law and Ethics Examination scenarios.</w:t>
      </w:r>
    </w:p>
    <w:p>
      <w:pPr>
        <w:pStyle w:val="Heading3"/>
        <w:keepNext/>
      </w:pPr>
      <w:r>
        <w:rPr/>
        <w:t>Why This Topic Matters</w:t>
      </w:r>
    </w:p>
    <w:p>
      <w:pPr>
        <w:pStyle w:val="CTABody"/>
      </w:pPr>
      <w:r>
        <w:rPr>
          <w:i w:val="0"/>
        </w:rPr>
        <w:t>California LCSW Law and Ethics Examination questions frequently ask for the best response rather than a merely possible response. Two options may sound caring, cautious, or professional. The stronger answer fits the clinician’s actual role, the controlling legal rule, the urgency, the specific competence gap, and the effect on continuity of care.</w:t>
      </w:r>
    </w:p>
    <w:p>
      <w:pPr>
        <w:pStyle w:val="CTABody"/>
      </w:pPr>
      <w:r>
        <w:rPr>
          <w:i w:val="0"/>
        </w:rPr>
        <w:t>The official examination outlines assess the ability to identify and apply legal mandates and ethical standards. They do not reward memorized slogans used without the facts. A useful review strategy therefore asks not only, “Is this answer responsible?” but also, “Is it the right responsibility, performed by the right person, at the right time?”</w:t>
      </w:r>
    </w:p>
    <w:p>
      <w:pPr>
        <w:pStyle w:val="Heading3"/>
        <w:keepNext/>
      </w:pPr>
      <w:r>
        <w:rPr/>
        <w:t>Current California Examination Framework</w:t>
      </w:r>
    </w:p>
    <w:p>
      <w:pPr>
        <w:pStyle w:val="CTABody"/>
      </w:pPr>
      <w:r>
        <w:t>The BBS administers a profession-specific California Law and Ethics Examination for LCSW applicants/ASW registrants as required by current law. The examination tests both California law and professional ethics. Domain weights, item counts, administration procedures, and vendor details can change; use the current BBS and designated testing-administrator materials rather than memorizing legacy cross-license percentages or labels.</w:t>
      </w:r>
    </w:p>
    <w:p>
      <w:pPr>
        <w:pStyle w:val="CTABody"/>
      </w:pPr>
      <w:r>
        <w:rPr>
          <w:i w:val="0"/>
        </w:rPr>
        <w:t>Within that domain, the outlines test practice within competence, remaining current, developing competence, culturally responsive services, conflicts of interest and roles, role-consistent boundaries, professional assistance, personal values and reactions, and impairment. Chapter 7 reviews the distractors that commonly distort those concepts.</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BOUNDARY A study guide can teach the reasoning framework and current content outline. It cannot reproduce secure examination questions or guarantee that a particular wording will appear.</w:t>
            </w:r>
          </w:p>
        </w:tc>
      </w:tr>
    </w:tbl>
    <w:p>
      <w:pPr>
        <w:spacing w:after="20"/>
      </w:pPr>
    </w:p>
    <w:p>
      <w:pPr>
        <w:pStyle w:val="Heading3"/>
        <w:keepNext/>
      </w:pPr>
      <w:r>
        <w:rPr/>
        <w:t>The CLEAR Rapid-Review Scan</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 to Ask</w:t>
            </w:r>
          </w:p>
        </w:tc>
      </w:tr>
      <w:tr>
        <w:trPr>
          <w:cantSplit w:val="1"/>
        </w:trPr>
        <w:tc>
          <w:tcPr>
            <w:tcW w:type="dxa" w:w="5023"/>
            <w:vAlign w:val="center"/>
            <w:tcMar>
              <w:top w:w="80" w:type="dxa"/>
              <w:start w:w="100" w:type="dxa"/>
              <w:bottom w:w="80" w:type="dxa"/>
              <w:end w:w="100" w:type="dxa"/>
            </w:tcMar>
          </w:tcPr>
          <w:p>
            <w:pPr>
              <w:pStyle w:val="CTABody"/>
              <w:spacing w:after="40"/>
            </w:pPr>
            <w:r/>
            <w:r>
              <w:t>C — Controlling rule</w:t>
            </w:r>
          </w:p>
        </w:tc>
        <w:tc>
          <w:tcPr>
            <w:tcW w:type="dxa" w:w="5023"/>
            <w:vAlign w:val="center"/>
            <w:tcMar>
              <w:top w:w="80" w:type="dxa"/>
              <w:start w:w="100" w:type="dxa"/>
              <w:bottom w:w="80" w:type="dxa"/>
              <w:end w:w="100" w:type="dxa"/>
            </w:tcMar>
          </w:tcPr>
          <w:p>
            <w:pPr>
              <w:pStyle w:val="CTABody"/>
              <w:spacing w:after="40"/>
            </w:pPr>
            <w:r/>
            <w:r>
              <w:t>Is there a statute, regulation, court rule, reporting duty, confidentiality rule, supervision requirement, or urgent protective obligation that controls the first step?</w:t>
            </w:r>
          </w:p>
        </w:tc>
      </w:tr>
      <w:tr>
        <w:trPr>
          <w:cantSplit w:val="1"/>
        </w:trPr>
        <w:tc>
          <w:tcPr>
            <w:tcW w:type="dxa" w:w="5023"/>
            <w:vAlign w:val="center"/>
            <w:tcMar>
              <w:top w:w="80" w:type="dxa"/>
              <w:start w:w="100" w:type="dxa"/>
              <w:bottom w:w="80" w:type="dxa"/>
              <w:end w:w="100" w:type="dxa"/>
            </w:tcMar>
            <w:shd w:fill="F4F6F8"/>
          </w:tcPr>
          <w:p>
            <w:pPr>
              <w:pStyle w:val="CTABody"/>
              <w:spacing w:after="40"/>
            </w:pPr>
            <w:r/>
            <w:r>
              <w:t>L — Legal authority and role</w:t>
            </w:r>
          </w:p>
        </w:tc>
        <w:tc>
          <w:tcPr>
            <w:tcW w:type="dxa" w:w="5023"/>
            <w:vAlign w:val="center"/>
            <w:tcMar>
              <w:top w:w="80" w:type="dxa"/>
              <w:start w:w="100" w:type="dxa"/>
              <w:bottom w:w="80" w:type="dxa"/>
              <w:end w:w="100" w:type="dxa"/>
            </w:tcMar>
            <w:shd w:fill="F4F6F8"/>
          </w:tcPr>
          <w:p>
            <w:pPr>
              <w:pStyle w:val="CTABody"/>
              <w:spacing w:after="40"/>
            </w:pPr>
            <w:r/>
            <w:r>
              <w:t>Is the service lawful for this credential, status, setting, jurisdiction, and role? Who is the client, evaluee, supervisee, retaining party, or decision-maker?</w:t>
            </w:r>
          </w:p>
        </w:tc>
      </w:tr>
      <w:tr>
        <w:trPr>
          <w:cantSplit w:val="1"/>
        </w:trPr>
        <w:tc>
          <w:tcPr>
            <w:tcW w:type="dxa" w:w="5023"/>
            <w:vAlign w:val="center"/>
            <w:tcMar>
              <w:top w:w="80" w:type="dxa"/>
              <w:start w:w="100" w:type="dxa"/>
              <w:bottom w:w="80" w:type="dxa"/>
              <w:end w:w="100" w:type="dxa"/>
            </w:tcMar>
          </w:tcPr>
          <w:p>
            <w:pPr>
              <w:pStyle w:val="CTABody"/>
              <w:spacing w:after="40"/>
            </w:pPr>
            <w:r/>
            <w:r>
              <w:t>E — Expertise and current competence</w:t>
            </w:r>
          </w:p>
        </w:tc>
        <w:tc>
          <w:tcPr>
            <w:tcW w:type="dxa" w:w="5023"/>
            <w:vAlign w:val="center"/>
            <w:tcMar>
              <w:top w:w="80" w:type="dxa"/>
              <w:start w:w="100" w:type="dxa"/>
              <w:bottom w:w="80" w:type="dxa"/>
              <w:end w:w="100" w:type="dxa"/>
            </w:tcMar>
          </w:tcPr>
          <w:p>
            <w:pPr>
              <w:pStyle w:val="CTABody"/>
              <w:spacing w:after="40"/>
            </w:pPr>
            <w:r/>
            <w:r>
              <w:t>Does the clinician have the relevant education, training, practical skill, experience, cultural responsiveness, judgment, and current functioning for this service?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 Actual facts and risk</w:t>
            </w:r>
          </w:p>
        </w:tc>
        <w:tc>
          <w:tcPr>
            <w:tcW w:type="dxa" w:w="5023"/>
            <w:vAlign w:val="center"/>
            <w:tcMar>
              <w:top w:w="80" w:type="dxa"/>
              <w:start w:w="100" w:type="dxa"/>
              <w:bottom w:w="80" w:type="dxa"/>
              <w:end w:w="100" w:type="dxa"/>
            </w:tcMar>
            <w:shd w:fill="F4F6F8"/>
          </w:tcPr>
          <w:p>
            <w:pPr>
              <w:pStyle w:val="CTABody"/>
              <w:spacing w:after="40"/>
            </w:pPr>
            <w:r/>
            <w:r>
              <w:t>What is the client’s condition, urgency, complexity, level of risk, foreseeable harm, available support, and continuity-of-care concern?</w:t>
            </w:r>
          </w:p>
        </w:tc>
      </w:tr>
      <w:tr>
        <w:trPr>
          <w:cantSplit w:val="1"/>
        </w:trPr>
        <w:tc>
          <w:tcPr>
            <w:tcW w:type="dxa" w:w="5023"/>
            <w:vAlign w:val="center"/>
            <w:tcMar>
              <w:top w:w="80" w:type="dxa"/>
              <w:start w:w="100" w:type="dxa"/>
              <w:bottom w:w="80" w:type="dxa"/>
              <w:end w:w="100" w:type="dxa"/>
            </w:tcMar>
          </w:tcPr>
          <w:p>
            <w:pPr>
              <w:pStyle w:val="CTABody"/>
              <w:spacing w:after="40"/>
            </w:pPr>
            <w:r/>
            <w:r>
              <w:t>R — Response and follow-through</w:t>
            </w:r>
          </w:p>
        </w:tc>
        <w:tc>
          <w:tcPr>
            <w:tcW w:type="dxa" w:w="5023"/>
            <w:vAlign w:val="center"/>
            <w:tcMar>
              <w:top w:w="80" w:type="dxa"/>
              <w:start w:w="100" w:type="dxa"/>
              <w:bottom w:w="80" w:type="dxa"/>
              <w:end w:w="100" w:type="dxa"/>
            </w:tcMar>
          </w:tcPr>
          <w:p>
            <w:pPr>
              <w:pStyle w:val="CTABody"/>
              <w:spacing w:after="40"/>
            </w:pPr>
            <w:r/>
            <w:r>
              <w:t>Choose the proportionate, timely, least disruptive safe response. Clarify, consult, supervise, train, modify, correct, refer, document, and monitor as the facts require.</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MEMORY AID CLEAR the trap before choosing the answer: controlling rule, legal role, expertise, actual risk, response.</w:t>
            </w:r>
          </w:p>
        </w:tc>
      </w:tr>
    </w:tbl>
    <w:p>
      <w:pPr>
        <w:spacing w:after="20"/>
      </w:pPr>
    </w:p>
    <w:p>
      <w:pPr>
        <w:pStyle w:val="Heading3"/>
        <w:keepNext/>
      </w:pPr>
      <w:r>
        <w:rPr/>
        <w:t>Trap Group 1: Credentials, Confidence, and Competence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1. Scope of practice equals scope of competence</w:t>
            </w:r>
          </w:p>
        </w:tc>
        <w:tc>
          <w:tcPr>
            <w:tcW w:type="dxa" w:w="3349"/>
            <w:vAlign w:val="center"/>
            <w:tcMar>
              <w:top w:w="80" w:type="dxa"/>
              <w:start w:w="100" w:type="dxa"/>
              <w:bottom w:w="80" w:type="dxa"/>
              <w:end w:w="100" w:type="dxa"/>
            </w:tcMar>
          </w:tcPr>
          <w:p>
            <w:pPr>
              <w:pStyle w:val="CTABody"/>
              <w:spacing w:after="40"/>
            </w:pPr>
            <w:r/>
            <w:r>
              <w:t>Legal permission and actual ability are separate. A lawful service can still exceed the clinician’s preparation.</w:t>
            </w:r>
          </w:p>
        </w:tc>
        <w:tc>
          <w:tcPr>
            <w:tcW w:type="dxa" w:w="3348"/>
            <w:vAlign w:val="center"/>
            <w:tcMar>
              <w:top w:w="80" w:type="dxa"/>
              <w:start w:w="100" w:type="dxa"/>
              <w:bottom w:w="80" w:type="dxa"/>
              <w:end w:w="100" w:type="dxa"/>
            </w:tcMar>
          </w:tcPr>
          <w:p>
            <w:pPr>
              <w:pStyle w:val="CTABody"/>
              <w:spacing w:after="40"/>
            </w:pPr>
            <w:r/>
            <w:r>
              <w:t>Ask legal authority first, then evaluate competence for the specific client, service, setting, and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A license proves competence in every area</w:t>
            </w:r>
          </w:p>
        </w:tc>
        <w:tc>
          <w:tcPr>
            <w:tcW w:type="dxa" w:w="3349"/>
            <w:vAlign w:val="center"/>
            <w:tcMar>
              <w:top w:w="80" w:type="dxa"/>
              <w:start w:w="100" w:type="dxa"/>
              <w:bottom w:w="80" w:type="dxa"/>
              <w:end w:w="100" w:type="dxa"/>
            </w:tcMar>
            <w:shd w:fill="F4F6F8"/>
          </w:tcPr>
          <w:p>
            <w:pPr>
              <w:pStyle w:val="CTABody"/>
              <w:spacing w:after="40"/>
            </w:pPr>
            <w:r/>
            <w:r>
              <w:t>Licensure establishes professional status and a legal scope; it does not certify expertise in every population, diagnosis, method, or role.</w:t>
            </w:r>
          </w:p>
        </w:tc>
        <w:tc>
          <w:tcPr>
            <w:tcW w:type="dxa" w:w="3348"/>
            <w:vAlign w:val="center"/>
            <w:tcMar>
              <w:top w:w="80" w:type="dxa"/>
              <w:start w:w="100" w:type="dxa"/>
              <w:bottom w:w="80" w:type="dxa"/>
              <w:end w:w="100" w:type="dxa"/>
            </w:tcMar>
            <w:shd w:fill="F4F6F8"/>
          </w:tcPr>
          <w:p>
            <w:pPr>
              <w:pStyle w:val="CTABody"/>
              <w:spacing w:after="40"/>
            </w:pPr>
            <w:r/>
            <w:r>
              <w:t>Look for relevant knowledge, skill, experience, and current functioning—not the credential alone.</w:t>
            </w:r>
          </w:p>
        </w:tc>
      </w:tr>
      <w:tr>
        <w:trPr>
          <w:cantSplit w:val="1"/>
        </w:trPr>
        <w:tc>
          <w:tcPr>
            <w:tcW w:type="dxa" w:w="3349"/>
            <w:vAlign w:val="center"/>
            <w:tcMar>
              <w:top w:w="80" w:type="dxa"/>
              <w:start w:w="100" w:type="dxa"/>
              <w:bottom w:w="80" w:type="dxa"/>
              <w:end w:w="100" w:type="dxa"/>
            </w:tcMar>
          </w:tcPr>
          <w:p>
            <w:pPr>
              <w:pStyle w:val="CTABody"/>
              <w:spacing w:after="40"/>
            </w:pPr>
            <w:r/>
            <w:r>
              <w:t>3. Confidence, interest, or good intentions prove readiness</w:t>
            </w:r>
          </w:p>
        </w:tc>
        <w:tc>
          <w:tcPr>
            <w:tcW w:type="dxa" w:w="3349"/>
            <w:vAlign w:val="center"/>
            <w:tcMar>
              <w:top w:w="80" w:type="dxa"/>
              <w:start w:w="100" w:type="dxa"/>
              <w:bottom w:w="80" w:type="dxa"/>
              <w:end w:w="100" w:type="dxa"/>
            </w:tcMar>
          </w:tcPr>
          <w:p>
            <w:pPr>
              <w:pStyle w:val="CTABody"/>
              <w:spacing w:after="40"/>
            </w:pPr>
            <w:r/>
            <w:r>
              <w:t>A clinician can feel certain while missing essential knowledge or skill. Wanting to help does not replace preparation.</w:t>
            </w:r>
          </w:p>
        </w:tc>
        <w:tc>
          <w:tcPr>
            <w:tcW w:type="dxa" w:w="3348"/>
            <w:vAlign w:val="center"/>
            <w:tcMar>
              <w:top w:w="80" w:type="dxa"/>
              <w:start w:w="100" w:type="dxa"/>
              <w:bottom w:w="80" w:type="dxa"/>
              <w:end w:w="100" w:type="dxa"/>
            </w:tcMar>
          </w:tcPr>
          <w:p>
            <w:pPr>
              <w:pStyle w:val="CTABody"/>
              <w:spacing w:after="40"/>
            </w:pPr>
            <w:r/>
            <w:r>
              <w:t>Use objective evidence of preparation and ability to recognize and manage complications.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General experience automatically transfers</w:t>
            </w:r>
          </w:p>
        </w:tc>
        <w:tc>
          <w:tcPr>
            <w:tcW w:type="dxa" w:w="3349"/>
            <w:vAlign w:val="center"/>
            <w:tcMar>
              <w:top w:w="80" w:type="dxa"/>
              <w:start w:w="100" w:type="dxa"/>
              <w:bottom w:w="80" w:type="dxa"/>
              <w:end w:w="100" w:type="dxa"/>
            </w:tcMar>
            <w:shd w:fill="F4F6F8"/>
          </w:tcPr>
          <w:p>
            <w:pPr>
              <w:pStyle w:val="CTABody"/>
              <w:spacing w:after="40"/>
            </w:pPr>
            <w:r/>
            <w:r>
              <w:t>Many years of routine practice may not prepare a clinician for a specialized intervention, forensic role, unfamiliar population, or elevated risk.</w:t>
            </w:r>
          </w:p>
        </w:tc>
        <w:tc>
          <w:tcPr>
            <w:tcW w:type="dxa" w:w="3348"/>
            <w:vAlign w:val="center"/>
            <w:tcMar>
              <w:top w:w="80" w:type="dxa"/>
              <w:start w:w="100" w:type="dxa"/>
              <w:bottom w:w="80" w:type="dxa"/>
              <w:end w:w="100" w:type="dxa"/>
            </w:tcMar>
            <w:shd w:fill="F4F6F8"/>
          </w:tcPr>
          <w:p>
            <w:pPr>
              <w:pStyle w:val="CTABody"/>
              <w:spacing w:after="40"/>
            </w:pPr>
            <w:r/>
            <w:r>
              <w:t>Ask whether the experience directly matches the service now being provided.</w:t>
            </w:r>
          </w:p>
        </w:tc>
      </w:tr>
      <w:tr>
        <w:trPr>
          <w:cantSplit w:val="1"/>
        </w:trPr>
        <w:tc>
          <w:tcPr>
            <w:tcW w:type="dxa" w:w="3349"/>
            <w:vAlign w:val="center"/>
            <w:tcMar>
              <w:top w:w="80" w:type="dxa"/>
              <w:start w:w="100" w:type="dxa"/>
              <w:bottom w:w="80" w:type="dxa"/>
              <w:end w:w="100" w:type="dxa"/>
            </w:tcMar>
          </w:tcPr>
          <w:p>
            <w:pPr>
              <w:pStyle w:val="CTABody"/>
              <w:spacing w:after="40"/>
            </w:pPr>
            <w:r/>
            <w:r>
              <w:t>5. One article, webinar, course, or consultation creates competence</w:t>
            </w:r>
          </w:p>
        </w:tc>
        <w:tc>
          <w:tcPr>
            <w:tcW w:type="dxa" w:w="3349"/>
            <w:vAlign w:val="center"/>
            <w:tcMar>
              <w:top w:w="80" w:type="dxa"/>
              <w:start w:w="100" w:type="dxa"/>
              <w:bottom w:w="80" w:type="dxa"/>
              <w:end w:w="100" w:type="dxa"/>
            </w:tcMar>
          </w:tcPr>
          <w:p>
            <w:pPr>
              <w:pStyle w:val="CTABody"/>
              <w:spacing w:after="40"/>
            </w:pPr>
            <w:r/>
            <w:r>
              <w:t>Information may improve awareness without developing hands-on skill, judgment, or ability to manage adverse responses.</w:t>
            </w:r>
          </w:p>
        </w:tc>
        <w:tc>
          <w:tcPr>
            <w:tcW w:type="dxa" w:w="3348"/>
            <w:vAlign w:val="center"/>
            <w:tcMar>
              <w:top w:w="80" w:type="dxa"/>
              <w:start w:w="100" w:type="dxa"/>
              <w:bottom w:w="80" w:type="dxa"/>
              <w:end w:w="100" w:type="dxa"/>
            </w:tcMar>
          </w:tcPr>
          <w:p>
            <w:pPr>
              <w:pStyle w:val="CTABody"/>
              <w:spacing w:after="40"/>
            </w:pPr>
            <w:r/>
            <w:r>
              <w:t>Match preparation to complexity and risk; use supported practice, observation, supervision, collaboration, or limits when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Uncertainty or asking for help proves incompetence</w:t>
            </w:r>
          </w:p>
        </w:tc>
        <w:tc>
          <w:tcPr>
            <w:tcW w:type="dxa" w:w="3349"/>
            <w:vAlign w:val="center"/>
            <w:tcMar>
              <w:top w:w="80" w:type="dxa"/>
              <w:start w:w="100" w:type="dxa"/>
              <w:bottom w:w="80" w:type="dxa"/>
              <w:end w:w="100" w:type="dxa"/>
            </w:tcMar>
            <w:shd w:fill="F4F6F8"/>
          </w:tcPr>
          <w:p>
            <w:pPr>
              <w:pStyle w:val="CTABody"/>
              <w:spacing w:after="40"/>
            </w:pPr>
            <w:r/>
            <w:r>
              <w:t>Recognizing a limitation may demonstrate self-awareness and sound judgment. The concern is how the clinician responds.</w:t>
            </w:r>
          </w:p>
        </w:tc>
        <w:tc>
          <w:tcPr>
            <w:tcW w:type="dxa" w:w="3348"/>
            <w:vAlign w:val="center"/>
            <w:tcMar>
              <w:top w:w="80" w:type="dxa"/>
              <w:start w:w="100" w:type="dxa"/>
              <w:bottom w:w="80" w:type="dxa"/>
              <w:end w:w="100" w:type="dxa"/>
            </w:tcMar>
            <w:shd w:fill="F4F6F8"/>
          </w:tcPr>
          <w:p>
            <w:pPr>
              <w:pStyle w:val="CTABody"/>
              <w:spacing w:after="40"/>
            </w:pPr>
            <w:r/>
            <w:r>
              <w:t>Assess the gap and risk; obtain proportionate support while protecting the client.</w:t>
            </w:r>
          </w:p>
        </w:tc>
      </w:tr>
      <w:tr>
        <w:trPr>
          <w:cantSplit w:val="1"/>
        </w:trPr>
        <w:tc>
          <w:tcPr>
            <w:tcW w:type="dxa" w:w="3349"/>
            <w:vAlign w:val="center"/>
            <w:tcMar>
              <w:top w:w="80" w:type="dxa"/>
              <w:start w:w="100" w:type="dxa"/>
              <w:bottom w:w="80" w:type="dxa"/>
              <w:end w:w="100" w:type="dxa"/>
            </w:tcMar>
          </w:tcPr>
          <w:p>
            <w:pPr>
              <w:pStyle w:val="CTABody"/>
              <w:spacing w:after="40"/>
            </w:pPr>
            <w:r/>
            <w:r>
              <w:t>7. Client preference, consent, or a waiver cures a competence gap</w:t>
            </w:r>
          </w:p>
        </w:tc>
        <w:tc>
          <w:tcPr>
            <w:tcW w:type="dxa" w:w="3349"/>
            <w:vAlign w:val="center"/>
            <w:tcMar>
              <w:top w:w="80" w:type="dxa"/>
              <w:start w:w="100" w:type="dxa"/>
              <w:bottom w:w="80" w:type="dxa"/>
              <w:end w:w="100" w:type="dxa"/>
            </w:tcMar>
          </w:tcPr>
          <w:p>
            <w:pPr>
              <w:pStyle w:val="CTABody"/>
              <w:spacing w:after="40"/>
            </w:pPr>
            <w:r/>
            <w:r>
              <w:t>A client cannot create professional competence or waive the clinician’s duty to practice safely and lawfully.</w:t>
            </w:r>
          </w:p>
        </w:tc>
        <w:tc>
          <w:tcPr>
            <w:tcW w:type="dxa" w:w="3348"/>
            <w:vAlign w:val="center"/>
            <w:tcMar>
              <w:top w:w="80" w:type="dxa"/>
              <w:start w:w="100" w:type="dxa"/>
              <w:bottom w:w="80" w:type="dxa"/>
              <w:end w:w="100" w:type="dxa"/>
            </w:tcMar>
          </w:tcPr>
          <w:p>
            <w:pPr>
              <w:pStyle w:val="CTABody"/>
              <w:spacing w:after="40"/>
            </w:pPr>
            <w:r/>
            <w:r>
              <w:t>Respect preference while determining whether safe service, supported care, or referral is actually possible.</w:t>
            </w:r>
          </w:p>
        </w:tc>
      </w:tr>
    </w:tbl>
    <w:p>
      <w:pPr>
        <w:spacing w:after="20"/>
      </w:pPr>
    </w:p>
    <w:p>
      <w:pPr>
        <w:pStyle w:val="Heading3"/>
        <w:keepNext/>
      </w:pPr>
      <w:r>
        <w:rPr/>
        <w:t>Trap Group 2: Consultation, Urgency, and Continuity</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8. Consultation must always occur before action</w:t>
            </w:r>
          </w:p>
        </w:tc>
        <w:tc>
          <w:tcPr>
            <w:tcW w:type="dxa" w:w="3349"/>
            <w:vAlign w:val="center"/>
            <w:tcMar>
              <w:top w:w="80" w:type="dxa"/>
              <w:start w:w="100" w:type="dxa"/>
              <w:bottom w:w="80" w:type="dxa"/>
              <w:end w:w="100" w:type="dxa"/>
            </w:tcMar>
          </w:tcPr>
          <w:p>
            <w:pPr>
              <w:pStyle w:val="CTABody"/>
              <w:spacing w:after="40"/>
            </w:pPr>
            <w:r/>
            <w:r>
              <w:t>Consultation is useful, but it cannot delay an emergency response, mandated report, protective duty, or other time-sensitive legal action.</w:t>
            </w:r>
          </w:p>
        </w:tc>
        <w:tc>
          <w:tcPr>
            <w:tcW w:type="dxa" w:w="3348"/>
            <w:vAlign w:val="center"/>
            <w:tcMar>
              <w:top w:w="80" w:type="dxa"/>
              <w:start w:w="100" w:type="dxa"/>
              <w:bottom w:w="80" w:type="dxa"/>
              <w:end w:w="100" w:type="dxa"/>
            </w:tcMar>
          </w:tcPr>
          <w:p>
            <w:pPr>
              <w:pStyle w:val="CTABody"/>
              <w:spacing w:after="40"/>
            </w:pPr>
            <w:r/>
            <w:r>
              <w:t>Act on the urgent or controlling duty and obtain prompt qualified guidance alongside or immediately afterward as appropriate.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9. The consultant becomes responsible for the case</w:t>
            </w:r>
          </w:p>
        </w:tc>
        <w:tc>
          <w:tcPr>
            <w:tcW w:type="dxa" w:w="3349"/>
            <w:vAlign w:val="center"/>
            <w:tcMar>
              <w:top w:w="80" w:type="dxa"/>
              <w:start w:w="100" w:type="dxa"/>
              <w:bottom w:w="80" w:type="dxa"/>
              <w:end w:w="100" w:type="dxa"/>
            </w:tcMar>
            <w:shd w:fill="F4F6F8"/>
          </w:tcPr>
          <w:p>
            <w:pPr>
              <w:pStyle w:val="CTABody"/>
              <w:spacing w:after="40"/>
            </w:pPr>
            <w:r/>
            <w:r>
              <w:t>A consultant adds expertise. The treating clinician generally retains responsibility for evaluating advice and making the professional decision.</w:t>
            </w:r>
          </w:p>
        </w:tc>
        <w:tc>
          <w:tcPr>
            <w:tcW w:type="dxa" w:w="3348"/>
            <w:vAlign w:val="center"/>
            <w:tcMar>
              <w:top w:w="80" w:type="dxa"/>
              <w:start w:w="100" w:type="dxa"/>
              <w:bottom w:w="80" w:type="dxa"/>
              <w:end w:w="100" w:type="dxa"/>
            </w:tcMar>
            <w:shd w:fill="F4F6F8"/>
          </w:tcPr>
          <w:p>
            <w:pPr>
              <w:pStyle w:val="CTABody"/>
              <w:spacing w:after="40"/>
            </w:pPr>
            <w:r/>
            <w:r>
              <w:t>Consider the recommendation, the client’s facts, competing authority, and the clinician’s own role before acting.</w:t>
            </w:r>
          </w:p>
        </w:tc>
      </w:tr>
      <w:tr>
        <w:trPr>
          <w:cantSplit w:val="1"/>
        </w:trPr>
        <w:tc>
          <w:tcPr>
            <w:tcW w:type="dxa" w:w="3349"/>
            <w:vAlign w:val="center"/>
            <w:tcMar>
              <w:top w:w="80" w:type="dxa"/>
              <w:start w:w="100" w:type="dxa"/>
              <w:bottom w:w="80" w:type="dxa"/>
              <w:end w:w="100" w:type="dxa"/>
            </w:tcMar>
          </w:tcPr>
          <w:p>
            <w:pPr>
              <w:pStyle w:val="CTABody"/>
              <w:spacing w:after="40"/>
            </w:pPr>
            <w:r/>
            <w:r>
              <w:t>10. Consultation creates legal authority or missing skill</w:t>
            </w:r>
          </w:p>
        </w:tc>
        <w:tc>
          <w:tcPr>
            <w:tcW w:type="dxa" w:w="3349"/>
            <w:vAlign w:val="center"/>
            <w:tcMar>
              <w:top w:w="80" w:type="dxa"/>
              <w:start w:w="100" w:type="dxa"/>
              <w:bottom w:w="80" w:type="dxa"/>
              <w:end w:w="100" w:type="dxa"/>
            </w:tcMar>
          </w:tcPr>
          <w:p>
            <w:pPr>
              <w:pStyle w:val="CTABody"/>
              <w:spacing w:after="40"/>
            </w:pPr>
            <w:r/>
            <w:r>
              <w:t>Advice cannot expand statutory scope, replace required supervision, or instantly supply practical competence.</w:t>
            </w:r>
          </w:p>
        </w:tc>
        <w:tc>
          <w:tcPr>
            <w:tcW w:type="dxa" w:w="3348"/>
            <w:vAlign w:val="center"/>
            <w:tcMar>
              <w:top w:w="80" w:type="dxa"/>
              <w:start w:w="100" w:type="dxa"/>
              <w:bottom w:w="80" w:type="dxa"/>
              <w:end w:w="100" w:type="dxa"/>
            </w:tcMar>
          </w:tcPr>
          <w:p>
            <w:pPr>
              <w:pStyle w:val="CTABody"/>
              <w:spacing w:after="40"/>
            </w:pPr>
            <w:r/>
            <w:r>
              <w:t>Use the resource that matches the gap: legal counsel, formal supervision, training, collaboration, referral, or emergency action.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11. Every competence concern requires immediate referral or termination</w:t>
            </w:r>
          </w:p>
        </w:tc>
        <w:tc>
          <w:tcPr>
            <w:tcW w:type="dxa" w:w="3349"/>
            <w:vAlign w:val="center"/>
            <w:tcMar>
              <w:top w:w="80" w:type="dxa"/>
              <w:start w:w="100" w:type="dxa"/>
              <w:bottom w:w="80" w:type="dxa"/>
              <w:end w:w="100" w:type="dxa"/>
            </w:tcMar>
            <w:shd w:fill="F4F6F8"/>
          </w:tcPr>
          <w:p>
            <w:pPr>
              <w:pStyle w:val="CTABody"/>
              <w:spacing w:after="40"/>
            </w:pPr>
            <w:r/>
            <w:r>
              <w:t>Some limitations can be addressed safely without disrupting care. Abrupt transfer may create its own risk.</w:t>
            </w:r>
          </w:p>
        </w:tc>
        <w:tc>
          <w:tcPr>
            <w:tcW w:type="dxa" w:w="3348"/>
            <w:vAlign w:val="center"/>
            <w:tcMar>
              <w:top w:w="80" w:type="dxa"/>
              <w:start w:w="100" w:type="dxa"/>
              <w:bottom w:w="80" w:type="dxa"/>
              <w:end w:w="100" w:type="dxa"/>
            </w:tcMar>
            <w:shd w:fill="F4F6F8"/>
          </w:tcPr>
          <w:p>
            <w:pPr>
              <w:pStyle w:val="CTABody"/>
              <w:spacing w:after="40"/>
            </w:pPr>
            <w:r/>
            <w:r>
              <w:t>Assess urgency, available support, time needed to close the gap, client preference, and continuity. Refer when safe competence cannot be achieved in time.</w:t>
            </w:r>
          </w:p>
        </w:tc>
      </w:tr>
      <w:tr>
        <w:trPr>
          <w:cantSplit w:val="1"/>
        </w:trPr>
        <w:tc>
          <w:tcPr>
            <w:tcW w:type="dxa" w:w="3349"/>
            <w:vAlign w:val="center"/>
            <w:tcMar>
              <w:top w:w="80" w:type="dxa"/>
              <w:start w:w="100" w:type="dxa"/>
              <w:bottom w:w="80" w:type="dxa"/>
              <w:end w:w="100" w:type="dxa"/>
            </w:tcMar>
          </w:tcPr>
          <w:p>
            <w:pPr>
              <w:pStyle w:val="CTABody"/>
              <w:spacing w:after="40"/>
            </w:pPr>
            <w:r/>
            <w:r>
              <w:t>12. Giving contact information completes a referral</w:t>
            </w:r>
          </w:p>
        </w:tc>
        <w:tc>
          <w:tcPr>
            <w:tcW w:type="dxa" w:w="3349"/>
            <w:vAlign w:val="center"/>
            <w:tcMar>
              <w:top w:w="80" w:type="dxa"/>
              <w:start w:w="100" w:type="dxa"/>
              <w:bottom w:w="80" w:type="dxa"/>
              <w:end w:w="100" w:type="dxa"/>
            </w:tcMar>
          </w:tcPr>
          <w:p>
            <w:pPr>
              <w:pStyle w:val="CTABody"/>
              <w:spacing w:after="40"/>
            </w:pPr>
            <w:r/>
            <w:r>
              <w:t>A referral is not complete when foreseeable risk, access barriers, or continuity needs remain unaddressed.</w:t>
            </w:r>
          </w:p>
        </w:tc>
        <w:tc>
          <w:tcPr>
            <w:tcW w:type="dxa" w:w="3348"/>
            <w:vAlign w:val="center"/>
            <w:tcMar>
              <w:top w:w="80" w:type="dxa"/>
              <w:start w:w="100" w:type="dxa"/>
              <w:bottom w:w="80" w:type="dxa"/>
              <w:end w:w="100" w:type="dxa"/>
            </w:tcMar>
          </w:tcPr>
          <w:p>
            <w:pPr>
              <w:pStyle w:val="CTABody"/>
              <w:spacing w:after="40"/>
            </w:pPr>
            <w:r/>
            <w:r>
              <w:t>Clarify the plan, facilitate connection proportionately, manage transition risk, and document material follow-through.</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13. The most extreme answer is always safest</w:t>
            </w:r>
          </w:p>
        </w:tc>
        <w:tc>
          <w:tcPr>
            <w:tcW w:type="dxa" w:w="3349"/>
            <w:vAlign w:val="center"/>
            <w:tcMar>
              <w:top w:w="80" w:type="dxa"/>
              <w:start w:w="100" w:type="dxa"/>
              <w:bottom w:w="80" w:type="dxa"/>
              <w:end w:w="100" w:type="dxa"/>
            </w:tcMar>
            <w:shd w:fill="F4F6F8"/>
          </w:tcPr>
          <w:p>
            <w:pPr>
              <w:pStyle w:val="CTABody"/>
              <w:spacing w:after="40"/>
            </w:pPr>
            <w:r/>
            <w:r>
              <w:t>Immediate termination, disclosure, suspension, or referral may be unnecessary or harmful when a measured response adequately protects the client.</w:t>
            </w:r>
          </w:p>
        </w:tc>
        <w:tc>
          <w:tcPr>
            <w:tcW w:type="dxa" w:w="3348"/>
            <w:vAlign w:val="center"/>
            <w:tcMar>
              <w:top w:w="80" w:type="dxa"/>
              <w:start w:w="100" w:type="dxa"/>
              <w:bottom w:w="80" w:type="dxa"/>
              <w:end w:w="100" w:type="dxa"/>
            </w:tcMar>
            <w:shd w:fill="F4F6F8"/>
          </w:tcPr>
          <w:p>
            <w:pPr>
              <w:pStyle w:val="CTABody"/>
              <w:spacing w:after="40"/>
            </w:pPr>
            <w:r/>
            <w:r>
              <w:t>Choose the least disruptive response that fully satisfies law, urgency, risk, and professional responsibility.</w:t>
            </w:r>
          </w:p>
        </w:tc>
      </w:tr>
      <w:tr>
        <w:trPr>
          <w:cantSplit w:val="1"/>
        </w:trPr>
        <w:tc>
          <w:tcPr>
            <w:tcW w:type="dxa" w:w="3349"/>
            <w:vAlign w:val="center"/>
            <w:tcMar>
              <w:top w:w="80" w:type="dxa"/>
              <w:start w:w="100" w:type="dxa"/>
              <w:bottom w:w="80" w:type="dxa"/>
              <w:end w:w="100" w:type="dxa"/>
            </w:tcMar>
          </w:tcPr>
          <w:p>
            <w:pPr>
              <w:pStyle w:val="CTABody"/>
              <w:spacing w:after="40"/>
            </w:pPr>
            <w:r/>
            <w:r>
              <w:t>14. No harm has occurred, so no action is needed</w:t>
            </w:r>
          </w:p>
        </w:tc>
        <w:tc>
          <w:tcPr>
            <w:tcW w:type="dxa" w:w="3349"/>
            <w:vAlign w:val="center"/>
            <w:tcMar>
              <w:top w:w="80" w:type="dxa"/>
              <w:start w:w="100" w:type="dxa"/>
              <w:bottom w:w="80" w:type="dxa"/>
              <w:end w:w="100" w:type="dxa"/>
            </w:tcMar>
          </w:tcPr>
          <w:p>
            <w:pPr>
              <w:pStyle w:val="CTABody"/>
              <w:spacing w:after="40"/>
            </w:pPr>
            <w:r/>
            <w:r>
              <w:t>Competence standards are preventive. Waiting for injury, complaint, or failure ignores foreseeable risk.</w:t>
            </w:r>
          </w:p>
        </w:tc>
        <w:tc>
          <w:tcPr>
            <w:tcW w:type="dxa" w:w="3348"/>
            <w:vAlign w:val="center"/>
            <w:tcMar>
              <w:top w:w="80" w:type="dxa"/>
              <w:start w:w="100" w:type="dxa"/>
              <w:bottom w:w="80" w:type="dxa"/>
              <w:end w:w="100" w:type="dxa"/>
            </w:tcMar>
          </w:tcPr>
          <w:p>
            <w:pPr>
              <w:pStyle w:val="CTABody"/>
              <w:spacing w:after="40"/>
            </w:pPr>
            <w:r/>
            <w:r>
              <w:t>Address warning signs proactively and monitor whether corrective action protects the client.</w:t>
            </w:r>
          </w:p>
        </w:tc>
      </w:tr>
    </w:tbl>
    <w:p>
      <w:pPr>
        <w:spacing w:after="20"/>
      </w:pPr>
    </w:p>
    <w:p>
      <w:pPr>
        <w:pStyle w:val="Heading3"/>
        <w:keepNext/>
      </w:pPr>
      <w:r>
        <w:rPr/>
        <w:t>Trap Group 3: Maintenance, Supervision, and Accountability</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15. Completed CE hours prove current competence</w:t>
            </w:r>
          </w:p>
        </w:tc>
        <w:tc>
          <w:tcPr>
            <w:tcW w:type="dxa" w:w="3349"/>
            <w:vAlign w:val="center"/>
            <w:tcMar>
              <w:top w:w="80" w:type="dxa"/>
              <w:start w:w="100" w:type="dxa"/>
              <w:bottom w:w="80" w:type="dxa"/>
              <w:end w:w="100" w:type="dxa"/>
            </w:tcMar>
          </w:tcPr>
          <w:p>
            <w:pPr>
              <w:pStyle w:val="CTABody"/>
              <w:spacing w:after="40"/>
            </w:pPr>
            <w:r/>
            <w:r>
              <w:t>Renewal compliance is not the same as competence in the services actually provided.</w:t>
            </w:r>
          </w:p>
        </w:tc>
        <w:tc>
          <w:tcPr>
            <w:tcW w:type="dxa" w:w="3348"/>
            <w:vAlign w:val="center"/>
            <w:tcMar>
              <w:top w:w="80" w:type="dxa"/>
              <w:start w:w="100" w:type="dxa"/>
              <w:bottom w:w="80" w:type="dxa"/>
              <w:end w:w="100" w:type="dxa"/>
            </w:tcMar>
          </w:tcPr>
          <w:p>
            <w:pPr>
              <w:pStyle w:val="CTABody"/>
              <w:spacing w:after="40"/>
            </w:pPr>
            <w:r/>
            <w:r>
              <w:t>Select development based on current laws, outcomes, recurring errors, new roles, technology, populations, and identified gaps.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16. A rule remembered from school is still current</w:t>
            </w:r>
          </w:p>
        </w:tc>
        <w:tc>
          <w:tcPr>
            <w:tcW w:type="dxa" w:w="3349"/>
            <w:vAlign w:val="center"/>
            <w:tcMar>
              <w:top w:w="80" w:type="dxa"/>
              <w:start w:w="100" w:type="dxa"/>
              <w:bottom w:w="80" w:type="dxa"/>
              <w:end w:w="100" w:type="dxa"/>
            </w:tcMar>
            <w:shd w:fill="F4F6F8"/>
          </w:tcPr>
          <w:p>
            <w:pPr>
              <w:pStyle w:val="CTABody"/>
              <w:spacing w:after="40"/>
            </w:pPr>
            <w:r/>
            <w:r>
              <w:t>California statutes, regulations, court rules, Board guidance, and professional standards change.</w:t>
            </w:r>
          </w:p>
        </w:tc>
        <w:tc>
          <w:tcPr>
            <w:tcW w:type="dxa" w:w="3348"/>
            <w:vAlign w:val="center"/>
            <w:tcMar>
              <w:top w:w="80" w:type="dxa"/>
              <w:start w:w="100" w:type="dxa"/>
              <w:bottom w:w="80" w:type="dxa"/>
              <w:end w:w="100" w:type="dxa"/>
            </w:tcMar>
            <w:shd w:fill="F4F6F8"/>
          </w:tcPr>
          <w:p>
            <w:pPr>
              <w:pStyle w:val="CTABody"/>
              <w:spacing w:after="40"/>
            </w:pPr>
            <w:r/>
            <w:r>
              <w:t>Verify current primary authority when the rule affects rights, safety, confidentiality, supervision, or professional conduct.</w:t>
            </w:r>
          </w:p>
        </w:tc>
      </w:tr>
      <w:tr>
        <w:trPr>
          <w:cantSplit w:val="1"/>
        </w:trPr>
        <w:tc>
          <w:tcPr>
            <w:tcW w:type="dxa" w:w="3349"/>
            <w:vAlign w:val="center"/>
            <w:tcMar>
              <w:top w:w="80" w:type="dxa"/>
              <w:start w:w="100" w:type="dxa"/>
              <w:bottom w:w="80" w:type="dxa"/>
              <w:end w:w="100" w:type="dxa"/>
            </w:tcMar>
          </w:tcPr>
          <w:p>
            <w:pPr>
              <w:pStyle w:val="CTABody"/>
              <w:spacing w:after="40"/>
            </w:pPr>
            <w:r/>
            <w:r>
              <w:t>17. The legal supervision minimum is automatically adequate</w:t>
            </w:r>
          </w:p>
        </w:tc>
        <w:tc>
          <w:tcPr>
            <w:tcW w:type="dxa" w:w="3349"/>
            <w:vAlign w:val="center"/>
            <w:tcMar>
              <w:top w:w="80" w:type="dxa"/>
              <w:start w:w="100" w:type="dxa"/>
              <w:bottom w:w="80" w:type="dxa"/>
              <w:end w:w="100" w:type="dxa"/>
            </w:tcMar>
          </w:tcPr>
          <w:p>
            <w:pPr>
              <w:pStyle w:val="CTABody"/>
              <w:spacing w:after="40"/>
            </w:pPr>
            <w:r/>
            <w:r>
              <w:t>Minimum contact units do not guarantee sufficient oversight for a complex case, high-risk client, or struggling supervisee.</w:t>
            </w:r>
          </w:p>
        </w:tc>
        <w:tc>
          <w:tcPr>
            <w:tcW w:type="dxa" w:w="3348"/>
            <w:vAlign w:val="center"/>
            <w:tcMar>
              <w:top w:w="80" w:type="dxa"/>
              <w:start w:w="100" w:type="dxa"/>
              <w:bottom w:w="80" w:type="dxa"/>
              <w:end w:w="100" w:type="dxa"/>
            </w:tcMar>
          </w:tcPr>
          <w:p>
            <w:pPr>
              <w:pStyle w:val="CTABody"/>
              <w:spacing w:after="40"/>
            </w:pPr>
            <w:r/>
            <w:r>
              <w:t>Meet the legal minimum and increase observation, record review, contact, structure, or remediation when risk and competence require it.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18. Supervision is punishment, or discomfort proves feedback is unfair</w:t>
            </w:r>
          </w:p>
        </w:tc>
        <w:tc>
          <w:tcPr>
            <w:tcW w:type="dxa" w:w="3349"/>
            <w:vAlign w:val="center"/>
            <w:tcMar>
              <w:top w:w="80" w:type="dxa"/>
              <w:start w:w="100" w:type="dxa"/>
              <w:bottom w:w="80" w:type="dxa"/>
              <w:end w:w="100" w:type="dxa"/>
            </w:tcMar>
            <w:shd w:fill="F4F6F8"/>
          </w:tcPr>
          <w:p>
            <w:pPr>
              <w:pStyle w:val="CTABody"/>
              <w:spacing w:after="40"/>
            </w:pPr>
            <w:r/>
            <w:r>
              <w:t>Corrective feedback can be specific, developmental, and necessary for client protection. Emotional discomfort does not answer whether the concern is valid.</w:t>
            </w:r>
          </w:p>
        </w:tc>
        <w:tc>
          <w:tcPr>
            <w:tcW w:type="dxa" w:w="3348"/>
            <w:vAlign w:val="center"/>
            <w:tcMar>
              <w:top w:w="80" w:type="dxa"/>
              <w:start w:w="100" w:type="dxa"/>
              <w:bottom w:w="80" w:type="dxa"/>
              <w:end w:w="100" w:type="dxa"/>
            </w:tcMar>
            <w:shd w:fill="F4F6F8"/>
          </w:tcPr>
          <w:p>
            <w:pPr>
              <w:pStyle w:val="CTABody"/>
              <w:spacing w:after="40"/>
            </w:pPr>
            <w:r/>
            <w:r>
              <w:t>Evaluate evidence, the applicable standard, client impact, and required correction; ask for clarification and follow through.</w:t>
            </w:r>
          </w:p>
        </w:tc>
      </w:tr>
      <w:tr>
        <w:trPr>
          <w:cantSplit w:val="1"/>
        </w:trPr>
        <w:tc>
          <w:tcPr>
            <w:tcW w:type="dxa" w:w="3349"/>
            <w:vAlign w:val="center"/>
            <w:tcMar>
              <w:top w:w="80" w:type="dxa"/>
              <w:start w:w="100" w:type="dxa"/>
              <w:bottom w:w="80" w:type="dxa"/>
              <w:end w:w="100" w:type="dxa"/>
            </w:tcMar>
          </w:tcPr>
          <w:p>
            <w:pPr>
              <w:pStyle w:val="CTABody"/>
              <w:spacing w:after="40"/>
            </w:pPr>
            <w:r/>
            <w:r>
              <w:t>19. The supervisor holds all responsibility</w:t>
            </w:r>
          </w:p>
        </w:tc>
        <w:tc>
          <w:tcPr>
            <w:tcW w:type="dxa" w:w="3349"/>
            <w:vAlign w:val="center"/>
            <w:tcMar>
              <w:top w:w="80" w:type="dxa"/>
              <w:start w:w="100" w:type="dxa"/>
              <w:bottom w:w="80" w:type="dxa"/>
              <w:end w:w="100" w:type="dxa"/>
            </w:tcMar>
          </w:tcPr>
          <w:p>
            <w:pPr>
              <w:pStyle w:val="CTABody"/>
              <w:spacing w:after="40"/>
            </w:pPr>
            <w:r/>
            <w:r>
              <w:t>The supervisor controls service quality, but the supervisee must disclose accurately, act lawfully, prepare, and respond to guidance.</w:t>
            </w:r>
          </w:p>
        </w:tc>
        <w:tc>
          <w:tcPr>
            <w:tcW w:type="dxa" w:w="3348"/>
            <w:vAlign w:val="center"/>
            <w:tcMar>
              <w:top w:w="80" w:type="dxa"/>
              <w:start w:w="100" w:type="dxa"/>
              <w:bottom w:w="80" w:type="dxa"/>
              <w:end w:w="100" w:type="dxa"/>
            </w:tcMar>
          </w:tcPr>
          <w:p>
            <w:pPr>
              <w:pStyle w:val="CTABody"/>
              <w:spacing w:after="40"/>
            </w:pPr>
            <w:r/>
            <w:r>
              <w:t>Preserve both roles: active supervisory accountability and honest supervisee participation.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20. Hiding an error or silently changing the record protects everyone</w:t>
            </w:r>
          </w:p>
        </w:tc>
        <w:tc>
          <w:tcPr>
            <w:tcW w:type="dxa" w:w="3349"/>
            <w:vAlign w:val="center"/>
            <w:tcMar>
              <w:top w:w="80" w:type="dxa"/>
              <w:start w:w="100" w:type="dxa"/>
              <w:bottom w:w="80" w:type="dxa"/>
              <w:end w:w="100" w:type="dxa"/>
            </w:tcMar>
            <w:shd w:fill="F4F6F8"/>
          </w:tcPr>
          <w:p>
            <w:pPr>
              <w:pStyle w:val="CTABody"/>
              <w:spacing w:after="40"/>
            </w:pPr>
            <w:r/>
            <w:r>
              <w:t>Concealment, backdating, or undocumented alteration can worsen client risk and professional exposure.</w:t>
            </w:r>
          </w:p>
        </w:tc>
        <w:tc>
          <w:tcPr>
            <w:tcW w:type="dxa" w:w="3348"/>
            <w:vAlign w:val="center"/>
            <w:tcMar>
              <w:top w:w="80" w:type="dxa"/>
              <w:start w:w="100" w:type="dxa"/>
              <w:bottom w:w="80" w:type="dxa"/>
              <w:end w:w="100" w:type="dxa"/>
            </w:tcMar>
            <w:shd w:fill="F4F6F8"/>
          </w:tcPr>
          <w:p>
            <w:pPr>
              <w:pStyle w:val="CTABody"/>
              <w:spacing w:after="40"/>
            </w:pPr>
            <w:r/>
            <w:r>
              <w:t>Disclose material facts promptly, assess harm, correct transparently under proper procedures, and document follow-through.</w:t>
            </w:r>
          </w:p>
        </w:tc>
      </w:tr>
    </w:tbl>
    <w:p>
      <w:pPr>
        <w:spacing w:after="20"/>
      </w:pPr>
    </w:p>
    <w:p>
      <w:pPr>
        <w:pStyle w:val="Heading3"/>
        <w:keepNext/>
      </w:pPr>
      <w:r>
        <w:rPr/>
        <w:t>Trap Group 4: Roles, Conflicts, and Professional Opinions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21. All mental-health roles have the same duties</w:t>
            </w:r>
          </w:p>
        </w:tc>
        <w:tc>
          <w:tcPr>
            <w:tcW w:type="dxa" w:w="3349"/>
            <w:vAlign w:val="center"/>
            <w:tcMar>
              <w:top w:w="80" w:type="dxa"/>
              <w:start w:w="100" w:type="dxa"/>
              <w:bottom w:w="80" w:type="dxa"/>
              <w:end w:w="100" w:type="dxa"/>
            </w:tcMar>
          </w:tcPr>
          <w:p>
            <w:pPr>
              <w:pStyle w:val="CTABody"/>
              <w:spacing w:after="40"/>
            </w:pPr>
            <w:r/>
            <w:r>
              <w:t>Treatment, evaluation, supervision, consultation, research, advocacy, coordination, and expert work differ in purpose, audience, objectivity, confidentiality, privilege, and work product.</w:t>
            </w:r>
          </w:p>
        </w:tc>
        <w:tc>
          <w:tcPr>
            <w:tcW w:type="dxa" w:w="3348"/>
            <w:vAlign w:val="center"/>
            <w:tcMar>
              <w:top w:w="80" w:type="dxa"/>
              <w:start w:w="100" w:type="dxa"/>
              <w:bottom w:w="80" w:type="dxa"/>
              <w:end w:w="100" w:type="dxa"/>
            </w:tcMar>
          </w:tcPr>
          <w:p>
            <w:pPr>
              <w:pStyle w:val="CTABody"/>
              <w:spacing w:after="40"/>
            </w:pPr>
            <w:r/>
            <w:r>
              <w:t>Identify the actual role and parties before selecting a response.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22. The treating clinician is automatically the best evaluator or expert</w:t>
            </w:r>
          </w:p>
        </w:tc>
        <w:tc>
          <w:tcPr>
            <w:tcW w:type="dxa" w:w="3349"/>
            <w:vAlign w:val="center"/>
            <w:tcMar>
              <w:top w:w="80" w:type="dxa"/>
              <w:start w:w="100" w:type="dxa"/>
              <w:bottom w:w="80" w:type="dxa"/>
              <w:end w:w="100" w:type="dxa"/>
            </w:tcMar>
            <w:shd w:fill="F4F6F8"/>
          </w:tcPr>
          <w:p>
            <w:pPr>
              <w:pStyle w:val="CTABody"/>
              <w:spacing w:after="40"/>
            </w:pPr>
            <w:r/>
            <w:r>
              <w:t>Treatment knowledge was gathered for care within a therapeutic relationship; it does not automatically produce neutral forensic methodology or role-specific competence.</w:t>
            </w:r>
          </w:p>
        </w:tc>
        <w:tc>
          <w:tcPr>
            <w:tcW w:type="dxa" w:w="3348"/>
            <w:vAlign w:val="center"/>
            <w:tcMar>
              <w:top w:w="80" w:type="dxa"/>
              <w:start w:w="100" w:type="dxa"/>
              <w:bottom w:w="80" w:type="dxa"/>
              <w:end w:w="100" w:type="dxa"/>
            </w:tcMar>
            <w:shd w:fill="F4F6F8"/>
          </w:tcPr>
          <w:p>
            <w:pPr>
              <w:pStyle w:val="CTABody"/>
              <w:spacing w:after="40"/>
            </w:pPr>
            <w:r/>
            <w:r>
              <w:t>Assess conflict, objectivity, authorization, qualifications, information limits, and whether an independent evaluator is needed.</w:t>
            </w:r>
          </w:p>
        </w:tc>
      </w:tr>
      <w:tr>
        <w:trPr>
          <w:cantSplit w:val="1"/>
        </w:trPr>
        <w:tc>
          <w:tcPr>
            <w:tcW w:type="dxa" w:w="3349"/>
            <w:vAlign w:val="center"/>
            <w:tcMar>
              <w:top w:w="80" w:type="dxa"/>
              <w:start w:w="100" w:type="dxa"/>
              <w:bottom w:w="80" w:type="dxa"/>
              <w:end w:w="100" w:type="dxa"/>
            </w:tcMar>
          </w:tcPr>
          <w:p>
            <w:pPr>
              <w:pStyle w:val="CTABody"/>
              <w:spacing w:after="40"/>
            </w:pPr>
            <w:r/>
            <w:r>
              <w:t>23. Informed consent makes every multiple role acceptable</w:t>
            </w:r>
          </w:p>
        </w:tc>
        <w:tc>
          <w:tcPr>
            <w:tcW w:type="dxa" w:w="3349"/>
            <w:vAlign w:val="center"/>
            <w:tcMar>
              <w:top w:w="80" w:type="dxa"/>
              <w:start w:w="100" w:type="dxa"/>
              <w:bottom w:w="80" w:type="dxa"/>
              <w:end w:w="100" w:type="dxa"/>
            </w:tcMar>
          </w:tcPr>
          <w:p>
            <w:pPr>
              <w:pStyle w:val="CTABody"/>
              <w:spacing w:after="40"/>
            </w:pPr>
            <w:r/>
            <w:r>
              <w:t>Disclosure cannot cure exploitation, impaired judgment, incompatible duties, lack of competence, or a prohibited arrangement.</w:t>
            </w:r>
          </w:p>
        </w:tc>
        <w:tc>
          <w:tcPr>
            <w:tcW w:type="dxa" w:w="3348"/>
            <w:vAlign w:val="center"/>
            <w:tcMar>
              <w:top w:w="80" w:type="dxa"/>
              <w:start w:w="100" w:type="dxa"/>
              <w:bottom w:w="80" w:type="dxa"/>
              <w:end w:w="100" w:type="dxa"/>
            </w:tcMar>
          </w:tcPr>
          <w:p>
            <w:pPr>
              <w:pStyle w:val="CTABody"/>
              <w:spacing w:after="40"/>
            </w:pPr>
            <w:r/>
            <w:r>
              <w:t>Evaluate necessity, alternatives, actual conflict, power, safeguards, and whether the roles must be separated.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24. Every multiple role is automatically prohibited—or harmless if unavoidable</w:t>
            </w:r>
          </w:p>
        </w:tc>
        <w:tc>
          <w:tcPr>
            <w:tcW w:type="dxa" w:w="3349"/>
            <w:vAlign w:val="center"/>
            <w:tcMar>
              <w:top w:w="80" w:type="dxa"/>
              <w:start w:w="100" w:type="dxa"/>
              <w:bottom w:w="80" w:type="dxa"/>
              <w:end w:w="100" w:type="dxa"/>
            </w:tcMar>
            <w:shd w:fill="F4F6F8"/>
          </w:tcPr>
          <w:p>
            <w:pPr>
              <w:pStyle w:val="CTABody"/>
              <w:spacing w:after="40"/>
            </w:pPr>
            <w:r/>
            <w:r>
              <w:t>Multiple roles vary. Some should be avoided, some can be managed, and some are unavoidable but require safeguards.</w:t>
            </w:r>
          </w:p>
        </w:tc>
        <w:tc>
          <w:tcPr>
            <w:tcW w:type="dxa" w:w="3348"/>
            <w:vAlign w:val="center"/>
            <w:tcMar>
              <w:top w:w="80" w:type="dxa"/>
              <w:start w:w="100" w:type="dxa"/>
              <w:bottom w:w="80" w:type="dxa"/>
              <w:end w:w="100" w:type="dxa"/>
            </w:tcMar>
            <w:shd w:fill="F4F6F8"/>
          </w:tcPr>
          <w:p>
            <w:pPr>
              <w:pStyle w:val="CTABody"/>
              <w:spacing w:after="40"/>
            </w:pPr>
            <w:r/>
            <w:r>
              <w:t>Analyze the actual risk rather than applying an absolute label.</w:t>
            </w:r>
          </w:p>
        </w:tc>
      </w:tr>
      <w:tr>
        <w:trPr>
          <w:cantSplit w:val="1"/>
        </w:trPr>
        <w:tc>
          <w:tcPr>
            <w:tcW w:type="dxa" w:w="3349"/>
            <w:vAlign w:val="center"/>
            <w:tcMar>
              <w:top w:w="80" w:type="dxa"/>
              <w:start w:w="100" w:type="dxa"/>
              <w:bottom w:w="80" w:type="dxa"/>
              <w:end w:w="100" w:type="dxa"/>
            </w:tcMar>
          </w:tcPr>
          <w:p>
            <w:pPr>
              <w:pStyle w:val="CTABody"/>
              <w:spacing w:after="40"/>
            </w:pPr>
            <w:r/>
            <w:r>
              <w:t>25. A licensed clinician may give any professional opinion</w:t>
            </w:r>
          </w:p>
        </w:tc>
        <w:tc>
          <w:tcPr>
            <w:tcW w:type="dxa" w:w="3349"/>
            <w:vAlign w:val="center"/>
            <w:tcMar>
              <w:top w:w="80" w:type="dxa"/>
              <w:start w:w="100" w:type="dxa"/>
              <w:bottom w:w="80" w:type="dxa"/>
              <w:end w:w="100" w:type="dxa"/>
            </w:tcMar>
          </w:tcPr>
          <w:p>
            <w:pPr>
              <w:pStyle w:val="CTABody"/>
              <w:spacing w:after="40"/>
            </w:pPr>
            <w:r/>
            <w:r>
              <w:t>Opinions must fit the clinician’s role, data, methods, qualifications, and area of competence.</w:t>
            </w:r>
          </w:p>
        </w:tc>
        <w:tc>
          <w:tcPr>
            <w:tcW w:type="dxa" w:w="3348"/>
            <w:vAlign w:val="center"/>
            <w:tcMar>
              <w:top w:w="80" w:type="dxa"/>
              <w:start w:w="100" w:type="dxa"/>
              <w:bottom w:w="80" w:type="dxa"/>
              <w:end w:w="100" w:type="dxa"/>
            </w:tcMar>
          </w:tcPr>
          <w:p>
            <w:pPr>
              <w:pStyle w:val="CTABody"/>
              <w:spacing w:after="40"/>
            </w:pPr>
            <w:r/>
            <w:r>
              <w:t>State limitations, avoid unsupported conclusions, and decline or refer work beyond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26. Ethical judgment can override clear law—or legal compliance resolves every ethical issue</w:t>
            </w:r>
          </w:p>
        </w:tc>
        <w:tc>
          <w:tcPr>
            <w:tcW w:type="dxa" w:w="3349"/>
            <w:vAlign w:val="center"/>
            <w:tcMar>
              <w:top w:w="80" w:type="dxa"/>
              <w:start w:w="100" w:type="dxa"/>
              <w:bottom w:w="80" w:type="dxa"/>
              <w:end w:w="100" w:type="dxa"/>
            </w:tcMar>
            <w:shd w:fill="F4F6F8"/>
          </w:tcPr>
          <w:p>
            <w:pPr>
              <w:pStyle w:val="CTABody"/>
              <w:spacing w:after="40"/>
            </w:pPr>
            <w:r/>
            <w:r>
              <w:t>A legal mandate controls when its elements are met, but legal compliance may still leave ethical questions about competence, continuity, fairness, and client welfare.</w:t>
            </w:r>
          </w:p>
        </w:tc>
        <w:tc>
          <w:tcPr>
            <w:tcW w:type="dxa" w:w="3348"/>
            <w:vAlign w:val="center"/>
            <w:tcMar>
              <w:top w:w="80" w:type="dxa"/>
              <w:start w:w="100" w:type="dxa"/>
              <w:bottom w:w="80" w:type="dxa"/>
              <w:end w:w="100" w:type="dxa"/>
            </w:tcMar>
            <w:shd w:fill="F4F6F8"/>
          </w:tcPr>
          <w:p>
            <w:pPr>
              <w:pStyle w:val="CTABody"/>
              <w:spacing w:after="40"/>
            </w:pPr>
            <w:r/>
            <w:r>
              <w:t>Apply the law accurately, then address remaining ethical and clinical responsibilities without contradicting the mandate.</w:t>
            </w:r>
          </w:p>
        </w:tc>
      </w:tr>
    </w:tbl>
    <w:p>
      <w:pPr>
        <w:spacing w:after="20"/>
      </w:pPr>
    </w:p>
    <w:p>
      <w:pPr>
        <w:pStyle w:val="Heading3"/>
        <w:keepNext/>
      </w:pPr>
      <w:r>
        <w:rPr/>
        <w:t>Exam-Wording Traps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Wording Trap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Correction</w:t>
            </w:r>
          </w:p>
        </w:tc>
      </w:tr>
      <w:tr>
        <w:trPr>
          <w:cantSplit w:val="1"/>
        </w:trPr>
        <w:tc>
          <w:tcPr>
            <w:tcW w:type="dxa" w:w="5023"/>
            <w:vAlign w:val="center"/>
            <w:tcMar>
              <w:top w:w="80" w:type="dxa"/>
              <w:start w:w="100" w:type="dxa"/>
              <w:bottom w:w="80" w:type="dxa"/>
              <w:end w:w="100" w:type="dxa"/>
            </w:tcMar>
          </w:tcPr>
          <w:p>
            <w:pPr>
              <w:pStyle w:val="CTABody"/>
              <w:spacing w:after="40"/>
            </w:pPr>
            <w:r/>
            <w:r>
              <w:t>“Always” or “never” must be wrong</w:t>
            </w:r>
          </w:p>
        </w:tc>
        <w:tc>
          <w:tcPr>
            <w:tcW w:type="dxa" w:w="5023"/>
            <w:vAlign w:val="center"/>
            <w:tcMar>
              <w:top w:w="80" w:type="dxa"/>
              <w:start w:w="100" w:type="dxa"/>
              <w:bottom w:w="80" w:type="dxa"/>
              <w:end w:w="100" w:type="dxa"/>
            </w:tcMar>
          </w:tcPr>
          <w:p>
            <w:pPr>
              <w:pStyle w:val="CTABody"/>
              <w:spacing w:after="40"/>
            </w:pPr>
            <w:r/>
            <w:r>
              <w:t>Absolute wording is suspicious only when the underlying rule is conditional. A true statutory prohibition or mandatory duty may properly be absolute.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“Immediately” must be too extreme</w:t>
            </w:r>
          </w:p>
        </w:tc>
        <w:tc>
          <w:tcPr>
            <w:tcW w:type="dxa" w:w="5023"/>
            <w:vAlign w:val="center"/>
            <w:tcMar>
              <w:top w:w="80" w:type="dxa"/>
              <w:start w:w="100" w:type="dxa"/>
              <w:bottom w:w="80" w:type="dxa"/>
              <w:end w:w="100" w:type="dxa"/>
            </w:tcMar>
            <w:shd w:fill="F4F6F8"/>
          </w:tcPr>
          <w:p>
            <w:pPr>
              <w:pStyle w:val="CTABody"/>
              <w:spacing w:after="40"/>
            </w:pPr>
            <w:r/>
            <w:r>
              <w:t>Immediate action may be correct when the facts establish urgent danger or a time-sensitive legal duty. It may be wrong when assessment and continuity can occur safely first.</w:t>
            </w:r>
          </w:p>
        </w:tc>
      </w:tr>
      <w:tr>
        <w:trPr>
          <w:cantSplit w:val="1"/>
        </w:trPr>
        <w:tc>
          <w:tcPr>
            <w:tcW w:type="dxa" w:w="5023"/>
            <w:vAlign w:val="center"/>
            <w:tcMar>
              <w:top w:w="80" w:type="dxa"/>
              <w:start w:w="100" w:type="dxa"/>
              <w:bottom w:w="80" w:type="dxa"/>
              <w:end w:w="100" w:type="dxa"/>
            </w:tcMar>
          </w:tcPr>
          <w:p>
            <w:pPr>
              <w:pStyle w:val="CTABody"/>
              <w:spacing w:after="40"/>
            </w:pPr>
            <w:r/>
            <w:r>
              <w:t>The longest or most detailed answer must be correct</w:t>
            </w:r>
          </w:p>
        </w:tc>
        <w:tc>
          <w:tcPr>
            <w:tcW w:type="dxa" w:w="5023"/>
            <w:vAlign w:val="center"/>
            <w:tcMar>
              <w:top w:w="80" w:type="dxa"/>
              <w:start w:w="100" w:type="dxa"/>
              <w:bottom w:w="80" w:type="dxa"/>
              <w:end w:w="100" w:type="dxa"/>
            </w:tcMar>
          </w:tcPr>
          <w:p>
            <w:pPr>
              <w:pStyle w:val="CTABody"/>
              <w:spacing w:after="40"/>
            </w:pPr>
            <w:r/>
            <w:r>
              <w:t>Length is not evidence. Select the option that addresses the central issue in the correct sequence.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Choose the answer that protects the clinician</w:t>
            </w:r>
          </w:p>
        </w:tc>
        <w:tc>
          <w:tcPr>
            <w:tcW w:type="dxa" w:w="5023"/>
            <w:vAlign w:val="center"/>
            <w:tcMar>
              <w:top w:w="80" w:type="dxa"/>
              <w:start w:w="100" w:type="dxa"/>
              <w:bottom w:w="80" w:type="dxa"/>
              <w:end w:w="100" w:type="dxa"/>
            </w:tcMar>
            <w:shd w:fill="F4F6F8"/>
          </w:tcPr>
          <w:p>
            <w:pPr>
              <w:pStyle w:val="CTABody"/>
              <w:spacing w:after="40"/>
            </w:pPr>
            <w:r/>
            <w:r>
              <w:t>Reputation, income, embarrassment, workload, and fear of criticism do not outrank client welfare or lawful practice.</w:t>
            </w:r>
          </w:p>
        </w:tc>
      </w:tr>
      <w:tr>
        <w:trPr>
          <w:cantSplit w:val="1"/>
        </w:trPr>
        <w:tc>
          <w:tcPr>
            <w:tcW w:type="dxa" w:w="5023"/>
            <w:vAlign w:val="center"/>
            <w:tcMar>
              <w:top w:w="80" w:type="dxa"/>
              <w:start w:w="100" w:type="dxa"/>
              <w:bottom w:w="80" w:type="dxa"/>
              <w:end w:w="100" w:type="dxa"/>
            </w:tcMar>
          </w:tcPr>
          <w:p>
            <w:pPr>
              <w:pStyle w:val="CTABody"/>
              <w:spacing w:after="40"/>
            </w:pPr>
            <w:r/>
            <w:r>
              <w:t>Solve every problem mentioned in the stem</w:t>
            </w:r>
          </w:p>
        </w:tc>
        <w:tc>
          <w:tcPr>
            <w:tcW w:type="dxa" w:w="5023"/>
            <w:vAlign w:val="center"/>
            <w:tcMar>
              <w:top w:w="80" w:type="dxa"/>
              <w:start w:w="100" w:type="dxa"/>
              <w:bottom w:w="80" w:type="dxa"/>
              <w:end w:w="100" w:type="dxa"/>
            </w:tcMar>
          </w:tcPr>
          <w:p>
            <w:pPr>
              <w:pStyle w:val="CTABody"/>
              <w:spacing w:after="40"/>
            </w:pPr>
            <w:r/>
            <w:r>
              <w:t>The question may ask for the first step, primary concern, or best analysis. Do not skip sequencing by choosing a later action.</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ABSOLUTE-WORD RULE Do not eliminate an answer solely because it says “always,” “never,” or “immediately.” First determine whether the controlling rule or urgency truly supports that wording.</w:t>
            </w:r>
          </w:p>
        </w:tc>
      </w:tr>
    </w:tbl>
    <w:p>
      <w:pPr>
        <w:spacing w:after="20"/>
      </w:pPr>
    </w:p>
    <w:p>
      <w:pPr>
        <w:pStyle w:val="Heading3"/>
        <w:keepNext/>
      </w:pPr>
      <w:r>
        <w:rPr/>
        <w:t>When Two Answers Both Sound Reasonable</w:t>
      </w:r>
    </w:p>
    <w:p>
      <w:pPr>
        <w:pStyle w:val="CTABody"/>
      </w:pPr>
      <w:r>
        <w:rPr>
          <w:i w:val="0"/>
        </w:rPr>
        <w:t>Use this priority check. The exact sequence depends on the facts, but a later helpful action cannot replace an earlier controlling obligation.</w:t>
      </w:r>
    </w:p>
    <w:p>
      <w:pPr>
        <w:pStyle w:val="CTABody"/>
        <w:ind w:left="346" w:hanging="346"/>
      </w:pPr>
      <w:r>
        <w:rPr>
          <w:b/>
        </w:rPr>
        <w:t xml:space="preserve">1.  </w:t>
      </w:r>
      <w:r>
        <w:t>Apply an explicit legal mandate, court rule, or urgent safety duty when its elements are met.</w:t>
      </w:r>
    </w:p>
    <w:p>
      <w:pPr>
        <w:pStyle w:val="CTABody"/>
        <w:ind w:left="346" w:hanging="346"/>
      </w:pPr>
      <w:r>
        <w:rPr>
          <w:b/>
        </w:rPr>
        <w:t xml:space="preserve">2.  </w:t>
      </w:r>
      <w:r>
        <w:t>Identify the credential, status, setting, jurisdiction, and professional role.</w:t>
      </w:r>
    </w:p>
    <w:p>
      <w:pPr>
        <w:pStyle w:val="CTABody"/>
        <w:ind w:left="346" w:hanging="346"/>
      </w:pPr>
      <w:r>
        <w:rPr>
          <w:b/>
        </w:rPr>
        <w:t xml:space="preserve">3.  </w:t>
      </w:r>
      <w:r>
        <w:t>Assess the specific competence gap and the client’s actual risk, complexity, and urgency.</w:t>
      </w:r>
    </w:p>
    <w:p>
      <w:pPr>
        <w:pStyle w:val="CTABody"/>
        <w:ind w:left="346" w:hanging="346"/>
      </w:pPr>
      <w:r>
        <w:rPr>
          <w:b/>
        </w:rPr>
        <w:t xml:space="preserve">4.  </w:t>
      </w:r>
      <w:r>
        <w:t>Choose the professional resource that matches the gap—clarification, consultation, supervision, legal advice, training, collaboration, corrective action, emergency response, or referral.</w:t>
      </w:r>
    </w:p>
    <w:p>
      <w:pPr>
        <w:pStyle w:val="CTABody"/>
        <w:ind w:left="346" w:hanging="346"/>
      </w:pPr>
      <w:r>
        <w:rPr>
          <w:b/>
        </w:rPr>
        <w:t xml:space="preserve">5.  </w:t>
      </w:r>
      <w:r>
        <w:t>Preserve continuity and avoid unnecessary disruption when safety and law permit.</w:t>
      </w:r>
    </w:p>
    <w:p>
      <w:pPr>
        <w:pStyle w:val="CTABody"/>
        <w:ind w:left="346" w:hanging="346"/>
      </w:pPr>
      <w:r>
        <w:rPr>
          <w:b/>
        </w:rPr>
        <w:t xml:space="preserve">6.  </w:t>
      </w:r>
      <w:r>
        <w:t>Document material reasoning, actions, consultation, correction, transition, and follow-through.</w:t>
      </w:r>
    </w:p>
    <w:p>
      <w:pPr>
        <w:pStyle w:val="Heading3"/>
        <w:keepNext/>
      </w:pPr>
      <w:r>
        <w:rPr/>
        <w:t>Unscored Micro-Scenarios</w:t>
      </w:r>
    </w:p>
    <w:p>
      <w:pPr>
        <w:pStyle w:val="CTABody"/>
      </w:pPr>
      <w:r>
        <w:rPr>
          <w:i w:val="0"/>
        </w:rPr>
        <w:t>These are reasoning drills, not a separate Chapter 7 question bank. Read the trigger, identify the trap, and compare the stronger analysis.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Stronger Analysis</w:t>
            </w:r>
          </w:p>
        </w:tc>
      </w:tr>
      <w:tr>
        <w:trPr>
          <w:cantSplit w:val="1"/>
        </w:trPr>
        <w:tc>
          <w:tcPr>
            <w:tcW w:type="dxa" w:w="5023"/>
            <w:vAlign w:val="center"/>
            <w:tcMar>
              <w:top w:w="80" w:type="dxa"/>
              <w:start w:w="100" w:type="dxa"/>
              <w:bottom w:w="80" w:type="dxa"/>
              <w:end w:w="100" w:type="dxa"/>
            </w:tcMar>
          </w:tcPr>
          <w:p>
            <w:pPr>
              <w:pStyle w:val="CTABody"/>
              <w:spacing w:after="40"/>
            </w:pPr>
            <w:r/>
            <w:r>
              <w:t>Years of experience + unfamiliar specialized treatment</w:t>
            </w:r>
          </w:p>
        </w:tc>
        <w:tc>
          <w:tcPr>
            <w:tcW w:type="dxa" w:w="5023"/>
            <w:vAlign w:val="center"/>
            <w:tcMar>
              <w:top w:w="80" w:type="dxa"/>
              <w:start w:w="100" w:type="dxa"/>
              <w:bottom w:w="80" w:type="dxa"/>
              <w:end w:w="100" w:type="dxa"/>
            </w:tcMar>
          </w:tcPr>
          <w:p>
            <w:pPr>
              <w:pStyle w:val="CTABody"/>
              <w:spacing w:after="40"/>
            </w:pPr>
            <w:r/>
            <w:r>
              <w:t>Do not treat general experience or confidence as specialized competence. Assess training, practical skill, contraindications, risk, and support before proceeding.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Immediate threat + uncertainty about every legal detail</w:t>
            </w:r>
          </w:p>
        </w:tc>
        <w:tc>
          <w:tcPr>
            <w:tcW w:type="dxa" w:w="5023"/>
            <w:vAlign w:val="center"/>
            <w:tcMar>
              <w:top w:w="80" w:type="dxa"/>
              <w:start w:w="100" w:type="dxa"/>
              <w:bottom w:w="80" w:type="dxa"/>
              <w:end w:w="100" w:type="dxa"/>
            </w:tcMar>
            <w:shd w:fill="F4F6F8"/>
          </w:tcPr>
          <w:p>
            <w:pPr>
              <w:pStyle w:val="CTABody"/>
              <w:spacing w:after="40"/>
            </w:pPr>
            <w:r/>
            <w:r>
              <w:t>Do not postpone necessary protective action merely to obtain routine consultation. Address urgent risk within the clinician’s role and obtain prompt qualified assistance.</w:t>
            </w:r>
          </w:p>
        </w:tc>
      </w:tr>
      <w:tr>
        <w:trPr>
          <w:cantSplit w:val="1"/>
        </w:trPr>
        <w:tc>
          <w:tcPr>
            <w:tcW w:type="dxa" w:w="5023"/>
            <w:vAlign w:val="center"/>
            <w:tcMar>
              <w:top w:w="80" w:type="dxa"/>
              <w:start w:w="100" w:type="dxa"/>
              <w:bottom w:w="80" w:type="dxa"/>
              <w:end w:w="100" w:type="dxa"/>
            </w:tcMar>
          </w:tcPr>
          <w:p>
            <w:pPr>
              <w:pStyle w:val="CTABody"/>
              <w:spacing w:after="40"/>
            </w:pPr>
            <w:r/>
            <w:r>
              <w:t>Consultant recommends abrupt termination</w:t>
            </w:r>
          </w:p>
        </w:tc>
        <w:tc>
          <w:tcPr>
            <w:tcW w:type="dxa" w:w="5023"/>
            <w:vAlign w:val="center"/>
            <w:tcMar>
              <w:top w:w="80" w:type="dxa"/>
              <w:start w:w="100" w:type="dxa"/>
              <w:bottom w:w="80" w:type="dxa"/>
              <w:end w:w="100" w:type="dxa"/>
            </w:tcMar>
          </w:tcPr>
          <w:p>
            <w:pPr>
              <w:pStyle w:val="CTABody"/>
              <w:spacing w:after="40"/>
            </w:pPr>
            <w:r/>
            <w:r>
              <w:t>Do not surrender professional judgment. Evaluate the advice, client stability, continuity, alternatives, and applicable duties before deciding.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Supervisee discovers a material documentation error</w:t>
            </w:r>
          </w:p>
        </w:tc>
        <w:tc>
          <w:tcPr>
            <w:tcW w:type="dxa" w:w="5023"/>
            <w:vAlign w:val="center"/>
            <w:tcMar>
              <w:top w:w="80" w:type="dxa"/>
              <w:start w:w="100" w:type="dxa"/>
              <w:bottom w:w="80" w:type="dxa"/>
              <w:end w:w="100" w:type="dxa"/>
            </w:tcMar>
            <w:shd w:fill="F4F6F8"/>
          </w:tcPr>
          <w:p>
            <w:pPr>
              <w:pStyle w:val="CTABody"/>
              <w:spacing w:after="40"/>
            </w:pPr>
            <w:r/>
            <w:r>
              <w:t>Do not conceal, backdate, or quietly rewrite the record. Inform the supervisor, assess client impact, correct transparently under proper procedure, and follow through.</w:t>
            </w:r>
          </w:p>
        </w:tc>
      </w:tr>
      <w:tr>
        <w:trPr>
          <w:cantSplit w:val="1"/>
        </w:trPr>
        <w:tc>
          <w:tcPr>
            <w:tcW w:type="dxa" w:w="5023"/>
            <w:vAlign w:val="center"/>
            <w:tcMar>
              <w:top w:w="80" w:type="dxa"/>
              <w:start w:w="100" w:type="dxa"/>
              <w:bottom w:w="80" w:type="dxa"/>
              <w:end w:w="100" w:type="dxa"/>
            </w:tcMar>
          </w:tcPr>
          <w:p>
            <w:pPr>
              <w:pStyle w:val="CTABody"/>
              <w:spacing w:after="40"/>
            </w:pPr>
            <w:r/>
            <w:r>
              <w:t>Minimum supervision contact met + unusually high-risk caseload</w:t>
            </w:r>
          </w:p>
        </w:tc>
        <w:tc>
          <w:tcPr>
            <w:tcW w:type="dxa" w:w="5023"/>
            <w:vAlign w:val="center"/>
            <w:tcMar>
              <w:top w:w="80" w:type="dxa"/>
              <w:start w:w="100" w:type="dxa"/>
              <w:bottom w:w="80" w:type="dxa"/>
              <w:end w:w="100" w:type="dxa"/>
            </w:tcMar>
          </w:tcPr>
          <w:p>
            <w:pPr>
              <w:pStyle w:val="CTABody"/>
              <w:spacing w:after="40"/>
            </w:pPr>
            <w:r/>
            <w:r>
              <w:t>Do not confuse minimum contact with adequate oversight. Increase review, observation, availability, or direct contact to match risk and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Treating therapist asked to conduct a custody evaluation</w:t>
            </w:r>
          </w:p>
        </w:tc>
        <w:tc>
          <w:tcPr>
            <w:tcW w:type="dxa" w:w="5023"/>
            <w:vAlign w:val="center"/>
            <w:tcMar>
              <w:top w:w="80" w:type="dxa"/>
              <w:start w:w="100" w:type="dxa"/>
              <w:bottom w:w="80" w:type="dxa"/>
              <w:end w:w="100" w:type="dxa"/>
            </w:tcMar>
            <w:shd w:fill="F4F6F8"/>
          </w:tcPr>
          <w:p>
            <w:pPr>
              <w:pStyle w:val="CTABody"/>
              <w:spacing w:after="40"/>
            </w:pPr>
            <w:r/>
            <w:r>
              <w:t>Do not silently convert treatment into forensic evaluation. Clarify the requested role, conflict, confidentiality and privilege limits, qualifications, and need for an independent evaluator.</w:t>
            </w:r>
          </w:p>
        </w:tc>
      </w:tr>
      <w:tr>
        <w:trPr>
          <w:cantSplit w:val="1"/>
        </w:trPr>
        <w:tc>
          <w:tcPr>
            <w:tcW w:type="dxa" w:w="5023"/>
            <w:vAlign w:val="center"/>
            <w:tcMar>
              <w:top w:w="80" w:type="dxa"/>
              <w:start w:w="100" w:type="dxa"/>
              <w:bottom w:w="80" w:type="dxa"/>
              <w:end w:w="100" w:type="dxa"/>
            </w:tcMar>
          </w:tcPr>
          <w:p>
            <w:pPr>
              <w:pStyle w:val="CTABody"/>
              <w:spacing w:after="40"/>
            </w:pPr>
            <w:r/>
            <w:r>
              <w:t>Rural overlap with no reasonable alternative provider</w:t>
            </w:r>
          </w:p>
        </w:tc>
        <w:tc>
          <w:tcPr>
            <w:tcW w:type="dxa" w:w="5023"/>
            <w:vAlign w:val="center"/>
            <w:tcMar>
              <w:top w:w="80" w:type="dxa"/>
              <w:start w:w="100" w:type="dxa"/>
              <w:bottom w:w="80" w:type="dxa"/>
              <w:end w:w="100" w:type="dxa"/>
            </w:tcMar>
          </w:tcPr>
          <w:p>
            <w:pPr>
              <w:pStyle w:val="CTABody"/>
              <w:spacing w:after="40"/>
            </w:pPr>
            <w:r/>
            <w:r>
              <w:t>Do not assume the overlap is harmless or automatically refuse care. Assess actual exploitation and judgment risk, discuss foreseeable limits, use safeguards, document, and monitor.</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CE hours completed + repeated use of outdated risk procedures</w:t>
            </w:r>
          </w:p>
        </w:tc>
        <w:tc>
          <w:tcPr>
            <w:tcW w:type="dxa" w:w="5023"/>
            <w:vAlign w:val="center"/>
            <w:tcMar>
              <w:top w:w="80" w:type="dxa"/>
              <w:start w:w="100" w:type="dxa"/>
              <w:bottom w:w="80" w:type="dxa"/>
              <w:end w:w="100" w:type="dxa"/>
            </w:tcMar>
            <w:shd w:fill="F4F6F8"/>
          </w:tcPr>
          <w:p>
            <w:pPr>
              <w:pStyle w:val="CTABody"/>
              <w:spacing w:after="40"/>
            </w:pPr>
            <w:r/>
            <w:r>
              <w:t>Do not equate renewal compliance with current competence. Verify current standards, correct the practice, protect existing clients, and pursue targeted development.</w:t>
            </w:r>
          </w:p>
        </w:tc>
      </w:tr>
    </w:tbl>
    <w:p>
      <w:pPr>
        <w:spacing w:after="20"/>
      </w:pPr>
    </w:p>
    <w:p>
      <w:pPr>
        <w:pStyle w:val="Heading3"/>
        <w:keepNext/>
      </w:pPr>
      <w:r>
        <w:rPr/>
        <w:t>What Do I Do First?</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Rapid-Review Question</w:t>
            </w:r>
          </w:p>
        </w:tc>
      </w:tr>
      <w:tr>
        <w:trPr>
          <w:cantSplit w:val="1"/>
        </w:trPr>
        <w:tc>
          <w:tcPr>
            <w:tcW w:type="dxa" w:w="5023"/>
            <w:vAlign w:val="center"/>
            <w:tcMar>
              <w:top w:w="80" w:type="dxa"/>
              <w:start w:w="100" w:type="dxa"/>
              <w:bottom w:w="80" w:type="dxa"/>
              <w:end w:w="100" w:type="dxa"/>
            </w:tcMar>
          </w:tcPr>
          <w:p>
            <w:pPr>
              <w:pStyle w:val="CTABody"/>
              <w:spacing w:after="40"/>
            </w:pPr>
            <w:r/>
            <w:r>
              <w:t>Name the issue</w:t>
            </w:r>
          </w:p>
        </w:tc>
        <w:tc>
          <w:tcPr>
            <w:tcW w:type="dxa" w:w="5023"/>
            <w:vAlign w:val="center"/>
            <w:tcMar>
              <w:top w:w="80" w:type="dxa"/>
              <w:start w:w="100" w:type="dxa"/>
              <w:bottom w:w="80" w:type="dxa"/>
              <w:end w:w="100" w:type="dxa"/>
            </w:tcMar>
          </w:tcPr>
          <w:p>
            <w:pPr>
              <w:pStyle w:val="CTABody"/>
              <w:spacing w:after="40"/>
            </w:pPr>
            <w:r/>
            <w:r>
              <w:t>Is the question about law, scope, competence, current knowledge, supervision, role, impairment, confidentiality, client risk, or continuity?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Check for a controlling duty</w:t>
            </w:r>
          </w:p>
        </w:tc>
        <w:tc>
          <w:tcPr>
            <w:tcW w:type="dxa" w:w="5023"/>
            <w:vAlign w:val="center"/>
            <w:tcMar>
              <w:top w:w="80" w:type="dxa"/>
              <w:start w:w="100" w:type="dxa"/>
              <w:bottom w:w="80" w:type="dxa"/>
              <w:end w:w="100" w:type="dxa"/>
            </w:tcMar>
            <w:shd w:fill="F4F6F8"/>
          </w:tcPr>
          <w:p>
            <w:pPr>
              <w:pStyle w:val="CTABody"/>
              <w:spacing w:after="40"/>
            </w:pPr>
            <w:r/>
            <w:r>
              <w:t>A clear statute, reporting obligation, court rule, emergency, or supervision requirement may determine the first action.</w:t>
            </w:r>
          </w:p>
        </w:tc>
      </w:tr>
      <w:tr>
        <w:trPr>
          <w:cantSplit w:val="1"/>
        </w:trPr>
        <w:tc>
          <w:tcPr>
            <w:tcW w:type="dxa" w:w="5023"/>
            <w:vAlign w:val="center"/>
            <w:tcMar>
              <w:top w:w="80" w:type="dxa"/>
              <w:start w:w="100" w:type="dxa"/>
              <w:bottom w:w="80" w:type="dxa"/>
              <w:end w:w="100" w:type="dxa"/>
            </w:tcMar>
          </w:tcPr>
          <w:p>
            <w:pPr>
              <w:pStyle w:val="CTABody"/>
              <w:spacing w:after="40"/>
            </w:pPr>
            <w:r/>
            <w:r>
              <w:t>Clarify the role and authority</w:t>
            </w:r>
          </w:p>
        </w:tc>
        <w:tc>
          <w:tcPr>
            <w:tcW w:type="dxa" w:w="5023"/>
            <w:vAlign w:val="center"/>
            <w:tcMar>
              <w:top w:w="80" w:type="dxa"/>
              <w:start w:w="100" w:type="dxa"/>
              <w:bottom w:w="80" w:type="dxa"/>
              <w:end w:w="100" w:type="dxa"/>
            </w:tcMar>
          </w:tcPr>
          <w:p>
            <w:pPr>
              <w:pStyle w:val="CTABody"/>
              <w:spacing w:after="40"/>
            </w:pPr>
            <w:r/>
            <w:r>
              <w:t>Identify who the clinician serves, what the clinician was asked to do, who receives the work, and whether the activity is lawful.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Assess competence and risk</w:t>
            </w:r>
          </w:p>
        </w:tc>
        <w:tc>
          <w:tcPr>
            <w:tcW w:type="dxa" w:w="5023"/>
            <w:vAlign w:val="center"/>
            <w:tcMar>
              <w:top w:w="80" w:type="dxa"/>
              <w:start w:w="100" w:type="dxa"/>
              <w:bottom w:w="80" w:type="dxa"/>
              <w:end w:w="100" w:type="dxa"/>
            </w:tcMar>
            <w:shd w:fill="F4F6F8"/>
          </w:tcPr>
          <w:p>
            <w:pPr>
              <w:pStyle w:val="CTABody"/>
              <w:spacing w:after="40"/>
            </w:pPr>
            <w:r/>
            <w:r>
              <w:t>Identify what is missing, how urgent it is, and whether the client can remain safe while the gap is addressed.</w:t>
            </w:r>
          </w:p>
        </w:tc>
      </w:tr>
      <w:tr>
        <w:trPr>
          <w:cantSplit w:val="1"/>
        </w:trPr>
        <w:tc>
          <w:tcPr>
            <w:tcW w:type="dxa" w:w="5023"/>
            <w:vAlign w:val="center"/>
            <w:tcMar>
              <w:top w:w="80" w:type="dxa"/>
              <w:start w:w="100" w:type="dxa"/>
              <w:bottom w:w="80" w:type="dxa"/>
              <w:end w:w="100" w:type="dxa"/>
            </w:tcMar>
          </w:tcPr>
          <w:p>
            <w:pPr>
              <w:pStyle w:val="CTABody"/>
              <w:spacing w:after="40"/>
            </w:pPr>
            <w:r/>
            <w:r>
              <w:t>Select the matched response</w:t>
            </w:r>
          </w:p>
        </w:tc>
        <w:tc>
          <w:tcPr>
            <w:tcW w:type="dxa" w:w="5023"/>
            <w:vAlign w:val="center"/>
            <w:tcMar>
              <w:top w:w="80" w:type="dxa"/>
              <w:start w:w="100" w:type="dxa"/>
              <w:bottom w:w="80" w:type="dxa"/>
              <w:end w:w="100" w:type="dxa"/>
            </w:tcMar>
          </w:tcPr>
          <w:p>
            <w:pPr>
              <w:pStyle w:val="CTABody"/>
              <w:spacing w:after="40"/>
            </w:pPr>
            <w:r/>
            <w:r>
              <w:t>Use the least disruptive action that fully protects the client: clarify, consult, supervise, train, collaborate, modify, correct, pause, refer, or escalate.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Follow through</w:t>
            </w:r>
          </w:p>
        </w:tc>
        <w:tc>
          <w:tcPr>
            <w:tcW w:type="dxa" w:w="5023"/>
            <w:vAlign w:val="center"/>
            <w:tcMar>
              <w:top w:w="80" w:type="dxa"/>
              <w:start w:w="100" w:type="dxa"/>
              <w:bottom w:w="80" w:type="dxa"/>
              <w:end w:w="100" w:type="dxa"/>
            </w:tcMar>
            <w:shd w:fill="F4F6F8"/>
          </w:tcPr>
          <w:p>
            <w:pPr>
              <w:pStyle w:val="CTABody"/>
              <w:spacing w:after="40"/>
            </w:pPr>
            <w:r/>
            <w:r>
              <w:t>Communicate appropriately, preserve continuity, document material reasoning, and monitor whether the response worked.</w:t>
            </w:r>
          </w:p>
        </w:tc>
      </w:tr>
    </w:tbl>
    <w:p>
      <w:pPr>
        <w:spacing w:after="20"/>
      </w:pPr>
    </w:p>
    <w:p>
      <w:pPr>
        <w:pStyle w:val="Heading3"/>
        <w:keepNext/>
      </w:pPr>
      <w:r>
        <w:rPr/>
        <w:t>Final 30-Second Checklist</w:t>
      </w:r>
    </w:p>
    <w:p>
      <w:pPr>
        <w:pStyle w:val="ListBullet"/>
      </w:pPr>
      <w:r>
        <w:t>What exact issue is the question testing?</w:t>
      </w:r>
    </w:p>
    <w:p>
      <w:pPr>
        <w:pStyle w:val="ListBullet"/>
      </w:pPr>
      <w:r>
        <w:t>Is there a controlling law or urgent duty?</w:t>
      </w:r>
    </w:p>
    <w:p>
      <w:pPr>
        <w:pStyle w:val="ListBullet"/>
      </w:pPr>
      <w:r>
        <w:t>What credential, status, setting, jurisdiction, and role apply?</w:t>
      </w:r>
    </w:p>
    <w:p>
      <w:pPr>
        <w:pStyle w:val="ListBullet"/>
      </w:pPr>
      <w:r>
        <w:t>Does the clinician have current, service-specific competence?</w:t>
      </w:r>
    </w:p>
    <w:p>
      <w:pPr>
        <w:pStyle w:val="ListBullet"/>
      </w:pPr>
      <w:r>
        <w:t>What is the client’s actual risk and need for continuity?</w:t>
      </w:r>
    </w:p>
    <w:p>
      <w:pPr>
        <w:pStyle w:val="ListBullet"/>
      </w:pPr>
      <w:r>
        <w:t>Does the answer transfer responsibility or promise more than the resource can provide?</w:t>
      </w:r>
    </w:p>
    <w:p>
      <w:pPr>
        <w:pStyle w:val="ListBullet"/>
      </w:pPr>
      <w:r>
        <w:t>Is the action proportionate, timely, and the least disruptive safe option?</w:t>
      </w:r>
    </w:p>
    <w:p>
      <w:pPr>
        <w:pStyle w:val="ListBullet"/>
      </w:pPr>
      <w:r>
        <w:t>Does the answer include appropriate follow-through rather than a one-time gesture?</w:t>
      </w:r>
    </w:p>
    <w:p>
      <w:pPr>
        <w:pStyle w:val="Heading3"/>
        <w:keepNext/>
      </w:pPr>
      <w:r>
        <w:rPr/>
        <w:t>Chapter Snapshot</w:t>
      </w:r>
    </w:p>
    <w:p>
      <w:pPr>
        <w:pStyle w:val="ListBullet"/>
      </w:pPr>
      <w:r>
        <w:t>License, confidence, experience, client preference, and good intentions do not prove competence for a specific service.</w:t>
      </w:r>
    </w:p>
    <w:p>
      <w:pPr>
        <w:pStyle w:val="ListBullet"/>
      </w:pPr>
      <w:r>
        <w:t>Legal authority and actual competence are separate requirements.</w:t>
      </w:r>
    </w:p>
    <w:p>
      <w:pPr>
        <w:pStyle w:val="ListBullet"/>
      </w:pPr>
      <w:r>
        <w:t>Consultation supports judgment; it does not create authority, replace required supervision, transfer responsibility, or justify delay.</w:t>
      </w:r>
    </w:p>
    <w:p>
      <w:pPr>
        <w:pStyle w:val="ListBullet"/>
      </w:pPr>
      <w:r>
        <w:t>Referral is necessary when safe competence, lawful service, or an appropriate level of care cannot be achieved—but it is not the automatic first answer to every limitation.</w:t>
      </w:r>
    </w:p>
    <w:p>
      <w:pPr>
        <w:pStyle w:val="ListBullet"/>
      </w:pPr>
      <w:r>
        <w:t>Supervision includes quality control, feedback, evaluation, remediation, and gatekeeping; both supervisor and supervisee have responsibilities.</w:t>
      </w:r>
    </w:p>
    <w:p>
      <w:pPr>
        <w:pStyle w:val="ListBullet"/>
      </w:pPr>
      <w:r>
        <w:t>Professional roles determine purpose, objectivity, confidentiality, privilege, audience, and work product. Treatment and forensic functions are not interchangeable.</w:t>
      </w:r>
    </w:p>
    <w:p>
      <w:pPr>
        <w:pStyle w:val="ListBullet"/>
      </w:pPr>
      <w:r>
        <w:t>A measured answer is not the least active answer. It is the action that fully addresses law, risk, competence, role, continuity, and follow-through.</w:t>
      </w:r>
    </w:p>
    <w:p>
      <w:pPr>
        <w:pStyle w:val="ListBullet"/>
      </w:pPr>
      <w:r>
        <w:t>Absolute wording is evaluated against the actual rule. Some legal duties truly are mandatory and time-sensitive.</w:t>
      </w:r>
    </w:p>
    <w:p>
      <w:r/>
    </w:p>
    <w:p>
      <w:pPr>
        <w:pStyle w:val="CTAChapterNumber"/>
        <w:spacing w:before="160"/>
      </w:pPr>
      <w:r>
        <w:t>CHAPTER 8</w:t>
      </w:r>
      <w:r>
        <w:rPr>
          <w:color w:val="D3A32B"/>
        </w:rPr>
        <w:t xml:space="preserve">  •  RAPID REVIEW</w:t>
      </w:r>
    </w:p>
    <w:p>
      <w:pPr>
        <w:pStyle w:val="CTAChapterTitle"/>
        <w:pBdr>
          <w:bottom w:val="single" w:sz="18" w:space="6" w:color="149B9E"/>
        </w:pBdr>
      </w:pPr>
      <w:r>
        <w:t>Top Professional Competence Concepts You Must Know</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Professional competence questions become manageable when you separate legal authority, current ability, professional role, risk, and the response needed to protect the client. Do not let one reassuring fact answer all five questions.</w:t>
            </w:r>
          </w:p>
        </w:tc>
      </w:tr>
    </w:tbl>
    <w:p>
      <w:pPr>
        <w:spacing w:after="20"/>
      </w:pPr>
    </w:p>
    <w:p>
      <w:pPr>
        <w:pStyle w:val="Heading3"/>
        <w:keepNext/>
      </w:pPr>
      <w:r>
        <w:rPr/>
        <w:t>Learning Objectives</w:t>
      </w:r>
    </w:p>
    <w:p>
      <w:pPr>
        <w:pStyle w:val="CTABody"/>
        <w:ind w:left="346" w:hanging="346"/>
      </w:pPr>
      <w:r>
        <w:rPr>
          <w:b/>
        </w:rPr>
        <w:t xml:space="preserve">1.  </w:t>
      </w:r>
      <w:r>
        <w:t>Recall the highest-yield competence rules tested across Chapters 1–6.</w:t>
      </w:r>
    </w:p>
    <w:p>
      <w:pPr>
        <w:pStyle w:val="CTABody"/>
        <w:ind w:left="346" w:hanging="346"/>
      </w:pPr>
      <w:r>
        <w:rPr>
          <w:b/>
        </w:rPr>
        <w:t xml:space="preserve">2.  </w:t>
      </w:r>
      <w:r>
        <w:t>Separate legal permission, actual competence, professional role, and client risk.</w:t>
      </w:r>
    </w:p>
    <w:p>
      <w:pPr>
        <w:pStyle w:val="CTABody"/>
        <w:ind w:left="346" w:hanging="346"/>
      </w:pPr>
      <w:r>
        <w:rPr>
          <w:b/>
        </w:rPr>
        <w:t xml:space="preserve">3.  </w:t>
      </w:r>
      <w:r>
        <w:t>Distinguish consultation, supervision, training, collaboration, referral, and urgent action.</w:t>
      </w:r>
    </w:p>
    <w:p>
      <w:pPr>
        <w:pStyle w:val="CTABody"/>
        <w:ind w:left="346" w:hanging="346"/>
      </w:pPr>
      <w:r>
        <w:rPr>
          <w:b/>
        </w:rPr>
        <w:t xml:space="preserve">4.  </w:t>
      </w:r>
      <w:r>
        <w:t>Recognize cultural, personal-reaction, impairment, conflict, and boundary concerns as competence issues.</w:t>
      </w:r>
    </w:p>
    <w:p>
      <w:pPr>
        <w:pStyle w:val="CTABody"/>
        <w:ind w:left="346" w:hanging="346"/>
      </w:pPr>
      <w:r>
        <w:rPr>
          <w:b/>
        </w:rPr>
        <w:t xml:space="preserve">5.  </w:t>
      </w:r>
      <w:r>
        <w:t>Select a proportionate response with continuity, documentation, and follow-through.</w:t>
      </w:r>
    </w:p>
    <w:p>
      <w:pPr>
        <w:pStyle w:val="Heading3"/>
        <w:keepNext/>
      </w:pPr>
      <w:r>
        <w:rPr/>
        <w:t>Why This Topic Matters</w:t>
      </w:r>
    </w:p>
    <w:p>
      <w:pPr>
        <w:pStyle w:val="CTABody"/>
      </w:pPr>
      <w:r>
        <w:rPr>
          <w:b w:val="0"/>
          <w:i w:val="0"/>
        </w:rPr>
        <w:t>Rapid-review questions often combine several true statements. A clinician may be licensed, experienced, caring, supervised, and still be unprepared for the specific service. A referral may be helpful but premature. Consultation may be wise but too slow for an urgent duty. The exam asks which fact controls and which action fits the sequence.</w:t>
      </w:r>
    </w:p>
    <w:p>
      <w:pPr>
        <w:pStyle w:val="Heading3"/>
        <w:keepNext/>
      </w:pPr>
      <w:r>
        <w:rPr/>
        <w:t>The Five-Part Competence Map</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What to Ask</w:t>
            </w:r>
          </w:p>
        </w:tc>
      </w:tr>
      <w:tr>
        <w:trPr>
          <w:cantSplit w:val="1"/>
        </w:trPr>
        <w:tc>
          <w:tcPr>
            <w:tcW w:type="dxa" w:w="5023"/>
            <w:vAlign w:val="center"/>
            <w:tcMar>
              <w:top w:w="80" w:type="dxa"/>
              <w:start w:w="100" w:type="dxa"/>
              <w:bottom w:w="80" w:type="dxa"/>
              <w:end w:w="100" w:type="dxa"/>
            </w:tcMar>
          </w:tcPr>
          <w:p>
            <w:pPr>
              <w:pStyle w:val="CTABody"/>
              <w:spacing w:after="40"/>
            </w:pPr>
            <w:r/>
            <w:r>
              <w:t>1. Authority</w:t>
            </w:r>
          </w:p>
        </w:tc>
        <w:tc>
          <w:tcPr>
            <w:tcW w:type="dxa" w:w="5023"/>
            <w:vAlign w:val="center"/>
            <w:tcMar>
              <w:top w:w="80" w:type="dxa"/>
              <w:start w:w="100" w:type="dxa"/>
              <w:bottom w:w="80" w:type="dxa"/>
              <w:end w:w="100" w:type="dxa"/>
            </w:tcMar>
          </w:tcPr>
          <w:p>
            <w:pPr>
              <w:pStyle w:val="CTABody"/>
              <w:spacing w:after="40"/>
            </w:pPr>
            <w:r/>
            <w:r>
              <w:t>Is the service lawful for this credential, status, setting, jurisdiction, and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 Ability</w:t>
            </w:r>
          </w:p>
        </w:tc>
        <w:tc>
          <w:tcPr>
            <w:tcW w:type="dxa" w:w="5023"/>
            <w:vAlign w:val="center"/>
            <w:tcMar>
              <w:top w:w="80" w:type="dxa"/>
              <w:start w:w="100" w:type="dxa"/>
              <w:bottom w:w="80" w:type="dxa"/>
              <w:end w:w="100" w:type="dxa"/>
            </w:tcMar>
            <w:shd w:fill="F4F6F8"/>
          </w:tcPr>
          <w:p>
            <w:pPr>
              <w:pStyle w:val="CTABody"/>
              <w:spacing w:after="40"/>
            </w:pPr>
            <w:r/>
            <w:r>
              <w:t>Does the clinician have current, service-specific knowledge, practical skill, judgment, and functioning?</w:t>
            </w:r>
          </w:p>
        </w:tc>
      </w:tr>
      <w:tr>
        <w:trPr>
          <w:cantSplit w:val="1"/>
        </w:trPr>
        <w:tc>
          <w:tcPr>
            <w:tcW w:type="dxa" w:w="5023"/>
            <w:vAlign w:val="center"/>
            <w:tcMar>
              <w:top w:w="80" w:type="dxa"/>
              <w:start w:w="100" w:type="dxa"/>
              <w:bottom w:w="80" w:type="dxa"/>
              <w:end w:w="100" w:type="dxa"/>
            </w:tcMar>
          </w:tcPr>
          <w:p>
            <w:pPr>
              <w:pStyle w:val="CTABody"/>
              <w:spacing w:after="40"/>
            </w:pPr>
            <w:r/>
            <w:r>
              <w:t>3. Role</w:t>
            </w:r>
          </w:p>
        </w:tc>
        <w:tc>
          <w:tcPr>
            <w:tcW w:type="dxa" w:w="5023"/>
            <w:vAlign w:val="center"/>
            <w:tcMar>
              <w:top w:w="80" w:type="dxa"/>
              <w:start w:w="100" w:type="dxa"/>
              <w:bottom w:w="80" w:type="dxa"/>
              <w:end w:w="100" w:type="dxa"/>
            </w:tcMar>
          </w:tcPr>
          <w:p>
            <w:pPr>
              <w:pStyle w:val="CTABody"/>
              <w:spacing w:after="40"/>
            </w:pPr>
            <w:r/>
            <w:r>
              <w:t>Who is being served, for what purpose, with what audience, authority, confidentiality, and work product?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 Risk</w:t>
            </w:r>
          </w:p>
        </w:tc>
        <w:tc>
          <w:tcPr>
            <w:tcW w:type="dxa" w:w="5023"/>
            <w:vAlign w:val="center"/>
            <w:tcMar>
              <w:top w:w="80" w:type="dxa"/>
              <w:start w:w="100" w:type="dxa"/>
              <w:bottom w:w="80" w:type="dxa"/>
              <w:end w:w="100" w:type="dxa"/>
            </w:tcMar>
            <w:shd w:fill="F4F6F8"/>
          </w:tcPr>
          <w:p>
            <w:pPr>
              <w:pStyle w:val="CTABody"/>
              <w:spacing w:after="40"/>
            </w:pPr>
            <w:r/>
            <w:r>
              <w:t>How urgent, complex, or harmful is the situation, and can care continue safely while the gap is addressed?</w:t>
            </w:r>
          </w:p>
        </w:tc>
      </w:tr>
      <w:tr>
        <w:trPr>
          <w:cantSplit w:val="1"/>
        </w:trPr>
        <w:tc>
          <w:tcPr>
            <w:tcW w:type="dxa" w:w="5023"/>
            <w:vAlign w:val="center"/>
            <w:tcMar>
              <w:top w:w="80" w:type="dxa"/>
              <w:start w:w="100" w:type="dxa"/>
              <w:bottom w:w="80" w:type="dxa"/>
              <w:end w:w="100" w:type="dxa"/>
            </w:tcMar>
          </w:tcPr>
          <w:p>
            <w:pPr>
              <w:pStyle w:val="CTABody"/>
              <w:spacing w:after="40"/>
            </w:pPr>
            <w:r/>
            <w:r>
              <w:t>5. Response</w:t>
            </w:r>
          </w:p>
        </w:tc>
        <w:tc>
          <w:tcPr>
            <w:tcW w:type="dxa" w:w="5023"/>
            <w:vAlign w:val="center"/>
            <w:tcMar>
              <w:top w:w="80" w:type="dxa"/>
              <w:start w:w="100" w:type="dxa"/>
              <w:bottom w:w="80" w:type="dxa"/>
              <w:end w:w="100" w:type="dxa"/>
            </w:tcMar>
          </w:tcPr>
          <w:p>
            <w:pPr>
              <w:pStyle w:val="CTABody"/>
              <w:spacing w:after="40"/>
            </w:pPr>
            <w:r/>
            <w:r>
              <w:t>What proportionate action fully protects the client while preserving continuity when possible?</w:t>
            </w:r>
          </w:p>
        </w:tc>
      </w:tr>
    </w:tbl>
    <w:p>
      <w:pPr>
        <w:spacing w:after="20"/>
      </w:pPr>
    </w:p>
    <w:p>
      <w:pPr>
        <w:pStyle w:val="Heading2"/>
        <w:keepNext/>
      </w:pPr>
      <w:r>
        <w:rPr/>
        <w:t>Concept Cluster 1: Legal Authority and Actual Competence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A clinician needs legal authority and actual competence. Neither one substitutes for the other.</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 Apply a controlling rule first</w:t>
            </w:r>
          </w:p>
        </w:tc>
        <w:tc>
          <w:tcPr>
            <w:tcW w:type="dxa" w:w="3349"/>
            <w:vAlign w:val="center"/>
            <w:tcMar>
              <w:top w:w="80" w:type="dxa"/>
              <w:start w:w="100" w:type="dxa"/>
              <w:bottom w:w="80" w:type="dxa"/>
              <w:end w:w="100" w:type="dxa"/>
            </w:tcMar>
          </w:tcPr>
          <w:p>
            <w:pPr>
              <w:pStyle w:val="CTABody"/>
              <w:spacing w:after="40"/>
            </w:pPr>
            <w:r/>
            <w:r>
              <w:t>When the facts trigger a statute, regulation, court rule, supervision requirement, reporting duty, confidentiality rule, or urgent protective obligation, that rule controls the first step.</w:t>
            </w:r>
          </w:p>
        </w:tc>
        <w:tc>
          <w:tcPr>
            <w:tcW w:type="dxa" w:w="3348"/>
            <w:vAlign w:val="center"/>
            <w:tcMar>
              <w:top w:w="80" w:type="dxa"/>
              <w:start w:w="100" w:type="dxa"/>
              <w:bottom w:w="80" w:type="dxa"/>
              <w:end w:w="100" w:type="dxa"/>
            </w:tcMar>
          </w:tcPr>
          <w:p>
            <w:pPr>
              <w:pStyle w:val="CTABody"/>
              <w:spacing w:after="40"/>
            </w:pPr>
            <w:r/>
            <w:r>
              <w:t>Do not choose consultation, reflection, or a later helpful action when the law or immediate safety duty already determines what must occur.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Scope of practice is legal authority</w:t>
            </w:r>
          </w:p>
        </w:tc>
        <w:tc>
          <w:tcPr>
            <w:tcW w:type="dxa" w:w="3349"/>
            <w:vAlign w:val="center"/>
            <w:tcMar>
              <w:top w:w="80" w:type="dxa"/>
              <w:start w:w="100" w:type="dxa"/>
              <w:bottom w:w="80" w:type="dxa"/>
              <w:end w:w="100" w:type="dxa"/>
            </w:tcMar>
            <w:shd w:fill="F4F6F8"/>
          </w:tcPr>
          <w:p>
            <w:pPr>
              <w:pStyle w:val="CTABody"/>
              <w:spacing w:after="40"/>
            </w:pPr>
            <w:r/>
            <w:r>
              <w:t>Scope of practice asks whether the service is permitted for the clinician’s profession, credential status, role, setting, and jurisdiction.</w:t>
            </w:r>
          </w:p>
        </w:tc>
        <w:tc>
          <w:tcPr>
            <w:tcW w:type="dxa" w:w="3348"/>
            <w:vAlign w:val="center"/>
            <w:tcMar>
              <w:top w:w="80" w:type="dxa"/>
              <w:start w:w="100" w:type="dxa"/>
              <w:bottom w:w="80" w:type="dxa"/>
              <w:end w:w="100" w:type="dxa"/>
            </w:tcMar>
            <w:shd w:fill="F4F6F8"/>
          </w:tcPr>
          <w:p>
            <w:pPr>
              <w:pStyle w:val="CTABody"/>
              <w:spacing w:after="40"/>
            </w:pPr>
            <w:r/>
            <w:r>
              <w:t>Training cannot authorize a prohibited service. Identify whether the person is an LCSW, ASW, ASW, supervisor, treating clinician, evaluator, or other participant before answering.</w:t>
            </w:r>
          </w:p>
        </w:tc>
      </w:tr>
      <w:tr>
        <w:trPr>
          <w:cantSplit w:val="1"/>
        </w:trPr>
        <w:tc>
          <w:tcPr>
            <w:tcW w:type="dxa" w:w="3349"/>
            <w:vAlign w:val="center"/>
            <w:tcMar>
              <w:top w:w="80" w:type="dxa"/>
              <w:start w:w="100" w:type="dxa"/>
              <w:bottom w:w="80" w:type="dxa"/>
              <w:end w:w="100" w:type="dxa"/>
            </w:tcMar>
          </w:tcPr>
          <w:p>
            <w:pPr>
              <w:pStyle w:val="CTABody"/>
              <w:spacing w:after="40"/>
            </w:pPr>
            <w:r/>
            <w:r>
              <w:t>3. Scope of competence is actual ability</w:t>
            </w:r>
          </w:p>
        </w:tc>
        <w:tc>
          <w:tcPr>
            <w:tcW w:type="dxa" w:w="3349"/>
            <w:vAlign w:val="center"/>
            <w:tcMar>
              <w:top w:w="80" w:type="dxa"/>
              <w:start w:w="100" w:type="dxa"/>
              <w:bottom w:w="80" w:type="dxa"/>
              <w:end w:w="100" w:type="dxa"/>
            </w:tcMar>
          </w:tcPr>
          <w:p>
            <w:pPr>
              <w:pStyle w:val="CTABody"/>
              <w:spacing w:after="40"/>
            </w:pPr>
            <w:r/>
            <w:r>
              <w:t>Competence depends on relevant education, training, supervised or supported experience, practical skill, judgment, cultural responsiveness, risk management, and current functioning.</w:t>
            </w:r>
          </w:p>
        </w:tc>
        <w:tc>
          <w:tcPr>
            <w:tcW w:type="dxa" w:w="3348"/>
            <w:vAlign w:val="center"/>
            <w:tcMar>
              <w:top w:w="80" w:type="dxa"/>
              <w:start w:w="100" w:type="dxa"/>
              <w:bottom w:w="80" w:type="dxa"/>
              <w:end w:w="100" w:type="dxa"/>
            </w:tcMar>
          </w:tcPr>
          <w:p>
            <w:pPr>
              <w:pStyle w:val="CTABody"/>
              <w:spacing w:after="40"/>
            </w:pPr>
            <w:r/>
            <w:r>
              <w:t>A lawful service may still exceed the individual clinician’s present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Competence is specific and current</w:t>
            </w:r>
          </w:p>
        </w:tc>
        <w:tc>
          <w:tcPr>
            <w:tcW w:type="dxa" w:w="3349"/>
            <w:vAlign w:val="center"/>
            <w:tcMar>
              <w:top w:w="80" w:type="dxa"/>
              <w:start w:w="100" w:type="dxa"/>
              <w:bottom w:w="80" w:type="dxa"/>
              <w:end w:w="100" w:type="dxa"/>
            </w:tcMar>
            <w:shd w:fill="F4F6F8"/>
          </w:tcPr>
          <w:p>
            <w:pPr>
              <w:pStyle w:val="CTABody"/>
              <w:spacing w:after="40"/>
            </w:pPr>
            <w:r/>
            <w:r>
              <w:t>Competence is evaluated for the actual client, population, condition, intervention, setting, technology, role, complexity, and risk at the time of service.</w:t>
            </w:r>
          </w:p>
        </w:tc>
        <w:tc>
          <w:tcPr>
            <w:tcW w:type="dxa" w:w="3348"/>
            <w:vAlign w:val="center"/>
            <w:tcMar>
              <w:top w:w="80" w:type="dxa"/>
              <w:start w:w="100" w:type="dxa"/>
              <w:bottom w:w="80" w:type="dxa"/>
              <w:end w:w="100" w:type="dxa"/>
            </w:tcMar>
            <w:shd w:fill="F4F6F8"/>
          </w:tcPr>
          <w:p>
            <w:pPr>
              <w:pStyle w:val="CTABody"/>
              <w:spacing w:after="40"/>
            </w:pPr>
            <w:r/>
            <w:r>
              <w:t>Do not answer the global question “Is this a good therapist?” Ask whether this clinician can provide this service safely now.</w:t>
            </w:r>
          </w:p>
        </w:tc>
      </w:tr>
    </w:tbl>
    <w:p>
      <w:pPr>
        <w:spacing w:after="20"/>
      </w:pPr>
    </w:p>
    <w:p>
      <w:pPr>
        <w:pStyle w:val="Heading3"/>
        <w:keepNext/>
      </w:pPr>
      <w:r>
        <w:rPr/>
        <w:t>Facts That Do Not Answer the Competence Question</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Reassuring Fact</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Why It Is Not Enough</w:t>
            </w:r>
          </w:p>
        </w:tc>
      </w:tr>
      <w:tr>
        <w:trPr>
          <w:cantSplit w:val="1"/>
        </w:trPr>
        <w:tc>
          <w:tcPr>
            <w:tcW w:type="dxa" w:w="5023"/>
            <w:vAlign w:val="center"/>
            <w:tcMar>
              <w:top w:w="80" w:type="dxa"/>
              <w:start w:w="100" w:type="dxa"/>
              <w:bottom w:w="80" w:type="dxa"/>
              <w:end w:w="100" w:type="dxa"/>
            </w:tcMar>
          </w:tcPr>
          <w:p>
            <w:pPr>
              <w:pStyle w:val="CTABody"/>
              <w:spacing w:after="40"/>
            </w:pPr>
            <w:r/>
            <w:r>
              <w:t>Valid license</w:t>
            </w:r>
          </w:p>
        </w:tc>
        <w:tc>
          <w:tcPr>
            <w:tcW w:type="dxa" w:w="5023"/>
            <w:vAlign w:val="center"/>
            <w:tcMar>
              <w:top w:w="80" w:type="dxa"/>
              <w:start w:w="100" w:type="dxa"/>
              <w:bottom w:w="80" w:type="dxa"/>
              <w:end w:w="100" w:type="dxa"/>
            </w:tcMar>
          </w:tcPr>
          <w:p>
            <w:pPr>
              <w:pStyle w:val="CTABody"/>
              <w:spacing w:after="40"/>
            </w:pPr>
            <w:r/>
            <w:r>
              <w:t>Establishes status and legal scope, not universal expertise.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Confidence or comfort</w:t>
            </w:r>
          </w:p>
        </w:tc>
        <w:tc>
          <w:tcPr>
            <w:tcW w:type="dxa" w:w="5023"/>
            <w:vAlign w:val="center"/>
            <w:tcMar>
              <w:top w:w="80" w:type="dxa"/>
              <w:start w:w="100" w:type="dxa"/>
              <w:bottom w:w="80" w:type="dxa"/>
              <w:end w:w="100" w:type="dxa"/>
            </w:tcMar>
            <w:shd w:fill="F4F6F8"/>
          </w:tcPr>
          <w:p>
            <w:pPr>
              <w:pStyle w:val="CTABody"/>
              <w:spacing w:after="40"/>
            </w:pPr>
            <w:r/>
            <w:r>
              <w:t>May be sincere while essential knowledge or skill is missing.</w:t>
            </w:r>
          </w:p>
        </w:tc>
      </w:tr>
      <w:tr>
        <w:trPr>
          <w:cantSplit w:val="1"/>
        </w:trPr>
        <w:tc>
          <w:tcPr>
            <w:tcW w:type="dxa" w:w="5023"/>
            <w:vAlign w:val="center"/>
            <w:tcMar>
              <w:top w:w="80" w:type="dxa"/>
              <w:start w:w="100" w:type="dxa"/>
              <w:bottom w:w="80" w:type="dxa"/>
              <w:end w:w="100" w:type="dxa"/>
            </w:tcMar>
          </w:tcPr>
          <w:p>
            <w:pPr>
              <w:pStyle w:val="CTABody"/>
              <w:spacing w:after="40"/>
            </w:pPr>
            <w:r/>
            <w:r>
              <w:t>Many years in practice</w:t>
            </w:r>
          </w:p>
        </w:tc>
        <w:tc>
          <w:tcPr>
            <w:tcW w:type="dxa" w:w="5023"/>
            <w:vAlign w:val="center"/>
            <w:tcMar>
              <w:top w:w="80" w:type="dxa"/>
              <w:start w:w="100" w:type="dxa"/>
              <w:bottom w:w="80" w:type="dxa"/>
              <w:end w:w="100" w:type="dxa"/>
            </w:tcMar>
          </w:tcPr>
          <w:p>
            <w:pPr>
              <w:pStyle w:val="CTABody"/>
              <w:spacing w:after="40"/>
            </w:pPr>
            <w:r/>
            <w:r>
              <w:t>May be unrelated to the population, intervention, role, or risk.</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Client preference or consent</w:t>
            </w:r>
          </w:p>
        </w:tc>
        <w:tc>
          <w:tcPr>
            <w:tcW w:type="dxa" w:w="5023"/>
            <w:vAlign w:val="center"/>
            <w:tcMar>
              <w:top w:w="80" w:type="dxa"/>
              <w:start w:w="100" w:type="dxa"/>
              <w:bottom w:w="80" w:type="dxa"/>
              <w:end w:w="100" w:type="dxa"/>
            </w:tcMar>
            <w:shd w:fill="F4F6F8"/>
          </w:tcPr>
          <w:p>
            <w:pPr>
              <w:pStyle w:val="CTABody"/>
              <w:spacing w:after="40"/>
            </w:pPr>
            <w:r/>
            <w:r>
              <w:t>Cannot create authority, competence, objectivity, or safety.</w:t>
            </w:r>
          </w:p>
        </w:tc>
      </w:tr>
      <w:tr>
        <w:trPr>
          <w:cantSplit w:val="1"/>
        </w:trPr>
        <w:tc>
          <w:tcPr>
            <w:tcW w:type="dxa" w:w="5023"/>
            <w:vAlign w:val="center"/>
            <w:tcMar>
              <w:top w:w="80" w:type="dxa"/>
              <w:start w:w="100" w:type="dxa"/>
              <w:bottom w:w="80" w:type="dxa"/>
              <w:end w:w="100" w:type="dxa"/>
            </w:tcMar>
          </w:tcPr>
          <w:p>
            <w:pPr>
              <w:pStyle w:val="CTABody"/>
              <w:spacing w:after="40"/>
            </w:pPr>
            <w:r/>
            <w:r>
              <w:t>No prior complaints</w:t>
            </w:r>
          </w:p>
        </w:tc>
        <w:tc>
          <w:tcPr>
            <w:tcW w:type="dxa" w:w="5023"/>
            <w:vAlign w:val="center"/>
            <w:tcMar>
              <w:top w:w="80" w:type="dxa"/>
              <w:start w:w="100" w:type="dxa"/>
              <w:bottom w:w="80" w:type="dxa"/>
              <w:end w:w="100" w:type="dxa"/>
            </w:tcMar>
          </w:tcPr>
          <w:p>
            <w:pPr>
              <w:pStyle w:val="CTABody"/>
              <w:spacing w:after="40"/>
            </w:pPr>
            <w:r/>
            <w:r>
              <w:t>Does not establish readiness for the present service.</w:t>
            </w:r>
          </w:p>
        </w:tc>
      </w:tr>
    </w:tbl>
    <w:p>
      <w:pPr>
        <w:spacing w:after="20"/>
      </w:pPr>
    </w:p>
    <w:p>
      <w:pPr>
        <w:pStyle w:val="Heading2"/>
        <w:keepNext/>
      </w:pPr>
      <w:r>
        <w:rPr/>
        <w:t>Concept Cluster 2: Developing and Maintaining Competence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Information can increase knowledge without creating practical skill. Preparation must match the service’s complexity, risk, and consequences.</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5. Knowledge and skill are different</w:t>
            </w:r>
          </w:p>
        </w:tc>
        <w:tc>
          <w:tcPr>
            <w:tcW w:type="dxa" w:w="3349"/>
            <w:vAlign w:val="center"/>
            <w:tcMar>
              <w:top w:w="80" w:type="dxa"/>
              <w:start w:w="100" w:type="dxa"/>
              <w:bottom w:w="80" w:type="dxa"/>
              <w:end w:w="100" w:type="dxa"/>
            </w:tcMar>
          </w:tcPr>
          <w:p>
            <w:pPr>
              <w:pStyle w:val="CTABody"/>
              <w:spacing w:after="40"/>
            </w:pPr>
            <w:r/>
            <w:r>
              <w:t>Reading, attending a webinar, or receiving advice may improve understanding without establishing the ability to assess, intervene, document, or manage complications.</w:t>
            </w:r>
          </w:p>
        </w:tc>
        <w:tc>
          <w:tcPr>
            <w:tcW w:type="dxa" w:w="3348"/>
            <w:vAlign w:val="center"/>
            <w:tcMar>
              <w:top w:w="80" w:type="dxa"/>
              <w:start w:w="100" w:type="dxa"/>
              <w:bottom w:w="80" w:type="dxa"/>
              <w:end w:w="100" w:type="dxa"/>
            </w:tcMar>
          </w:tcPr>
          <w:p>
            <w:pPr>
              <w:pStyle w:val="CTABody"/>
              <w:spacing w:after="40"/>
            </w:pPr>
            <w:r/>
            <w:r>
              <w:t>Look for practice, observation, feedback, supported experience, or demonstrated skill when the service is specialized or high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Competence may be expanded safely</w:t>
            </w:r>
          </w:p>
        </w:tc>
        <w:tc>
          <w:tcPr>
            <w:tcW w:type="dxa" w:w="3349"/>
            <w:vAlign w:val="center"/>
            <w:tcMar>
              <w:top w:w="80" w:type="dxa"/>
              <w:start w:w="100" w:type="dxa"/>
              <w:bottom w:w="80" w:type="dxa"/>
              <w:end w:w="100" w:type="dxa"/>
            </w:tcMar>
            <w:shd w:fill="F4F6F8"/>
          </w:tcPr>
          <w:p>
            <w:pPr>
              <w:pStyle w:val="CTABody"/>
              <w:spacing w:after="40"/>
            </w:pPr>
            <w:r/>
            <w:r>
              <w:t>Clinicians may enter new areas through education, supervised or otherwise appropriately supported practice, consultation, collaboration, graduated responsibility, and outcome monitoring.</w:t>
            </w:r>
          </w:p>
        </w:tc>
        <w:tc>
          <w:tcPr>
            <w:tcW w:type="dxa" w:w="3348"/>
            <w:vAlign w:val="center"/>
            <w:tcMar>
              <w:top w:w="80" w:type="dxa"/>
              <w:start w:w="100" w:type="dxa"/>
              <w:bottom w:w="80" w:type="dxa"/>
              <w:end w:w="100" w:type="dxa"/>
            </w:tcMar>
            <w:shd w:fill="F4F6F8"/>
          </w:tcPr>
          <w:p>
            <w:pPr>
              <w:pStyle w:val="CTABody"/>
              <w:spacing w:after="40"/>
            </w:pPr>
            <w:r/>
            <w:r>
              <w:t>Clients should not become unprotected practice opportunities. The development plan must fit the risk and the clinician’s current level.</w:t>
            </w:r>
          </w:p>
        </w:tc>
      </w:tr>
      <w:tr>
        <w:trPr>
          <w:cantSplit w:val="1"/>
        </w:trPr>
        <w:tc>
          <w:tcPr>
            <w:tcW w:type="dxa" w:w="3349"/>
            <w:vAlign w:val="center"/>
            <w:tcMar>
              <w:top w:w="80" w:type="dxa"/>
              <w:start w:w="100" w:type="dxa"/>
              <w:bottom w:w="80" w:type="dxa"/>
              <w:end w:w="100" w:type="dxa"/>
            </w:tcMar>
          </w:tcPr>
          <w:p>
            <w:pPr>
              <w:pStyle w:val="CTABody"/>
              <w:spacing w:after="40"/>
            </w:pPr>
            <w:r/>
            <w:r>
              <w:t>7. Competence must be maintained</w:t>
            </w:r>
          </w:p>
        </w:tc>
        <w:tc>
          <w:tcPr>
            <w:tcW w:type="dxa" w:w="3349"/>
            <w:vAlign w:val="center"/>
            <w:tcMar>
              <w:top w:w="80" w:type="dxa"/>
              <w:start w:w="100" w:type="dxa"/>
              <w:bottom w:w="80" w:type="dxa"/>
              <w:end w:w="100" w:type="dxa"/>
            </w:tcMar>
          </w:tcPr>
          <w:p>
            <w:pPr>
              <w:pStyle w:val="CTABody"/>
              <w:spacing w:after="40"/>
            </w:pPr>
            <w:r/>
            <w:r>
              <w:t>Law, standards, evidence, technology, cultural knowledge, client needs, and the clinician’s functioning change over time.</w:t>
            </w:r>
          </w:p>
        </w:tc>
        <w:tc>
          <w:tcPr>
            <w:tcW w:type="dxa" w:w="3348"/>
            <w:vAlign w:val="center"/>
            <w:tcMar>
              <w:top w:w="80" w:type="dxa"/>
              <w:start w:w="100" w:type="dxa"/>
              <w:bottom w:w="80" w:type="dxa"/>
              <w:end w:w="100" w:type="dxa"/>
            </w:tcMar>
          </w:tcPr>
          <w:p>
            <w:pPr>
              <w:pStyle w:val="CTABody"/>
              <w:spacing w:after="40"/>
            </w:pPr>
            <w:r/>
            <w:r>
              <w:t>Past training and an active license do not eliminate the need to verify current authority and refresh unused skills.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8. CE compliance is not the same as competence</w:t>
            </w:r>
          </w:p>
        </w:tc>
        <w:tc>
          <w:tcPr>
            <w:tcW w:type="dxa" w:w="3349"/>
            <w:vAlign w:val="center"/>
            <w:tcMar>
              <w:top w:w="80" w:type="dxa"/>
              <w:start w:w="100" w:type="dxa"/>
              <w:bottom w:w="80" w:type="dxa"/>
              <w:end w:w="100" w:type="dxa"/>
            </w:tcMar>
            <w:shd w:fill="F4F6F8"/>
          </w:tcPr>
          <w:p>
            <w:pPr>
              <w:pStyle w:val="CTABody"/>
              <w:spacing w:after="40"/>
            </w:pPr>
            <w:r/>
            <w:r>
              <w:t>Required continuing-education hours support renewal, but the content chosen may not address the clinician’s actual practice gaps.</w:t>
            </w:r>
          </w:p>
        </w:tc>
        <w:tc>
          <w:tcPr>
            <w:tcW w:type="dxa" w:w="3348"/>
            <w:vAlign w:val="center"/>
            <w:tcMar>
              <w:top w:w="80" w:type="dxa"/>
              <w:start w:w="100" w:type="dxa"/>
              <w:bottom w:w="80" w:type="dxa"/>
              <w:end w:w="100" w:type="dxa"/>
            </w:tcMar>
            <w:shd w:fill="F4F6F8"/>
          </w:tcPr>
          <w:p>
            <w:pPr>
              <w:pStyle w:val="CTABody"/>
              <w:spacing w:after="40"/>
            </w:pPr>
            <w:r/>
            <w:r>
              <w:t>When the stem shows an outdated method or repeated difficulty, choose targeted learning and correction—not merely proof that hours were completed.</w:t>
            </w:r>
          </w:p>
        </w:tc>
      </w:tr>
    </w:tbl>
    <w:p>
      <w:pPr>
        <w:spacing w:after="20"/>
      </w:pPr>
    </w:p>
    <w:p>
      <w:pPr>
        <w:pStyle w:val="Heading3"/>
        <w:keepNext/>
      </w:pPr>
      <w:r>
        <w:rPr/>
        <w:t>Two Competence Areas the Exam Explicitly Includes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Area</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What Competent Practice Requires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Common Error</w:t>
            </w:r>
          </w:p>
        </w:tc>
      </w:tr>
      <w:tr>
        <w:trPr>
          <w:cantSplit w:val="1"/>
        </w:trPr>
        <w:tc>
          <w:tcPr>
            <w:tcW w:type="dxa" w:w="3349"/>
            <w:vAlign w:val="center"/>
            <w:tcMar>
              <w:top w:w="80" w:type="dxa"/>
              <w:start w:w="100" w:type="dxa"/>
              <w:bottom w:w="80" w:type="dxa"/>
              <w:end w:w="100" w:type="dxa"/>
            </w:tcMar>
          </w:tcPr>
          <w:p>
            <w:pPr>
              <w:pStyle w:val="CTABody"/>
              <w:spacing w:after="40"/>
            </w:pPr>
            <w:r/>
            <w:r>
              <w:t>Cultural responsiveness</w:t>
            </w:r>
          </w:p>
        </w:tc>
        <w:tc>
          <w:tcPr>
            <w:tcW w:type="dxa" w:w="3349"/>
            <w:vAlign w:val="center"/>
            <w:tcMar>
              <w:top w:w="80" w:type="dxa"/>
              <w:start w:w="100" w:type="dxa"/>
              <w:bottom w:w="80" w:type="dxa"/>
              <w:end w:w="100" w:type="dxa"/>
            </w:tcMar>
          </w:tcPr>
          <w:p>
            <w:pPr>
              <w:pStyle w:val="CTABody"/>
              <w:spacing w:after="40"/>
            </w:pPr>
            <w:r/>
            <w:r>
              <w:t>Curiosity, humility, individualized assessment, language access or adaptation, recognition of bias, and additional preparation when knowledge is insufficient.</w:t>
            </w:r>
          </w:p>
        </w:tc>
        <w:tc>
          <w:tcPr>
            <w:tcW w:type="dxa" w:w="3348"/>
            <w:vAlign w:val="center"/>
            <w:tcMar>
              <w:top w:w="80" w:type="dxa"/>
              <w:start w:w="100" w:type="dxa"/>
              <w:bottom w:w="80" w:type="dxa"/>
              <w:end w:w="100" w:type="dxa"/>
            </w:tcMar>
          </w:tcPr>
          <w:p>
            <w:pPr>
              <w:pStyle w:val="CTABody"/>
              <w:spacing w:after="40"/>
            </w:pPr>
            <w:r/>
            <w:r>
              <w:t>Memorizing stereotypes or assuming one course completes cultural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Current professional functioning</w:t>
            </w:r>
          </w:p>
        </w:tc>
        <w:tc>
          <w:tcPr>
            <w:tcW w:type="dxa" w:w="3349"/>
            <w:vAlign w:val="center"/>
            <w:tcMar>
              <w:top w:w="80" w:type="dxa"/>
              <w:start w:w="100" w:type="dxa"/>
              <w:bottom w:w="80" w:type="dxa"/>
              <w:end w:w="100" w:type="dxa"/>
            </w:tcMar>
            <w:shd w:fill="F4F6F8"/>
          </w:tcPr>
          <w:p>
            <w:pPr>
              <w:pStyle w:val="CTABody"/>
              <w:spacing w:after="40"/>
            </w:pPr>
            <w:r/>
            <w:r>
              <w:t>Monitoring fatigue, illness, stress, workload, emotional distress, substance use, values, countertransference, and other factors that may impair performance.</w:t>
            </w:r>
          </w:p>
        </w:tc>
        <w:tc>
          <w:tcPr>
            <w:tcW w:type="dxa" w:w="3348"/>
            <w:vAlign w:val="center"/>
            <w:tcMar>
              <w:top w:w="80" w:type="dxa"/>
              <w:start w:w="100" w:type="dxa"/>
              <w:bottom w:w="80" w:type="dxa"/>
              <w:end w:w="100" w:type="dxa"/>
            </w:tcMar>
            <w:shd w:fill="F4F6F8"/>
          </w:tcPr>
          <w:p>
            <w:pPr>
              <w:pStyle w:val="CTABody"/>
              <w:spacing w:after="40"/>
            </w:pPr>
            <w:r/>
            <w:r>
              <w:t>Assuming strong credentials eliminate the effect of present impairment.</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DISTINCTION A limitation is not automatically proof of disciplinary incompetence. It is a signal requiring assessment and a proportionate response. The greater concern is proceeding without addressing a known or reasonably apparent gap.</w:t>
            </w:r>
          </w:p>
        </w:tc>
      </w:tr>
    </w:tbl>
    <w:p>
      <w:pPr>
        <w:spacing w:after="20"/>
      </w:pPr>
    </w:p>
    <w:p>
      <w:pPr>
        <w:pStyle w:val="Heading2"/>
        <w:keepNext/>
      </w:pPr>
      <w:r>
        <w:rPr/>
        <w:t>Concept Cluster 3: Assistance, Supervision, and Accountability</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Choose the resource that matches the problem. A helpful resource does not become a substitute for authority, competence, urgent action, or professional responsibility.</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9. Consultation is focused professional input</w:t>
            </w:r>
          </w:p>
        </w:tc>
        <w:tc>
          <w:tcPr>
            <w:tcW w:type="dxa" w:w="3349"/>
            <w:vAlign w:val="center"/>
            <w:tcMar>
              <w:top w:w="80" w:type="dxa"/>
              <w:start w:w="100" w:type="dxa"/>
              <w:bottom w:w="80" w:type="dxa"/>
              <w:end w:w="100" w:type="dxa"/>
            </w:tcMar>
          </w:tcPr>
          <w:p>
            <w:pPr>
              <w:pStyle w:val="CTABody"/>
              <w:spacing w:after="40"/>
            </w:pPr>
            <w:r/>
            <w:r>
              <w:t>Consultation adds expertise or perspective while the treating clinician generally retains the case and the final decision.</w:t>
            </w:r>
          </w:p>
        </w:tc>
        <w:tc>
          <w:tcPr>
            <w:tcW w:type="dxa" w:w="3348"/>
            <w:vAlign w:val="center"/>
            <w:tcMar>
              <w:top w:w="80" w:type="dxa"/>
              <w:start w:w="100" w:type="dxa"/>
              <w:bottom w:w="80" w:type="dxa"/>
              <w:end w:w="100" w:type="dxa"/>
            </w:tcMar>
          </w:tcPr>
          <w:p>
            <w:pPr>
              <w:pStyle w:val="CTABody"/>
              <w:spacing w:after="40"/>
            </w:pPr>
            <w:r/>
            <w:r>
              <w:t>Select an issue-specific consultant, protect confidentiality, provide accurate facts, evaluate the advice, and do not claim that consultation created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10. Supervision is formal oversight</w:t>
            </w:r>
          </w:p>
        </w:tc>
        <w:tc>
          <w:tcPr>
            <w:tcW w:type="dxa" w:w="3349"/>
            <w:vAlign w:val="center"/>
            <w:tcMar>
              <w:top w:w="80" w:type="dxa"/>
              <w:start w:w="100" w:type="dxa"/>
              <w:bottom w:w="80" w:type="dxa"/>
              <w:end w:w="100" w:type="dxa"/>
            </w:tcMar>
            <w:shd w:fill="F4F6F8"/>
          </w:tcPr>
          <w:p>
            <w:pPr>
              <w:pStyle w:val="CTABody"/>
              <w:spacing w:after="40"/>
            </w:pPr>
            <w:r/>
            <w:r>
              <w:t>Supervision may include direction, observation, review, evaluation, feedback, remediation, quality control, accountability, and gatekeeping within a recognized relationship.</w:t>
            </w:r>
          </w:p>
        </w:tc>
        <w:tc>
          <w:tcPr>
            <w:tcW w:type="dxa" w:w="3348"/>
            <w:vAlign w:val="center"/>
            <w:tcMar>
              <w:top w:w="80" w:type="dxa"/>
              <w:start w:w="100" w:type="dxa"/>
              <w:bottom w:w="80" w:type="dxa"/>
              <w:end w:w="100" w:type="dxa"/>
            </w:tcMar>
            <w:shd w:fill="F4F6F8"/>
          </w:tcPr>
          <w:p>
            <w:pPr>
              <w:pStyle w:val="CTABody"/>
              <w:spacing w:after="40"/>
            </w:pPr>
            <w:r/>
            <w:r>
              <w:t>Peer discussion cannot replace required BBS supervision. Minimum contact does not always equal adequate oversight.</w:t>
            </w:r>
          </w:p>
        </w:tc>
      </w:tr>
      <w:tr>
        <w:trPr>
          <w:cantSplit w:val="1"/>
        </w:trPr>
        <w:tc>
          <w:tcPr>
            <w:tcW w:type="dxa" w:w="3349"/>
            <w:vAlign w:val="center"/>
            <w:tcMar>
              <w:top w:w="80" w:type="dxa"/>
              <w:start w:w="100" w:type="dxa"/>
              <w:bottom w:w="80" w:type="dxa"/>
              <w:end w:w="100" w:type="dxa"/>
            </w:tcMar>
          </w:tcPr>
          <w:p>
            <w:pPr>
              <w:pStyle w:val="CTABody"/>
              <w:spacing w:after="40"/>
            </w:pPr>
            <w:r/>
            <w:r>
              <w:t>11. Supervisor and supervisee duties differ</w:t>
            </w:r>
          </w:p>
        </w:tc>
        <w:tc>
          <w:tcPr>
            <w:tcW w:type="dxa" w:w="3349"/>
            <w:vAlign w:val="center"/>
            <w:tcMar>
              <w:top w:w="80" w:type="dxa"/>
              <w:start w:w="100" w:type="dxa"/>
              <w:bottom w:w="80" w:type="dxa"/>
              <w:end w:w="100" w:type="dxa"/>
            </w:tcMar>
          </w:tcPr>
          <w:p>
            <w:pPr>
              <w:pStyle w:val="CTABody"/>
              <w:spacing w:after="40"/>
            </w:pPr>
            <w:r/>
            <w:r>
              <w:t>The supervisor is responsible for controlling and monitoring service quality; the supervisee must disclose accurately, prepare, report concerns and mistakes, seek clarification, and follow lawful direction.</w:t>
            </w:r>
          </w:p>
        </w:tc>
        <w:tc>
          <w:tcPr>
            <w:tcW w:type="dxa" w:w="3348"/>
            <w:vAlign w:val="center"/>
            <w:tcMar>
              <w:top w:w="80" w:type="dxa"/>
              <w:start w:w="100" w:type="dxa"/>
              <w:bottom w:w="80" w:type="dxa"/>
              <w:end w:w="100" w:type="dxa"/>
            </w:tcMar>
          </w:tcPr>
          <w:p>
            <w:pPr>
              <w:pStyle w:val="CTABody"/>
              <w:spacing w:after="40"/>
            </w:pPr>
            <w:r/>
            <w:r>
              <w:t>Avoid answers that place all responsibility on one person or treat the supervisor’s title as permission to act unlawfully or unsafely.</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12. Feedback must lead to follow-through</w:t>
            </w:r>
          </w:p>
        </w:tc>
        <w:tc>
          <w:tcPr>
            <w:tcW w:type="dxa" w:w="3349"/>
            <w:vAlign w:val="center"/>
            <w:tcMar>
              <w:top w:w="80" w:type="dxa"/>
              <w:start w:w="100" w:type="dxa"/>
              <w:bottom w:w="80" w:type="dxa"/>
              <w:end w:w="100" w:type="dxa"/>
            </w:tcMar>
            <w:shd w:fill="F4F6F8"/>
          </w:tcPr>
          <w:p>
            <w:pPr>
              <w:pStyle w:val="CTABody"/>
              <w:spacing w:after="40"/>
            </w:pPr>
            <w:r/>
            <w:r>
              <w:t>Effective feedback is specific, behavior-based, timely, connected to client impact or a standard, and paired with a measurable next step.</w:t>
            </w:r>
          </w:p>
        </w:tc>
        <w:tc>
          <w:tcPr>
            <w:tcW w:type="dxa" w:w="3348"/>
            <w:vAlign w:val="center"/>
            <w:tcMar>
              <w:top w:w="80" w:type="dxa"/>
              <w:start w:w="100" w:type="dxa"/>
              <w:bottom w:w="80" w:type="dxa"/>
              <w:end w:w="100" w:type="dxa"/>
            </w:tcMar>
            <w:shd w:fill="F4F6F8"/>
          </w:tcPr>
          <w:p>
            <w:pPr>
              <w:pStyle w:val="CTABody"/>
              <w:spacing w:after="40"/>
            </w:pPr>
            <w:r/>
            <w:r>
              <w:t>Honest disclosure, correction, reassessment, and gatekeeping are stronger than defensiveness, concealment, vague criticism, or automatic approval of hours.</w:t>
            </w:r>
          </w:p>
        </w:tc>
      </w:tr>
    </w:tbl>
    <w:p>
      <w:pPr>
        <w:spacing w:after="20"/>
      </w:pPr>
    </w:p>
    <w:p>
      <w:pPr>
        <w:pStyle w:val="Heading3"/>
        <w:keepNext/>
      </w:pPr>
      <w:r>
        <w:rPr/>
        <w:t>Know What Each Resource Can and Cannot Do</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Can Help</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Cannot By Itself</w:t>
            </w:r>
          </w:p>
        </w:tc>
      </w:tr>
      <w:tr>
        <w:trPr>
          <w:cantSplit w:val="1"/>
        </w:trPr>
        <w:tc>
          <w:tcPr>
            <w:tcW w:type="dxa" w:w="3349"/>
            <w:vAlign w:val="center"/>
            <w:tcMar>
              <w:top w:w="80" w:type="dxa"/>
              <w:start w:w="100" w:type="dxa"/>
              <w:bottom w:w="80" w:type="dxa"/>
              <w:end w:w="100" w:type="dxa"/>
            </w:tcMar>
          </w:tcPr>
          <w:p>
            <w:pPr>
              <w:pStyle w:val="CTABody"/>
              <w:spacing w:after="40"/>
            </w:pPr>
            <w:r/>
            <w:r>
              <w:t>Consultation</w:t>
            </w:r>
          </w:p>
        </w:tc>
        <w:tc>
          <w:tcPr>
            <w:tcW w:type="dxa" w:w="3349"/>
            <w:vAlign w:val="center"/>
            <w:tcMar>
              <w:top w:w="80" w:type="dxa"/>
              <w:start w:w="100" w:type="dxa"/>
              <w:bottom w:w="80" w:type="dxa"/>
              <w:end w:w="100" w:type="dxa"/>
            </w:tcMar>
          </w:tcPr>
          <w:p>
            <w:pPr>
              <w:pStyle w:val="CTABody"/>
              <w:spacing w:after="40"/>
            </w:pPr>
            <w:r/>
            <w:r>
              <w:t>Clarify facts, options, risk, law, culture, or technique.</w:t>
            </w:r>
          </w:p>
        </w:tc>
        <w:tc>
          <w:tcPr>
            <w:tcW w:type="dxa" w:w="3348"/>
            <w:vAlign w:val="center"/>
            <w:tcMar>
              <w:top w:w="80" w:type="dxa"/>
              <w:start w:w="100" w:type="dxa"/>
              <w:bottom w:w="80" w:type="dxa"/>
              <w:end w:w="100" w:type="dxa"/>
            </w:tcMar>
          </w:tcPr>
          <w:p>
            <w:pPr>
              <w:pStyle w:val="CTABody"/>
              <w:spacing w:after="40"/>
            </w:pPr>
            <w:r/>
            <w:r>
              <w:t>Create legal authority, transfer responsibility, replace required supervision, or justify delay.</w:t>
            </w:r>
          </w:p>
        </w:tc>
      </w:tr>
      <w:tr>
        <w:trPr>
          <w:cantSplit w:val="1"/>
        </w:trPr>
        <w:tc>
          <w:tcPr>
            <w:tcW w:type="dxa" w:w="3349"/>
            <w:vAlign w:val="center"/>
            <w:tcMar>
              <w:top w:w="80" w:type="dxa"/>
              <w:start w:w="100" w:type="dxa"/>
              <w:bottom w:w="80" w:type="dxa"/>
              <w:end w:w="100" w:type="dxa"/>
            </w:tcMar>
            <w:shd w:fill="F4F6F8"/>
          </w:tcPr>
          <w:p>
            <w:pPr>
              <w:pStyle w:val="CTABody"/>
              <w:spacing w:after="40"/>
            </w:pPr>
            <w:r/>
            <w:r>
              <w:t>Training</w:t>
            </w:r>
          </w:p>
        </w:tc>
        <w:tc>
          <w:tcPr>
            <w:tcW w:type="dxa" w:w="3349"/>
            <w:vAlign w:val="center"/>
            <w:tcMar>
              <w:top w:w="80" w:type="dxa"/>
              <w:start w:w="100" w:type="dxa"/>
              <w:bottom w:w="80" w:type="dxa"/>
              <w:end w:w="100" w:type="dxa"/>
            </w:tcMar>
            <w:shd w:fill="F4F6F8"/>
          </w:tcPr>
          <w:p>
            <w:pPr>
              <w:pStyle w:val="CTABody"/>
              <w:spacing w:after="40"/>
            </w:pPr>
            <w:r/>
            <w:r>
              <w:t>Develop knowledge and sometimes skill over time.</w:t>
            </w:r>
          </w:p>
        </w:tc>
        <w:tc>
          <w:tcPr>
            <w:tcW w:type="dxa" w:w="3348"/>
            <w:vAlign w:val="center"/>
            <w:tcMar>
              <w:top w:w="80" w:type="dxa"/>
              <w:start w:w="100" w:type="dxa"/>
              <w:bottom w:w="80" w:type="dxa"/>
              <w:end w:w="100" w:type="dxa"/>
            </w:tcMar>
            <w:shd w:fill="F4F6F8"/>
          </w:tcPr>
          <w:p>
            <w:pPr>
              <w:pStyle w:val="CTABody"/>
              <w:spacing w:after="40"/>
            </w:pPr>
            <w:r/>
            <w:r>
              <w:t>Prove immediate competence merely because attendance occurred.</w:t>
            </w:r>
          </w:p>
        </w:tc>
      </w:tr>
      <w:tr>
        <w:trPr>
          <w:cantSplit w:val="1"/>
        </w:trPr>
        <w:tc>
          <w:tcPr>
            <w:tcW w:type="dxa" w:w="3349"/>
            <w:vAlign w:val="center"/>
            <w:tcMar>
              <w:top w:w="80" w:type="dxa"/>
              <w:start w:w="100" w:type="dxa"/>
              <w:bottom w:w="80" w:type="dxa"/>
              <w:end w:w="100" w:type="dxa"/>
            </w:tcMar>
          </w:tcPr>
          <w:p>
            <w:pPr>
              <w:pStyle w:val="CTABody"/>
              <w:spacing w:after="40"/>
            </w:pPr>
            <w:r/>
            <w:r>
              <w:t>Supervision</w:t>
            </w:r>
          </w:p>
        </w:tc>
        <w:tc>
          <w:tcPr>
            <w:tcW w:type="dxa" w:w="3349"/>
            <w:vAlign w:val="center"/>
            <w:tcMar>
              <w:top w:w="80" w:type="dxa"/>
              <w:start w:w="100" w:type="dxa"/>
              <w:bottom w:w="80" w:type="dxa"/>
              <w:end w:w="100" w:type="dxa"/>
            </w:tcMar>
          </w:tcPr>
          <w:p>
            <w:pPr>
              <w:pStyle w:val="CTABody"/>
              <w:spacing w:after="40"/>
            </w:pPr>
            <w:r/>
            <w:r>
              <w:t>Provide formal oversight, evaluation, direction, and quality control.</w:t>
            </w:r>
          </w:p>
        </w:tc>
        <w:tc>
          <w:tcPr>
            <w:tcW w:type="dxa" w:w="3348"/>
            <w:vAlign w:val="center"/>
            <w:tcMar>
              <w:top w:w="80" w:type="dxa"/>
              <w:start w:w="100" w:type="dxa"/>
              <w:bottom w:w="80" w:type="dxa"/>
              <w:end w:w="100" w:type="dxa"/>
            </w:tcMar>
          </w:tcPr>
          <w:p>
            <w:pPr>
              <w:pStyle w:val="CTABody"/>
              <w:spacing w:after="40"/>
            </w:pPr>
            <w:r/>
            <w:r>
              <w:t>Expand statutory scope or make every assignment suitable.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Collaboration</w:t>
            </w:r>
          </w:p>
        </w:tc>
        <w:tc>
          <w:tcPr>
            <w:tcW w:type="dxa" w:w="3349"/>
            <w:vAlign w:val="center"/>
            <w:tcMar>
              <w:top w:w="80" w:type="dxa"/>
              <w:start w:w="100" w:type="dxa"/>
              <w:bottom w:w="80" w:type="dxa"/>
              <w:end w:w="100" w:type="dxa"/>
            </w:tcMar>
            <w:shd w:fill="F4F6F8"/>
          </w:tcPr>
          <w:p>
            <w:pPr>
              <w:pStyle w:val="CTABody"/>
              <w:spacing w:after="40"/>
            </w:pPr>
            <w:r/>
            <w:r>
              <w:t>Share expertise or coordinate care under defined roles.</w:t>
            </w:r>
          </w:p>
        </w:tc>
        <w:tc>
          <w:tcPr>
            <w:tcW w:type="dxa" w:w="3348"/>
            <w:vAlign w:val="center"/>
            <w:tcMar>
              <w:top w:w="80" w:type="dxa"/>
              <w:start w:w="100" w:type="dxa"/>
              <w:bottom w:w="80" w:type="dxa"/>
              <w:end w:w="100" w:type="dxa"/>
            </w:tcMar>
            <w:shd w:fill="F4F6F8"/>
          </w:tcPr>
          <w:p>
            <w:pPr>
              <w:pStyle w:val="CTABody"/>
              <w:spacing w:after="40"/>
            </w:pPr>
            <w:r/>
            <w:r>
              <w:t>Erase each professional’s own duties or confidentiality analysis.</w:t>
            </w:r>
          </w:p>
        </w:tc>
      </w:tr>
    </w:tbl>
    <w:p>
      <w:pPr>
        <w:spacing w:after="20"/>
      </w:pPr>
    </w:p>
    <w:p>
      <w:pPr>
        <w:pStyle w:val="Heading2"/>
        <w:keepNext/>
      </w:pPr>
      <w:r>
        <w:rPr/>
        <w:t>Concept Cluster 4: Roles, Conflicts, Boundaries, and Opinions</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Identify the role before evaluating the conduct. Treatment, evaluation, supervision, consultation, advocacy, and expert work may involve different duties, audiences, confidentiality limits, and standards of objectivity.</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13. Role defines responsibility</w:t>
            </w:r>
          </w:p>
        </w:tc>
        <w:tc>
          <w:tcPr>
            <w:tcW w:type="dxa" w:w="3349"/>
            <w:vAlign w:val="center"/>
            <w:tcMar>
              <w:top w:w="80" w:type="dxa"/>
              <w:start w:w="100" w:type="dxa"/>
              <w:bottom w:w="80" w:type="dxa"/>
              <w:end w:w="100" w:type="dxa"/>
            </w:tcMar>
          </w:tcPr>
          <w:p>
            <w:pPr>
              <w:pStyle w:val="CTABody"/>
              <w:spacing w:after="40"/>
            </w:pPr>
            <w:r/>
            <w:r>
              <w:t>Purpose, authority, intended recipient, decision-maker, confidentiality, privilege, records, objectivity, and work product determine the professional role.</w:t>
            </w:r>
          </w:p>
        </w:tc>
        <w:tc>
          <w:tcPr>
            <w:tcW w:type="dxa" w:w="3348"/>
            <w:vAlign w:val="center"/>
            <w:tcMar>
              <w:top w:w="80" w:type="dxa"/>
              <w:start w:w="100" w:type="dxa"/>
              <w:bottom w:w="80" w:type="dxa"/>
              <w:end w:w="100" w:type="dxa"/>
            </w:tcMar>
          </w:tcPr>
          <w:p>
            <w:pPr>
              <w:pStyle w:val="CTABody"/>
              <w:spacing w:after="40"/>
            </w:pPr>
            <w:r/>
            <w:r>
              <w:t>Do not rely on the generic title “therapist.” Ask what the clinician was retained, assigned, or appointed to do.</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14. Role changes require clarification</w:t>
            </w:r>
          </w:p>
        </w:tc>
        <w:tc>
          <w:tcPr>
            <w:tcW w:type="dxa" w:w="3349"/>
            <w:vAlign w:val="center"/>
            <w:tcMar>
              <w:top w:w="80" w:type="dxa"/>
              <w:start w:w="100" w:type="dxa"/>
              <w:bottom w:w="80" w:type="dxa"/>
              <w:end w:w="100" w:type="dxa"/>
            </w:tcMar>
            <w:shd w:fill="F4F6F8"/>
          </w:tcPr>
          <w:p>
            <w:pPr>
              <w:pStyle w:val="CTABody"/>
              <w:spacing w:after="40"/>
            </w:pPr>
            <w:r/>
            <w:r>
              <w:t>A treating relationship should not silently become an evaluation, expert, workplace, benefits, custody, or other decision-making role.</w:t>
            </w:r>
          </w:p>
        </w:tc>
        <w:tc>
          <w:tcPr>
            <w:tcW w:type="dxa" w:w="3348"/>
            <w:vAlign w:val="center"/>
            <w:tcMar>
              <w:top w:w="80" w:type="dxa"/>
              <w:start w:w="100" w:type="dxa"/>
              <w:bottom w:w="80" w:type="dxa"/>
              <w:end w:w="100" w:type="dxa"/>
            </w:tcMar>
            <w:shd w:fill="F4F6F8"/>
          </w:tcPr>
          <w:p>
            <w:pPr>
              <w:pStyle w:val="CTABody"/>
              <w:spacing w:after="40"/>
            </w:pPr>
            <w:r/>
            <w:r>
              <w:t>Clarify the new purpose, audience, limits, consent or authority, competence, conflicts, and whether an independent professional is needed.</w:t>
            </w:r>
          </w:p>
        </w:tc>
      </w:tr>
      <w:tr>
        <w:trPr>
          <w:cantSplit w:val="1"/>
        </w:trPr>
        <w:tc>
          <w:tcPr>
            <w:tcW w:type="dxa" w:w="3349"/>
            <w:vAlign w:val="center"/>
            <w:tcMar>
              <w:top w:w="80" w:type="dxa"/>
              <w:start w:w="100" w:type="dxa"/>
              <w:bottom w:w="80" w:type="dxa"/>
              <w:end w:w="100" w:type="dxa"/>
            </w:tcMar>
          </w:tcPr>
          <w:p>
            <w:pPr>
              <w:pStyle w:val="CTABody"/>
              <w:spacing w:after="40"/>
            </w:pPr>
            <w:r/>
            <w:r>
              <w:t>15. Multiple roles require risk analysis</w:t>
            </w:r>
          </w:p>
        </w:tc>
        <w:tc>
          <w:tcPr>
            <w:tcW w:type="dxa" w:w="3349"/>
            <w:vAlign w:val="center"/>
            <w:tcMar>
              <w:top w:w="80" w:type="dxa"/>
              <w:start w:w="100" w:type="dxa"/>
              <w:bottom w:w="80" w:type="dxa"/>
              <w:end w:w="100" w:type="dxa"/>
            </w:tcMar>
          </w:tcPr>
          <w:p>
            <w:pPr>
              <w:pStyle w:val="CTABody"/>
              <w:spacing w:after="40"/>
            </w:pPr>
            <w:r/>
            <w:r>
              <w:t>Some roles are avoidable and should be separated; some are unavoidable and need safeguards; some are incompatible with fair treatment or objective evaluation.</w:t>
            </w:r>
          </w:p>
        </w:tc>
        <w:tc>
          <w:tcPr>
            <w:tcW w:type="dxa" w:w="3348"/>
            <w:vAlign w:val="center"/>
            <w:tcMar>
              <w:top w:w="80" w:type="dxa"/>
              <w:start w:w="100" w:type="dxa"/>
              <w:bottom w:w="80" w:type="dxa"/>
              <w:end w:w="100" w:type="dxa"/>
            </w:tcMar>
          </w:tcPr>
          <w:p>
            <w:pPr>
              <w:pStyle w:val="CTABody"/>
              <w:spacing w:after="40"/>
            </w:pPr>
            <w:r/>
            <w:r>
              <w:t>Assess exploitation, impaired judgment, conflicting duties, power, informed-consent confusion, alternatives, and available protections.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16. Opinions must fit role, data, methods, and competence</w:t>
            </w:r>
          </w:p>
        </w:tc>
        <w:tc>
          <w:tcPr>
            <w:tcW w:type="dxa" w:w="3349"/>
            <w:vAlign w:val="center"/>
            <w:tcMar>
              <w:top w:w="80" w:type="dxa"/>
              <w:start w:w="100" w:type="dxa"/>
              <w:bottom w:w="80" w:type="dxa"/>
              <w:end w:w="100" w:type="dxa"/>
            </w:tcMar>
            <w:shd w:fill="F4F6F8"/>
          </w:tcPr>
          <w:p>
            <w:pPr>
              <w:pStyle w:val="CTABody"/>
              <w:spacing w:after="40"/>
            </w:pPr>
            <w:r/>
            <w:r>
              <w:t>A license does not authorize every diagnosis, assessment, forensic conclusion, causation opinion, custody recommendation, or expert statement.</w:t>
            </w:r>
          </w:p>
        </w:tc>
        <w:tc>
          <w:tcPr>
            <w:tcW w:type="dxa" w:w="3348"/>
            <w:vAlign w:val="center"/>
            <w:tcMar>
              <w:top w:w="80" w:type="dxa"/>
              <w:start w:w="100" w:type="dxa"/>
              <w:bottom w:w="80" w:type="dxa"/>
              <w:end w:w="100" w:type="dxa"/>
            </w:tcMar>
            <w:shd w:fill="F4F6F8"/>
          </w:tcPr>
          <w:p>
            <w:pPr>
              <w:pStyle w:val="CTABody"/>
              <w:spacing w:after="40"/>
            </w:pPr>
            <w:r/>
            <w:r>
              <w:t>Limit the opinion to the actual role, information obtained, reliable methods used, professional qualifications, and defensible degree of certainty.</w:t>
            </w:r>
          </w:p>
        </w:tc>
      </w:tr>
    </w:tbl>
    <w:p>
      <w:pPr>
        <w:spacing w:after="20"/>
      </w:pPr>
    </w:p>
    <w:p>
      <w:pPr>
        <w:pStyle w:val="Heading3"/>
        <w:keepNext/>
      </w:pPr>
      <w:r>
        <w:rPr/>
        <w:t>Treatment and Evaluation Are Not Interchangeable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Dimension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Treatment Role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Evaluation / Forensic Role</w:t>
            </w:r>
          </w:p>
        </w:tc>
      </w:tr>
      <w:tr>
        <w:trPr>
          <w:cantSplit w:val="1"/>
        </w:trPr>
        <w:tc>
          <w:tcPr>
            <w:tcW w:type="dxa" w:w="3349"/>
            <w:vAlign w:val="center"/>
            <w:tcMar>
              <w:top w:w="80" w:type="dxa"/>
              <w:start w:w="100" w:type="dxa"/>
              <w:bottom w:w="80" w:type="dxa"/>
              <w:end w:w="100" w:type="dxa"/>
            </w:tcMar>
          </w:tcPr>
          <w:p>
            <w:pPr>
              <w:pStyle w:val="CTABody"/>
              <w:spacing w:after="40"/>
            </w:pPr>
            <w:r/>
            <w:r>
              <w:t>Primary purpose</w:t>
            </w:r>
          </w:p>
        </w:tc>
        <w:tc>
          <w:tcPr>
            <w:tcW w:type="dxa" w:w="3349"/>
            <w:vAlign w:val="center"/>
            <w:tcMar>
              <w:top w:w="80" w:type="dxa"/>
              <w:start w:w="100" w:type="dxa"/>
              <w:bottom w:w="80" w:type="dxa"/>
              <w:end w:w="100" w:type="dxa"/>
            </w:tcMar>
          </w:tcPr>
          <w:p>
            <w:pPr>
              <w:pStyle w:val="CTABody"/>
              <w:spacing w:after="40"/>
            </w:pPr>
            <w:r/>
            <w:r>
              <w:t>Support the client’s therapeutic goals and welfare.</w:t>
            </w:r>
          </w:p>
        </w:tc>
        <w:tc>
          <w:tcPr>
            <w:tcW w:type="dxa" w:w="3348"/>
            <w:vAlign w:val="center"/>
            <w:tcMar>
              <w:top w:w="80" w:type="dxa"/>
              <w:start w:w="100" w:type="dxa"/>
              <w:bottom w:w="80" w:type="dxa"/>
              <w:end w:w="100" w:type="dxa"/>
            </w:tcMar>
          </w:tcPr>
          <w:p>
            <w:pPr>
              <w:pStyle w:val="CTABody"/>
              <w:spacing w:after="40"/>
            </w:pPr>
            <w:r/>
            <w:r>
              <w:t>Answer a defined assessment or legal question for an identified decision-maker.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Information</w:t>
            </w:r>
          </w:p>
        </w:tc>
        <w:tc>
          <w:tcPr>
            <w:tcW w:type="dxa" w:w="3349"/>
            <w:vAlign w:val="center"/>
            <w:tcMar>
              <w:top w:w="80" w:type="dxa"/>
              <w:start w:w="100" w:type="dxa"/>
              <w:bottom w:w="80" w:type="dxa"/>
              <w:end w:w="100" w:type="dxa"/>
            </w:tcMar>
            <w:shd w:fill="F4F6F8"/>
          </w:tcPr>
          <w:p>
            <w:pPr>
              <w:pStyle w:val="CTABody"/>
              <w:spacing w:after="40"/>
            </w:pPr>
            <w:r/>
            <w:r>
              <w:t>May rely on the therapeutic relationship and evolving clinical formulation.</w:t>
            </w:r>
          </w:p>
        </w:tc>
        <w:tc>
          <w:tcPr>
            <w:tcW w:type="dxa" w:w="3348"/>
            <w:vAlign w:val="center"/>
            <w:tcMar>
              <w:top w:w="80" w:type="dxa"/>
              <w:start w:w="100" w:type="dxa"/>
              <w:bottom w:w="80" w:type="dxa"/>
              <w:end w:w="100" w:type="dxa"/>
            </w:tcMar>
            <w:shd w:fill="F4F6F8"/>
          </w:tcPr>
          <w:p>
            <w:pPr>
              <w:pStyle w:val="CTABody"/>
              <w:spacing w:after="40"/>
            </w:pPr>
            <w:r/>
            <w:r>
              <w:t>Requires methods and data suited to the question, with limitations and possible collateral information.</w:t>
            </w:r>
          </w:p>
        </w:tc>
      </w:tr>
      <w:tr>
        <w:trPr>
          <w:cantSplit w:val="1"/>
        </w:trPr>
        <w:tc>
          <w:tcPr>
            <w:tcW w:type="dxa" w:w="3349"/>
            <w:vAlign w:val="center"/>
            <w:tcMar>
              <w:top w:w="80" w:type="dxa"/>
              <w:start w:w="100" w:type="dxa"/>
              <w:bottom w:w="80" w:type="dxa"/>
              <w:end w:w="100" w:type="dxa"/>
            </w:tcMar>
          </w:tcPr>
          <w:p>
            <w:pPr>
              <w:pStyle w:val="CTABody"/>
              <w:spacing w:after="40"/>
            </w:pPr>
            <w:r/>
            <w:r>
              <w:t>Objectivity</w:t>
            </w:r>
          </w:p>
        </w:tc>
        <w:tc>
          <w:tcPr>
            <w:tcW w:type="dxa" w:w="3349"/>
            <w:vAlign w:val="center"/>
            <w:tcMar>
              <w:top w:w="80" w:type="dxa"/>
              <w:start w:w="100" w:type="dxa"/>
              <w:bottom w:w="80" w:type="dxa"/>
              <w:end w:w="100" w:type="dxa"/>
            </w:tcMar>
          </w:tcPr>
          <w:p>
            <w:pPr>
              <w:pStyle w:val="CTABody"/>
              <w:spacing w:after="40"/>
            </w:pPr>
            <w:r/>
            <w:r>
              <w:t>Collaborative and intervention-focused.</w:t>
            </w:r>
          </w:p>
        </w:tc>
        <w:tc>
          <w:tcPr>
            <w:tcW w:type="dxa" w:w="3348"/>
            <w:vAlign w:val="center"/>
            <w:tcMar>
              <w:top w:w="80" w:type="dxa"/>
              <w:start w:w="100" w:type="dxa"/>
              <w:bottom w:w="80" w:type="dxa"/>
              <w:end w:w="100" w:type="dxa"/>
            </w:tcMar>
          </w:tcPr>
          <w:p>
            <w:pPr>
              <w:pStyle w:val="CTABody"/>
              <w:spacing w:after="40"/>
            </w:pPr>
            <w:r/>
            <w:r>
              <w:t>Neutrality, role clarity, and freedom from conflicting treatment loyalties are especially important.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Work product</w:t>
            </w:r>
          </w:p>
        </w:tc>
        <w:tc>
          <w:tcPr>
            <w:tcW w:type="dxa" w:w="3349"/>
            <w:vAlign w:val="center"/>
            <w:tcMar>
              <w:top w:w="80" w:type="dxa"/>
              <w:start w:w="100" w:type="dxa"/>
              <w:bottom w:w="80" w:type="dxa"/>
              <w:end w:w="100" w:type="dxa"/>
            </w:tcMar>
            <w:shd w:fill="F4F6F8"/>
          </w:tcPr>
          <w:p>
            <w:pPr>
              <w:pStyle w:val="CTABody"/>
              <w:spacing w:after="40"/>
            </w:pPr>
            <w:r/>
            <w:r>
              <w:t>Treatment plan, clinical record, progress, and care decisions.</w:t>
            </w:r>
          </w:p>
        </w:tc>
        <w:tc>
          <w:tcPr>
            <w:tcW w:type="dxa" w:w="3348"/>
            <w:vAlign w:val="center"/>
            <w:tcMar>
              <w:top w:w="80" w:type="dxa"/>
              <w:start w:w="100" w:type="dxa"/>
              <w:bottom w:w="80" w:type="dxa"/>
              <w:end w:w="100" w:type="dxa"/>
            </w:tcMar>
            <w:shd w:fill="F4F6F8"/>
          </w:tcPr>
          <w:p>
            <w:pPr>
              <w:pStyle w:val="CTABody"/>
              <w:spacing w:after="40"/>
            </w:pPr>
            <w:r/>
            <w:r>
              <w:t>Findings, opinions, report, or testimony limited to the assignment and competence.</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DO NOT CONVERT Treatment records and a therapeutic alliance do not automatically become a neutral forensic evaluation because an attorney, employer, insurer, or court requests an opinion.</w:t>
            </w:r>
          </w:p>
        </w:tc>
      </w:tr>
    </w:tbl>
    <w:p>
      <w:pPr>
        <w:spacing w:after="20"/>
      </w:pPr>
    </w:p>
    <w:p>
      <w:pPr>
        <w:pStyle w:val="Heading2"/>
        <w:keepNext/>
      </w:pPr>
      <w:r>
        <w:rPr/>
        <w:t>Concept Cluster 5: Client Protection, Referral, and Proportionate Action</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The best answer is not automatically the least disruptive or the most extreme. It is the least disruptive response that fully addresses law, urgency, competence, role, and foreseeable harm.</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17. Urgent action must not be delayed</w:t>
            </w:r>
          </w:p>
        </w:tc>
        <w:tc>
          <w:tcPr>
            <w:tcW w:type="dxa" w:w="3349"/>
            <w:vAlign w:val="center"/>
            <w:tcMar>
              <w:top w:w="80" w:type="dxa"/>
              <w:start w:w="100" w:type="dxa"/>
              <w:bottom w:w="80" w:type="dxa"/>
              <w:end w:w="100" w:type="dxa"/>
            </w:tcMar>
          </w:tcPr>
          <w:p>
            <w:pPr>
              <w:pStyle w:val="CTABody"/>
              <w:spacing w:after="40"/>
            </w:pPr>
            <w:r/>
            <w:r>
              <w:t>When the facts establish immediate danger, a time-sensitive reporting duty, emergency need, or controlling legal obligation, protective action occurs promptly.</w:t>
            </w:r>
          </w:p>
        </w:tc>
        <w:tc>
          <w:tcPr>
            <w:tcW w:type="dxa" w:w="3348"/>
            <w:vAlign w:val="center"/>
            <w:tcMar>
              <w:top w:w="80" w:type="dxa"/>
              <w:start w:w="100" w:type="dxa"/>
              <w:bottom w:w="80" w:type="dxa"/>
              <w:end w:w="100" w:type="dxa"/>
            </w:tcMar>
          </w:tcPr>
          <w:p>
            <w:pPr>
              <w:pStyle w:val="CTABody"/>
              <w:spacing w:after="40"/>
            </w:pPr>
            <w:r/>
            <w:r>
              <w:t>Consultation may occur alongside the response, but it cannot authorize delay or convert a mandatory duty into an optional one.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18. Referral is necessary when safe service cannot be achieved</w:t>
            </w:r>
          </w:p>
        </w:tc>
        <w:tc>
          <w:tcPr>
            <w:tcW w:type="dxa" w:w="3349"/>
            <w:vAlign w:val="center"/>
            <w:tcMar>
              <w:top w:w="80" w:type="dxa"/>
              <w:start w:w="100" w:type="dxa"/>
              <w:bottom w:w="80" w:type="dxa"/>
              <w:end w:w="100" w:type="dxa"/>
            </w:tcMar>
            <w:shd w:fill="F4F6F8"/>
          </w:tcPr>
          <w:p>
            <w:pPr>
              <w:pStyle w:val="CTABody"/>
              <w:spacing w:after="40"/>
            </w:pPr>
            <w:r/>
            <w:r>
              <w:t>Referral or transfer is more likely when the service is outside legal scope, essential skill cannot be developed in time, risk exceeds the clinician’s ability, or a different provider or level of care is needed.</w:t>
            </w:r>
          </w:p>
        </w:tc>
        <w:tc>
          <w:tcPr>
            <w:tcW w:type="dxa" w:w="3348"/>
            <w:vAlign w:val="center"/>
            <w:tcMar>
              <w:top w:w="80" w:type="dxa"/>
              <w:start w:w="100" w:type="dxa"/>
              <w:bottom w:w="80" w:type="dxa"/>
              <w:end w:w="100" w:type="dxa"/>
            </w:tcMar>
            <w:shd w:fill="F4F6F8"/>
          </w:tcPr>
          <w:p>
            <w:pPr>
              <w:pStyle w:val="CTABody"/>
              <w:spacing w:after="40"/>
            </w:pPr>
            <w:r/>
            <w:r>
              <w:t>Do not refer automatically because uncertainty exists; do not continue merely to preserve income, pride, or convenience.</w:t>
            </w:r>
          </w:p>
        </w:tc>
      </w:tr>
      <w:tr>
        <w:trPr>
          <w:cantSplit w:val="1"/>
        </w:trPr>
        <w:tc>
          <w:tcPr>
            <w:tcW w:type="dxa" w:w="3349"/>
            <w:vAlign w:val="center"/>
            <w:tcMar>
              <w:top w:w="80" w:type="dxa"/>
              <w:start w:w="100" w:type="dxa"/>
              <w:bottom w:w="80" w:type="dxa"/>
              <w:end w:w="100" w:type="dxa"/>
            </w:tcMar>
          </w:tcPr>
          <w:p>
            <w:pPr>
              <w:pStyle w:val="CTABody"/>
              <w:spacing w:after="40"/>
            </w:pPr>
            <w:r/>
            <w:r>
              <w:t>19. Continuity and nonabandonment matter</w:t>
            </w:r>
          </w:p>
        </w:tc>
        <w:tc>
          <w:tcPr>
            <w:tcW w:type="dxa" w:w="3349"/>
            <w:vAlign w:val="center"/>
            <w:tcMar>
              <w:top w:w="80" w:type="dxa"/>
              <w:start w:w="100" w:type="dxa"/>
              <w:bottom w:w="80" w:type="dxa"/>
              <w:end w:w="100" w:type="dxa"/>
            </w:tcMar>
          </w:tcPr>
          <w:p>
            <w:pPr>
              <w:pStyle w:val="CTABody"/>
              <w:spacing w:after="40"/>
            </w:pPr>
            <w:r/>
            <w:r>
              <w:t>A decision to limit, pause, transfer, or terminate services should account for notice, options, risk, interim support, records, coordination, and the client’s access to appropriate care.</w:t>
            </w:r>
          </w:p>
        </w:tc>
        <w:tc>
          <w:tcPr>
            <w:tcW w:type="dxa" w:w="3348"/>
            <w:vAlign w:val="center"/>
            <w:tcMar>
              <w:top w:w="80" w:type="dxa"/>
              <w:start w:w="100" w:type="dxa"/>
              <w:bottom w:w="80" w:type="dxa"/>
              <w:end w:w="100" w:type="dxa"/>
            </w:tcMar>
          </w:tcPr>
          <w:p>
            <w:pPr>
              <w:pStyle w:val="CTABody"/>
              <w:spacing w:after="40"/>
            </w:pPr>
            <w:r/>
            <w:r>
              <w:t>A referral is not complete simply because a phone number was provided.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20. Follow-through is part of competence</w:t>
            </w:r>
          </w:p>
        </w:tc>
        <w:tc>
          <w:tcPr>
            <w:tcW w:type="dxa" w:w="3349"/>
            <w:vAlign w:val="center"/>
            <w:tcMar>
              <w:top w:w="80" w:type="dxa"/>
              <w:start w:w="100" w:type="dxa"/>
              <w:bottom w:w="80" w:type="dxa"/>
              <w:end w:w="100" w:type="dxa"/>
            </w:tcMar>
            <w:shd w:fill="F4F6F8"/>
          </w:tcPr>
          <w:p>
            <w:pPr>
              <w:pStyle w:val="CTABody"/>
              <w:spacing w:after="40"/>
            </w:pPr>
            <w:r/>
            <w:r>
              <w:t>Professional responsibility includes communicating the plan, documenting material reasoning, correcting errors lawfully, monitoring outcomes, and changing course when the response is not working.</w:t>
            </w:r>
          </w:p>
        </w:tc>
        <w:tc>
          <w:tcPr>
            <w:tcW w:type="dxa" w:w="3348"/>
            <w:vAlign w:val="center"/>
            <w:tcMar>
              <w:top w:w="80" w:type="dxa"/>
              <w:start w:w="100" w:type="dxa"/>
              <w:bottom w:w="80" w:type="dxa"/>
              <w:end w:w="100" w:type="dxa"/>
            </w:tcMar>
            <w:shd w:fill="F4F6F8"/>
          </w:tcPr>
          <w:p>
            <w:pPr>
              <w:pStyle w:val="CTABody"/>
              <w:spacing w:after="40"/>
            </w:pPr>
            <w:r/>
            <w:r>
              <w:t>Avoid one-time gestures that do not verify whether risk decreased, learning occurred, or care actually continued.</w:t>
            </w:r>
          </w:p>
        </w:tc>
      </w:tr>
    </w:tbl>
    <w:p>
      <w:pPr>
        <w:spacing w:after="20"/>
      </w:pPr>
    </w:p>
    <w:p>
      <w:pPr>
        <w:pStyle w:val="Heading3"/>
        <w:keepNext/>
      </w:pPr>
      <w:r>
        <w:rPr/>
        <w:t>Proportionate Response Ladder</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Level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Application</w:t>
            </w:r>
          </w:p>
        </w:tc>
      </w:tr>
      <w:tr>
        <w:trPr>
          <w:cantSplit w:val="1"/>
        </w:trPr>
        <w:tc>
          <w:tcPr>
            <w:tcW w:type="dxa" w:w="5023"/>
            <w:vAlign w:val="center"/>
            <w:tcMar>
              <w:top w:w="80" w:type="dxa"/>
              <w:start w:w="100" w:type="dxa"/>
              <w:bottom w:w="80" w:type="dxa"/>
              <w:end w:w="100" w:type="dxa"/>
            </w:tcMar>
          </w:tcPr>
          <w:p>
            <w:pPr>
              <w:pStyle w:val="CTABody"/>
              <w:spacing w:after="40"/>
            </w:pPr>
            <w:r/>
            <w:r>
              <w:t>Clarify</w:t>
            </w:r>
          </w:p>
        </w:tc>
        <w:tc>
          <w:tcPr>
            <w:tcW w:type="dxa" w:w="5023"/>
            <w:vAlign w:val="center"/>
            <w:tcMar>
              <w:top w:w="80" w:type="dxa"/>
              <w:start w:w="100" w:type="dxa"/>
              <w:bottom w:w="80" w:type="dxa"/>
              <w:end w:w="100" w:type="dxa"/>
            </w:tcMar>
          </w:tcPr>
          <w:p>
            <w:pPr>
              <w:pStyle w:val="CTABody"/>
              <w:spacing w:after="40"/>
            </w:pPr>
            <w:r/>
            <w:r>
              <w:t>Identify the exact law, role, gap, facts, and question before acting.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Support</w:t>
            </w:r>
          </w:p>
        </w:tc>
        <w:tc>
          <w:tcPr>
            <w:tcW w:type="dxa" w:w="5023"/>
            <w:vAlign w:val="center"/>
            <w:tcMar>
              <w:top w:w="80" w:type="dxa"/>
              <w:start w:w="100" w:type="dxa"/>
              <w:bottom w:w="80" w:type="dxa"/>
              <w:end w:w="100" w:type="dxa"/>
            </w:tcMar>
            <w:shd w:fill="F4F6F8"/>
          </w:tcPr>
          <w:p>
            <w:pPr>
              <w:pStyle w:val="CTABody"/>
              <w:spacing w:after="40"/>
            </w:pPr>
            <w:r/>
            <w:r>
              <w:t>Use current information, consultation, supervision, collaboration, training, or increased oversight as appropriate.</w:t>
            </w:r>
          </w:p>
        </w:tc>
      </w:tr>
      <w:tr>
        <w:trPr>
          <w:cantSplit w:val="1"/>
        </w:trPr>
        <w:tc>
          <w:tcPr>
            <w:tcW w:type="dxa" w:w="5023"/>
            <w:vAlign w:val="center"/>
            <w:tcMar>
              <w:top w:w="80" w:type="dxa"/>
              <w:start w:w="100" w:type="dxa"/>
              <w:bottom w:w="80" w:type="dxa"/>
              <w:end w:w="100" w:type="dxa"/>
            </w:tcMar>
          </w:tcPr>
          <w:p>
            <w:pPr>
              <w:pStyle w:val="CTABody"/>
              <w:spacing w:after="40"/>
            </w:pPr>
            <w:r/>
            <w:r>
              <w:t>Modify</w:t>
            </w:r>
          </w:p>
        </w:tc>
        <w:tc>
          <w:tcPr>
            <w:tcW w:type="dxa" w:w="5023"/>
            <w:vAlign w:val="center"/>
            <w:tcMar>
              <w:top w:w="80" w:type="dxa"/>
              <w:start w:w="100" w:type="dxa"/>
              <w:bottom w:w="80" w:type="dxa"/>
              <w:end w:w="100" w:type="dxa"/>
            </w:tcMar>
          </w:tcPr>
          <w:p>
            <w:pPr>
              <w:pStyle w:val="CTABody"/>
              <w:spacing w:after="40"/>
            </w:pPr>
            <w:r/>
            <w:r>
              <w:t>Narrow the service, change the intervention, increase monitoring, or pause an unsafe activity.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Refer / transfer / escalate</w:t>
            </w:r>
          </w:p>
        </w:tc>
        <w:tc>
          <w:tcPr>
            <w:tcW w:type="dxa" w:w="5023"/>
            <w:vAlign w:val="center"/>
            <w:tcMar>
              <w:top w:w="80" w:type="dxa"/>
              <w:start w:w="100" w:type="dxa"/>
              <w:bottom w:w="80" w:type="dxa"/>
              <w:end w:w="100" w:type="dxa"/>
            </w:tcMar>
            <w:shd w:fill="F4F6F8"/>
          </w:tcPr>
          <w:p>
            <w:pPr>
              <w:pStyle w:val="CTABody"/>
              <w:spacing w:after="40"/>
            </w:pPr>
            <w:r/>
            <w:r>
              <w:t>Use a qualified provider, higher level of care, emergency response, or organizational escalation when the limitation cannot be resolved safely.</w:t>
            </w:r>
          </w:p>
        </w:tc>
      </w:tr>
      <w:tr>
        <w:trPr>
          <w:cantSplit w:val="1"/>
        </w:trPr>
        <w:tc>
          <w:tcPr>
            <w:tcW w:type="dxa" w:w="5023"/>
            <w:vAlign w:val="center"/>
            <w:tcMar>
              <w:top w:w="80" w:type="dxa"/>
              <w:start w:w="100" w:type="dxa"/>
              <w:bottom w:w="80" w:type="dxa"/>
              <w:end w:w="100" w:type="dxa"/>
            </w:tcMar>
          </w:tcPr>
          <w:p>
            <w:pPr>
              <w:pStyle w:val="CTABody"/>
              <w:spacing w:after="40"/>
            </w:pPr>
            <w:r/>
            <w:r>
              <w:t>Follow through</w:t>
            </w:r>
          </w:p>
        </w:tc>
        <w:tc>
          <w:tcPr>
            <w:tcW w:type="dxa" w:w="5023"/>
            <w:vAlign w:val="center"/>
            <w:tcMar>
              <w:top w:w="80" w:type="dxa"/>
              <w:start w:w="100" w:type="dxa"/>
              <w:bottom w:w="80" w:type="dxa"/>
              <w:end w:w="100" w:type="dxa"/>
            </w:tcMar>
          </w:tcPr>
          <w:p>
            <w:pPr>
              <w:pStyle w:val="CTABody"/>
              <w:spacing w:after="40"/>
            </w:pPr>
            <w:r/>
            <w:r>
              <w:t>Communicate, document proportionately, monitor the result, and revise the plan.</w:t>
            </w:r>
          </w:p>
        </w:tc>
      </w:tr>
    </w:tbl>
    <w:p>
      <w:pPr>
        <w:spacing w:after="20"/>
      </w:pPr>
    </w:p>
    <w:p>
      <w:pPr>
        <w:pStyle w:val="Heading2"/>
        <w:keepNext/>
      </w:pPr>
      <w:r>
        <w:rPr/>
        <w:t>Integrated Rapid Review: What Is the Question Really Asking?</w:t>
      </w:r>
    </w:p>
    <w:p>
      <w:pPr>
        <w:pStyle w:val="CTABody"/>
      </w:pPr>
      <w:r>
        <w:rPr>
          <w:b w:val="0"/>
          <w:i w:val="0"/>
        </w:rPr>
        <w:t>Use the cue in the stem to identify the controlling concept. These are reasoning prompts, not secure examination questions.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If the Stem Says…</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Think…</w:t>
            </w:r>
          </w:p>
        </w:tc>
      </w:tr>
      <w:tr>
        <w:trPr>
          <w:cantSplit w:val="1"/>
        </w:trPr>
        <w:tc>
          <w:tcPr>
            <w:tcW w:type="dxa" w:w="5023"/>
            <w:vAlign w:val="center"/>
            <w:tcMar>
              <w:top w:w="80" w:type="dxa"/>
              <w:start w:w="100" w:type="dxa"/>
              <w:bottom w:w="80" w:type="dxa"/>
              <w:end w:w="100" w:type="dxa"/>
            </w:tcMar>
          </w:tcPr>
          <w:p>
            <w:pPr>
              <w:pStyle w:val="CTABody"/>
              <w:spacing w:after="40"/>
            </w:pPr>
            <w:r/>
            <w:r>
              <w:t>“The service is within the license.”</w:t>
            </w:r>
          </w:p>
        </w:tc>
        <w:tc>
          <w:tcPr>
            <w:tcW w:type="dxa" w:w="5023"/>
            <w:vAlign w:val="center"/>
            <w:tcMar>
              <w:top w:w="80" w:type="dxa"/>
              <w:start w:w="100" w:type="dxa"/>
              <w:bottom w:w="80" w:type="dxa"/>
              <w:end w:w="100" w:type="dxa"/>
            </w:tcMar>
          </w:tcPr>
          <w:p>
            <w:pPr>
              <w:pStyle w:val="CTABody"/>
              <w:spacing w:after="40"/>
            </w:pPr>
            <w:r/>
            <w:r>
              <w:t>Legal authority is only the first test. Evaluate actual competence and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clinician is confident and experienced.”</w:t>
            </w:r>
          </w:p>
        </w:tc>
        <w:tc>
          <w:tcPr>
            <w:tcW w:type="dxa" w:w="5023"/>
            <w:vAlign w:val="center"/>
            <w:tcMar>
              <w:top w:w="80" w:type="dxa"/>
              <w:start w:w="100" w:type="dxa"/>
              <w:bottom w:w="80" w:type="dxa"/>
              <w:end w:w="100" w:type="dxa"/>
            </w:tcMar>
            <w:shd w:fill="F4F6F8"/>
          </w:tcPr>
          <w:p>
            <w:pPr>
              <w:pStyle w:val="CTABody"/>
              <w:spacing w:after="40"/>
            </w:pPr>
            <w:r/>
            <w:r>
              <w:t>Ask whether preparation directly matches the population, intervention, role, setting, and risk.</w:t>
            </w:r>
          </w:p>
        </w:tc>
      </w:tr>
      <w:tr>
        <w:trPr>
          <w:cantSplit w:val="1"/>
        </w:trPr>
        <w:tc>
          <w:tcPr>
            <w:tcW w:type="dxa" w:w="5023"/>
            <w:vAlign w:val="center"/>
            <w:tcMar>
              <w:top w:w="80" w:type="dxa"/>
              <w:start w:w="100" w:type="dxa"/>
              <w:bottom w:w="80" w:type="dxa"/>
              <w:end w:w="100" w:type="dxa"/>
            </w:tcMar>
          </w:tcPr>
          <w:p>
            <w:pPr>
              <w:pStyle w:val="CTABody"/>
              <w:spacing w:after="40"/>
            </w:pPr>
            <w:r/>
            <w:r>
              <w:t>“The clinician completed a course.”</w:t>
            </w:r>
          </w:p>
        </w:tc>
        <w:tc>
          <w:tcPr>
            <w:tcW w:type="dxa" w:w="5023"/>
            <w:vAlign w:val="center"/>
            <w:tcMar>
              <w:top w:w="80" w:type="dxa"/>
              <w:start w:w="100" w:type="dxa"/>
              <w:bottom w:w="80" w:type="dxa"/>
              <w:end w:w="100" w:type="dxa"/>
            </w:tcMar>
          </w:tcPr>
          <w:p>
            <w:pPr>
              <w:pStyle w:val="CTABody"/>
              <w:spacing w:after="40"/>
            </w:pPr>
            <w:r/>
            <w:r>
              <w:t>Determine whether the course supplied the practical skill and supported experience required.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law or policy recently changed.”</w:t>
            </w:r>
          </w:p>
        </w:tc>
        <w:tc>
          <w:tcPr>
            <w:tcW w:type="dxa" w:w="5023"/>
            <w:vAlign w:val="center"/>
            <w:tcMar>
              <w:top w:w="80" w:type="dxa"/>
              <w:start w:w="100" w:type="dxa"/>
              <w:bottom w:w="80" w:type="dxa"/>
              <w:end w:w="100" w:type="dxa"/>
            </w:tcMar>
            <w:shd w:fill="F4F6F8"/>
          </w:tcPr>
          <w:p>
            <w:pPr>
              <w:pStyle w:val="CTABody"/>
              <w:spacing w:after="40"/>
            </w:pPr>
            <w:r/>
            <w:r>
              <w:t>Verify current authority; past education and office custom may be outdated.</w:t>
            </w:r>
          </w:p>
        </w:tc>
      </w:tr>
      <w:tr>
        <w:trPr>
          <w:cantSplit w:val="1"/>
        </w:trPr>
        <w:tc>
          <w:tcPr>
            <w:tcW w:type="dxa" w:w="5023"/>
            <w:vAlign w:val="center"/>
            <w:tcMar>
              <w:top w:w="80" w:type="dxa"/>
              <w:start w:w="100" w:type="dxa"/>
              <w:bottom w:w="80" w:type="dxa"/>
              <w:end w:w="100" w:type="dxa"/>
            </w:tcMar>
          </w:tcPr>
          <w:p>
            <w:pPr>
              <w:pStyle w:val="CTABody"/>
              <w:spacing w:after="40"/>
            </w:pPr>
            <w:r/>
            <w:r>
              <w:t>“The therapist is uncertain.”</w:t>
            </w:r>
          </w:p>
        </w:tc>
        <w:tc>
          <w:tcPr>
            <w:tcW w:type="dxa" w:w="5023"/>
            <w:vAlign w:val="center"/>
            <w:tcMar>
              <w:top w:w="80" w:type="dxa"/>
              <w:start w:w="100" w:type="dxa"/>
              <w:bottom w:w="80" w:type="dxa"/>
              <w:end w:w="100" w:type="dxa"/>
            </w:tcMar>
          </w:tcPr>
          <w:p>
            <w:pPr>
              <w:pStyle w:val="CTABody"/>
              <w:spacing w:after="40"/>
            </w:pPr>
            <w:r/>
            <w:r>
              <w:t>Define the uncertainty, assess risk, and choose consultation or another matched resource without delaying a controlling duty.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supervisor identified a pattern.”</w:t>
            </w:r>
          </w:p>
        </w:tc>
        <w:tc>
          <w:tcPr>
            <w:tcW w:type="dxa" w:w="5023"/>
            <w:vAlign w:val="center"/>
            <w:tcMar>
              <w:top w:w="80" w:type="dxa"/>
              <w:start w:w="100" w:type="dxa"/>
              <w:bottom w:w="80" w:type="dxa"/>
              <w:end w:w="100" w:type="dxa"/>
            </w:tcMar>
            <w:shd w:fill="F4F6F8"/>
          </w:tcPr>
          <w:p>
            <w:pPr>
              <w:pStyle w:val="CTABody"/>
              <w:spacing w:after="40"/>
            </w:pPr>
            <w:r/>
            <w:r>
              <w:t>Think feedback, accurate disclosure, remediation, evaluation, limits, and gatekeeping.</w:t>
            </w:r>
          </w:p>
        </w:tc>
      </w:tr>
      <w:tr>
        <w:trPr>
          <w:cantSplit w:val="1"/>
        </w:trPr>
        <w:tc>
          <w:tcPr>
            <w:tcW w:type="dxa" w:w="5023"/>
            <w:vAlign w:val="center"/>
            <w:tcMar>
              <w:top w:w="80" w:type="dxa"/>
              <w:start w:w="100" w:type="dxa"/>
              <w:bottom w:w="80" w:type="dxa"/>
              <w:end w:w="100" w:type="dxa"/>
            </w:tcMar>
          </w:tcPr>
          <w:p>
            <w:pPr>
              <w:pStyle w:val="CTABody"/>
              <w:spacing w:after="40"/>
            </w:pPr>
            <w:r/>
            <w:r>
              <w:t>“The attorney or court wants an opinion.”</w:t>
            </w:r>
          </w:p>
        </w:tc>
        <w:tc>
          <w:tcPr>
            <w:tcW w:type="dxa" w:w="5023"/>
            <w:vAlign w:val="center"/>
            <w:tcMar>
              <w:top w:w="80" w:type="dxa"/>
              <w:start w:w="100" w:type="dxa"/>
              <w:bottom w:w="80" w:type="dxa"/>
              <w:end w:w="100" w:type="dxa"/>
            </w:tcMar>
          </w:tcPr>
          <w:p>
            <w:pPr>
              <w:pStyle w:val="CTABody"/>
              <w:spacing w:after="40"/>
            </w:pPr>
            <w:r/>
            <w:r>
              <w:t>Identify treatment versus evaluation role, authority, objectivity, data, methods, competence, and confidentiality or privilege.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client strongly wants this clinician.”</w:t>
            </w:r>
          </w:p>
        </w:tc>
        <w:tc>
          <w:tcPr>
            <w:tcW w:type="dxa" w:w="5023"/>
            <w:vAlign w:val="center"/>
            <w:tcMar>
              <w:top w:w="80" w:type="dxa"/>
              <w:start w:w="100" w:type="dxa"/>
              <w:bottom w:w="80" w:type="dxa"/>
              <w:end w:w="100" w:type="dxa"/>
            </w:tcMar>
            <w:shd w:fill="F4F6F8"/>
          </w:tcPr>
          <w:p>
            <w:pPr>
              <w:pStyle w:val="CTABody"/>
              <w:spacing w:after="40"/>
            </w:pPr>
            <w:r/>
            <w:r>
              <w:t>Preference matters, but it cannot cure illegality, incompetence, conflict, or inadequate level of care.</w:t>
            </w:r>
          </w:p>
        </w:tc>
      </w:tr>
      <w:tr>
        <w:trPr>
          <w:cantSplit w:val="1"/>
        </w:trPr>
        <w:tc>
          <w:tcPr>
            <w:tcW w:type="dxa" w:w="5023"/>
            <w:vAlign w:val="center"/>
            <w:tcMar>
              <w:top w:w="80" w:type="dxa"/>
              <w:start w:w="100" w:type="dxa"/>
              <w:bottom w:w="80" w:type="dxa"/>
              <w:end w:w="100" w:type="dxa"/>
            </w:tcMar>
          </w:tcPr>
          <w:p>
            <w:pPr>
              <w:pStyle w:val="CTABody"/>
              <w:spacing w:after="40"/>
            </w:pPr>
            <w:r/>
            <w:r>
              <w:t>“Immediate danger is present.”</w:t>
            </w:r>
          </w:p>
        </w:tc>
        <w:tc>
          <w:tcPr>
            <w:tcW w:type="dxa" w:w="5023"/>
            <w:vAlign w:val="center"/>
            <w:tcMar>
              <w:top w:w="80" w:type="dxa"/>
              <w:start w:w="100" w:type="dxa"/>
              <w:bottom w:w="80" w:type="dxa"/>
              <w:end w:w="100" w:type="dxa"/>
            </w:tcMar>
          </w:tcPr>
          <w:p>
            <w:pPr>
              <w:pStyle w:val="CTABody"/>
              <w:spacing w:after="40"/>
            </w:pPr>
            <w:r/>
            <w:r>
              <w:t>Protect first; routine consultation and later planning cannot replace urgent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referral was provided.”</w:t>
            </w:r>
          </w:p>
        </w:tc>
        <w:tc>
          <w:tcPr>
            <w:tcW w:type="dxa" w:w="5023"/>
            <w:vAlign w:val="center"/>
            <w:tcMar>
              <w:top w:w="80" w:type="dxa"/>
              <w:start w:w="100" w:type="dxa"/>
              <w:bottom w:w="80" w:type="dxa"/>
              <w:end w:w="100" w:type="dxa"/>
            </w:tcMar>
            <w:shd w:fill="F4F6F8"/>
          </w:tcPr>
          <w:p>
            <w:pPr>
              <w:pStyle w:val="CTABody"/>
              <w:spacing w:after="40"/>
            </w:pPr>
            <w:r/>
            <w:r>
              <w:t>Check whether transfer, continuity, interim risk, and follow-through were actually addressed.</w:t>
            </w:r>
          </w:p>
        </w:tc>
      </w:tr>
    </w:tbl>
    <w:p>
      <w:pPr>
        <w:spacing w:after="20"/>
      </w:pPr>
    </w:p>
    <w:p>
      <w:pPr>
        <w:pStyle w:val="Heading3"/>
        <w:keepNext/>
      </w:pPr>
      <w:r>
        <w:rPr/>
        <w:t>The 60-Second Sequence</w:t>
      </w:r>
    </w:p>
    <w:p>
      <w:pPr>
        <w:pStyle w:val="CTABody"/>
        <w:ind w:left="346" w:hanging="346"/>
      </w:pPr>
      <w:r>
        <w:rPr>
          <w:b/>
        </w:rPr>
        <w:t xml:space="preserve">1.  </w:t>
      </w:r>
      <w:r>
        <w:t>Name the issue: law, scope, competence, role, current knowledge, culture, reactions, impairment, supervision, risk, or continuity.</w:t>
      </w:r>
    </w:p>
    <w:p>
      <w:pPr>
        <w:pStyle w:val="CTABody"/>
        <w:ind w:left="346" w:hanging="346"/>
      </w:pPr>
      <w:r>
        <w:rPr>
          <w:b/>
        </w:rPr>
        <w:t xml:space="preserve">2.  </w:t>
      </w:r>
      <w:r>
        <w:t>Check for a controlling legal or urgent duty.</w:t>
      </w:r>
    </w:p>
    <w:p>
      <w:pPr>
        <w:pStyle w:val="CTABody"/>
        <w:ind w:left="346" w:hanging="346"/>
      </w:pPr>
      <w:r>
        <w:rPr>
          <w:b/>
        </w:rPr>
        <w:t xml:space="preserve">3.  </w:t>
      </w:r>
      <w:r>
        <w:t>Identify the credential, status, setting, jurisdiction, role, client or evaluee, and intended audience.</w:t>
      </w:r>
    </w:p>
    <w:p>
      <w:pPr>
        <w:pStyle w:val="CTABody"/>
        <w:ind w:left="346" w:hanging="346"/>
      </w:pPr>
      <w:r>
        <w:rPr>
          <w:b/>
        </w:rPr>
        <w:t xml:space="preserve">4.  </w:t>
      </w:r>
      <w:r>
        <w:t>Define the specific knowledge, skill, judgment, objectivity, or functioning gap.</w:t>
      </w:r>
    </w:p>
    <w:p>
      <w:pPr>
        <w:pStyle w:val="CTABody"/>
        <w:ind w:left="346" w:hanging="346"/>
      </w:pPr>
      <w:r>
        <w:rPr>
          <w:b/>
        </w:rPr>
        <w:t xml:space="preserve">5.  </w:t>
      </w:r>
      <w:r>
        <w:t>Assess urgency, foreseeable harm, available support, and whether care can continue safely.</w:t>
      </w:r>
    </w:p>
    <w:p>
      <w:pPr>
        <w:pStyle w:val="CTABody"/>
        <w:ind w:left="346" w:hanging="346"/>
      </w:pPr>
      <w:r>
        <w:rPr>
          <w:b/>
        </w:rPr>
        <w:t xml:space="preserve">6.  </w:t>
      </w:r>
      <w:r>
        <w:t>Choose the matched, proportionate response and include communication, documentation, and monitoring.</w:t>
      </w:r>
    </w:p>
    <w:p>
      <w:pPr>
        <w:pStyle w:val="Heading2"/>
        <w:keepNext/>
      </w:pPr>
      <w:r>
        <w:rPr/>
        <w:t>Chapter Snapshot</w:t>
      </w:r>
    </w:p>
    <w:p>
      <w:pPr>
        <w:pStyle w:val="ListBullet"/>
      </w:pPr>
      <w:r>
        <w:t>Legal authority and actual competence are separate requirements.</w:t>
      </w:r>
    </w:p>
    <w:p>
      <w:pPr>
        <w:pStyle w:val="ListBullet"/>
      </w:pPr>
      <w:r>
        <w:t>Competence is current, context-specific, and supported by relevant knowledge, practical skill, judgment, cultural responsiveness, and functioning.</w:t>
      </w:r>
    </w:p>
    <w:p>
      <w:pPr>
        <w:pStyle w:val="ListBullet"/>
      </w:pPr>
      <w:r>
        <w:t>Licensure, confidence, years of experience, client preference, and one course do not independently prove readiness.</w:t>
      </w:r>
    </w:p>
    <w:p>
      <w:pPr>
        <w:pStyle w:val="ListBullet"/>
      </w:pPr>
      <w:r>
        <w:t>Consultation, supervision, training, collaboration, and referral serve different functions and have different limits.</w:t>
      </w:r>
    </w:p>
    <w:p>
      <w:pPr>
        <w:pStyle w:val="ListBullet"/>
      </w:pPr>
      <w:r>
        <w:t>Supervisors control and monitor quality; supervisees must disclose accurately, prepare, respond to feedback, and participate in correction.</w:t>
      </w:r>
    </w:p>
    <w:p>
      <w:pPr>
        <w:pStyle w:val="ListBullet"/>
      </w:pPr>
      <w:r>
        <w:t>Professional role determines purpose, audience, objectivity, confidentiality expectations, privilege, and proper work product.</w:t>
      </w:r>
    </w:p>
    <w:p>
      <w:pPr>
        <w:pStyle w:val="ListBullet"/>
      </w:pPr>
      <w:r>
        <w:t>Urgent and mandatory duties are not delayed; referral is used when safe service cannot be achieved; continuity and follow-through remain essential.</w:t>
      </w:r>
    </w:p>
    <w:p>
      <w:pPr>
        <w:pStyle w:val="ListBullet"/>
      </w:pPr>
      <w:r>
        <w:t>Client welfare and public protection—not clinician pride, income, embarrassment, or convenience—guide the response.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FINAL MEMORY RULE LAW + ROLE + ABILITY + RISK + RESPONSE. Identify what is required, who the clinician is acting as, whether the clinician is capable now, what could happen to the client, and which action fully addresses the problem.</w:t>
            </w:r>
          </w:p>
        </w:tc>
      </w:tr>
    </w:tbl>
    <w:p>
      <w:pPr>
        <w:spacing w:after="20"/>
      </w:pPr>
    </w:p>
    <w:p>
      <w:r/>
    </w:p>
    <w:p>
      <w:pPr>
        <w:pStyle w:val="CTAChapterNumber"/>
        <w:spacing w:before="160"/>
      </w:pPr>
      <w:r>
        <w:t>CHAPTER 9</w:t>
      </w:r>
      <w:r>
        <w:rPr>
          <w:color w:val="D3A32B"/>
        </w:rPr>
        <w:t xml:space="preserve">  •  RAPID REVIEW</w:t>
      </w:r>
    </w:p>
    <w:p>
      <w:pPr>
        <w:pStyle w:val="CTAChapterTitle"/>
        <w:pBdr>
          <w:bottom w:val="single" w:sz="18" w:space="6" w:color="149B9E"/>
        </w:pBdr>
      </w:pPr>
      <w:r>
        <w:t>Memory Aids and Quick Review Charts</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A memory aid should help you retrieve the correct decision sequence. It should never replace the controlling law, the clinician’s actual role, or careful attention to the facts.</w:t>
            </w:r>
          </w:p>
        </w:tc>
      </w:tr>
    </w:tbl>
    <w:p>
      <w:pPr>
        <w:spacing w:after="20"/>
      </w:pPr>
    </w:p>
    <w:p>
      <w:pPr>
        <w:pStyle w:val="Heading3"/>
        <w:keepNext/>
      </w:pPr>
      <w:r>
        <w:rPr/>
        <w:t>Learning Objectives</w:t>
      </w:r>
    </w:p>
    <w:p>
      <w:pPr>
        <w:pStyle w:val="CTABody"/>
        <w:ind w:left="346" w:hanging="346"/>
      </w:pPr>
      <w:r>
        <w:rPr>
          <w:b/>
        </w:rPr>
        <w:t xml:space="preserve">1.  </w:t>
      </w:r>
      <w:r>
        <w:t>Apply the CLEAR scan to professional-competence questions.</w:t>
      </w:r>
    </w:p>
    <w:p>
      <w:pPr>
        <w:pStyle w:val="CTABody"/>
        <w:ind w:left="346" w:hanging="346"/>
      </w:pPr>
      <w:r>
        <w:rPr>
          <w:b/>
        </w:rPr>
        <w:t xml:space="preserve">2.  </w:t>
      </w:r>
      <w:r>
        <w:t>Distinguish legal authority, actual competence, professional role, risk, and proportionate response.</w:t>
      </w:r>
    </w:p>
    <w:p>
      <w:pPr>
        <w:pStyle w:val="CTABody"/>
        <w:ind w:left="346" w:hanging="346"/>
      </w:pPr>
      <w:r>
        <w:rPr>
          <w:b/>
        </w:rPr>
        <w:t xml:space="preserve">3.  </w:t>
      </w:r>
      <w:r>
        <w:t>Match consultation, supervision, training, collaboration, referral, and urgent action to the problem presented.</w:t>
      </w:r>
    </w:p>
    <w:p>
      <w:pPr>
        <w:pStyle w:val="CTABody"/>
        <w:ind w:left="346" w:hanging="346"/>
      </w:pPr>
      <w:r>
        <w:rPr>
          <w:b/>
        </w:rPr>
        <w:t xml:space="preserve">4.  </w:t>
      </w:r>
      <w:r>
        <w:t>Recall high-yield supervision, role, maintenance, cultural-responsiveness, and impairment rules.</w:t>
      </w:r>
    </w:p>
    <w:p>
      <w:pPr>
        <w:pStyle w:val="CTABody"/>
        <w:ind w:left="346" w:hanging="346"/>
      </w:pPr>
      <w:r>
        <w:rPr>
          <w:b/>
        </w:rPr>
        <w:t xml:space="preserve">5.  </w:t>
      </w:r>
      <w:r>
        <w:t>Use a final checklist to eliminate distractors without relying on slogans alone.</w:t>
      </w:r>
    </w:p>
    <w:p>
      <w:pPr>
        <w:pStyle w:val="Heading3"/>
        <w:keepNext/>
      </w:pPr>
      <w:r>
        <w:rPr/>
        <w:t>Why This Topic Matters</w:t>
      </w:r>
    </w:p>
    <w:p>
      <w:pPr>
        <w:pStyle w:val="CTABody"/>
      </w:pPr>
      <w:r>
        <w:rPr>
          <w:b w:val="0"/>
          <w:i w:val="0"/>
        </w:rPr>
        <w:t>The most difficult examination items often contain several reassuring facts and several concerns at the same time. A clinician may be licensed, experienced, well intentioned, and still lack the preparation, role clarity, objectivity, current functioning, or support required for the specific service.</w:t>
      </w:r>
    </w:p>
    <w:p>
      <w:pPr>
        <w:pStyle w:val="CTABody"/>
      </w:pPr>
      <w:r>
        <w:rPr>
          <w:b w:val="0"/>
          <w:i w:val="0"/>
        </w:rPr>
        <w:t>Quick-review tools are useful only when they direct attention to the right question. Start with the governing rule and actual facts; then use the chart that fits the issue.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USE THE RIGHT TOOL Scope question? Use LEGAL + CAPABLE. Role question? Use ROLE. Supervision question? Use CONTROL + CANDOR. Mixed scenario? CLEAR the problem before choosing the answer.</w:t>
            </w:r>
          </w:p>
        </w:tc>
      </w:tr>
    </w:tbl>
    <w:p>
      <w:pPr>
        <w:spacing w:after="20"/>
      </w:pPr>
    </w:p>
    <w:p>
      <w:pPr>
        <w:pStyle w:val="Heading2"/>
        <w:keepNext/>
      </w:pPr>
      <w:r>
        <w:rPr/>
        <w:t>The Master Decision Map: CLEAR</w:t>
      </w:r>
    </w:p>
    <w:p>
      <w:pPr>
        <w:pStyle w:val="CTABody"/>
      </w:pPr>
      <w:r>
        <w:rPr>
          <w:b w:val="0"/>
          <w:i w:val="0"/>
        </w:rPr>
        <w:t>CLEAR combines the strongest reasoning tools from the approved workbook chapters. Read the stem once for facts, then scan in this order.</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 to Ask</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Decision Rule</w:t>
            </w:r>
          </w:p>
        </w:tc>
      </w:tr>
      <w:tr>
        <w:trPr>
          <w:cantSplit w:val="1"/>
        </w:trPr>
        <w:tc>
          <w:tcPr>
            <w:tcW w:type="dxa" w:w="3349"/>
            <w:vAlign w:val="center"/>
            <w:tcMar>
              <w:top w:w="80" w:type="dxa"/>
              <w:start w:w="100" w:type="dxa"/>
              <w:bottom w:w="80" w:type="dxa"/>
              <w:end w:w="100" w:type="dxa"/>
            </w:tcMar>
          </w:tcPr>
          <w:p>
            <w:pPr>
              <w:pStyle w:val="CTABody"/>
              <w:spacing w:after="40"/>
            </w:pPr>
            <w:r/>
            <w:r>
              <w:t>C — Controlling rule</w:t>
            </w:r>
          </w:p>
        </w:tc>
        <w:tc>
          <w:tcPr>
            <w:tcW w:type="dxa" w:w="3349"/>
            <w:vAlign w:val="center"/>
            <w:tcMar>
              <w:top w:w="80" w:type="dxa"/>
              <w:start w:w="100" w:type="dxa"/>
              <w:bottom w:w="80" w:type="dxa"/>
              <w:end w:w="100" w:type="dxa"/>
            </w:tcMar>
          </w:tcPr>
          <w:p>
            <w:pPr>
              <w:pStyle w:val="CTABody"/>
              <w:spacing w:after="40"/>
            </w:pPr>
            <w:r/>
            <w:r>
              <w:t>Is there a statute, regulation, court rule, reporting duty, confidentiality rule, supervision requirement, or urgent protective obligation that controls the first step?</w:t>
            </w:r>
          </w:p>
        </w:tc>
        <w:tc>
          <w:tcPr>
            <w:tcW w:type="dxa" w:w="3348"/>
            <w:vAlign w:val="center"/>
            <w:tcMar>
              <w:top w:w="80" w:type="dxa"/>
              <w:start w:w="100" w:type="dxa"/>
              <w:bottom w:w="80" w:type="dxa"/>
              <w:end w:w="100" w:type="dxa"/>
            </w:tcMar>
          </w:tcPr>
          <w:p>
            <w:pPr>
              <w:pStyle w:val="CTABody"/>
              <w:spacing w:after="40"/>
            </w:pPr>
            <w:r/>
            <w:r>
              <w:t>Apply the controlling duty. Consultation may clarify, but it cannot authorize delay or prohibited conduct.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L — Legal authority and role</w:t>
            </w:r>
          </w:p>
        </w:tc>
        <w:tc>
          <w:tcPr>
            <w:tcW w:type="dxa" w:w="3349"/>
            <w:vAlign w:val="center"/>
            <w:tcMar>
              <w:top w:w="80" w:type="dxa"/>
              <w:start w:w="100" w:type="dxa"/>
              <w:bottom w:w="80" w:type="dxa"/>
              <w:end w:w="100" w:type="dxa"/>
            </w:tcMar>
            <w:shd w:fill="F4F6F8"/>
          </w:tcPr>
          <w:p>
            <w:pPr>
              <w:pStyle w:val="CTABody"/>
              <w:spacing w:after="40"/>
            </w:pPr>
            <w:r/>
            <w:r>
              <w:t>Is the service lawful for this credential, registration status, setting, jurisdiction, and role? Who is the client, evaluee, supervisee, retaining party, or intended recipient?</w:t>
            </w:r>
          </w:p>
        </w:tc>
        <w:tc>
          <w:tcPr>
            <w:tcW w:type="dxa" w:w="3348"/>
            <w:vAlign w:val="center"/>
            <w:tcMar>
              <w:top w:w="80" w:type="dxa"/>
              <w:start w:w="100" w:type="dxa"/>
              <w:bottom w:w="80" w:type="dxa"/>
              <w:end w:w="100" w:type="dxa"/>
            </w:tcMar>
            <w:shd w:fill="F4F6F8"/>
          </w:tcPr>
          <w:p>
            <w:pPr>
              <w:pStyle w:val="CTABody"/>
              <w:spacing w:after="40"/>
            </w:pPr>
            <w:r/>
            <w:r>
              <w:t>If the service is outside legal authority, do not provide it. Clarify or restructure the role when expectations conflict.</w:t>
            </w:r>
          </w:p>
        </w:tc>
      </w:tr>
      <w:tr>
        <w:trPr>
          <w:cantSplit w:val="1"/>
        </w:trPr>
        <w:tc>
          <w:tcPr>
            <w:tcW w:type="dxa" w:w="3349"/>
            <w:vAlign w:val="center"/>
            <w:tcMar>
              <w:top w:w="80" w:type="dxa"/>
              <w:start w:w="100" w:type="dxa"/>
              <w:bottom w:w="80" w:type="dxa"/>
              <w:end w:w="100" w:type="dxa"/>
            </w:tcMar>
          </w:tcPr>
          <w:p>
            <w:pPr>
              <w:pStyle w:val="CTABody"/>
              <w:spacing w:after="40"/>
            </w:pPr>
            <w:r/>
            <w:r>
              <w:t>E — Expertise and current competence</w:t>
            </w:r>
          </w:p>
        </w:tc>
        <w:tc>
          <w:tcPr>
            <w:tcW w:type="dxa" w:w="3349"/>
            <w:vAlign w:val="center"/>
            <w:tcMar>
              <w:top w:w="80" w:type="dxa"/>
              <w:start w:w="100" w:type="dxa"/>
              <w:bottom w:w="80" w:type="dxa"/>
              <w:end w:w="100" w:type="dxa"/>
            </w:tcMar>
          </w:tcPr>
          <w:p>
            <w:pPr>
              <w:pStyle w:val="CTABody"/>
              <w:spacing w:after="40"/>
            </w:pPr>
            <w:r/>
            <w:r>
              <w:t>Does the clinician have relevant education, training, practical skill, experience, cultural responsiveness, judgment, and current functioning?</w:t>
            </w:r>
          </w:p>
        </w:tc>
        <w:tc>
          <w:tcPr>
            <w:tcW w:type="dxa" w:w="3348"/>
            <w:vAlign w:val="center"/>
            <w:tcMar>
              <w:top w:w="80" w:type="dxa"/>
              <w:start w:w="100" w:type="dxa"/>
              <w:bottom w:w="80" w:type="dxa"/>
              <w:end w:w="100" w:type="dxa"/>
            </w:tcMar>
          </w:tcPr>
          <w:p>
            <w:pPr>
              <w:pStyle w:val="CTABody"/>
              <w:spacing w:after="40"/>
            </w:pPr>
            <w:r/>
            <w:r>
              <w:t>If no or uncertain, identify the exact gap. A license, confidence, or general experience does not answer this question.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A — Actual facts and risk</w:t>
            </w:r>
          </w:p>
        </w:tc>
        <w:tc>
          <w:tcPr>
            <w:tcW w:type="dxa" w:w="3349"/>
            <w:vAlign w:val="center"/>
            <w:tcMar>
              <w:top w:w="80" w:type="dxa"/>
              <w:start w:w="100" w:type="dxa"/>
              <w:bottom w:w="80" w:type="dxa"/>
              <w:end w:w="100" w:type="dxa"/>
            </w:tcMar>
            <w:shd w:fill="F4F6F8"/>
          </w:tcPr>
          <w:p>
            <w:pPr>
              <w:pStyle w:val="CTABody"/>
              <w:spacing w:after="40"/>
            </w:pPr>
            <w:r/>
            <w:r>
              <w:t>What is the urgency, complexity, foreseeable harm, client stability, available support, and continuity-of-care concern?</w:t>
            </w:r>
          </w:p>
        </w:tc>
        <w:tc>
          <w:tcPr>
            <w:tcW w:type="dxa" w:w="3348"/>
            <w:vAlign w:val="center"/>
            <w:tcMar>
              <w:top w:w="80" w:type="dxa"/>
              <w:start w:w="100" w:type="dxa"/>
              <w:bottom w:w="80" w:type="dxa"/>
              <w:end w:w="100" w:type="dxa"/>
            </w:tcMar>
            <w:shd w:fill="F4F6F8"/>
          </w:tcPr>
          <w:p>
            <w:pPr>
              <w:pStyle w:val="CTABody"/>
              <w:spacing w:after="40"/>
            </w:pPr>
            <w:r/>
            <w:r>
              <w:t>Immediate risk requires protective action. Nonurgent limitations permit a measured, least-disruptive safe response.</w:t>
            </w:r>
          </w:p>
        </w:tc>
      </w:tr>
      <w:tr>
        <w:trPr>
          <w:cantSplit w:val="1"/>
        </w:trPr>
        <w:tc>
          <w:tcPr>
            <w:tcW w:type="dxa" w:w="3349"/>
            <w:vAlign w:val="center"/>
            <w:tcMar>
              <w:top w:w="80" w:type="dxa"/>
              <w:start w:w="100" w:type="dxa"/>
              <w:bottom w:w="80" w:type="dxa"/>
              <w:end w:w="100" w:type="dxa"/>
            </w:tcMar>
          </w:tcPr>
          <w:p>
            <w:pPr>
              <w:pStyle w:val="CTABody"/>
              <w:spacing w:after="40"/>
            </w:pPr>
            <w:r/>
            <w:r>
              <w:t>R — Response and follow-through</w:t>
            </w:r>
          </w:p>
        </w:tc>
        <w:tc>
          <w:tcPr>
            <w:tcW w:type="dxa" w:w="3349"/>
            <w:vAlign w:val="center"/>
            <w:tcMar>
              <w:top w:w="80" w:type="dxa"/>
              <w:start w:w="100" w:type="dxa"/>
              <w:bottom w:w="80" w:type="dxa"/>
              <w:end w:w="100" w:type="dxa"/>
            </w:tcMar>
          </w:tcPr>
          <w:p>
            <w:pPr>
              <w:pStyle w:val="CTABody"/>
              <w:spacing w:after="40"/>
            </w:pPr>
            <w:r/>
            <w:r>
              <w:t>Which response fits the gap: verify, consult, supervise, train, collaborate, modify, correct, refer, transfer, document, or monitor?</w:t>
            </w:r>
          </w:p>
        </w:tc>
        <w:tc>
          <w:tcPr>
            <w:tcW w:type="dxa" w:w="3348"/>
            <w:vAlign w:val="center"/>
            <w:tcMar>
              <w:top w:w="80" w:type="dxa"/>
              <w:start w:w="100" w:type="dxa"/>
              <w:bottom w:w="80" w:type="dxa"/>
              <w:end w:w="100" w:type="dxa"/>
            </w:tcMar>
          </w:tcPr>
          <w:p>
            <w:pPr>
              <w:pStyle w:val="CTABody"/>
              <w:spacing w:after="40"/>
            </w:pPr>
            <w:r/>
            <w:r>
              <w:t>Choose the proportionate action and verify follow-through. Do not transfer responsibility inaccurately.</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MEMORY AID CLEAR the case before choosing the answer: Controlling rule • Legal role • Expertise • Actual risk • Response.</w:t>
            </w:r>
          </w:p>
        </w:tc>
      </w:tr>
    </w:tbl>
    <w:p>
      <w:pPr>
        <w:spacing w:after="20"/>
      </w:pPr>
    </w:p>
    <w:p>
      <w:pPr>
        <w:pStyle w:val="Heading3"/>
        <w:keepNext/>
      </w:pPr>
      <w:r>
        <w:rPr/>
        <w:t>Fast Decision Flow</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Decision Point</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Best Direction</w:t>
            </w:r>
          </w:p>
        </w:tc>
      </w:tr>
      <w:tr>
        <w:trPr>
          <w:cantSplit w:val="1"/>
        </w:trPr>
        <w:tc>
          <w:tcPr>
            <w:tcW w:type="dxa" w:w="3349"/>
            <w:vAlign w:val="center"/>
            <w:tcMar>
              <w:top w:w="80" w:type="dxa"/>
              <w:start w:w="100" w:type="dxa"/>
              <w:bottom w:w="80" w:type="dxa"/>
              <w:end w:w="100" w:type="dxa"/>
            </w:tcMar>
          </w:tcPr>
          <w:p>
            <w:pPr>
              <w:pStyle w:val="CTABody"/>
              <w:spacing w:after="40"/>
            </w:pPr>
            <w:r/>
            <w:r>
              <w:t>1</w:t>
            </w:r>
          </w:p>
        </w:tc>
        <w:tc>
          <w:tcPr>
            <w:tcW w:type="dxa" w:w="3349"/>
            <w:vAlign w:val="center"/>
            <w:tcMar>
              <w:top w:w="80" w:type="dxa"/>
              <w:start w:w="100" w:type="dxa"/>
              <w:bottom w:w="80" w:type="dxa"/>
              <w:end w:w="100" w:type="dxa"/>
            </w:tcMar>
          </w:tcPr>
          <w:p>
            <w:pPr>
              <w:pStyle w:val="CTABody"/>
              <w:spacing w:after="40"/>
            </w:pPr>
            <w:r/>
            <w:r>
              <w:t>Clear legal mandate or immediate danger?</w:t>
            </w:r>
          </w:p>
        </w:tc>
        <w:tc>
          <w:tcPr>
            <w:tcW w:type="dxa" w:w="3348"/>
            <w:vAlign w:val="center"/>
            <w:tcMar>
              <w:top w:w="80" w:type="dxa"/>
              <w:start w:w="100" w:type="dxa"/>
              <w:bottom w:w="80" w:type="dxa"/>
              <w:end w:w="100" w:type="dxa"/>
            </w:tcMar>
          </w:tcPr>
          <w:p>
            <w:pPr>
              <w:pStyle w:val="CTABody"/>
              <w:spacing w:after="40"/>
            </w:pPr>
            <w:r/>
            <w:r>
              <w:t>Act as required; consult in parallel or afterward when useful.</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w:t>
            </w:r>
          </w:p>
        </w:tc>
        <w:tc>
          <w:tcPr>
            <w:tcW w:type="dxa" w:w="3349"/>
            <w:vAlign w:val="center"/>
            <w:tcMar>
              <w:top w:w="80" w:type="dxa"/>
              <w:start w:w="100" w:type="dxa"/>
              <w:bottom w:w="80" w:type="dxa"/>
              <w:end w:w="100" w:type="dxa"/>
            </w:tcMar>
            <w:shd w:fill="F4F6F8"/>
          </w:tcPr>
          <w:p>
            <w:pPr>
              <w:pStyle w:val="CTABody"/>
              <w:spacing w:after="40"/>
            </w:pPr>
            <w:r/>
            <w:r>
              <w:t>Legally authorized in this role and setting?</w:t>
            </w:r>
          </w:p>
        </w:tc>
        <w:tc>
          <w:tcPr>
            <w:tcW w:type="dxa" w:w="3348"/>
            <w:vAlign w:val="center"/>
            <w:tcMar>
              <w:top w:w="80" w:type="dxa"/>
              <w:start w:w="100" w:type="dxa"/>
              <w:bottom w:w="80" w:type="dxa"/>
              <w:end w:w="100" w:type="dxa"/>
            </w:tcMar>
            <w:shd w:fill="F4F6F8"/>
          </w:tcPr>
          <w:p>
            <w:pPr>
              <w:pStyle w:val="CTABody"/>
              <w:spacing w:after="40"/>
            </w:pPr>
            <w:r/>
            <w:r>
              <w:t>No: decline or identify a lawful alternative. Yes: continue.</w:t>
            </w:r>
          </w:p>
        </w:tc>
      </w:tr>
      <w:tr>
        <w:trPr>
          <w:cantSplit w:val="1"/>
        </w:trPr>
        <w:tc>
          <w:tcPr>
            <w:tcW w:type="dxa" w:w="3349"/>
            <w:vAlign w:val="center"/>
            <w:tcMar>
              <w:top w:w="80" w:type="dxa"/>
              <w:start w:w="100" w:type="dxa"/>
              <w:bottom w:w="80" w:type="dxa"/>
              <w:end w:w="100" w:type="dxa"/>
            </w:tcMar>
          </w:tcPr>
          <w:p>
            <w:pPr>
              <w:pStyle w:val="CTABody"/>
              <w:spacing w:after="40"/>
            </w:pPr>
            <w:r/>
            <w:r>
              <w:t>3</w:t>
            </w:r>
          </w:p>
        </w:tc>
        <w:tc>
          <w:tcPr>
            <w:tcW w:type="dxa" w:w="3349"/>
            <w:vAlign w:val="center"/>
            <w:tcMar>
              <w:top w:w="80" w:type="dxa"/>
              <w:start w:w="100" w:type="dxa"/>
              <w:bottom w:w="80" w:type="dxa"/>
              <w:end w:w="100" w:type="dxa"/>
            </w:tcMar>
          </w:tcPr>
          <w:p>
            <w:pPr>
              <w:pStyle w:val="CTABody"/>
              <w:spacing w:after="40"/>
            </w:pPr>
            <w:r/>
            <w:r>
              <w:t>Competent for this service now?</w:t>
            </w:r>
          </w:p>
        </w:tc>
        <w:tc>
          <w:tcPr>
            <w:tcW w:type="dxa" w:w="3348"/>
            <w:vAlign w:val="center"/>
            <w:tcMar>
              <w:top w:w="80" w:type="dxa"/>
              <w:start w:w="100" w:type="dxa"/>
              <w:bottom w:w="80" w:type="dxa"/>
              <w:end w:w="100" w:type="dxa"/>
            </w:tcMar>
          </w:tcPr>
          <w:p>
            <w:pPr>
              <w:pStyle w:val="CTABody"/>
              <w:spacing w:after="40"/>
            </w:pPr>
            <w:r/>
            <w:r>
              <w:t>Yes: proceed and monitor. No/uncertain: identify the missing knowledge, skill, objectivity, or functioning.</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w:t>
            </w:r>
          </w:p>
        </w:tc>
        <w:tc>
          <w:tcPr>
            <w:tcW w:type="dxa" w:w="3349"/>
            <w:vAlign w:val="center"/>
            <w:tcMar>
              <w:top w:w="80" w:type="dxa"/>
              <w:start w:w="100" w:type="dxa"/>
              <w:bottom w:w="80" w:type="dxa"/>
              <w:end w:w="100" w:type="dxa"/>
            </w:tcMar>
            <w:shd w:fill="F4F6F8"/>
          </w:tcPr>
          <w:p>
            <w:pPr>
              <w:pStyle w:val="CTABody"/>
              <w:spacing w:after="40"/>
            </w:pPr>
            <w:r/>
            <w:r>
              <w:t>Can the limitation be addressed safely while care continues?</w:t>
            </w:r>
          </w:p>
        </w:tc>
        <w:tc>
          <w:tcPr>
            <w:tcW w:type="dxa" w:w="3348"/>
            <w:vAlign w:val="center"/>
            <w:tcMar>
              <w:top w:w="80" w:type="dxa"/>
              <w:start w:w="100" w:type="dxa"/>
              <w:bottom w:w="80" w:type="dxa"/>
              <w:end w:w="100" w:type="dxa"/>
            </w:tcMar>
            <w:shd w:fill="F4F6F8"/>
          </w:tcPr>
          <w:p>
            <w:pPr>
              <w:pStyle w:val="CTABody"/>
              <w:spacing w:after="40"/>
            </w:pPr>
            <w:r/>
            <w:r>
              <w:t>Yes: use matched support and safeguards. No: arrange referral, transfer, higher care, or stop the unsafe activity.</w:t>
            </w:r>
          </w:p>
        </w:tc>
      </w:tr>
    </w:tbl>
    <w:p>
      <w:pPr>
        <w:spacing w:after="20"/>
      </w:pPr>
    </w:p>
    <w:p>
      <w:pPr>
        <w:pStyle w:val="Heading2"/>
        <w:keepNext/>
      </w:pPr>
      <w:r>
        <w:rPr/>
        <w:t>Legal Authority, Actual Competence, and Role</w:t>
      </w: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LEGAL + CAPABLE + ROLE The service must be lawful, the clinician must be prepared, and the work must be performed within a clearly defined professional role.</w:t>
            </w:r>
          </w:p>
        </w:tc>
      </w:tr>
    </w:tbl>
    <w:p>
      <w:pPr>
        <w:spacing w:after="20"/>
      </w:pP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Strong Evidence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False Reassurance</w:t>
            </w:r>
          </w:p>
        </w:tc>
      </w:tr>
      <w:tr>
        <w:trPr>
          <w:cantSplit w:val="1"/>
        </w:trPr>
        <w:tc>
          <w:tcPr>
            <w:tcW w:type="dxa" w:w="3349"/>
            <w:vAlign w:val="center"/>
            <w:tcMar>
              <w:top w:w="80" w:type="dxa"/>
              <w:start w:w="100" w:type="dxa"/>
              <w:bottom w:w="80" w:type="dxa"/>
              <w:end w:w="100" w:type="dxa"/>
            </w:tcMar>
          </w:tcPr>
          <w:p>
            <w:pPr>
              <w:pStyle w:val="CTABody"/>
              <w:spacing w:after="40"/>
            </w:pPr>
            <w:r/>
            <w:r>
              <w:t>Legal authority</w:t>
            </w:r>
          </w:p>
        </w:tc>
        <w:tc>
          <w:tcPr>
            <w:tcW w:type="dxa" w:w="3349"/>
            <w:vAlign w:val="center"/>
            <w:tcMar>
              <w:top w:w="80" w:type="dxa"/>
              <w:start w:w="100" w:type="dxa"/>
              <w:bottom w:w="80" w:type="dxa"/>
              <w:end w:w="100" w:type="dxa"/>
            </w:tcMar>
          </w:tcPr>
          <w:p>
            <w:pPr>
              <w:pStyle w:val="CTABody"/>
              <w:spacing w:after="40"/>
            </w:pPr>
            <w:r/>
            <w:r>
              <w:t>Practice act, license or registration, supervision, employment or setting, jurisdiction, express restrictions.</w:t>
            </w:r>
          </w:p>
        </w:tc>
        <w:tc>
          <w:tcPr>
            <w:tcW w:type="dxa" w:w="3348"/>
            <w:vAlign w:val="center"/>
            <w:tcMar>
              <w:top w:w="80" w:type="dxa"/>
              <w:start w:w="100" w:type="dxa"/>
              <w:bottom w:w="80" w:type="dxa"/>
              <w:end w:w="100" w:type="dxa"/>
            </w:tcMar>
          </w:tcPr>
          <w:p>
            <w:pPr>
              <w:pStyle w:val="CTABody"/>
              <w:spacing w:after="40"/>
            </w:pPr>
            <w:r/>
            <w:r>
              <w:t>Training, confidence, client request, employer approval, or a supervisor’s instruction cannot authorize a prohibited service.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Actual competence</w:t>
            </w:r>
          </w:p>
        </w:tc>
        <w:tc>
          <w:tcPr>
            <w:tcW w:type="dxa" w:w="3349"/>
            <w:vAlign w:val="center"/>
            <w:tcMar>
              <w:top w:w="80" w:type="dxa"/>
              <w:start w:w="100" w:type="dxa"/>
              <w:bottom w:w="80" w:type="dxa"/>
              <w:end w:w="100" w:type="dxa"/>
            </w:tcMar>
            <w:shd w:fill="F4F6F8"/>
          </w:tcPr>
          <w:p>
            <w:pPr>
              <w:pStyle w:val="CTABody"/>
              <w:spacing w:after="40"/>
            </w:pPr>
            <w:r/>
            <w:r>
              <w:t>Relevant education, specialized training, supervised practice, demonstrated skill, directly related experience, current knowledge, cultural responsiveness, and current functioning.</w:t>
            </w:r>
          </w:p>
        </w:tc>
        <w:tc>
          <w:tcPr>
            <w:tcW w:type="dxa" w:w="3348"/>
            <w:vAlign w:val="center"/>
            <w:tcMar>
              <w:top w:w="80" w:type="dxa"/>
              <w:start w:w="100" w:type="dxa"/>
              <w:bottom w:w="80" w:type="dxa"/>
              <w:end w:w="100" w:type="dxa"/>
            </w:tcMar>
            <w:shd w:fill="F4F6F8"/>
          </w:tcPr>
          <w:p>
            <w:pPr>
              <w:pStyle w:val="CTABody"/>
              <w:spacing w:after="40"/>
            </w:pPr>
            <w:r/>
            <w:r>
              <w:t>Licensure, general experience, one article or webinar, good intentions, client preference, or no prior complaints.</w:t>
            </w:r>
          </w:p>
        </w:tc>
      </w:tr>
      <w:tr>
        <w:trPr>
          <w:cantSplit w:val="1"/>
        </w:trPr>
        <w:tc>
          <w:tcPr>
            <w:tcW w:type="dxa" w:w="3349"/>
            <w:vAlign w:val="center"/>
            <w:tcMar>
              <w:top w:w="80" w:type="dxa"/>
              <w:start w:w="100" w:type="dxa"/>
              <w:bottom w:w="80" w:type="dxa"/>
              <w:end w:w="100" w:type="dxa"/>
            </w:tcMar>
          </w:tcPr>
          <w:p>
            <w:pPr>
              <w:pStyle w:val="CTABody"/>
              <w:spacing w:after="40"/>
            </w:pPr>
            <w:r/>
            <w:r>
              <w:t>Professional role</w:t>
            </w:r>
          </w:p>
        </w:tc>
        <w:tc>
          <w:tcPr>
            <w:tcW w:type="dxa" w:w="3349"/>
            <w:vAlign w:val="center"/>
            <w:tcMar>
              <w:top w:w="80" w:type="dxa"/>
              <w:start w:w="100" w:type="dxa"/>
              <w:bottom w:w="80" w:type="dxa"/>
              <w:end w:w="100" w:type="dxa"/>
            </w:tcMar>
          </w:tcPr>
          <w:p>
            <w:pPr>
              <w:pStyle w:val="CTABody"/>
              <w:spacing w:after="40"/>
            </w:pPr>
            <w:r/>
            <w:r>
              <w:t>Purpose, person served, requester, audience, confidentiality and privilege expectations, methods, objectivity, and work product.</w:t>
            </w:r>
          </w:p>
        </w:tc>
        <w:tc>
          <w:tcPr>
            <w:tcW w:type="dxa" w:w="3348"/>
            <w:vAlign w:val="center"/>
            <w:tcMar>
              <w:top w:w="80" w:type="dxa"/>
              <w:start w:w="100" w:type="dxa"/>
              <w:bottom w:w="80" w:type="dxa"/>
              <w:end w:w="100" w:type="dxa"/>
            </w:tcMar>
          </w:tcPr>
          <w:p>
            <w:pPr>
              <w:pStyle w:val="CTABody"/>
              <w:spacing w:after="40"/>
            </w:pPr>
            <w:r/>
            <w:r>
              <w:t>A familiar relationship, court involvement, consent, or an “informal” label does not automatically make conflicting roles compatible.</w:t>
            </w:r>
          </w:p>
        </w:tc>
      </w:tr>
    </w:tbl>
    <w:p>
      <w:pPr>
        <w:spacing w:after="20"/>
      </w:pPr>
    </w:p>
    <w:p>
      <w:pPr>
        <w:pStyle w:val="Heading3"/>
        <w:keepNext/>
      </w:pPr>
      <w:r>
        <w:rPr/>
        <w:t>Evidence of Competence vs. Common Distractors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Evidence That Supports Competence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Distractor Pattern</w:t>
            </w:r>
          </w:p>
        </w:tc>
      </w:tr>
      <w:tr>
        <w:trPr>
          <w:cantSplit w:val="1"/>
        </w:trPr>
        <w:tc>
          <w:tcPr>
            <w:tcW w:type="dxa" w:w="5023"/>
            <w:vAlign w:val="center"/>
            <w:tcMar>
              <w:top w:w="80" w:type="dxa"/>
              <w:start w:w="100" w:type="dxa"/>
              <w:bottom w:w="80" w:type="dxa"/>
              <w:end w:w="100" w:type="dxa"/>
            </w:tcMar>
          </w:tcPr>
          <w:p>
            <w:pPr>
              <w:pStyle w:val="CTABody"/>
              <w:spacing w:after="40"/>
            </w:pPr>
            <w:r/>
            <w:r>
              <w:t>Directly relevant training and supervised skill</w:t>
            </w:r>
          </w:p>
        </w:tc>
        <w:tc>
          <w:tcPr>
            <w:tcW w:type="dxa" w:w="5023"/>
            <w:vAlign w:val="center"/>
            <w:tcMar>
              <w:top w:w="80" w:type="dxa"/>
              <w:start w:w="100" w:type="dxa"/>
              <w:bottom w:w="80" w:type="dxa"/>
              <w:end w:w="100" w:type="dxa"/>
            </w:tcMar>
          </w:tcPr>
          <w:p>
            <w:pPr>
              <w:pStyle w:val="CTABody"/>
              <w:spacing w:after="40"/>
            </w:pPr>
            <w:r/>
            <w:r>
              <w:t>“I have treated clients for twenty years.”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Ability to explain rationale, risks, contraindications, and alternatives</w:t>
            </w:r>
          </w:p>
        </w:tc>
        <w:tc>
          <w:tcPr>
            <w:tcW w:type="dxa" w:w="5023"/>
            <w:vAlign w:val="center"/>
            <w:tcMar>
              <w:top w:w="80" w:type="dxa"/>
              <w:start w:w="100" w:type="dxa"/>
              <w:bottom w:w="80" w:type="dxa"/>
              <w:end w:w="100" w:type="dxa"/>
            </w:tcMar>
            <w:shd w:fill="F4F6F8"/>
          </w:tcPr>
          <w:p>
            <w:pPr>
              <w:pStyle w:val="CTABody"/>
              <w:spacing w:after="40"/>
            </w:pPr>
            <w:r/>
            <w:r>
              <w:t>“I feel confident and the client wants me to try.”</w:t>
            </w:r>
          </w:p>
        </w:tc>
      </w:tr>
      <w:tr>
        <w:trPr>
          <w:cantSplit w:val="1"/>
        </w:trPr>
        <w:tc>
          <w:tcPr>
            <w:tcW w:type="dxa" w:w="5023"/>
            <w:vAlign w:val="center"/>
            <w:tcMar>
              <w:top w:w="80" w:type="dxa"/>
              <w:start w:w="100" w:type="dxa"/>
              <w:bottom w:w="80" w:type="dxa"/>
              <w:end w:w="100" w:type="dxa"/>
            </w:tcMar>
          </w:tcPr>
          <w:p>
            <w:pPr>
              <w:pStyle w:val="CTABody"/>
              <w:spacing w:after="40"/>
            </w:pPr>
            <w:r/>
            <w:r>
              <w:t>Current law, research, procedures, and outcome monitoring</w:t>
            </w:r>
          </w:p>
        </w:tc>
        <w:tc>
          <w:tcPr>
            <w:tcW w:type="dxa" w:w="5023"/>
            <w:vAlign w:val="center"/>
            <w:tcMar>
              <w:top w:w="80" w:type="dxa"/>
              <w:start w:w="100" w:type="dxa"/>
              <w:bottom w:w="80" w:type="dxa"/>
              <w:end w:w="100" w:type="dxa"/>
            </w:tcMar>
          </w:tcPr>
          <w:p>
            <w:pPr>
              <w:pStyle w:val="CTABody"/>
              <w:spacing w:after="40"/>
            </w:pPr>
            <w:r/>
            <w:r>
              <w:t>“This is how I learned it in graduate school.”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Population- and culture-responsive preparation</w:t>
            </w:r>
          </w:p>
        </w:tc>
        <w:tc>
          <w:tcPr>
            <w:tcW w:type="dxa" w:w="5023"/>
            <w:vAlign w:val="center"/>
            <w:tcMar>
              <w:top w:w="80" w:type="dxa"/>
              <w:start w:w="100" w:type="dxa"/>
              <w:bottom w:w="80" w:type="dxa"/>
              <w:end w:w="100" w:type="dxa"/>
            </w:tcMar>
            <w:shd w:fill="F4F6F8"/>
          </w:tcPr>
          <w:p>
            <w:pPr>
              <w:pStyle w:val="CTABody"/>
              <w:spacing w:after="40"/>
            </w:pPr>
            <w:r/>
            <w:r>
              <w:t>“General therapy skills apply to everyone.”</w:t>
            </w:r>
          </w:p>
        </w:tc>
      </w:tr>
      <w:tr>
        <w:trPr>
          <w:cantSplit w:val="1"/>
        </w:trPr>
        <w:tc>
          <w:tcPr>
            <w:tcW w:type="dxa" w:w="5023"/>
            <w:vAlign w:val="center"/>
            <w:tcMar>
              <w:top w:w="80" w:type="dxa"/>
              <w:start w:w="100" w:type="dxa"/>
              <w:bottom w:w="80" w:type="dxa"/>
              <w:end w:w="100" w:type="dxa"/>
            </w:tcMar>
          </w:tcPr>
          <w:p>
            <w:pPr>
              <w:pStyle w:val="CTABody"/>
              <w:spacing w:after="40"/>
            </w:pPr>
            <w:r/>
            <w:r>
              <w:t>Recognition of limits and timely professional assistance</w:t>
            </w:r>
          </w:p>
        </w:tc>
        <w:tc>
          <w:tcPr>
            <w:tcW w:type="dxa" w:w="5023"/>
            <w:vAlign w:val="center"/>
            <w:tcMar>
              <w:top w:w="80" w:type="dxa"/>
              <w:start w:w="100" w:type="dxa"/>
              <w:bottom w:w="80" w:type="dxa"/>
              <w:end w:w="100" w:type="dxa"/>
            </w:tcMar>
          </w:tcPr>
          <w:p>
            <w:pPr>
              <w:pStyle w:val="CTABody"/>
              <w:spacing w:after="40"/>
            </w:pPr>
            <w:r/>
            <w:r>
              <w:t>“Asking for help would make me look inexperienced.”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Current physical, mental, emotional, and professional functioning</w:t>
            </w:r>
          </w:p>
        </w:tc>
        <w:tc>
          <w:tcPr>
            <w:tcW w:type="dxa" w:w="5023"/>
            <w:vAlign w:val="center"/>
            <w:tcMar>
              <w:top w:w="80" w:type="dxa"/>
              <w:start w:w="100" w:type="dxa"/>
              <w:bottom w:w="80" w:type="dxa"/>
              <w:end w:w="100" w:type="dxa"/>
            </w:tcMar>
            <w:shd w:fill="F4F6F8"/>
          </w:tcPr>
          <w:p>
            <w:pPr>
              <w:pStyle w:val="CTABody"/>
              <w:spacing w:after="40"/>
            </w:pPr>
            <w:r/>
            <w:r>
              <w:t>“My credentials are strong, so personal impairment is irrelevant.”</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TRIGGER When a stem emphasizes the license, confidence, years in practice, or client preference, look for the missing evidence: relevant preparation, practical skill, role clarity, risk management, and present ability.</w:t>
            </w:r>
          </w:p>
        </w:tc>
      </w:tr>
    </w:tbl>
    <w:p>
      <w:pPr>
        <w:spacing w:after="20"/>
      </w:pPr>
    </w:p>
    <w:p>
      <w:pPr>
        <w:pStyle w:val="Heading2"/>
        <w:keepNext/>
      </w:pPr>
      <w:r>
        <w:rPr/>
        <w:t>Which Resource Fits the Problem?</w:t>
      </w:r>
    </w:p>
    <w:p>
      <w:pPr>
        <w:pStyle w:val="CTABody"/>
      </w:pPr>
      <w:r>
        <w:rPr>
          <w:b w:val="0"/>
          <w:i w:val="0"/>
        </w:rPr>
        <w:t>Select the resource that addresses the actual gap. These tools may be combined, but they are not interchangeable.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Use When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Key Limit</w:t>
            </w:r>
          </w:p>
        </w:tc>
      </w:tr>
      <w:tr>
        <w:trPr>
          <w:cantSplit w:val="1"/>
        </w:trPr>
        <w:tc>
          <w:tcPr>
            <w:tcW w:type="dxa" w:w="3349"/>
            <w:vAlign w:val="center"/>
            <w:tcMar>
              <w:top w:w="80" w:type="dxa"/>
              <w:start w:w="100" w:type="dxa"/>
              <w:bottom w:w="80" w:type="dxa"/>
              <w:end w:w="100" w:type="dxa"/>
            </w:tcMar>
          </w:tcPr>
          <w:p>
            <w:pPr>
              <w:pStyle w:val="CTABody"/>
              <w:spacing w:after="40"/>
            </w:pPr>
            <w:r/>
            <w:r>
              <w:t>Verify current authority</w:t>
            </w:r>
          </w:p>
        </w:tc>
        <w:tc>
          <w:tcPr>
            <w:tcW w:type="dxa" w:w="3349"/>
            <w:vAlign w:val="center"/>
            <w:tcMar>
              <w:top w:w="80" w:type="dxa"/>
              <w:start w:w="100" w:type="dxa"/>
              <w:bottom w:w="80" w:type="dxa"/>
              <w:end w:w="100" w:type="dxa"/>
            </w:tcMar>
          </w:tcPr>
          <w:p>
            <w:pPr>
              <w:pStyle w:val="CTABody"/>
              <w:spacing w:after="40"/>
            </w:pPr>
            <w:r/>
            <w:r>
              <w:t>A legal, regulatory, ethical, documentation, technology, or policy rule may have changed.</w:t>
            </w:r>
          </w:p>
        </w:tc>
        <w:tc>
          <w:tcPr>
            <w:tcW w:type="dxa" w:w="3348"/>
            <w:vAlign w:val="center"/>
            <w:tcMar>
              <w:top w:w="80" w:type="dxa"/>
              <w:start w:w="100" w:type="dxa"/>
              <w:bottom w:w="80" w:type="dxa"/>
              <w:end w:w="100" w:type="dxa"/>
            </w:tcMar>
          </w:tcPr>
          <w:p>
            <w:pPr>
              <w:pStyle w:val="CTABody"/>
              <w:spacing w:after="40"/>
            </w:pPr>
            <w:r/>
            <w:r>
              <w:t>Does not create clinical skill or replace qualified legal advice when formal legal interpretation is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Consultation</w:t>
            </w:r>
          </w:p>
        </w:tc>
        <w:tc>
          <w:tcPr>
            <w:tcW w:type="dxa" w:w="3349"/>
            <w:vAlign w:val="center"/>
            <w:tcMar>
              <w:top w:w="80" w:type="dxa"/>
              <w:start w:w="100" w:type="dxa"/>
              <w:bottom w:w="80" w:type="dxa"/>
              <w:end w:w="100" w:type="dxa"/>
            </w:tcMar>
            <w:shd w:fill="F4F6F8"/>
          </w:tcPr>
          <w:p>
            <w:pPr>
              <w:pStyle w:val="CTABody"/>
              <w:spacing w:after="40"/>
            </w:pPr>
            <w:r/>
            <w:r>
              <w:t>Focused expertise or perspective is needed for a clinical, ethical, cultural, legal, risk, or technology question.</w:t>
            </w:r>
          </w:p>
        </w:tc>
        <w:tc>
          <w:tcPr>
            <w:tcW w:type="dxa" w:w="3348"/>
            <w:vAlign w:val="center"/>
            <w:tcMar>
              <w:top w:w="80" w:type="dxa"/>
              <w:start w:w="100" w:type="dxa"/>
              <w:bottom w:w="80" w:type="dxa"/>
              <w:end w:w="100" w:type="dxa"/>
            </w:tcMar>
            <w:shd w:fill="F4F6F8"/>
          </w:tcPr>
          <w:p>
            <w:pPr>
              <w:pStyle w:val="CTABody"/>
              <w:spacing w:after="40"/>
            </w:pPr>
            <w:r/>
            <w:r>
              <w:t>Does not transfer the case, create legal authority, establish competence by itself, or satisfy required supervision.</w:t>
            </w:r>
          </w:p>
        </w:tc>
      </w:tr>
      <w:tr>
        <w:trPr>
          <w:cantSplit w:val="1"/>
        </w:trPr>
        <w:tc>
          <w:tcPr>
            <w:tcW w:type="dxa" w:w="3349"/>
            <w:vAlign w:val="center"/>
            <w:tcMar>
              <w:top w:w="80" w:type="dxa"/>
              <w:start w:w="100" w:type="dxa"/>
              <w:bottom w:w="80" w:type="dxa"/>
              <w:end w:w="100" w:type="dxa"/>
            </w:tcMar>
          </w:tcPr>
          <w:p>
            <w:pPr>
              <w:pStyle w:val="CTABody"/>
              <w:spacing w:after="40"/>
            </w:pPr>
            <w:r/>
            <w:r>
              <w:t>Formal supervision</w:t>
            </w:r>
          </w:p>
        </w:tc>
        <w:tc>
          <w:tcPr>
            <w:tcW w:type="dxa" w:w="3349"/>
            <w:vAlign w:val="center"/>
            <w:tcMar>
              <w:top w:w="80" w:type="dxa"/>
              <w:start w:w="100" w:type="dxa"/>
              <w:bottom w:w="80" w:type="dxa"/>
              <w:end w:w="100" w:type="dxa"/>
            </w:tcMar>
          </w:tcPr>
          <w:p>
            <w:pPr>
              <w:pStyle w:val="CTABody"/>
              <w:spacing w:after="40"/>
            </w:pPr>
            <w:r/>
            <w:r>
              <w:t>A ASW or ASW needs structured oversight, direction, evaluation, accountability, or gatekeeping.</w:t>
            </w:r>
          </w:p>
        </w:tc>
        <w:tc>
          <w:tcPr>
            <w:tcW w:type="dxa" w:w="3348"/>
            <w:vAlign w:val="center"/>
            <w:tcMar>
              <w:top w:w="80" w:type="dxa"/>
              <w:start w:w="100" w:type="dxa"/>
              <w:bottom w:w="80" w:type="dxa"/>
              <w:end w:w="100" w:type="dxa"/>
            </w:tcMar>
          </w:tcPr>
          <w:p>
            <w:pPr>
              <w:pStyle w:val="CTABody"/>
              <w:spacing w:after="40"/>
            </w:pPr>
            <w:r/>
            <w:r>
              <w:t>Peer consultation cannot be counted as required supervision; legal minimums may be insufficient for the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Education and training</w:t>
            </w:r>
          </w:p>
        </w:tc>
        <w:tc>
          <w:tcPr>
            <w:tcW w:type="dxa" w:w="3349"/>
            <w:vAlign w:val="center"/>
            <w:tcMar>
              <w:top w:w="80" w:type="dxa"/>
              <w:start w:w="100" w:type="dxa"/>
              <w:bottom w:w="80" w:type="dxa"/>
              <w:end w:w="100" w:type="dxa"/>
            </w:tcMar>
            <w:shd w:fill="F4F6F8"/>
          </w:tcPr>
          <w:p>
            <w:pPr>
              <w:pStyle w:val="CTABody"/>
              <w:spacing w:after="40"/>
            </w:pPr>
            <w:r/>
            <w:r>
              <w:t>Knowledge or practical skill must be developed or refreshed.</w:t>
            </w:r>
          </w:p>
        </w:tc>
        <w:tc>
          <w:tcPr>
            <w:tcW w:type="dxa" w:w="3348"/>
            <w:vAlign w:val="center"/>
            <w:tcMar>
              <w:top w:w="80" w:type="dxa"/>
              <w:start w:w="100" w:type="dxa"/>
              <w:bottom w:w="80" w:type="dxa"/>
              <w:end w:w="100" w:type="dxa"/>
            </w:tcMar>
            <w:shd w:fill="F4F6F8"/>
          </w:tcPr>
          <w:p>
            <w:pPr>
              <w:pStyle w:val="CTABody"/>
              <w:spacing w:after="40"/>
            </w:pPr>
            <w:r/>
            <w:r>
              <w:t>Attendance alone does not establish readiness for a specialized or high-risk service.</w:t>
            </w:r>
          </w:p>
        </w:tc>
      </w:tr>
      <w:tr>
        <w:trPr>
          <w:cantSplit w:val="1"/>
        </w:trPr>
        <w:tc>
          <w:tcPr>
            <w:tcW w:type="dxa" w:w="3349"/>
            <w:vAlign w:val="center"/>
            <w:tcMar>
              <w:top w:w="80" w:type="dxa"/>
              <w:start w:w="100" w:type="dxa"/>
              <w:bottom w:w="80" w:type="dxa"/>
              <w:end w:w="100" w:type="dxa"/>
            </w:tcMar>
          </w:tcPr>
          <w:p>
            <w:pPr>
              <w:pStyle w:val="CTABody"/>
              <w:spacing w:after="40"/>
            </w:pPr>
            <w:r/>
            <w:r>
              <w:t>Collaboration or adjunctive care</w:t>
            </w:r>
          </w:p>
        </w:tc>
        <w:tc>
          <w:tcPr>
            <w:tcW w:type="dxa" w:w="3349"/>
            <w:vAlign w:val="center"/>
            <w:tcMar>
              <w:top w:w="80" w:type="dxa"/>
              <w:start w:w="100" w:type="dxa"/>
              <w:bottom w:w="80" w:type="dxa"/>
              <w:end w:w="100" w:type="dxa"/>
            </w:tcMar>
          </w:tcPr>
          <w:p>
            <w:pPr>
              <w:pStyle w:val="CTABody"/>
              <w:spacing w:after="40"/>
            </w:pPr>
            <w:r/>
            <w:r>
              <w:t>The client benefits from coordinated expertise while the treating relationship continues.</w:t>
            </w:r>
          </w:p>
        </w:tc>
        <w:tc>
          <w:tcPr>
            <w:tcW w:type="dxa" w:w="3348"/>
            <w:vAlign w:val="center"/>
            <w:tcMar>
              <w:top w:w="80" w:type="dxa"/>
              <w:start w:w="100" w:type="dxa"/>
              <w:bottom w:w="80" w:type="dxa"/>
              <w:end w:w="100" w:type="dxa"/>
            </w:tcMar>
          </w:tcPr>
          <w:p>
            <w:pPr>
              <w:pStyle w:val="CTABody"/>
              <w:spacing w:after="40"/>
            </w:pPr>
            <w:r/>
            <w:r>
              <w:t>More providers can create duplication or confusion unless roles, consent, communication, and responsibility are clear.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Referral, transfer, or higher care</w:t>
            </w:r>
          </w:p>
        </w:tc>
        <w:tc>
          <w:tcPr>
            <w:tcW w:type="dxa" w:w="3349"/>
            <w:vAlign w:val="center"/>
            <w:tcMar>
              <w:top w:w="80" w:type="dxa"/>
              <w:start w:w="100" w:type="dxa"/>
              <w:bottom w:w="80" w:type="dxa"/>
              <w:end w:w="100" w:type="dxa"/>
            </w:tcMar>
            <w:shd w:fill="F4F6F8"/>
          </w:tcPr>
          <w:p>
            <w:pPr>
              <w:pStyle w:val="CTABody"/>
              <w:spacing w:after="40"/>
            </w:pPr>
            <w:r/>
            <w:r>
              <w:t>Essential services cannot be provided safely, risk exceeds the clinician’s ability, or another provider or level of care is required.</w:t>
            </w:r>
          </w:p>
        </w:tc>
        <w:tc>
          <w:tcPr>
            <w:tcW w:type="dxa" w:w="3348"/>
            <w:vAlign w:val="center"/>
            <w:tcMar>
              <w:top w:w="80" w:type="dxa"/>
              <w:start w:w="100" w:type="dxa"/>
              <w:bottom w:w="80" w:type="dxa"/>
              <w:end w:w="100" w:type="dxa"/>
            </w:tcMar>
            <w:shd w:fill="F4F6F8"/>
          </w:tcPr>
          <w:p>
            <w:pPr>
              <w:pStyle w:val="CTABody"/>
              <w:spacing w:after="40"/>
            </w:pPr>
            <w:r/>
            <w:r>
              <w:t>Giving contact information alone does not complete a safe transfer or eliminate continuity obligations.</w:t>
            </w:r>
          </w:p>
        </w:tc>
      </w:tr>
      <w:tr>
        <w:trPr>
          <w:cantSplit w:val="1"/>
        </w:trPr>
        <w:tc>
          <w:tcPr>
            <w:tcW w:type="dxa" w:w="3349"/>
            <w:vAlign w:val="center"/>
            <w:tcMar>
              <w:top w:w="80" w:type="dxa"/>
              <w:start w:w="100" w:type="dxa"/>
              <w:bottom w:w="80" w:type="dxa"/>
              <w:end w:w="100" w:type="dxa"/>
            </w:tcMar>
          </w:tcPr>
          <w:p>
            <w:pPr>
              <w:pStyle w:val="CTABody"/>
              <w:spacing w:after="40"/>
            </w:pPr>
            <w:r/>
            <w:r>
              <w:t>Emergency or mandated action</w:t>
            </w:r>
          </w:p>
        </w:tc>
        <w:tc>
          <w:tcPr>
            <w:tcW w:type="dxa" w:w="3349"/>
            <w:vAlign w:val="center"/>
            <w:tcMar>
              <w:top w:w="80" w:type="dxa"/>
              <w:start w:w="100" w:type="dxa"/>
              <w:bottom w:w="80" w:type="dxa"/>
              <w:end w:w="100" w:type="dxa"/>
            </w:tcMar>
          </w:tcPr>
          <w:p>
            <w:pPr>
              <w:pStyle w:val="CTABody"/>
              <w:spacing w:after="40"/>
            </w:pPr>
            <w:r/>
            <w:r>
              <w:t>The facts meet a time-sensitive protective or reporting duty.</w:t>
            </w:r>
          </w:p>
        </w:tc>
        <w:tc>
          <w:tcPr>
            <w:tcW w:type="dxa" w:w="3348"/>
            <w:vAlign w:val="center"/>
            <w:tcMar>
              <w:top w:w="80" w:type="dxa"/>
              <w:start w:w="100" w:type="dxa"/>
              <w:bottom w:w="80" w:type="dxa"/>
              <w:end w:w="100" w:type="dxa"/>
            </w:tcMar>
          </w:tcPr>
          <w:p>
            <w:pPr>
              <w:pStyle w:val="CTABody"/>
              <w:spacing w:after="40"/>
            </w:pPr>
            <w:r/>
            <w:r>
              <w:t>Routine consultation must not delay the action required by law and the client’s immediate safety needs.</w:t>
            </w:r>
          </w:p>
        </w:tc>
      </w:tr>
    </w:tbl>
    <w:p>
      <w:pPr>
        <w:spacing w:after="20"/>
      </w:pPr>
    </w:p>
    <w:p>
      <w:pPr>
        <w:pStyle w:val="Heading3"/>
        <w:keepNext/>
      </w:pPr>
      <w:r>
        <w:rPr/>
        <w:t>Responsibility Map</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Role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Primary Responsibility</w:t>
            </w:r>
          </w:p>
        </w:tc>
      </w:tr>
      <w:tr>
        <w:trPr>
          <w:cantSplit w:val="1"/>
        </w:trPr>
        <w:tc>
          <w:tcPr>
            <w:tcW w:type="dxa" w:w="5023"/>
            <w:vAlign w:val="center"/>
            <w:tcMar>
              <w:top w:w="80" w:type="dxa"/>
              <w:start w:w="100" w:type="dxa"/>
              <w:bottom w:w="80" w:type="dxa"/>
              <w:end w:w="100" w:type="dxa"/>
            </w:tcMar>
          </w:tcPr>
          <w:p>
            <w:pPr>
              <w:pStyle w:val="CTABody"/>
              <w:spacing w:after="40"/>
            </w:pPr>
            <w:r/>
            <w:r>
              <w:t>Treating clinician</w:t>
            </w:r>
          </w:p>
        </w:tc>
        <w:tc>
          <w:tcPr>
            <w:tcW w:type="dxa" w:w="5023"/>
            <w:vAlign w:val="center"/>
            <w:tcMar>
              <w:top w:w="80" w:type="dxa"/>
              <w:start w:w="100" w:type="dxa"/>
              <w:bottom w:w="80" w:type="dxa"/>
              <w:end w:w="100" w:type="dxa"/>
            </w:tcMar>
          </w:tcPr>
          <w:p>
            <w:pPr>
              <w:pStyle w:val="CTABody"/>
              <w:spacing w:after="40"/>
            </w:pPr>
            <w:r/>
            <w:r>
              <w:t>Evaluates advice, makes role-appropriate decisions, protects the client, documents material reasoning, and follows through.</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Consultant</w:t>
            </w:r>
          </w:p>
        </w:tc>
        <w:tc>
          <w:tcPr>
            <w:tcW w:type="dxa" w:w="5023"/>
            <w:vAlign w:val="center"/>
            <w:tcMar>
              <w:top w:w="80" w:type="dxa"/>
              <w:start w:w="100" w:type="dxa"/>
              <w:bottom w:w="80" w:type="dxa"/>
              <w:end w:w="100" w:type="dxa"/>
            </w:tcMar>
            <w:shd w:fill="F4F6F8"/>
          </w:tcPr>
          <w:p>
            <w:pPr>
              <w:pStyle w:val="CTABody"/>
              <w:spacing w:after="40"/>
            </w:pPr>
            <w:r/>
            <w:r>
              <w:t>Provides focused expertise within the consultation arrangement; ordinarily does not assume treatment responsibility.</w:t>
            </w:r>
          </w:p>
        </w:tc>
      </w:tr>
      <w:tr>
        <w:trPr>
          <w:cantSplit w:val="1"/>
        </w:trPr>
        <w:tc>
          <w:tcPr>
            <w:tcW w:type="dxa" w:w="5023"/>
            <w:vAlign w:val="center"/>
            <w:tcMar>
              <w:top w:w="80" w:type="dxa"/>
              <w:start w:w="100" w:type="dxa"/>
              <w:bottom w:w="80" w:type="dxa"/>
              <w:end w:w="100" w:type="dxa"/>
            </w:tcMar>
          </w:tcPr>
          <w:p>
            <w:pPr>
              <w:pStyle w:val="CTABody"/>
              <w:spacing w:after="40"/>
            </w:pPr>
            <w:r/>
            <w:r>
              <w:t>Supervisor</w:t>
            </w:r>
          </w:p>
        </w:tc>
        <w:tc>
          <w:tcPr>
            <w:tcW w:type="dxa" w:w="5023"/>
            <w:vAlign w:val="center"/>
            <w:tcMar>
              <w:top w:w="80" w:type="dxa"/>
              <w:start w:w="100" w:type="dxa"/>
              <w:bottom w:w="80" w:type="dxa"/>
              <w:end w:w="100" w:type="dxa"/>
            </w:tcMar>
          </w:tcPr>
          <w:p>
            <w:pPr>
              <w:pStyle w:val="CTABody"/>
              <w:spacing w:after="40"/>
            </w:pPr>
            <w:r/>
            <w:r>
              <w:t>Accepts responsibility for and exercises control over the quality of supervisee services within the legal supervisory relationship.</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Supervisee</w:t>
            </w:r>
          </w:p>
        </w:tc>
        <w:tc>
          <w:tcPr>
            <w:tcW w:type="dxa" w:w="5023"/>
            <w:vAlign w:val="center"/>
            <w:tcMar>
              <w:top w:w="80" w:type="dxa"/>
              <w:start w:w="100" w:type="dxa"/>
              <w:bottom w:w="80" w:type="dxa"/>
              <w:end w:w="100" w:type="dxa"/>
            </w:tcMar>
            <w:shd w:fill="F4F6F8"/>
          </w:tcPr>
          <w:p>
            <w:pPr>
              <w:pStyle w:val="CTABody"/>
              <w:spacing w:after="40"/>
            </w:pPr>
            <w:r/>
            <w:r>
              <w:t>Provides accurate facts, discloses limits and mistakes, seeks clarification, follows lawful direction, and completes corrective action.</w:t>
            </w:r>
          </w:p>
        </w:tc>
      </w:tr>
      <w:tr>
        <w:trPr>
          <w:cantSplit w:val="1"/>
        </w:trPr>
        <w:tc>
          <w:tcPr>
            <w:tcW w:type="dxa" w:w="5023"/>
            <w:vAlign w:val="center"/>
            <w:tcMar>
              <w:top w:w="80" w:type="dxa"/>
              <w:start w:w="100" w:type="dxa"/>
              <w:bottom w:w="80" w:type="dxa"/>
              <w:end w:w="100" w:type="dxa"/>
            </w:tcMar>
          </w:tcPr>
          <w:p>
            <w:pPr>
              <w:pStyle w:val="CTABody"/>
              <w:spacing w:after="40"/>
            </w:pPr>
            <w:r/>
            <w:r>
              <w:t>Receiving provider</w:t>
            </w:r>
          </w:p>
        </w:tc>
        <w:tc>
          <w:tcPr>
            <w:tcW w:type="dxa" w:w="5023"/>
            <w:vAlign w:val="center"/>
            <w:tcMar>
              <w:top w:w="80" w:type="dxa"/>
              <w:start w:w="100" w:type="dxa"/>
              <w:bottom w:w="80" w:type="dxa"/>
              <w:end w:w="100" w:type="dxa"/>
            </w:tcMar>
          </w:tcPr>
          <w:p>
            <w:pPr>
              <w:pStyle w:val="CTABody"/>
              <w:spacing w:after="40"/>
            </w:pPr>
            <w:r/>
            <w:r>
              <w:t>Assumes responsibilities defined by the accepted referral or transfer; responsibility does not shift merely because a name was provided.</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REMEMBER Consultation informs. Supervision guides and evaluates. Training develops. Collaboration coordinates. Referral redirects care. Urgent duties protect first.</w:t>
            </w:r>
          </w:p>
        </w:tc>
      </w:tr>
    </w:tbl>
    <w:p>
      <w:pPr>
        <w:spacing w:after="20"/>
      </w:pPr>
    </w:p>
    <w:p>
      <w:pPr>
        <w:pStyle w:val="Heading2"/>
        <w:keepNext/>
      </w:pPr>
      <w:r>
        <w:rPr/>
        <w:t>The Proportionate Response Ladder</w:t>
      </w:r>
    </w:p>
    <w:p>
      <w:pPr>
        <w:pStyle w:val="CTABody"/>
      </w:pPr>
      <w:r>
        <w:rPr>
          <w:b w:val="0"/>
          <w:i w:val="0"/>
        </w:rPr>
        <w:t>Use the least disruptive response that adequately protects the client. Move higher when the concern is more urgent, the gap is larger, support is unavailable, or continued practice is unsafe.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Level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Matched Action</w:t>
            </w:r>
          </w:p>
        </w:tc>
      </w:tr>
      <w:tr>
        <w:trPr>
          <w:cantSplit w:val="1"/>
        </w:trPr>
        <w:tc>
          <w:tcPr>
            <w:tcW w:type="dxa" w:w="5023"/>
            <w:vAlign w:val="center"/>
            <w:tcMar>
              <w:top w:w="80" w:type="dxa"/>
              <w:start w:w="100" w:type="dxa"/>
              <w:bottom w:w="80" w:type="dxa"/>
              <w:end w:w="100" w:type="dxa"/>
            </w:tcMar>
          </w:tcPr>
          <w:p>
            <w:pPr>
              <w:pStyle w:val="CTABody"/>
              <w:spacing w:after="40"/>
            </w:pPr>
            <w:r/>
            <w:r>
              <w:t>1. Clarify</w:t>
            </w:r>
          </w:p>
        </w:tc>
        <w:tc>
          <w:tcPr>
            <w:tcW w:type="dxa" w:w="5023"/>
            <w:vAlign w:val="center"/>
            <w:tcMar>
              <w:top w:w="80" w:type="dxa"/>
              <w:start w:w="100" w:type="dxa"/>
              <w:bottom w:w="80" w:type="dxa"/>
              <w:end w:w="100" w:type="dxa"/>
            </w:tcMar>
          </w:tcPr>
          <w:p>
            <w:pPr>
              <w:pStyle w:val="CTABody"/>
              <w:spacing w:after="40"/>
            </w:pPr>
            <w:r/>
            <w:r>
              <w:t>Identify the exact knowledge, skill, role, objectivity, functioning, or legal concern. Separate facts from assumptions.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 Verify and review</w:t>
            </w:r>
          </w:p>
        </w:tc>
        <w:tc>
          <w:tcPr>
            <w:tcW w:type="dxa" w:w="5023"/>
            <w:vAlign w:val="center"/>
            <w:tcMar>
              <w:top w:w="80" w:type="dxa"/>
              <w:start w:w="100" w:type="dxa"/>
              <w:bottom w:w="80" w:type="dxa"/>
              <w:end w:w="100" w:type="dxa"/>
            </w:tcMar>
            <w:shd w:fill="F4F6F8"/>
          </w:tcPr>
          <w:p>
            <w:pPr>
              <w:pStyle w:val="CTABody"/>
              <w:spacing w:after="40"/>
            </w:pPr>
            <w:r/>
            <w:r>
              <w:t>Check current law, ethical standards, clinical guidance, records, outcome data, and relevant policies.</w:t>
            </w:r>
          </w:p>
        </w:tc>
      </w:tr>
      <w:tr>
        <w:trPr>
          <w:cantSplit w:val="1"/>
        </w:trPr>
        <w:tc>
          <w:tcPr>
            <w:tcW w:type="dxa" w:w="5023"/>
            <w:vAlign w:val="center"/>
            <w:tcMar>
              <w:top w:w="80" w:type="dxa"/>
              <w:start w:w="100" w:type="dxa"/>
              <w:bottom w:w="80" w:type="dxa"/>
              <w:end w:w="100" w:type="dxa"/>
            </w:tcMar>
          </w:tcPr>
          <w:p>
            <w:pPr>
              <w:pStyle w:val="CTABody"/>
              <w:spacing w:after="40"/>
            </w:pPr>
            <w:r/>
            <w:r>
              <w:t>3. Obtain professional input</w:t>
            </w:r>
          </w:p>
        </w:tc>
        <w:tc>
          <w:tcPr>
            <w:tcW w:type="dxa" w:w="5023"/>
            <w:vAlign w:val="center"/>
            <w:tcMar>
              <w:top w:w="80" w:type="dxa"/>
              <w:start w:w="100" w:type="dxa"/>
              <w:bottom w:w="80" w:type="dxa"/>
              <w:end w:w="100" w:type="dxa"/>
            </w:tcMar>
          </w:tcPr>
          <w:p>
            <w:pPr>
              <w:pStyle w:val="CTABody"/>
              <w:spacing w:after="40"/>
            </w:pPr>
            <w:r/>
            <w:r>
              <w:t>Use consultation, formal supervision, peer review, legal advice, or specialized guidance matched to the issue.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 Strengthen competence</w:t>
            </w:r>
          </w:p>
        </w:tc>
        <w:tc>
          <w:tcPr>
            <w:tcW w:type="dxa" w:w="5023"/>
            <w:vAlign w:val="center"/>
            <w:tcMar>
              <w:top w:w="80" w:type="dxa"/>
              <w:start w:w="100" w:type="dxa"/>
              <w:bottom w:w="80" w:type="dxa"/>
              <w:end w:w="100" w:type="dxa"/>
            </w:tcMar>
            <w:shd w:fill="F4F6F8"/>
          </w:tcPr>
          <w:p>
            <w:pPr>
              <w:pStyle w:val="CTABody"/>
              <w:spacing w:after="40"/>
            </w:pPr>
            <w:r/>
            <w:r>
              <w:t>Complete relevant education, supervised practice, skill rehearsal, observed work, or increased case review.</w:t>
            </w:r>
          </w:p>
        </w:tc>
      </w:tr>
      <w:tr>
        <w:trPr>
          <w:cantSplit w:val="1"/>
        </w:trPr>
        <w:tc>
          <w:tcPr>
            <w:tcW w:type="dxa" w:w="5023"/>
            <w:vAlign w:val="center"/>
            <w:tcMar>
              <w:top w:w="80" w:type="dxa"/>
              <w:start w:w="100" w:type="dxa"/>
              <w:bottom w:w="80" w:type="dxa"/>
              <w:end w:w="100" w:type="dxa"/>
            </w:tcMar>
          </w:tcPr>
          <w:p>
            <w:pPr>
              <w:pStyle w:val="CTABody"/>
              <w:spacing w:after="40"/>
            </w:pPr>
            <w:r/>
            <w:r>
              <w:t>5. Modify or limit services</w:t>
            </w:r>
          </w:p>
        </w:tc>
        <w:tc>
          <w:tcPr>
            <w:tcW w:type="dxa" w:w="5023"/>
            <w:vAlign w:val="center"/>
            <w:tcMar>
              <w:top w:w="80" w:type="dxa"/>
              <w:start w:w="100" w:type="dxa"/>
              <w:bottom w:w="80" w:type="dxa"/>
              <w:end w:w="100" w:type="dxa"/>
            </w:tcMar>
          </w:tcPr>
          <w:p>
            <w:pPr>
              <w:pStyle w:val="CTABody"/>
              <w:spacing w:after="40"/>
            </w:pPr>
            <w:r/>
            <w:r>
              <w:t>Adjust the treatment plan, pause an unfamiliar technique, add collaboration, increase oversight, or narrow the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6. Refer, transfer, or increase level of care</w:t>
            </w:r>
          </w:p>
        </w:tc>
        <w:tc>
          <w:tcPr>
            <w:tcW w:type="dxa" w:w="5023"/>
            <w:vAlign w:val="center"/>
            <w:tcMar>
              <w:top w:w="80" w:type="dxa"/>
              <w:start w:w="100" w:type="dxa"/>
              <w:bottom w:w="80" w:type="dxa"/>
              <w:end w:w="100" w:type="dxa"/>
            </w:tcMar>
            <w:shd w:fill="F4F6F8"/>
          </w:tcPr>
          <w:p>
            <w:pPr>
              <w:pStyle w:val="CTABody"/>
              <w:spacing w:after="40"/>
            </w:pPr>
            <w:r/>
            <w:r>
              <w:t>Use when the client requires expertise, resources, neutrality, or risk management that cannot be supplied safely in the current arrangement.</w:t>
            </w:r>
          </w:p>
        </w:tc>
      </w:tr>
      <w:tr>
        <w:trPr>
          <w:cantSplit w:val="1"/>
        </w:trPr>
        <w:tc>
          <w:tcPr>
            <w:tcW w:type="dxa" w:w="5023"/>
            <w:vAlign w:val="center"/>
            <w:tcMar>
              <w:top w:w="80" w:type="dxa"/>
              <w:start w:w="100" w:type="dxa"/>
              <w:bottom w:w="80" w:type="dxa"/>
              <w:end w:w="100" w:type="dxa"/>
            </w:tcMar>
          </w:tcPr>
          <w:p>
            <w:pPr>
              <w:pStyle w:val="CTABody"/>
              <w:spacing w:after="40"/>
            </w:pPr>
            <w:r/>
            <w:r>
              <w:t>7. Stop unsafe practice or act urgently</w:t>
            </w:r>
          </w:p>
        </w:tc>
        <w:tc>
          <w:tcPr>
            <w:tcW w:type="dxa" w:w="5023"/>
            <w:vAlign w:val="center"/>
            <w:tcMar>
              <w:top w:w="80" w:type="dxa"/>
              <w:start w:w="100" w:type="dxa"/>
              <w:bottom w:w="80" w:type="dxa"/>
              <w:end w:w="100" w:type="dxa"/>
            </w:tcMar>
          </w:tcPr>
          <w:p>
            <w:pPr>
              <w:pStyle w:val="CTABody"/>
              <w:spacing w:after="40"/>
            </w:pPr>
            <w:r/>
            <w:r>
              <w:t>Suspend the activity or take protective/mandated action when continued practice or delay creates unacceptable risk.</w:t>
            </w:r>
          </w:p>
        </w:tc>
      </w:tr>
    </w:tbl>
    <w:p>
      <w:pPr>
        <w:spacing w:after="20"/>
      </w:pPr>
    </w:p>
    <w:p>
      <w:pPr>
        <w:pStyle w:val="Heading3"/>
        <w:keepNext/>
      </w:pPr>
      <w:r>
        <w:rPr/>
        <w:t>Urgency Changes the Order</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Situation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Sequence</w:t>
            </w:r>
          </w:p>
        </w:tc>
      </w:tr>
      <w:tr>
        <w:trPr>
          <w:cantSplit w:val="1"/>
        </w:trPr>
        <w:tc>
          <w:tcPr>
            <w:tcW w:type="dxa" w:w="5023"/>
            <w:vAlign w:val="center"/>
            <w:tcMar>
              <w:top w:w="80" w:type="dxa"/>
              <w:start w:w="100" w:type="dxa"/>
              <w:bottom w:w="80" w:type="dxa"/>
              <w:end w:w="100" w:type="dxa"/>
            </w:tcMar>
          </w:tcPr>
          <w:p>
            <w:pPr>
              <w:pStyle w:val="CTABody"/>
              <w:spacing w:after="40"/>
            </w:pPr>
            <w:r/>
            <w:r>
              <w:t>Immediate danger or clear legal mandate</w:t>
            </w:r>
          </w:p>
        </w:tc>
        <w:tc>
          <w:tcPr>
            <w:tcW w:type="dxa" w:w="5023"/>
            <w:vAlign w:val="center"/>
            <w:tcMar>
              <w:top w:w="80" w:type="dxa"/>
              <w:start w:w="100" w:type="dxa"/>
              <w:bottom w:w="80" w:type="dxa"/>
              <w:end w:w="100" w:type="dxa"/>
            </w:tcMar>
          </w:tcPr>
          <w:p>
            <w:pPr>
              <w:pStyle w:val="CTABody"/>
              <w:spacing w:after="40"/>
            </w:pPr>
            <w:r/>
            <w:r>
              <w:t>Protect, report, or respond first. Consultation may occur simultaneously if it does not delay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Serious concern without immediate danger</w:t>
            </w:r>
          </w:p>
        </w:tc>
        <w:tc>
          <w:tcPr>
            <w:tcW w:type="dxa" w:w="5023"/>
            <w:vAlign w:val="center"/>
            <w:tcMar>
              <w:top w:w="80" w:type="dxa"/>
              <w:start w:w="100" w:type="dxa"/>
              <w:bottom w:w="80" w:type="dxa"/>
              <w:end w:w="100" w:type="dxa"/>
            </w:tcMar>
            <w:shd w:fill="F4F6F8"/>
          </w:tcPr>
          <w:p>
            <w:pPr>
              <w:pStyle w:val="CTABody"/>
              <w:spacing w:after="40"/>
            </w:pPr>
            <w:r/>
            <w:r>
              <w:t>Assess promptly, contact qualified support, modify the plan, and increase monitoring or level of care as indicated.</w:t>
            </w:r>
          </w:p>
        </w:tc>
      </w:tr>
      <w:tr>
        <w:trPr>
          <w:cantSplit w:val="1"/>
        </w:trPr>
        <w:tc>
          <w:tcPr>
            <w:tcW w:type="dxa" w:w="5023"/>
            <w:vAlign w:val="center"/>
            <w:tcMar>
              <w:top w:w="80" w:type="dxa"/>
              <w:start w:w="100" w:type="dxa"/>
              <w:bottom w:w="80" w:type="dxa"/>
              <w:end w:w="100" w:type="dxa"/>
            </w:tcMar>
          </w:tcPr>
          <w:p>
            <w:pPr>
              <w:pStyle w:val="CTABody"/>
              <w:spacing w:after="40"/>
            </w:pPr>
            <w:r/>
            <w:r>
              <w:t>Nonurgent competence gap</w:t>
            </w:r>
          </w:p>
        </w:tc>
        <w:tc>
          <w:tcPr>
            <w:tcW w:type="dxa" w:w="5023"/>
            <w:vAlign w:val="center"/>
            <w:tcMar>
              <w:top w:w="80" w:type="dxa"/>
              <w:start w:w="100" w:type="dxa"/>
              <w:bottom w:w="80" w:type="dxa"/>
              <w:end w:w="100" w:type="dxa"/>
            </w:tcMar>
          </w:tcPr>
          <w:p>
            <w:pPr>
              <w:pStyle w:val="CTABody"/>
              <w:spacing w:after="40"/>
            </w:pPr>
            <w:r/>
            <w:r>
              <w:t>Clarify, verify, train, supervise, collaborate, or limit the activity while preserving safe continuity.</w:t>
            </w:r>
          </w:p>
        </w:tc>
      </w:tr>
    </w:tbl>
    <w:p>
      <w:pPr>
        <w:spacing w:after="20"/>
      </w:pPr>
    </w:p>
    <w:p>
      <w:pPr>
        <w:pStyle w:val="Heading3"/>
        <w:keepNext/>
      </w:pPr>
      <w:r>
        <w:rPr/>
        <w:t>Mistakes, Feedback, and Accountability</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Accountable Response</w:t>
            </w:r>
          </w:p>
        </w:tc>
      </w:tr>
      <w:tr>
        <w:trPr>
          <w:cantSplit w:val="1"/>
        </w:trPr>
        <w:tc>
          <w:tcPr>
            <w:tcW w:type="dxa" w:w="5023"/>
            <w:vAlign w:val="center"/>
            <w:tcMar>
              <w:top w:w="80" w:type="dxa"/>
              <w:start w:w="100" w:type="dxa"/>
              <w:bottom w:w="80" w:type="dxa"/>
              <w:end w:w="100" w:type="dxa"/>
            </w:tcMar>
          </w:tcPr>
          <w:p>
            <w:pPr>
              <w:pStyle w:val="CTABody"/>
              <w:spacing w:after="40"/>
            </w:pPr>
            <w:r/>
            <w:r>
              <w:t>A mistake or omission occurs</w:t>
            </w:r>
          </w:p>
        </w:tc>
        <w:tc>
          <w:tcPr>
            <w:tcW w:type="dxa" w:w="5023"/>
            <w:vAlign w:val="center"/>
            <w:tcMar>
              <w:top w:w="80" w:type="dxa"/>
              <w:start w:w="100" w:type="dxa"/>
              <w:bottom w:w="80" w:type="dxa"/>
              <w:end w:w="100" w:type="dxa"/>
            </w:tcMar>
          </w:tcPr>
          <w:p>
            <w:pPr>
              <w:pStyle w:val="CTABody"/>
              <w:spacing w:after="40"/>
            </w:pPr>
            <w:r/>
            <w:r>
              <w:t>Protect the client; disclose accurately to the appropriate person or system; correct what can be corrected; document material facts; prevent recurrence.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supervisor or colleague raises a concern</w:t>
            </w:r>
          </w:p>
        </w:tc>
        <w:tc>
          <w:tcPr>
            <w:tcW w:type="dxa" w:w="5023"/>
            <w:vAlign w:val="center"/>
            <w:tcMar>
              <w:top w:w="80" w:type="dxa"/>
              <w:start w:w="100" w:type="dxa"/>
              <w:bottom w:w="80" w:type="dxa"/>
              <w:end w:w="100" w:type="dxa"/>
            </w:tcMar>
            <w:shd w:fill="F4F6F8"/>
          </w:tcPr>
          <w:p>
            <w:pPr>
              <w:pStyle w:val="CTABody"/>
              <w:spacing w:after="40"/>
            </w:pPr>
            <w:r/>
            <w:r>
              <w:t>Listen for the behavior and standard; request examples; assess client impact; clarify the next step; complete and verify corrective action.</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CONFLICTING OR UNSAFE ADVICE Do not obey blindly or ignore it. Clarify the facts, review current authority, protect the client, and use appropriate escalation.</w:t>
            </w:r>
          </w:p>
        </w:tc>
      </w:tr>
    </w:tbl>
    <w:p>
      <w:pPr>
        <w:spacing w:after="20"/>
      </w:pPr>
    </w:p>
    <w:p>
      <w:pPr>
        <w:pStyle w:val="Heading2"/>
        <w:keepNext/>
      </w:pPr>
      <w:r>
        <w:rPr/>
        <w:t>Supervision and Professional Role Memory Cards</w:t>
      </w:r>
    </w:p>
    <w:p>
      <w:pPr>
        <w:pStyle w:val="Heading3"/>
        <w:keepNext/>
      </w:pPr>
      <w:r>
        <w:rPr/>
        <w:t>Clinical Supervision: CONTROL + CANDOR</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Memory Card</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Meaning</w:t>
            </w:r>
          </w:p>
        </w:tc>
      </w:tr>
      <w:tr>
        <w:trPr>
          <w:cantSplit w:val="1"/>
        </w:trPr>
        <w:tc>
          <w:tcPr>
            <w:tcW w:type="dxa" w:w="5023"/>
            <w:vAlign w:val="center"/>
            <w:tcMar>
              <w:top w:w="80" w:type="dxa"/>
              <w:start w:w="100" w:type="dxa"/>
              <w:bottom w:w="80" w:type="dxa"/>
              <w:end w:w="100" w:type="dxa"/>
            </w:tcMar>
          </w:tcPr>
          <w:p>
            <w:pPr>
              <w:pStyle w:val="CTABody"/>
              <w:spacing w:after="40"/>
            </w:pPr>
            <w:r/>
            <w:r>
              <w:t>CONTROL — Supervisor</w:t>
            </w:r>
          </w:p>
        </w:tc>
        <w:tc>
          <w:tcPr>
            <w:tcW w:type="dxa" w:w="5023"/>
            <w:vAlign w:val="center"/>
            <w:tcMar>
              <w:top w:w="80" w:type="dxa"/>
              <w:start w:w="100" w:type="dxa"/>
              <w:bottom w:w="80" w:type="dxa"/>
              <w:end w:w="100" w:type="dxa"/>
            </w:tcMar>
          </w:tcPr>
          <w:p>
            <w:pPr>
              <w:pStyle w:val="CTABody"/>
              <w:spacing w:after="40"/>
            </w:pPr>
            <w:r/>
            <w:r>
              <w:t>Responsibility for and control over service quality; qualified oversight; actual review of work; timely feedback; honest assessment; remediation and gatekeeping.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CANDOR — Supervisee</w:t>
            </w:r>
          </w:p>
        </w:tc>
        <w:tc>
          <w:tcPr>
            <w:tcW w:type="dxa" w:w="5023"/>
            <w:vAlign w:val="center"/>
            <w:tcMar>
              <w:top w:w="80" w:type="dxa"/>
              <w:start w:w="100" w:type="dxa"/>
              <w:bottom w:w="80" w:type="dxa"/>
              <w:end w:w="100" w:type="dxa"/>
            </w:tcMar>
            <w:shd w:fill="F4F6F8"/>
          </w:tcPr>
          <w:p>
            <w:pPr>
              <w:pStyle w:val="CTABody"/>
              <w:spacing w:after="40"/>
            </w:pPr>
            <w:r/>
            <w:r>
              <w:t>Accurate information; prompt disclosure of risk, uncertainty, and mistakes; preparation; clarification; lawful action; corrective follow-through.</w:t>
            </w:r>
          </w:p>
        </w:tc>
      </w:tr>
      <w:tr>
        <w:trPr>
          <w:cantSplit w:val="1"/>
        </w:trPr>
        <w:tc>
          <w:tcPr>
            <w:tcW w:type="dxa" w:w="5023"/>
            <w:vAlign w:val="center"/>
            <w:tcMar>
              <w:top w:w="80" w:type="dxa"/>
              <w:start w:w="100" w:type="dxa"/>
              <w:bottom w:w="80" w:type="dxa"/>
              <w:end w:w="100" w:type="dxa"/>
            </w:tcMar>
          </w:tcPr>
          <w:p>
            <w:pPr>
              <w:pStyle w:val="CTABody"/>
              <w:spacing w:after="40"/>
            </w:pPr>
            <w:r/>
            <w:r>
              <w:t>60 — ANNUAL — END</w:t>
            </w:r>
          </w:p>
        </w:tc>
        <w:tc>
          <w:tcPr>
            <w:tcW w:type="dxa" w:w="5023"/>
            <w:vAlign w:val="center"/>
            <w:tcMar>
              <w:top w:w="80" w:type="dxa"/>
              <w:start w:w="100" w:type="dxa"/>
              <w:bottom w:w="80" w:type="dxa"/>
              <w:end w:w="100" w:type="dxa"/>
            </w:tcMar>
          </w:tcPr>
          <w:p>
            <w:pPr>
              <w:pStyle w:val="CTABody"/>
              <w:spacing w:after="40"/>
            </w:pPr>
            <w:r/>
            <w:r>
              <w:t>Complete the required agreement and plan within 60 days; assess strengths and limitations at least annually; assess again at completion or termination.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Weekly contact</w:t>
            </w:r>
          </w:p>
        </w:tc>
        <w:tc>
          <w:tcPr>
            <w:tcW w:type="dxa" w:w="5023"/>
            <w:vAlign w:val="center"/>
            <w:tcMar>
              <w:top w:w="80" w:type="dxa"/>
              <w:start w:w="100" w:type="dxa"/>
              <w:bottom w:w="80" w:type="dxa"/>
              <w:end w:w="100" w:type="dxa"/>
            </w:tcMar>
            <w:shd w:fill="F4F6F8"/>
          </w:tcPr>
          <w:p>
            <w:pPr>
              <w:pStyle w:val="CTABody"/>
              <w:spacing w:after="40"/>
            </w:pPr>
            <w:r/>
            <w:r>
              <w:t>Registered ASWs: at least one unit in each week experience is gained in each setting, with an additional unit when more than 10 direct clinical counseling hours are provided there. ASWs also receive additional supervision tied to direct clinical counseling hours.</w:t>
            </w:r>
          </w:p>
        </w:tc>
      </w:tr>
      <w:tr>
        <w:trPr>
          <w:cantSplit w:val="1"/>
        </w:trPr>
        <w:tc>
          <w:tcPr>
            <w:tcW w:type="dxa" w:w="5023"/>
            <w:vAlign w:val="center"/>
            <w:tcMar>
              <w:top w:w="80" w:type="dxa"/>
              <w:start w:w="100" w:type="dxa"/>
              <w:bottom w:w="80" w:type="dxa"/>
              <w:end w:w="100" w:type="dxa"/>
            </w:tcMar>
          </w:tcPr>
          <w:p>
            <w:pPr>
              <w:pStyle w:val="CTABody"/>
              <w:spacing w:after="40"/>
            </w:pPr>
            <w:r/>
            <w:r>
              <w:t>SAFE BEFORE SCHEDULED</w:t>
            </w:r>
          </w:p>
        </w:tc>
        <w:tc>
          <w:tcPr>
            <w:tcW w:type="dxa" w:w="5023"/>
            <w:vAlign w:val="center"/>
            <w:tcMar>
              <w:top w:w="80" w:type="dxa"/>
              <w:start w:w="100" w:type="dxa"/>
              <w:bottom w:w="80" w:type="dxa"/>
              <w:end w:w="100" w:type="dxa"/>
            </w:tcMar>
          </w:tcPr>
          <w:p>
            <w:pPr>
              <w:pStyle w:val="CTABody"/>
              <w:spacing w:after="40"/>
            </w:pPr>
            <w:r/>
            <w:r>
              <w:t>Urgent client risk does not wait for the next calendar meeting. Use emergency procedures and contact qualified supervision or an approved substitute promptly.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Peer input ≠ required supervision</w:t>
            </w:r>
          </w:p>
        </w:tc>
        <w:tc>
          <w:tcPr>
            <w:tcW w:type="dxa" w:w="5023"/>
            <w:vAlign w:val="center"/>
            <w:tcMar>
              <w:top w:w="80" w:type="dxa"/>
              <w:start w:w="100" w:type="dxa"/>
              <w:bottom w:w="80" w:type="dxa"/>
              <w:end w:w="100" w:type="dxa"/>
            </w:tcMar>
            <w:shd w:fill="F4F6F8"/>
          </w:tcPr>
          <w:p>
            <w:pPr>
              <w:pStyle w:val="CTABody"/>
              <w:spacing w:after="40"/>
            </w:pPr>
            <w:r/>
            <w:r>
              <w:t>Consultation may help, but it does not satisfy the legal supervisory relationship, required contact, evaluation, or documentation.</w:t>
            </w:r>
          </w:p>
        </w:tc>
      </w:tr>
    </w:tbl>
    <w:p>
      <w:pPr>
        <w:spacing w:after="20"/>
      </w:pPr>
    </w:p>
    <w:p>
      <w:pPr>
        <w:pStyle w:val="Heading3"/>
        <w:keepNext/>
      </w:pPr>
      <w:r>
        <w:rPr/>
        <w:t>Professional Roles: ROLE Before RESPONSE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r>
      <w:tr>
        <w:trPr>
          <w:cantSplit w:val="1"/>
        </w:trPr>
        <w:tc>
          <w:tcPr>
            <w:tcW w:type="dxa" w:w="5023"/>
            <w:vAlign w:val="center"/>
            <w:tcMar>
              <w:top w:w="80" w:type="dxa"/>
              <w:start w:w="100" w:type="dxa"/>
              <w:bottom w:w="80" w:type="dxa"/>
              <w:end w:w="100" w:type="dxa"/>
            </w:tcMar>
          </w:tcPr>
          <w:p>
            <w:pPr>
              <w:pStyle w:val="CTABody"/>
              <w:spacing w:after="40"/>
            </w:pPr>
            <w:r/>
            <w:r>
              <w:t>R — Recognize the role</w:t>
            </w:r>
          </w:p>
        </w:tc>
        <w:tc>
          <w:tcPr>
            <w:tcW w:type="dxa" w:w="5023"/>
            <w:vAlign w:val="center"/>
            <w:tcMar>
              <w:top w:w="80" w:type="dxa"/>
              <w:start w:w="100" w:type="dxa"/>
              <w:bottom w:w="80" w:type="dxa"/>
              <w:end w:w="100" w:type="dxa"/>
            </w:tcMar>
          </w:tcPr>
          <w:p>
            <w:pPr>
              <w:pStyle w:val="CTABody"/>
              <w:spacing w:after="40"/>
            </w:pPr>
            <w:r/>
            <w:r>
              <w:t>Identify the purpose, requester, person served, authority, work product, and intended audience.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O — Outline expectations</w:t>
            </w:r>
          </w:p>
        </w:tc>
        <w:tc>
          <w:tcPr>
            <w:tcW w:type="dxa" w:w="5023"/>
            <w:vAlign w:val="center"/>
            <w:tcMar>
              <w:top w:w="80" w:type="dxa"/>
              <w:start w:w="100" w:type="dxa"/>
              <w:bottom w:w="80" w:type="dxa"/>
              <w:end w:w="100" w:type="dxa"/>
            </w:tcMar>
            <w:shd w:fill="F4F6F8"/>
          </w:tcPr>
          <w:p>
            <w:pPr>
              <w:pStyle w:val="CTABody"/>
              <w:spacing w:after="40"/>
            </w:pPr>
            <w:r/>
            <w:r>
              <w:t>Clarify confidentiality, privilege, recipients, fees, methods, limits, consequences, and decision-making authority.</w:t>
            </w:r>
          </w:p>
        </w:tc>
      </w:tr>
      <w:tr>
        <w:trPr>
          <w:cantSplit w:val="1"/>
        </w:trPr>
        <w:tc>
          <w:tcPr>
            <w:tcW w:type="dxa" w:w="5023"/>
            <w:vAlign w:val="center"/>
            <w:tcMar>
              <w:top w:w="80" w:type="dxa"/>
              <w:start w:w="100" w:type="dxa"/>
              <w:bottom w:w="80" w:type="dxa"/>
              <w:end w:w="100" w:type="dxa"/>
            </w:tcMar>
          </w:tcPr>
          <w:p>
            <w:pPr>
              <w:pStyle w:val="CTABody"/>
              <w:spacing w:after="40"/>
            </w:pPr>
            <w:r/>
            <w:r>
              <w:t>L — Look for conflict</w:t>
            </w:r>
          </w:p>
        </w:tc>
        <w:tc>
          <w:tcPr>
            <w:tcW w:type="dxa" w:w="5023"/>
            <w:vAlign w:val="center"/>
            <w:tcMar>
              <w:top w:w="80" w:type="dxa"/>
              <w:start w:w="100" w:type="dxa"/>
              <w:bottom w:w="80" w:type="dxa"/>
              <w:end w:w="100" w:type="dxa"/>
            </w:tcMar>
          </w:tcPr>
          <w:p>
            <w:pPr>
              <w:pStyle w:val="CTABody"/>
              <w:spacing w:after="40"/>
            </w:pPr>
            <w:r/>
            <w:r>
              <w:t>Assess competence, objectivity, multiple roles, exploitation risk, informed-consent confusion, and available alternatives.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E — Execute the safest structure</w:t>
            </w:r>
          </w:p>
        </w:tc>
        <w:tc>
          <w:tcPr>
            <w:tcW w:type="dxa" w:w="5023"/>
            <w:vAlign w:val="center"/>
            <w:tcMar>
              <w:top w:w="80" w:type="dxa"/>
              <w:start w:w="100" w:type="dxa"/>
              <w:bottom w:w="80" w:type="dxa"/>
              <w:end w:w="100" w:type="dxa"/>
            </w:tcMar>
            <w:shd w:fill="F4F6F8"/>
          </w:tcPr>
          <w:p>
            <w:pPr>
              <w:pStyle w:val="CTABody"/>
              <w:spacing w:after="40"/>
            </w:pPr>
            <w:r/>
            <w:r>
              <w:t>Accept, narrow, separate, consult, refer, or decline the role; document and revisit clarification when circumstances change.</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ROLE QUICK RULES TREAT = HELP the client. EVALUATE = ANSWER a defined question for an authorized audience. Court involvement does not automatically create therapy. Consent cannot create competence, neutrality, or compatibility between conflicting roles.</w:t>
            </w:r>
          </w:p>
        </w:tc>
      </w:tr>
    </w:tbl>
    <w:p>
      <w:pPr>
        <w:spacing w:after="20"/>
      </w:pPr>
    </w:p>
    <w:p>
      <w:pPr>
        <w:pStyle w:val="Heading2"/>
        <w:keepNext/>
      </w:pPr>
      <w:r>
        <w:rPr/>
        <w:t>Maintaining Competence and Current Functioning</w:t>
      </w:r>
    </w:p>
    <w:p>
      <w:pPr>
        <w:pStyle w:val="CTABody"/>
      </w:pPr>
      <w:r>
        <w:rPr>
          <w:b w:val="0"/>
          <w:i w:val="0"/>
        </w:rPr>
        <w:t>Competence is present and context-specific. Past training may remain valuable, but law, research, technology, populations, skills, and clinician functioning change.</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Competence-Maintenance Response</w:t>
            </w:r>
          </w:p>
        </w:tc>
      </w:tr>
      <w:tr>
        <w:trPr>
          <w:cantSplit w:val="1"/>
        </w:trPr>
        <w:tc>
          <w:tcPr>
            <w:tcW w:type="dxa" w:w="5023"/>
            <w:vAlign w:val="center"/>
            <w:tcMar>
              <w:top w:w="80" w:type="dxa"/>
              <w:start w:w="100" w:type="dxa"/>
              <w:bottom w:w="80" w:type="dxa"/>
              <w:end w:w="100" w:type="dxa"/>
            </w:tcMar>
          </w:tcPr>
          <w:p>
            <w:pPr>
              <w:pStyle w:val="CTABody"/>
              <w:spacing w:after="40"/>
            </w:pPr>
            <w:r/>
            <w:r>
              <w:t>Law, ethics, or procedures may be outdated</w:t>
            </w:r>
          </w:p>
        </w:tc>
        <w:tc>
          <w:tcPr>
            <w:tcW w:type="dxa" w:w="5023"/>
            <w:vAlign w:val="center"/>
            <w:tcMar>
              <w:top w:w="80" w:type="dxa"/>
              <w:start w:w="100" w:type="dxa"/>
              <w:bottom w:w="80" w:type="dxa"/>
              <w:end w:w="100" w:type="dxa"/>
            </w:tcMar>
          </w:tcPr>
          <w:p>
            <w:pPr>
              <w:pStyle w:val="CTABody"/>
              <w:spacing w:after="40"/>
            </w:pPr>
            <w:r/>
            <w:r>
              <w:t>Verify current statutes, regulations, Board materials, court rules, and qualified guidance before acting.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new population, condition, intervention, role, or technology appears</w:t>
            </w:r>
          </w:p>
        </w:tc>
        <w:tc>
          <w:tcPr>
            <w:tcW w:type="dxa" w:w="5023"/>
            <w:vAlign w:val="center"/>
            <w:tcMar>
              <w:top w:w="80" w:type="dxa"/>
              <w:start w:w="100" w:type="dxa"/>
              <w:bottom w:w="80" w:type="dxa"/>
              <w:end w:w="100" w:type="dxa"/>
            </w:tcMar>
            <w:shd w:fill="F4F6F8"/>
          </w:tcPr>
          <w:p>
            <w:pPr>
              <w:pStyle w:val="CTABody"/>
              <w:spacing w:after="40"/>
            </w:pPr>
            <w:r/>
            <w:r>
              <w:t>Assess the specific knowledge, practical skill, cultural and language needs, risks, privacy issues, and emergency requirements.</w:t>
            </w:r>
          </w:p>
        </w:tc>
      </w:tr>
      <w:tr>
        <w:trPr>
          <w:cantSplit w:val="1"/>
        </w:trPr>
        <w:tc>
          <w:tcPr>
            <w:tcW w:type="dxa" w:w="5023"/>
            <w:vAlign w:val="center"/>
            <w:tcMar>
              <w:top w:w="80" w:type="dxa"/>
              <w:start w:w="100" w:type="dxa"/>
              <w:bottom w:w="80" w:type="dxa"/>
              <w:end w:w="100" w:type="dxa"/>
            </w:tcMar>
          </w:tcPr>
          <w:p>
            <w:pPr>
              <w:pStyle w:val="CTABody"/>
              <w:spacing w:after="40"/>
            </w:pPr>
            <w:r/>
            <w:r>
              <w:t>Treatment is not progressing or similar errors recur</w:t>
            </w:r>
          </w:p>
        </w:tc>
        <w:tc>
          <w:tcPr>
            <w:tcW w:type="dxa" w:w="5023"/>
            <w:vAlign w:val="center"/>
            <w:tcMar>
              <w:top w:w="80" w:type="dxa"/>
              <w:start w:w="100" w:type="dxa"/>
              <w:bottom w:w="80" w:type="dxa"/>
              <w:end w:w="100" w:type="dxa"/>
            </w:tcMar>
          </w:tcPr>
          <w:p>
            <w:pPr>
              <w:pStyle w:val="CTABody"/>
              <w:spacing w:after="40"/>
            </w:pPr>
            <w:r/>
            <w:r>
              <w:t>Review outcomes and formulation; obtain feedback; correct procedures; strengthen skills; increase oversight; modify or refer as needed.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skill has not been used for a long time</w:t>
            </w:r>
          </w:p>
        </w:tc>
        <w:tc>
          <w:tcPr>
            <w:tcW w:type="dxa" w:w="5023"/>
            <w:vAlign w:val="center"/>
            <w:tcMar>
              <w:top w:w="80" w:type="dxa"/>
              <w:start w:w="100" w:type="dxa"/>
              <w:bottom w:w="80" w:type="dxa"/>
              <w:end w:w="100" w:type="dxa"/>
            </w:tcMar>
            <w:shd w:fill="F4F6F8"/>
          </w:tcPr>
          <w:p>
            <w:pPr>
              <w:pStyle w:val="CTABody"/>
              <w:spacing w:after="40"/>
            </w:pPr>
            <w:r/>
            <w:r>
              <w:t>Evaluate skill decay and use review, observed practice, supervised re-entry, or limited cases matched to current ability.</w:t>
            </w:r>
          </w:p>
        </w:tc>
      </w:tr>
      <w:tr>
        <w:trPr>
          <w:cantSplit w:val="1"/>
        </w:trPr>
        <w:tc>
          <w:tcPr>
            <w:tcW w:type="dxa" w:w="5023"/>
            <w:vAlign w:val="center"/>
            <w:tcMar>
              <w:top w:w="80" w:type="dxa"/>
              <w:start w:w="100" w:type="dxa"/>
              <w:bottom w:w="80" w:type="dxa"/>
              <w:end w:w="100" w:type="dxa"/>
            </w:tcMar>
          </w:tcPr>
          <w:p>
            <w:pPr>
              <w:pStyle w:val="CTABody"/>
              <w:spacing w:after="40"/>
            </w:pPr>
            <w:r/>
            <w:r>
              <w:t>Cultural or linguistic understanding is limited</w:t>
            </w:r>
          </w:p>
        </w:tc>
        <w:tc>
          <w:tcPr>
            <w:tcW w:type="dxa" w:w="5023"/>
            <w:vAlign w:val="center"/>
            <w:tcMar>
              <w:top w:w="80" w:type="dxa"/>
              <w:start w:w="100" w:type="dxa"/>
              <w:bottom w:w="80" w:type="dxa"/>
              <w:end w:w="100" w:type="dxa"/>
            </w:tcMar>
          </w:tcPr>
          <w:p>
            <w:pPr>
              <w:pStyle w:val="CTABody"/>
              <w:spacing w:after="40"/>
            </w:pPr>
            <w:r/>
            <w:r>
              <w:t>Use humility, individualized assessment, language access, adaptation, community knowledge, consultation, and further preparation without stereotyping.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Values, bias, countertransference, or strong reactions affect judgment</w:t>
            </w:r>
          </w:p>
        </w:tc>
        <w:tc>
          <w:tcPr>
            <w:tcW w:type="dxa" w:w="5023"/>
            <w:vAlign w:val="center"/>
            <w:tcMar>
              <w:top w:w="80" w:type="dxa"/>
              <w:start w:w="100" w:type="dxa"/>
              <w:bottom w:w="80" w:type="dxa"/>
              <w:end w:w="100" w:type="dxa"/>
            </w:tcMar>
            <w:shd w:fill="F4F6F8"/>
          </w:tcPr>
          <w:p>
            <w:pPr>
              <w:pStyle w:val="CTABody"/>
              <w:spacing w:after="40"/>
            </w:pPr>
            <w:r/>
            <w:r>
              <w:t>Recognize the effect, seek professional or personal support, protect the client from burden or exploitation, and modify the role when necessary.</w:t>
            </w:r>
          </w:p>
        </w:tc>
      </w:tr>
      <w:tr>
        <w:trPr>
          <w:cantSplit w:val="1"/>
        </w:trPr>
        <w:tc>
          <w:tcPr>
            <w:tcW w:type="dxa" w:w="5023"/>
            <w:vAlign w:val="center"/>
            <w:tcMar>
              <w:top w:w="80" w:type="dxa"/>
              <w:start w:w="100" w:type="dxa"/>
              <w:bottom w:w="80" w:type="dxa"/>
              <w:end w:w="100" w:type="dxa"/>
            </w:tcMar>
          </w:tcPr>
          <w:p>
            <w:pPr>
              <w:pStyle w:val="CTABody"/>
              <w:spacing w:after="40"/>
            </w:pPr>
            <w:r/>
            <w:r>
              <w:t>Fatigue, illness, distress, workload, substance use, or other impairment reduces performance</w:t>
            </w:r>
          </w:p>
        </w:tc>
        <w:tc>
          <w:tcPr>
            <w:tcW w:type="dxa" w:w="5023"/>
            <w:vAlign w:val="center"/>
            <w:tcMar>
              <w:top w:w="80" w:type="dxa"/>
              <w:start w:w="100" w:type="dxa"/>
              <w:bottom w:w="80" w:type="dxa"/>
              <w:end w:w="100" w:type="dxa"/>
            </w:tcMar>
          </w:tcPr>
          <w:p>
            <w:pPr>
              <w:pStyle w:val="CTABody"/>
              <w:spacing w:after="40"/>
            </w:pPr>
            <w:r/>
            <w:r>
              <w:t>Assess current client impact; reduce, modify, pause, or transfer services; arrange coverage; obtain assistance; do not rely on credentials as reassurance.</w:t>
            </w:r>
          </w:p>
        </w:tc>
      </w:tr>
    </w:tbl>
    <w:p>
      <w:pPr>
        <w:spacing w:after="20"/>
      </w:pPr>
    </w:p>
    <w:p>
      <w:pPr>
        <w:pStyle w:val="Heading3"/>
        <w:keepNext/>
      </w:pPr>
      <w:r>
        <w:rPr/>
        <w:t>Rapid Red-Flag Cues</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Stem Cue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Think Immediately</w:t>
            </w:r>
          </w:p>
        </w:tc>
      </w:tr>
      <w:tr>
        <w:trPr>
          <w:cantSplit w:val="1"/>
        </w:trPr>
        <w:tc>
          <w:tcPr>
            <w:tcW w:type="dxa" w:w="5023"/>
            <w:vAlign w:val="center"/>
            <w:tcMar>
              <w:top w:w="80" w:type="dxa"/>
              <w:start w:w="100" w:type="dxa"/>
              <w:bottom w:w="80" w:type="dxa"/>
              <w:end w:w="100" w:type="dxa"/>
            </w:tcMar>
          </w:tcPr>
          <w:p>
            <w:pPr>
              <w:pStyle w:val="CTABody"/>
              <w:spacing w:after="40"/>
            </w:pPr>
            <w:r/>
            <w:r>
              <w:t>“I have always done it this way.”</w:t>
            </w:r>
          </w:p>
        </w:tc>
        <w:tc>
          <w:tcPr>
            <w:tcW w:type="dxa" w:w="5023"/>
            <w:vAlign w:val="center"/>
            <w:tcMar>
              <w:top w:w="80" w:type="dxa"/>
              <w:start w:w="100" w:type="dxa"/>
              <w:bottom w:w="80" w:type="dxa"/>
              <w:end w:w="100" w:type="dxa"/>
            </w:tcMar>
          </w:tcPr>
          <w:p>
            <w:pPr>
              <w:pStyle w:val="CTABody"/>
              <w:spacing w:after="40"/>
            </w:pPr>
            <w:r/>
            <w:r>
              <w:t>Check current authority, evidence, procedures, and outcomes.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 read an article / attended a webinar.”</w:t>
            </w:r>
          </w:p>
        </w:tc>
        <w:tc>
          <w:tcPr>
            <w:tcW w:type="dxa" w:w="5023"/>
            <w:vAlign w:val="center"/>
            <w:tcMar>
              <w:top w:w="80" w:type="dxa"/>
              <w:start w:w="100" w:type="dxa"/>
              <w:bottom w:w="80" w:type="dxa"/>
              <w:end w:w="100" w:type="dxa"/>
            </w:tcMar>
            <w:shd w:fill="F4F6F8"/>
          </w:tcPr>
          <w:p>
            <w:pPr>
              <w:pStyle w:val="CTABody"/>
              <w:spacing w:after="40"/>
            </w:pPr>
            <w:r/>
            <w:r>
              <w:t>Knowledge exposure may not create practical skill.</w:t>
            </w:r>
          </w:p>
        </w:tc>
      </w:tr>
      <w:tr>
        <w:trPr>
          <w:cantSplit w:val="1"/>
        </w:trPr>
        <w:tc>
          <w:tcPr>
            <w:tcW w:type="dxa" w:w="5023"/>
            <w:vAlign w:val="center"/>
            <w:tcMar>
              <w:top w:w="80" w:type="dxa"/>
              <w:start w:w="100" w:type="dxa"/>
              <w:bottom w:w="80" w:type="dxa"/>
              <w:end w:w="100" w:type="dxa"/>
            </w:tcMar>
          </w:tcPr>
          <w:p>
            <w:pPr>
              <w:pStyle w:val="CTABody"/>
              <w:spacing w:after="40"/>
            </w:pPr>
            <w:r/>
            <w:r>
              <w:t>“The client is different from my usual population.”</w:t>
            </w:r>
          </w:p>
        </w:tc>
        <w:tc>
          <w:tcPr>
            <w:tcW w:type="dxa" w:w="5023"/>
            <w:vAlign w:val="center"/>
            <w:tcMar>
              <w:top w:w="80" w:type="dxa"/>
              <w:start w:w="100" w:type="dxa"/>
              <w:bottom w:w="80" w:type="dxa"/>
              <w:end w:w="100" w:type="dxa"/>
            </w:tcMar>
          </w:tcPr>
          <w:p>
            <w:pPr>
              <w:pStyle w:val="CTABody"/>
              <w:spacing w:after="40"/>
            </w:pPr>
            <w:r/>
            <w:r>
              <w:t>Assess population-, culture-, language-, and context-specific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 am too tired / distressed / impaired, but I am licensed.”</w:t>
            </w:r>
          </w:p>
        </w:tc>
        <w:tc>
          <w:tcPr>
            <w:tcW w:type="dxa" w:w="5023"/>
            <w:vAlign w:val="center"/>
            <w:tcMar>
              <w:top w:w="80" w:type="dxa"/>
              <w:start w:w="100" w:type="dxa"/>
              <w:bottom w:w="80" w:type="dxa"/>
              <w:end w:w="100" w:type="dxa"/>
            </w:tcMar>
            <w:shd w:fill="F4F6F8"/>
          </w:tcPr>
          <w:p>
            <w:pPr>
              <w:pStyle w:val="CTABody"/>
              <w:spacing w:after="40"/>
            </w:pPr>
            <w:r/>
            <w:r>
              <w:t>Current functioning is part of competence.</w:t>
            </w:r>
          </w:p>
        </w:tc>
      </w:tr>
      <w:tr>
        <w:trPr>
          <w:cantSplit w:val="1"/>
        </w:trPr>
        <w:tc>
          <w:tcPr>
            <w:tcW w:type="dxa" w:w="5023"/>
            <w:vAlign w:val="center"/>
            <w:tcMar>
              <w:top w:w="80" w:type="dxa"/>
              <w:start w:w="100" w:type="dxa"/>
              <w:bottom w:w="80" w:type="dxa"/>
              <w:end w:w="100" w:type="dxa"/>
            </w:tcMar>
          </w:tcPr>
          <w:p>
            <w:pPr>
              <w:pStyle w:val="CTABody"/>
              <w:spacing w:after="40"/>
            </w:pPr>
            <w:r/>
            <w:r>
              <w:t>“The client is stable, so I should terminate immediately.”</w:t>
            </w:r>
          </w:p>
        </w:tc>
        <w:tc>
          <w:tcPr>
            <w:tcW w:type="dxa" w:w="5023"/>
            <w:vAlign w:val="center"/>
            <w:tcMar>
              <w:top w:w="80" w:type="dxa"/>
              <w:start w:w="100" w:type="dxa"/>
              <w:bottom w:w="80" w:type="dxa"/>
              <w:end w:w="100" w:type="dxa"/>
            </w:tcMar>
          </w:tcPr>
          <w:p>
            <w:pPr>
              <w:pStyle w:val="CTABody"/>
              <w:spacing w:after="40"/>
            </w:pPr>
            <w:r/>
            <w:r>
              <w:t>Consider support and continuity before an unnecessarily disruptive response.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client is in immediate danger, so I will wait for consultation.”</w:t>
            </w:r>
          </w:p>
        </w:tc>
        <w:tc>
          <w:tcPr>
            <w:tcW w:type="dxa" w:w="5023"/>
            <w:vAlign w:val="center"/>
            <w:tcMar>
              <w:top w:w="80" w:type="dxa"/>
              <w:start w:w="100" w:type="dxa"/>
              <w:bottom w:w="80" w:type="dxa"/>
              <w:end w:w="100" w:type="dxa"/>
            </w:tcMar>
            <w:shd w:fill="F4F6F8"/>
          </w:tcPr>
          <w:p>
            <w:pPr>
              <w:pStyle w:val="CTABody"/>
              <w:spacing w:after="40"/>
            </w:pPr>
            <w:r/>
            <w:r>
              <w:t>Protect first; do not delay a controlling duty.</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BALANCED RULE Uncertainty is a signal requiring assessment—not automatic proof of incompetence. The greater concern is ignoring a material limitation or continuing without adequate protection.</w:t>
            </w:r>
          </w:p>
        </w:tc>
      </w:tr>
    </w:tbl>
    <w:p>
      <w:pPr>
        <w:spacing w:after="20"/>
      </w:pPr>
    </w:p>
    <w:p>
      <w:pPr>
        <w:pStyle w:val="Heading2"/>
        <w:keepNext/>
      </w:pPr>
      <w:r>
        <w:rPr/>
        <w:t>Final One-Minute Review</w:t>
      </w:r>
    </w:p>
    <w:p>
      <w:pPr>
        <w:pStyle w:val="Heading3"/>
        <w:keepNext/>
      </w:pPr>
      <w:r>
        <w:rPr/>
        <w:t>Ten High-Yield Memory Rules</w:t>
      </w:r>
    </w:p>
    <w:p>
      <w:pPr>
        <w:pStyle w:val="CTABody"/>
        <w:ind w:left="346" w:hanging="346"/>
      </w:pPr>
      <w:r>
        <w:rPr>
          <w:b/>
        </w:rPr>
        <w:t xml:space="preserve">1.  </w:t>
      </w:r>
      <w:r>
        <w:t>Legal authority does not prove actual competence.</w:t>
      </w:r>
    </w:p>
    <w:p>
      <w:pPr>
        <w:pStyle w:val="CTABody"/>
        <w:ind w:left="346" w:hanging="346"/>
      </w:pPr>
      <w:r>
        <w:rPr>
          <w:b/>
        </w:rPr>
        <w:t xml:space="preserve">2.  </w:t>
      </w:r>
      <w:r>
        <w:t>Confidence, good intentions, client preference, and years in practice are not substitutes for relevant preparation.</w:t>
      </w:r>
    </w:p>
    <w:p>
      <w:pPr>
        <w:pStyle w:val="CTABody"/>
        <w:ind w:left="346" w:hanging="346"/>
      </w:pPr>
      <w:r>
        <w:rPr>
          <w:b/>
        </w:rPr>
        <w:t xml:space="preserve">3.  </w:t>
      </w:r>
      <w:r>
        <w:t>Competence includes current knowledge, practical skill, judgment, cultural responsiveness, self-awareness, and present functioning.</w:t>
      </w:r>
    </w:p>
    <w:p>
      <w:pPr>
        <w:pStyle w:val="CTABody"/>
        <w:ind w:left="346" w:hanging="346"/>
      </w:pPr>
      <w:r>
        <w:rPr>
          <w:b/>
        </w:rPr>
        <w:t xml:space="preserve">4.  </w:t>
      </w:r>
      <w:r>
        <w:t>A controlling statute, court rule, reporting duty, supervision requirement, or urgent safety need governs the first action.</w:t>
      </w:r>
    </w:p>
    <w:p>
      <w:pPr>
        <w:pStyle w:val="CTABody"/>
        <w:ind w:left="346" w:hanging="346"/>
      </w:pPr>
      <w:r>
        <w:rPr>
          <w:b/>
        </w:rPr>
        <w:t xml:space="preserve">5.  </w:t>
      </w:r>
      <w:r>
        <w:t>Consultation informs; it does not transfer care, create authority, or satisfy required supervision.</w:t>
      </w:r>
    </w:p>
    <w:p>
      <w:pPr>
        <w:pStyle w:val="CTABody"/>
        <w:ind w:left="346" w:hanging="346"/>
      </w:pPr>
      <w:r>
        <w:rPr>
          <w:b/>
        </w:rPr>
        <w:t xml:space="preserve">6.  </w:t>
      </w:r>
      <w:r>
        <w:t>Supervision includes quality control and evaluation; supervisees still owe candor, lawful judgment, and corrective follow-through.</w:t>
      </w:r>
    </w:p>
    <w:p>
      <w:pPr>
        <w:pStyle w:val="CTABody"/>
        <w:ind w:left="346" w:hanging="346"/>
      </w:pPr>
      <w:r>
        <w:rPr>
          <w:b/>
        </w:rPr>
        <w:t xml:space="preserve">7.  </w:t>
      </w:r>
      <w:r>
        <w:t>Training develops knowledge and skill, but attendance alone does not establish readiness for complex or high-risk work.</w:t>
      </w:r>
    </w:p>
    <w:p>
      <w:pPr>
        <w:pStyle w:val="CTABody"/>
        <w:ind w:left="346" w:hanging="346"/>
      </w:pPr>
      <w:r>
        <w:rPr>
          <w:b/>
        </w:rPr>
        <w:t xml:space="preserve">8.  </w:t>
      </w:r>
      <w:r>
        <w:t>Professional role determines purpose, audience, objectivity, confidentiality expectations, and the competence required.</w:t>
      </w:r>
    </w:p>
    <w:p>
      <w:pPr>
        <w:pStyle w:val="CTABody"/>
        <w:ind w:left="346" w:hanging="346"/>
      </w:pPr>
      <w:r>
        <w:rPr>
          <w:b/>
        </w:rPr>
        <w:t xml:space="preserve">9.  </w:t>
      </w:r>
      <w:r>
        <w:t>Referral is appropriate when the limitation cannot be addressed safely; continuity and accepted transfer still matter.</w:t>
      </w:r>
    </w:p>
    <w:p>
      <w:pPr>
        <w:pStyle w:val="CTABody"/>
        <w:ind w:left="346" w:hanging="346"/>
      </w:pPr>
      <w:r>
        <w:rPr>
          <w:b/>
        </w:rPr>
        <w:t xml:space="preserve">10.  </w:t>
      </w:r>
      <w:r>
        <w:t>Choose the least disruptive response that adequately protects the client, then document and monitor follow-through.</w:t>
      </w:r>
    </w:p>
    <w:p>
      <w:pPr>
        <w:pStyle w:val="Heading3"/>
        <w:keepNext/>
      </w:pPr>
      <w:r>
        <w:rPr/>
        <w:t>Thirty-Second Checklist</w:t>
      </w:r>
    </w:p>
    <w:tbl>
      <w:tblPr>
        <w:tblW w:type="dxa" w:w="10046"/>
        <w:jc w:val="center"/>
        <w:tblStyle w:val="TableGrid"/>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Ask Before Selecting the Answer</w:t>
            </w:r>
          </w:p>
        </w:tc>
      </w:tr>
      <w:tr>
        <w:trPr>
          <w:cantSplit w:val="1"/>
        </w:trPr>
        <w:tc>
          <w:tcPr>
            <w:tcW w:type="dxa" w:w="5023"/>
            <w:vAlign w:val="center"/>
            <w:tcMar>
              <w:top w:w="80" w:type="dxa"/>
              <w:start w:w="100" w:type="dxa"/>
              <w:bottom w:w="80" w:type="dxa"/>
              <w:end w:w="100" w:type="dxa"/>
            </w:tcMar>
          </w:tcPr>
          <w:p>
            <w:pPr>
              <w:pStyle w:val="CTABody"/>
              <w:spacing w:after="40"/>
            </w:pPr>
            <w:r/>
            <w:r>
              <w:t>1</w:t>
            </w:r>
          </w:p>
        </w:tc>
        <w:tc>
          <w:tcPr>
            <w:tcW w:type="dxa" w:w="5023"/>
            <w:vAlign w:val="center"/>
            <w:tcMar>
              <w:top w:w="80" w:type="dxa"/>
              <w:start w:w="100" w:type="dxa"/>
              <w:bottom w:w="80" w:type="dxa"/>
              <w:end w:w="100" w:type="dxa"/>
            </w:tcMar>
          </w:tcPr>
          <w:p>
            <w:pPr>
              <w:pStyle w:val="CTABody"/>
              <w:spacing w:after="40"/>
            </w:pPr>
            <w:r/>
            <w:r>
              <w:t>What legal rule or urgent duty controls?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w:t>
            </w:r>
          </w:p>
        </w:tc>
        <w:tc>
          <w:tcPr>
            <w:tcW w:type="dxa" w:w="5023"/>
            <w:vAlign w:val="center"/>
            <w:tcMar>
              <w:top w:w="80" w:type="dxa"/>
              <w:start w:w="100" w:type="dxa"/>
              <w:bottom w:w="80" w:type="dxa"/>
              <w:end w:w="100" w:type="dxa"/>
            </w:tcMar>
            <w:shd w:fill="F4F6F8"/>
          </w:tcPr>
          <w:p>
            <w:pPr>
              <w:pStyle w:val="CTABody"/>
              <w:spacing w:after="40"/>
            </w:pPr>
            <w:r/>
            <w:r>
              <w:t>Is the service lawful for this credential, status, setting, jurisdiction, and role?</w:t>
            </w:r>
          </w:p>
        </w:tc>
      </w:tr>
      <w:tr>
        <w:trPr>
          <w:cantSplit w:val="1"/>
        </w:trPr>
        <w:tc>
          <w:tcPr>
            <w:tcW w:type="dxa" w:w="5023"/>
            <w:vAlign w:val="center"/>
            <w:tcMar>
              <w:top w:w="80" w:type="dxa"/>
              <w:start w:w="100" w:type="dxa"/>
              <w:bottom w:w="80" w:type="dxa"/>
              <w:end w:w="100" w:type="dxa"/>
            </w:tcMar>
          </w:tcPr>
          <w:p>
            <w:pPr>
              <w:pStyle w:val="CTABody"/>
              <w:spacing w:after="40"/>
            </w:pPr>
            <w:r/>
            <w:r>
              <w:t>3</w:t>
            </w:r>
          </w:p>
        </w:tc>
        <w:tc>
          <w:tcPr>
            <w:tcW w:type="dxa" w:w="5023"/>
            <w:vAlign w:val="center"/>
            <w:tcMar>
              <w:top w:w="80" w:type="dxa"/>
              <w:start w:w="100" w:type="dxa"/>
              <w:bottom w:w="80" w:type="dxa"/>
              <w:end w:w="100" w:type="dxa"/>
            </w:tcMar>
          </w:tcPr>
          <w:p>
            <w:pPr>
              <w:pStyle w:val="CTABody"/>
              <w:spacing w:after="40"/>
            </w:pPr>
            <w:r/>
            <w:r>
              <w:t>What evidence shows current competence—and what is missing?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w:t>
            </w:r>
          </w:p>
        </w:tc>
        <w:tc>
          <w:tcPr>
            <w:tcW w:type="dxa" w:w="5023"/>
            <w:vAlign w:val="center"/>
            <w:tcMar>
              <w:top w:w="80" w:type="dxa"/>
              <w:start w:w="100" w:type="dxa"/>
              <w:bottom w:w="80" w:type="dxa"/>
              <w:end w:w="100" w:type="dxa"/>
            </w:tcMar>
            <w:shd w:fill="F4F6F8"/>
          </w:tcPr>
          <w:p>
            <w:pPr>
              <w:pStyle w:val="CTABody"/>
              <w:spacing w:after="40"/>
            </w:pPr>
            <w:r/>
            <w:r>
              <w:t>How urgent, serious, and foreseeable is the risk?</w:t>
            </w:r>
          </w:p>
        </w:tc>
      </w:tr>
      <w:tr>
        <w:trPr>
          <w:cantSplit w:val="1"/>
        </w:trPr>
        <w:tc>
          <w:tcPr>
            <w:tcW w:type="dxa" w:w="5023"/>
            <w:vAlign w:val="center"/>
            <w:tcMar>
              <w:top w:w="80" w:type="dxa"/>
              <w:start w:w="100" w:type="dxa"/>
              <w:bottom w:w="80" w:type="dxa"/>
              <w:end w:w="100" w:type="dxa"/>
            </w:tcMar>
          </w:tcPr>
          <w:p>
            <w:pPr>
              <w:pStyle w:val="CTABody"/>
              <w:spacing w:after="40"/>
            </w:pPr>
            <w:r/>
            <w:r>
              <w:t>5</w:t>
            </w:r>
          </w:p>
        </w:tc>
        <w:tc>
          <w:tcPr>
            <w:tcW w:type="dxa" w:w="5023"/>
            <w:vAlign w:val="center"/>
            <w:tcMar>
              <w:top w:w="80" w:type="dxa"/>
              <w:start w:w="100" w:type="dxa"/>
              <w:bottom w:w="80" w:type="dxa"/>
              <w:end w:w="100" w:type="dxa"/>
            </w:tcMar>
          </w:tcPr>
          <w:p>
            <w:pPr>
              <w:pStyle w:val="CTABody"/>
              <w:spacing w:after="40"/>
            </w:pPr>
            <w:r/>
            <w:r>
              <w:t>Which matched support or limitation is needed?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6</w:t>
            </w:r>
          </w:p>
        </w:tc>
        <w:tc>
          <w:tcPr>
            <w:tcW w:type="dxa" w:w="5023"/>
            <w:vAlign w:val="center"/>
            <w:tcMar>
              <w:top w:w="80" w:type="dxa"/>
              <w:start w:w="100" w:type="dxa"/>
              <w:bottom w:w="80" w:type="dxa"/>
              <w:end w:w="100" w:type="dxa"/>
            </w:tcMar>
            <w:shd w:fill="F4F6F8"/>
          </w:tcPr>
          <w:p>
            <w:pPr>
              <w:pStyle w:val="CTABody"/>
              <w:spacing w:after="40"/>
            </w:pPr>
            <w:r/>
            <w:r>
              <w:t>Does the answer preserve responsibility, continuity, documentation, and follow-through?</w:t>
            </w:r>
          </w:p>
        </w:tc>
      </w:tr>
    </w:tbl>
    <w:p>
      <w:pPr>
        <w:spacing w:after="20"/>
      </w:pPr>
    </w:p>
    <w:tbl>
      <w:tblPr>
        <w:tblW w:type="dxa" w:w="10046"/>
        <w:jc w:val="center"/>
        <w:tblStyle w:val="TableGrid"/>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FINAL THOUGHT CLEAR the problem: controlling rule, legal role, expertise, actual risk, response. The best answer fits the right duty, the right person, the right time, and the client’s welfare.</w:t>
            </w:r>
          </w:p>
        </w:tc>
      </w:tr>
    </w:tbl>
    <w:p>
      <w:pPr>
        <w:spacing w:after="20"/>
      </w:pPr>
    </w:p>
    <w:p>
      <w:r/>
    </w:p>
    <w:p>
      <w:pPr>
        <w:pStyle w:val="Heading1"/>
      </w:pPr>
      <w:r>
        <w:t>Sources and Accuracy Note</w:t>
      </w:r>
    </w:p>
    <w:p>
      <w:pPr>
        <w:pStyle w:val="CTADisclaimer"/>
        <w:spacing w:after="0"/>
      </w:pPr>
      <w:r>
        <w:rPr>
          <w:sz w:val="15"/>
        </w:rPr>
        <w:t>Accuracy reviewed through August 7, 2026. California statutes, regulations, court rules, Board forms, examination materials, and professional standards can change. Re-audit before publication, at item-bank/LMS lock, within 30 days of public release, and after material legal or regulatory changes.</w:t>
      </w:r>
    </w:p>
    <w:p>
      <w:pPr>
        <w:pStyle w:val="ListBullet"/>
        <w:spacing w:after="0"/>
      </w:pPr>
      <w:r>
        <w:rPr>
          <w:sz w:val="15"/>
        </w:rPr>
        <w:t>California Board of Behavioral Sciences: current LCSW Law and Ethics examination program, candidate resources, and examination guidance.</w:t>
      </w:r>
    </w:p>
    <w:p>
      <w:pPr>
        <w:pStyle w:val="ListBullet"/>
        <w:spacing w:after="0"/>
      </w:pPr>
      <w:r>
        <w:rPr>
          <w:sz w:val="15"/>
        </w:rPr>
        <w:t>Current LCSW California Law and Ethics Examination outline/handbook and designated testing-administrator materials.</w:t>
      </w:r>
    </w:p>
    <w:p>
      <w:pPr>
        <w:pStyle w:val="ListBullet"/>
        <w:spacing w:after="0"/>
      </w:pPr>
      <w:r>
        <w:rPr>
          <w:sz w:val="15"/>
        </w:rPr>
        <w:t>California Board of Behavioral Sciences: current Statutes and Regulations, including the Clinical Social Worker Practice Act and applicable ASW supervision regulations.</w:t>
      </w:r>
    </w:p>
    <w:p>
      <w:pPr>
        <w:pStyle w:val="ListBullet"/>
        <w:spacing w:after="0"/>
      </w:pPr>
      <w:r>
        <w:rPr>
          <w:sz w:val="15"/>
        </w:rPr>
        <w:t>California Business and Professions Code provisions governing clinical social-work scope, competence, unprofessional conduct, supervision, confidentiality, records, and client protection.</w:t>
      </w:r>
    </w:p>
    <w:p>
      <w:pPr>
        <w:pStyle w:val="ListBullet"/>
        <w:spacing w:after="0"/>
      </w:pPr>
      <w:r>
        <w:rPr>
          <w:sz w:val="15"/>
        </w:rPr>
        <w:t>California Board of Behavioral Sciences ASW and supervisor resources, supervision agreements/plans, FAQs, forms, and law-change notices.</w:t>
      </w:r>
    </w:p>
    <w:p>
      <w:pPr>
        <w:pStyle w:val="ListBullet"/>
        <w:spacing w:after="0"/>
      </w:pPr>
      <w:r>
        <w:rPr>
          <w:sz w:val="15"/>
        </w:rPr>
        <w:t>California Evidence Code sections 1010-1017 and California Rules of Court rules 5.220 and 5.225 for privilege, court-appointed examinations, and child-custody-evaluation concepts, with current legal-process law rechecked before release.</w:t>
      </w:r>
    </w:p>
    <w:p>
      <w:pPr>
        <w:pStyle w:val="ListBullet"/>
        <w:spacing w:after="0"/>
      </w:pPr>
      <w:r>
        <w:rPr>
          <w:sz w:val="15"/>
        </w:rPr>
        <w:t>NASW Code of Ethics: competence, client welfare, diversity and cultural humility, consultation, supervision, referral, boundaries, conflicts, confidentiality, administration, education, and research.</w:t>
      </w:r>
    </w:p>
    <w:sectPr w:rsidR="00FC693F" w:rsidRPr="0006063C" w:rsidSect="00034616">
      <w:headerReference w:type="default" r:id="rId9"/>
      <w:footerReference w:type="default" r:id="rId10"/>
      <w:headerReference w:type="first" r:id="rId12"/>
      <w:footerReference w:type="first" r:id="rId13"/>
      <w:headerReference w:type="even" r:id="rId14"/>
      <w:footerReference w:type="even" r:id="rId15"/>
      <w:pgSz w:w="12240" w:h="15840"/>
      <w:pgMar w:top="950" w:right="1037" w:bottom="893" w:left="1037" w:header="346"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CTA-EP-002  •  WB3 LCSW CANDIDATE EDITION  •  PROFESSIONAL COMPETENCE</w:t>
    </w:r>
  </w:p>
  <w:p>
    <w:pPr>
      <w:jc w:val="right"/>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CTA-EP-002  •  WB3 LCSW CANDIDATE EDITION  •  PROFESSIONAL COMPETENCE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CTA-EP-002  •  WB3 LCSW CANDIDATE EDITION  •  PROFESSIONAL COMPETENCE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p>
  <w:p>
    <w:pPr>
      <w:spacing w:before="0" w:after="0"/>
      <w:pBdr>
        <w:bottom w:val="single" w:sz="14" w:space="1" w:color="149B9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02A43"/>
      <w:sz w:val="4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02A43"/>
      <w:sz w:val="3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6B78"/>
      <w:sz w:val="25"/>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rial" w:hAnsi="Arial"/>
      <w:b/>
      <w:bCs/>
      <w:i/>
      <w:iCs/>
      <w:color w:val="102A4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i/>
      <w:iCs/>
      <w:color w:val="17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17" w:hanging="23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ody">
    <w:name w:val="CTA Body"/>
    <w:basedOn w:val="Normal"/>
    <w:pPr>
      <w:keepNext w:val="0"/>
      <w:spacing w:before="0" w:after="100"/>
    </w:pPr>
    <w:rPr>
      <w:rFonts w:ascii="Arial" w:hAnsi="Arial"/>
      <w:b w:val="0"/>
      <w:i w:val="0"/>
      <w:color w:val="1F2933"/>
      <w:sz w:val="21"/>
    </w:rPr>
  </w:style>
  <w:style w:type="paragraph" w:customStyle="1" w:styleId="CTASmall">
    <w:name w:val="CTA Small"/>
    <w:basedOn w:val="Normal"/>
    <w:pPr>
      <w:keepNext w:val="0"/>
      <w:spacing w:before="0" w:after="60"/>
    </w:pPr>
    <w:rPr>
      <w:rFonts w:ascii="Arial" w:hAnsi="Arial"/>
      <w:b w:val="0"/>
      <w:i w:val="0"/>
      <w:color w:val="5D6873"/>
      <w:sz w:val="17"/>
    </w:rPr>
  </w:style>
  <w:style w:type="paragraph" w:customStyle="1" w:styleId="CTAEyebrow">
    <w:name w:val="CTA Eyebrow"/>
    <w:basedOn w:val="Normal"/>
    <w:pPr>
      <w:keepNext/>
      <w:spacing w:before="0" w:after="80"/>
    </w:pPr>
    <w:rPr>
      <w:rFonts w:ascii="Arial" w:hAnsi="Arial"/>
      <w:b/>
      <w:i w:val="0"/>
      <w:color w:val="149B9E"/>
      <w:sz w:val="18"/>
    </w:rPr>
  </w:style>
  <w:style w:type="paragraph" w:customStyle="1" w:styleId="CTAChapterNumber">
    <w:name w:val="CTA Chapter Number"/>
    <w:basedOn w:val="Normal"/>
    <w:pPr>
      <w:keepNext/>
      <w:spacing w:before="0" w:after="40"/>
    </w:pPr>
    <w:rPr>
      <w:rFonts w:ascii="Arial" w:hAnsi="Arial"/>
      <w:b/>
      <w:i w:val="0"/>
      <w:color w:val="149B9E"/>
      <w:sz w:val="26"/>
    </w:rPr>
  </w:style>
  <w:style w:type="paragraph" w:customStyle="1" w:styleId="CTAChapterTitle">
    <w:name w:val="CTA Chapter Title"/>
    <w:basedOn w:val="Normal"/>
    <w:pPr>
      <w:keepNext/>
      <w:spacing w:before="0" w:after="200"/>
    </w:pPr>
    <w:rPr>
      <w:rFonts w:ascii="Arial" w:hAnsi="Arial"/>
      <w:b/>
      <w:i w:val="0"/>
      <w:color w:val="102A43"/>
      <w:sz w:val="50"/>
    </w:rPr>
  </w:style>
  <w:style w:type="paragraph" w:customStyle="1" w:styleId="CTASectionDivider">
    <w:name w:val="CTA Section Divider"/>
    <w:basedOn w:val="Normal"/>
    <w:pPr>
      <w:keepNext/>
      <w:spacing w:before="0" w:after="200"/>
    </w:pPr>
    <w:rPr>
      <w:rFonts w:ascii="Arial" w:hAnsi="Arial"/>
      <w:b/>
      <w:i w:val="0"/>
      <w:color w:val="102A43"/>
      <w:sz w:val="54"/>
    </w:rPr>
  </w:style>
  <w:style w:type="paragraph" w:customStyle="1" w:styleId="CTAQuestionID">
    <w:name w:val="CTA Question ID"/>
    <w:basedOn w:val="Normal"/>
    <w:pPr>
      <w:keepNext/>
      <w:spacing w:before="200" w:after="40"/>
    </w:pPr>
    <w:rPr>
      <w:rFonts w:ascii="Arial" w:hAnsi="Arial"/>
      <w:b/>
      <w:i w:val="0"/>
      <w:color w:val="102A43"/>
      <w:sz w:val="24"/>
    </w:rPr>
  </w:style>
  <w:style w:type="paragraph" w:customStyle="1" w:styleId="CTAMetadata">
    <w:name w:val="CTA Metadata"/>
    <w:basedOn w:val="Normal"/>
    <w:pPr>
      <w:keepNext/>
      <w:spacing w:before="0" w:after="100"/>
    </w:pPr>
    <w:rPr>
      <w:rFonts w:ascii="Arial" w:hAnsi="Arial"/>
      <w:b/>
      <w:i w:val="0"/>
      <w:color w:val="176B78"/>
      <w:sz w:val="17"/>
    </w:rPr>
  </w:style>
  <w:style w:type="paragraph" w:customStyle="1" w:styleId="CTAOption">
    <w:name w:val="CTA Option"/>
    <w:basedOn w:val="Normal"/>
    <w:pPr>
      <w:keepNext w:val="0"/>
      <w:spacing w:before="0" w:after="50"/>
    </w:pPr>
    <w:rPr>
      <w:rFonts w:ascii="Arial" w:hAnsi="Arial"/>
      <w:b w:val="0"/>
      <w:i w:val="0"/>
      <w:color w:val="1F2933"/>
      <w:sz w:val="20"/>
    </w:rPr>
  </w:style>
  <w:style w:type="paragraph" w:customStyle="1" w:styleId="CTARationale">
    <w:name w:val="CTA Rationale"/>
    <w:basedOn w:val="Normal"/>
    <w:pPr>
      <w:keepNext w:val="0"/>
      <w:spacing w:before="0" w:after="60"/>
    </w:pPr>
    <w:rPr>
      <w:rFonts w:ascii="Arial" w:hAnsi="Arial"/>
      <w:b w:val="0"/>
      <w:i w:val="0"/>
      <w:color w:val="1F2933"/>
      <w:sz w:val="19"/>
    </w:rPr>
  </w:style>
  <w:style w:type="paragraph" w:customStyle="1" w:styleId="CTALabel">
    <w:name w:val="CTA Label"/>
    <w:basedOn w:val="Normal"/>
    <w:pPr>
      <w:keepNext/>
      <w:spacing w:before="80" w:after="40"/>
    </w:pPr>
    <w:rPr>
      <w:rFonts w:ascii="Arial" w:hAnsi="Arial"/>
      <w:b/>
      <w:i w:val="0"/>
      <w:color w:val="176B78"/>
      <w:sz w:val="18"/>
    </w:rPr>
  </w:style>
  <w:style w:type="paragraph" w:customStyle="1" w:styleId="CTACallout">
    <w:name w:val="CTA Callout"/>
    <w:basedOn w:val="Normal"/>
    <w:pPr>
      <w:keepNext w:val="0"/>
      <w:spacing w:before="0" w:after="80"/>
    </w:pPr>
    <w:rPr>
      <w:rFonts w:ascii="Arial" w:hAnsi="Arial"/>
      <w:b w:val="0"/>
      <w:i w:val="0"/>
      <w:color w:val="1F2933"/>
      <w:sz w:val="20"/>
    </w:rPr>
  </w:style>
  <w:style w:type="paragraph" w:customStyle="1" w:styleId="CTADisclaimer">
    <w:name w:val="CTA Disclaimer"/>
    <w:basedOn w:val="Normal"/>
    <w:pPr>
      <w:keepNext w:val="0"/>
      <w:spacing w:before="0" w:after="80"/>
    </w:pPr>
    <w:rPr>
      <w:rFonts w:ascii="Arial" w:hAnsi="Arial"/>
      <w:b w:val="0"/>
      <w:i/>
      <w:color w:val="5D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3 - Professional Competence - LMFT Candidate Edition</dc:title>
  <dc:subject>CTA LMFT California Law &amp; Ethics Exam Preparation Program</dc:subject>
  <dc:creator>Clinical Training and Supervision Academy</dc:creator>
  <cp:keywords>CTA-EP-001, LMFT, AMFT, MFT trainee, California Law and Ethics, professional competence, supervision, exam preparation, Workbook 3</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