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00"/>
        <w:jc w:val="center"/>
      </w:pPr>
      <w:r>
        <w:drawing>
          <wp:inline xmlns:a="http://schemas.openxmlformats.org/drawingml/2006/main" xmlns:pic="http://schemas.openxmlformats.org/drawingml/2006/picture">
            <wp:extent cx="4937760" cy="1115604"/>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937760" cy="1115604"/>
                    </a:xfrm>
                    <a:prstGeom prst="rect"/>
                  </pic:spPr>
                </pic:pic>
              </a:graphicData>
            </a:graphic>
          </wp:inline>
        </w:drawing>
      </w:r>
    </w:p>
    <w:p>
      <w:pPr>
        <w:spacing w:before="80" w:after="240"/>
        <w:jc w:val="center"/>
      </w:pPr>
      <w:r>
        <w:rPr>
          <w:rFonts w:ascii="Arial" w:hAnsi="Arial"/>
          <w:b/>
          <w:i w:val="0"/>
          <w:color w:val="008C8C"/>
          <w:sz w:val="22"/>
        </w:rPr>
        <w:t>CTA-EP-002  •  LCSW CALIFORNIA LAW &amp; ETHICS</w:t>
      </w:r>
    </w:p>
    <w:p>
      <w:pPr>
        <w:spacing w:before="0" w:after="100"/>
        <w:jc w:val="center"/>
      </w:pPr>
      <w:r>
        <w:rPr>
          <w:rFonts w:ascii="Arial" w:hAnsi="Arial"/>
          <w:b/>
          <w:i w:val="0"/>
          <w:color w:val="10324F"/>
          <w:sz w:val="52"/>
        </w:rPr>
        <w:t>LCSW Law &amp; Ethics Study Guide</w:t>
      </w:r>
    </w:p>
    <w:p>
      <w:pPr>
        <w:spacing w:before="0" w:after="240"/>
        <w:jc w:val="center"/>
      </w:pPr>
      <w:r>
        <w:rPr>
          <w:rFonts w:ascii="Arial" w:hAnsi="Arial"/>
          <w:b w:val="0"/>
          <w:i w:val="0"/>
          <w:color w:val="006B6B"/>
          <w:sz w:val="42"/>
        </w:rPr>
        <w:t>Workbook 4: Professional Impairment | LCSW Candidate Edition</w:t>
      </w:r>
    </w:p>
    <w:p>
      <w:pPr>
        <w:spacing w:before="0" w:after="200"/>
        <w:jc w:val="center"/>
      </w:pPr>
      <w:r>
        <w:rPr>
          <w:rFonts w:ascii="Arial" w:hAnsi="Arial"/>
          <w:b/>
          <w:i w:val="0"/>
          <w:color w:val="10324F"/>
          <w:sz w:val="24"/>
        </w:rPr>
        <w:t>Complete LCSW Candidate Workbook  •  Chapters 1–8</w:t>
      </w:r>
    </w:p>
    <w:p>
      <w:pPr>
        <w:spacing w:before="160" w:after="60"/>
        <w:jc w:val="center"/>
      </w:pPr>
      <w:r>
        <w:rPr>
          <w:rFonts w:ascii="Arial" w:hAnsi="Arial"/>
          <w:b/>
          <w:i w:val="0"/>
          <w:color w:val="10324F"/>
          <w:sz w:val="20"/>
        </w:rPr>
        <w:t>Source Review: August 7, 2026</w:t>
      </w:r>
    </w:p>
    <w:p>
      <w:pPr>
        <w:spacing w:before="0" w:after="320"/>
        <w:jc w:val="center"/>
      </w:pPr>
      <w:r>
        <w:rPr>
          <w:rFonts w:ascii="Arial" w:hAnsi="Arial"/>
          <w:b/>
          <w:i w:val="0"/>
          <w:color w:val="006B6B"/>
          <w:sz w:val="20"/>
        </w:rPr>
        <w:t>LCSW  •  ASW</w:t>
      </w:r>
    </w:p>
    <w:tbl>
      <w:tblPr>
        <w:tblW w:type="dxa" w:w="9470"/>
        <w:jc w:val="center"/>
        <w:tblLook w:firstColumn="1" w:firstRow="1" w:lastColumn="0" w:lastRow="0" w:noHBand="0" w:noVBand="1" w:val="04A0"/>
        <w:tblLayout w:type="fixed"/>
      </w:tblPr>
      <w:tblGrid>
        <w:gridCol w:w="9470"/>
      </w:tblGrid>
      <w:tr>
        <w:tc>
          <w:tcPr>
            <w:tcW w:type="dxa" w:w="9470"/>
            <w:shd w:fill="E9F2F4"/>
            <w:tcBorders>
              <w:top w:val="single" w:sz="12" w:color="1A5276"/>
              <w:left w:val="single" w:sz="12" w:color="1A5276"/>
              <w:bottom w:val="single" w:sz="12" w:color="1A5276"/>
              <w:right w:val="single" w:sz="12" w:color="1A5276"/>
            </w:tcBorders>
          </w:tcPr>
          <w:p>
            <w:pPr>
              <w:spacing w:after="0"/>
            </w:pPr>
            <w:r>
              <w:rPr>
                <w:rFonts w:ascii="Arial" w:hAnsi="Arial"/>
                <w:b/>
                <w:color w:val="1A5276"/>
                <w:sz w:val="19"/>
              </w:rPr>
              <w:t>EXAM PREPARATION ONLY  This LCSW Candidate Edition provides no CE credit or CE certificate. It is educational material—not legal advice or a guarantee of examination success.</w:t>
            </w:r>
            <w:r>
              <w:rPr>
                <w:rFonts w:ascii="Arial" w:hAnsi="Arial"/>
                <w:color w:val="25313B"/>
                <w:sz w:val="19"/>
              </w:rPr>
            </w:r>
          </w:p>
        </w:tc>
        <w:trPr>
          <w:tblHeader/>
          <w:cantSplit w:val="1"/>
        </w:trPr>
      </w:tr>
    </w:tbl>
    <w:p>
      <w:pPr>
        <w:spacing w:after="0"/>
      </w:pPr>
    </w:p>
    <w:p>
      <w:r>
        <w:br w:type="page"/>
      </w:r>
    </w:p>
    <w:p>
      <w:pPr>
        <w:pStyle w:val="Heading1"/>
      </w:pPr>
      <w:r>
        <w:t>Publication Notice</w:t>
      </w:r>
    </w:p>
    <w:p>
      <w:pPr/>
      <w:r>
        <w:t>This publication is designed exclusively for California LCSW Law and Ethics Examination preparation. It is not a continuing-education course and provides no CE credit or CE certificate. It summarizes legal and ethical concepts but does not provide legal advice or replace consultation regarding a specific clinical, employment, licensing, or legal matter.</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tbl>
      <w:tblPr>
        <w:tblW w:type="dxa" w:w="8064"/>
        <w:jc w:val="center"/>
        <w:tblLook w:firstColumn="1" w:firstRow="1" w:lastColumn="0" w:lastRow="0" w:noHBand="0" w:noVBand="1" w:val="04A0"/>
        <w:tblBorders>
          <w:top w:val="single" w:sz="0" w:space="0" w:color="149B9E"/>
          <w:left w:val="single" w:sz="0" w:space="0" w:color="149B9E"/>
          <w:bottom w:val="single" w:sz="0" w:space="0" w:color="149B9E"/>
          <w:right w:val="single" w:sz="0" w:space="0" w:color="149B9E"/>
          <w:insideH w:val="single" w:sz="0" w:space="0" w:color="149B9E"/>
          <w:insideV w:val="single" w:sz="0" w:space="0" w:color="149B9E"/>
        </w:tblBorders>
        <w:tblLayout w:type="fixed"/>
      </w:tblPr>
      <w:tblGrid>
        <w:gridCol w:w="8064"/>
      </w:tblGrid>
      <w:tr>
        <w:tc>
          <w:tcPr>
            <w:tcW w:type="dxa" w:w="8064"/>
            <w:shd w:fill="149B9E"/>
          </w:tcPr>
          <w:p>
            <w:r>
              <w:t>Accuracy Date</w:t>
            </w:r>
          </w:p>
          <w:p>
            <w:r>
              <w:t>The legal, regulatory, and ethical content was reviewed through August 7, 2026. California statutes, regulations, Board guidance, examination materials, employment/accommodation guidance, and professional standards may change. Re-audit at downstream lock/release gates and after material legal or regulatory changes.</w:t>
            </w:r>
          </w:p>
        </w:tc>
        <w:trPr>
          <w:tblHeader/>
          <w:cantSplit w:val="1"/>
        </w:trPr>
      </w:tr>
    </w:tbl>
    <w:p>
      <w:pPr>
        <w:pStyle w:val="Heading2"/>
      </w:pPr>
      <w:r>
        <w:t>Workbook Structure</w:t>
      </w:r>
    </w:p>
    <w:p>
      <w:pPr>
        <w:pStyle w:val="CTAListBullet"/>
      </w:pPr>
      <w:r>
        <w:t>Chapters 1–5 provide the substantive instructional content.</w:t>
      </w:r>
    </w:p>
    <w:p>
      <w:pPr>
        <w:pStyle w:val="CTAListBullet"/>
      </w:pPr>
      <w:r>
        <w:t>Chapters 6–8 are rapid-review chapters and do not have separate question banks.</w:t>
      </w:r>
    </w:p>
    <w:p>
      <w:pPr>
        <w:pStyle w:val="CTAListBullet"/>
      </w:pPr>
      <w:r>
        <w:t>The standalone question bank contains 85 questions aligned to Chapters 1–5.</w:t>
      </w:r>
    </w:p>
    <w:p>
      <w:r/>
      <w:r>
        <w:br w:type="page"/>
      </w:r>
    </w:p>
    <w:p>
      <w:pPr>
        <w:pStyle w:val="Heading1"/>
      </w:pPr>
      <w:r>
        <w:t>Workbook Overview</w:t>
      </w:r>
    </w:p>
    <w:p>
      <w:pPr>
        <w:spacing w:after="120"/>
      </w:pPr>
      <w:r>
        <w:rPr>
          <w:rFonts w:ascii="Arial" w:hAnsi="Arial"/>
          <w:color w:val="26323A"/>
          <w:sz w:val="21"/>
        </w:rPr>
        <w:t>Professional impairment occurs when a personal, psychological, emotional, physical, substance-related, or other condition meaningfully interferes with a clinician’s ability to provide safe, ethical, and effective professional services.</w:t>
      </w:r>
    </w:p>
    <w:p>
      <w:pPr>
        <w:spacing w:after="120"/>
      </w:pPr>
      <w:r>
        <w:rPr>
          <w:rFonts w:ascii="Arial" w:hAnsi="Arial"/>
          <w:color w:val="26323A"/>
          <w:sz w:val="21"/>
        </w:rPr>
        <w:t>This workbook helps California LCSW and ASW Law and Ethics candidates distinguish a condition or diagnosis from functional impairment, recognize warning signs, assess client risk, choose a proportionate response, protect continuity of care, and evaluate readiness to return to broader duties within clinical social work and supervised practice.</w:t>
      </w:r>
    </w:p>
    <w:p>
      <w:pPr>
        <w:pStyle w:val="Heading2"/>
      </w:pPr>
      <w:r>
        <w:t>What You Will Learn</w:t>
      </w:r>
    </w:p>
    <w:p>
      <w:pPr>
        <w:pStyle w:val="CTAListBullet"/>
      </w:pPr>
      <w:r>
        <w:t>Recognize professional impairment through observable changes in current professional functioning.</w:t>
      </w:r>
    </w:p>
    <w:p>
      <w:pPr>
        <w:pStyle w:val="CTAListBullet"/>
      </w:pPr>
      <w:r>
        <w:t>Distinguish stress, illness, disability, medication use, substance use, burnout, compassion fatigue, and fatigue from impairment itself.</w:t>
      </w:r>
    </w:p>
    <w:p>
      <w:pPr>
        <w:pStyle w:val="CTAListBullet"/>
      </w:pPr>
      <w:r>
        <w:t>Evaluate patterns involving judgment, attention, memory, reliability, boundaries, documentation, communication, and client safety.</w:t>
      </w:r>
    </w:p>
    <w:p>
      <w:pPr>
        <w:pStyle w:val="CTAListBullet"/>
      </w:pPr>
      <w:r>
        <w:t>Respond ethically through consultation, supervision, treatment, accommodation, workload modification, coverage, leave, referral, or transfer when appropriate.</w:t>
      </w:r>
    </w:p>
    <w:p>
      <w:pPr>
        <w:pStyle w:val="CTAListBullet"/>
      </w:pPr>
      <w:r>
        <w:t>Analyze concerns involving oneself, a colleague, a supervisee, or a supervisor without relying on unsupported diagnosis or stigma.</w:t>
      </w:r>
    </w:p>
    <w:p>
      <w:pPr>
        <w:pStyle w:val="CTAListBullet"/>
      </w:pPr>
      <w:r>
        <w:t>Use rapid-review tools to identify exam traps and select the least disruptive response that adequately protects clients.</w:t>
      </w:r>
    </w:p>
    <w:p>
      <w:pPr>
        <w:pStyle w:val="Heading2"/>
      </w:pPr>
      <w:r>
        <w:t>How to Use This Workbook</w:t>
      </w:r>
    </w:p>
    <w:p>
      <w:pPr>
        <w:pStyle w:val="CTAListNumber"/>
      </w:pPr>
      <w:r>
        <w:t>Study Chapters 1–5 for the core professional-impairment framework.</w:t>
      </w:r>
    </w:p>
    <w:p>
      <w:pPr>
        <w:pStyle w:val="CTAListNumber"/>
      </w:pPr>
      <w:r>
        <w:t>Use Chapters 6–8 for rapid review, decision maps, memory aids, and exam-day reasoning.</w:t>
      </w:r>
    </w:p>
    <w:p>
      <w:pPr>
        <w:pStyle w:val="CTAListNumber"/>
      </w:pPr>
      <w:r>
        <w:t>Complete the separate 85-question bank after reviewing the corresponding core chapter.</w:t>
      </w:r>
    </w:p>
    <w:p>
      <w:pPr>
        <w:pStyle w:val="CTAListNumber"/>
      </w:pPr>
      <w:r>
        <w:t>Verify current statutes, regulations, Board materials, employer procedures, and the NASW Code of Ethics before applying a rule in practice.</w:t>
      </w:r>
    </w:p>
    <w:p>
      <w:pPr>
        <w:pStyle w:val="Heading2"/>
      </w:pPr>
      <w:r>
        <w:t>Educational and Legal Disclaimer</w:t>
      </w:r>
    </w:p>
    <w:p>
      <w:pPr>
        <w:spacing w:after="120"/>
      </w:pPr>
      <w:r>
        <w:rPr>
          <w:rFonts w:ascii="Arial" w:hAnsi="Arial"/>
          <w:color w:val="26323A"/>
          <w:sz w:val="21"/>
        </w:rPr>
        <w:t>This LCSW Candidate Edition is educational material for the California LCSW Law and Ethics Examination. It provides no CE credit or CE certificate, is not legal advice, does not establish a standard of care, and does not replace current law, Board requirements, employer policy, the NASW Code of Ethics, qualified supervision, consultation, medical advice, or case-specific legal counsel.</w:t>
      </w:r>
    </w:p>
    <w:p>
      <w:r>
        <w:br w:type="page"/>
      </w:r>
    </w:p>
    <w:p>
      <w:pPr>
        <w:pStyle w:val="Heading1"/>
      </w:pPr>
      <w:r>
        <w:t>Table of Contents</w:t>
      </w:r>
    </w:p>
    <w:tbl>
      <w:tblPr>
        <w:tblW w:type="dxa" w:w="9470"/>
        <w:jc w:val="center"/>
        <w:tblStyle w:val="TableGrid"/>
        <w:tblLook w:val="04A0" w:firstRow="1" w:lastRow="0" w:firstColumn="1" w:lastColumn="0" w:noHBand="0" w:noVBand="1"/>
        <w:tblLayout w:type="fixed"/>
      </w:tblPr>
      <w:tblGrid>
        <w:gridCol w:w="8290"/>
        <w:gridCol w:w="1180"/>
      </w:tblGrid>
      <w:tr w:rsidR="00464BCB" w14:paraId="11B7E2FC" w14:textId="77777777">
        <w:trPr>
          <w:jc w:val="center"/>
          <w:cantSplit w:val="1"/>
          <w:tblHeader w:val="1"/>
        </w:trPr>
        <w:tc>
          <w:tcPr>
            <w:tcW w:w="8290" w:type="dxa"/>
            <w:tcMar>
              <w:top w:w="28" w:type="dxa"/>
              <w:left w:w="85" w:type="dxa"/>
              <w:bottom w:w="28"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8"/>
              </w:rPr>
              <w:t>Section / Chapter</w:t>
            </w:r>
          </w:p>
        </w:tc>
        <w:tc>
          <w:tcPr>
            <w:tcW w:w="1180" w:type="dxa"/>
            <w:tcMar>
              <w:top w:w="28" w:type="dxa"/>
              <w:left w:w="85" w:type="dxa"/>
              <w:bottom w:w="28"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8"/>
              </w:rPr>
              <w:t>Page</w:t>
            </w:r>
          </w:p>
        </w:tc>
      </w:tr>
      <w:tr w:rsidR="00464BCB" w14:paraId="6FA8F926" w14:textId="77777777">
        <w:trPr>
          <w:jc w:val="center"/>
          <w:cantSplit w:val="1"/>
        </w:trPr>
        <w:tc>
          <w:tcPr>
            <w:tcW w:w="8290" w:type="dxa"/>
            <w:tcMar>
              <w:top w:w="28" w:type="dxa"/>
              <w:left w:w="85" w:type="dxa"/>
              <w:bottom w:w="28" w:type="dxa"/>
              <w:right w:w="85" w:type="dxa"/>
            </w:tcMar>
            <w:shd w:val="clear" w:color="auto" w:fill="FFFFFF"/>
          </w:tcPr>
          <w:p w14:paraId="568B961E" w14:textId="77777777" w:rsidR="00464BCB" w:rsidRDefault="00000000">
            <w:pPr>
              <w:spacing w:before="0" w:after="0" w:line="240" w:lineRule="auto"/>
            </w:pPr>
            <w:r>
              <w:rPr>
                <w:b w:val="0"/>
                <w:color w:val="0B2447"/>
                <w:sz w:val="17"/>
              </w:rPr>
              <w:t>Workbook Overview</w:t>
            </w:r>
          </w:p>
        </w:tc>
        <w:tc>
          <w:tcPr>
            <w:tcW w:w="1180" w:type="dxa"/>
            <w:tcMar>
              <w:top w:w="28" w:type="dxa"/>
              <w:left w:w="85" w:type="dxa"/>
              <w:bottom w:w="28" w:type="dxa"/>
              <w:right w:w="85" w:type="dxa"/>
            </w:tcMar>
            <w:shd w:val="clear" w:color="auto" w:fill="FFFFFF"/>
          </w:tcPr>
          <w:p w14:paraId="440ADC0F" w14:textId="77777777" w:rsidR="00464BCB" w:rsidRDefault="00000000">
            <w:pPr>
              <w:spacing w:before="0" w:after="0" w:line="240" w:lineRule="auto"/>
              <w:jc w:val="center"/>
            </w:pPr>
            <w:r>
              <w:rPr>
                <w:b w:val="0"/>
                <w:sz w:val="17"/>
              </w:rPr>
              <w:t>3</w:t>
            </w:r>
          </w:p>
        </w:tc>
      </w:tr>
      <w:tr w:rsidR="00464BCB" w14:paraId="4E4F6532" w14:textId="77777777">
        <w:trPr>
          <w:jc w:val="center"/>
          <w:cantSplit w:val="1"/>
        </w:trPr>
        <w:tc>
          <w:tcPr>
            <w:tcW w:w="8290" w:type="dxa"/>
            <w:tcMar>
              <w:top w:w="28" w:type="dxa"/>
              <w:left w:w="85" w:type="dxa"/>
              <w:bottom w:w="28" w:type="dxa"/>
              <w:right w:w="85" w:type="dxa"/>
            </w:tcMar>
            <w:shd w:val="clear" w:color="auto" w:fill="DDEFF0"/>
          </w:tcPr>
          <w:p w14:paraId="406B0E81" w14:textId="77777777" w:rsidR="00464BCB" w:rsidRDefault="00000000">
            <w:pPr>
              <w:spacing w:before="0" w:after="0" w:line="240" w:lineRule="auto"/>
            </w:pPr>
            <w:r>
              <w:rPr>
                <w:b/>
                <w:sz w:val="17"/>
              </w:rPr>
              <w:t>SECTION I — PROFESSIONAL IMPAIRMENT</w:t>
            </w:r>
          </w:p>
        </w:tc>
        <w:tc>
          <w:tcPr>
            <w:tcW w:w="1180" w:type="dxa"/>
            <w:tcMar>
              <w:top w:w="28" w:type="dxa"/>
              <w:left w:w="85" w:type="dxa"/>
              <w:bottom w:w="28" w:type="dxa"/>
              <w:right w:w="85" w:type="dxa"/>
            </w:tcMar>
            <w:shd w:val="clear" w:color="auto" w:fill="DDEFF0"/>
          </w:tcPr>
          <w:p w14:paraId="661853B0" w14:textId="77777777" w:rsidR="00464BCB" w:rsidRDefault="00000000">
            <w:pPr>
              <w:spacing w:before="0" w:after="0" w:line="240" w:lineRule="auto"/>
              <w:jc w:val="center"/>
            </w:pPr>
            <w:r>
              <w:rPr>
                <w:b/>
                <w:sz w:val="17"/>
              </w:rPr>
              <w:t>5</w:t>
            </w:r>
          </w:p>
        </w:tc>
      </w:tr>
      <w:tr w:rsidR="00464BCB" w14:paraId="3BF11373" w14:textId="77777777">
        <w:trPr>
          <w:jc w:val="center"/>
          <w:cantSplit w:val="1"/>
        </w:trPr>
        <w:tc>
          <w:tcPr>
            <w:tcW w:w="829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sz w:val="17"/>
              </w:rPr>
              <w:t>Chapter 1: Recognizing Professional Impairment</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sz w:val="17"/>
              </w:rPr>
              <w:t>5</w:t>
            </w:r>
          </w:p>
        </w:tc>
      </w:tr>
      <w:tr w:rsidR="00464BCB" w14:paraId="77A6DEAE" w14:textId="77777777">
        <w:trPr>
          <w:jc w:val="center"/>
          <w:cantSplit w:val="1"/>
        </w:trPr>
        <w:tc>
          <w:tcPr>
            <w:tcW w:w="829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sz w:val="17"/>
              </w:rPr>
              <w:t>Chapter 2: Substance Use and Professional Impairment</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sz w:val="17"/>
              </w:rPr>
              <w:t>12</w:t>
            </w:r>
          </w:p>
        </w:tc>
      </w:tr>
      <w:tr w:rsidR="00464BCB" w14:paraId="253220CD" w14:textId="77777777">
        <w:trPr>
          <w:jc w:val="center"/>
          <w:cantSplit w:val="1"/>
        </w:trPr>
        <w:tc>
          <w:tcPr>
            <w:tcW w:w="829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sz w:val="17"/>
              </w:rPr>
              <w:t>Chapter 3: Mental Health, Burnout, and Compassion Fatigue</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sz w:val="17"/>
              </w:rPr>
              <w:t>19</w:t>
            </w:r>
          </w:p>
        </w:tc>
      </w:tr>
      <w:tr w:rsidR="00464BCB" w14:paraId="25C47D26" w14:textId="77777777">
        <w:trPr>
          <w:jc w:val="center"/>
          <w:cantSplit w:val="1"/>
        </w:trPr>
        <w:tc>
          <w:tcPr>
            <w:tcW w:w="829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B2447"/>
                <w:sz w:val="17"/>
              </w:rPr>
              <w:t>Chapter 4: Physical Conditions, Fatigue, and Professional Functioning</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sz w:val="17"/>
              </w:rPr>
              <w:t>27</w:t>
            </w:r>
          </w:p>
        </w:tc>
      </w:tr>
      <w:tr w:rsidR="00464BCB" w14:paraId="6B4FC3CB" w14:textId="77777777">
        <w:trPr>
          <w:jc w:val="center"/>
          <w:cantSplit w:val="1"/>
        </w:trPr>
        <w:tc>
          <w:tcPr>
            <w:tcW w:w="8290" w:type="dxa"/>
            <w:tcMar>
              <w:top w:w="28" w:type="dxa"/>
              <w:left w:w="85" w:type="dxa"/>
              <w:bottom w:w="28" w:type="dxa"/>
              <w:right w:w="85" w:type="dxa"/>
            </w:tcMar>
            <w:shd w:val="clear" w:color="auto" w:fill="FFFFFF"/>
          </w:tcPr>
          <w:p w14:paraId="7E01F311" w14:textId="77777777" w:rsidR="00464BCB" w:rsidRDefault="00000000">
            <w:pPr>
              <w:spacing w:before="0" w:after="0" w:line="240" w:lineRule="auto"/>
            </w:pPr>
            <w:r>
              <w:rPr>
                <w:b w:val="0"/>
                <w:sz w:val="17"/>
              </w:rPr>
              <w:t>Chapter 5: Responding Ethically to Professional Impairment</w:t>
            </w:r>
          </w:p>
        </w:tc>
        <w:tc>
          <w:tcPr>
            <w:tcW w:w="1180" w:type="dxa"/>
            <w:tcMar>
              <w:top w:w="28" w:type="dxa"/>
              <w:left w:w="85" w:type="dxa"/>
              <w:bottom w:w="28" w:type="dxa"/>
              <w:right w:w="85" w:type="dxa"/>
            </w:tcMar>
            <w:shd w:val="clear" w:color="auto" w:fill="FFFFFF"/>
          </w:tcPr>
          <w:p w14:paraId="2BD6D255" w14:textId="77777777" w:rsidR="00464BCB" w:rsidRDefault="00000000">
            <w:pPr>
              <w:spacing w:before="0" w:after="0" w:line="240" w:lineRule="auto"/>
              <w:jc w:val="center"/>
            </w:pPr>
            <w:r>
              <w:rPr>
                <w:b w:val="0"/>
                <w:sz w:val="17"/>
              </w:rPr>
              <w:t>36</w:t>
            </w:r>
          </w:p>
        </w:tc>
      </w:tr>
      <w:tr w:rsidR="00464BCB" w14:paraId="34E37101" w14:textId="77777777">
        <w:trPr>
          <w:jc w:val="center"/>
          <w:cantSplit w:val="1"/>
        </w:trPr>
        <w:tc>
          <w:tcPr>
            <w:tcW w:w="8290" w:type="dxa"/>
            <w:tcMar>
              <w:top w:w="28" w:type="dxa"/>
              <w:left w:w="85" w:type="dxa"/>
              <w:bottom w:w="28" w:type="dxa"/>
              <w:right w:w="85" w:type="dxa"/>
            </w:tcMar>
            <w:shd w:val="clear" w:color="auto" w:fill="DDEFF0"/>
          </w:tcPr>
          <w:p w14:paraId="6E17366F" w14:textId="77777777" w:rsidR="00464BCB" w:rsidRDefault="00000000">
            <w:pPr>
              <w:spacing w:before="0" w:after="0" w:line="240" w:lineRule="auto"/>
            </w:pPr>
            <w:r>
              <w:rPr>
                <w:b/>
                <w:sz w:val="17"/>
              </w:rPr>
              <w:t>SECTION II — RAPID REVIEW</w:t>
            </w:r>
          </w:p>
        </w:tc>
        <w:tc>
          <w:tcPr>
            <w:tcW w:w="1180" w:type="dxa"/>
            <w:tcMar>
              <w:top w:w="28" w:type="dxa"/>
              <w:left w:w="85" w:type="dxa"/>
              <w:bottom w:w="28" w:type="dxa"/>
              <w:right w:w="85" w:type="dxa"/>
            </w:tcMar>
            <w:shd w:val="clear" w:color="auto" w:fill="DDEFF0"/>
          </w:tcPr>
          <w:p w14:paraId="0B902B8D" w14:textId="77777777" w:rsidR="00464BCB" w:rsidRDefault="00000000">
            <w:pPr>
              <w:spacing w:before="0" w:after="0" w:line="240" w:lineRule="auto"/>
              <w:jc w:val="center"/>
            </w:pPr>
            <w:r>
              <w:rPr>
                <w:b/>
                <w:sz w:val="17"/>
              </w:rPr>
              <w:t>47</w:t>
            </w:r>
          </w:p>
        </w:tc>
      </w:tr>
      <w:tr w:rsidR="00464BCB" w14:paraId="5AD00ECC" w14:textId="77777777">
        <w:trPr>
          <w:jc w:val="center"/>
          <w:cantSplit w:val="1"/>
        </w:trPr>
        <w:tc>
          <w:tcPr>
            <w:tcW w:w="829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sz w:val="17"/>
              </w:rPr>
              <w:t>Chapter 6: Common Professional Impairment Exam Traps</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sz w:val="17"/>
              </w:rPr>
              <w:t>47</w:t>
            </w:r>
          </w:p>
        </w:tc>
      </w:tr>
      <w:tr w:rsidR="00464BCB" w14:paraId="151EBF2B" w14:textId="77777777">
        <w:trPr>
          <w:jc w:val="center"/>
          <w:cantSplit w:val="1"/>
        </w:trPr>
        <w:tc>
          <w:tcPr>
            <w:tcW w:w="8290" w:type="dxa"/>
            <w:tcMar>
              <w:top w:w="28" w:type="dxa"/>
              <w:left w:w="85" w:type="dxa"/>
              <w:bottom w:w="28" w:type="dxa"/>
              <w:right w:w="85" w:type="dxa"/>
            </w:tcMar>
            <w:shd w:val="clear" w:color="auto" w:fill="FFFFFF"/>
          </w:tcPr>
          <w:p w14:paraId="7AD47F8C" w14:textId="77777777" w:rsidR="00464BCB" w:rsidRDefault="00000000">
            <w:pPr>
              <w:spacing w:before="0" w:after="0" w:line="240" w:lineRule="auto"/>
            </w:pPr>
            <w:r>
              <w:rPr>
                <w:b w:val="0"/>
                <w:color w:val="0B2447"/>
                <w:sz w:val="17"/>
              </w:rPr>
              <w:t>Chapter 7: Top Professional Impairment Concepts You Must Know</w:t>
            </w:r>
          </w:p>
        </w:tc>
        <w:tc>
          <w:tcPr>
            <w:tcW w:w="1180" w:type="dxa"/>
            <w:tcMar>
              <w:top w:w="28" w:type="dxa"/>
              <w:left w:w="85" w:type="dxa"/>
              <w:bottom w:w="28" w:type="dxa"/>
              <w:right w:w="85" w:type="dxa"/>
            </w:tcMar>
            <w:shd w:val="clear" w:color="auto" w:fill="FFFFFF"/>
          </w:tcPr>
          <w:p w14:paraId="452E1D16" w14:textId="77777777" w:rsidR="00464BCB" w:rsidRDefault="00000000">
            <w:pPr>
              <w:spacing w:before="0" w:after="0" w:line="240" w:lineRule="auto"/>
              <w:jc w:val="center"/>
            </w:pPr>
            <w:r>
              <w:rPr>
                <w:b w:val="0"/>
                <w:sz w:val="17"/>
              </w:rPr>
              <w:t>59</w:t>
            </w:r>
          </w:p>
        </w:tc>
      </w:tr>
      <w:tr w:rsidR="00464BCB" w14:paraId="1CE859F7" w14:textId="77777777">
        <w:trPr>
          <w:jc w:val="center"/>
          <w:cantSplit w:val="1"/>
        </w:trPr>
        <w:tc>
          <w:tcPr>
            <w:tcW w:w="8290" w:type="dxa"/>
            <w:tcMar>
              <w:top w:w="28" w:type="dxa"/>
              <w:left w:w="85" w:type="dxa"/>
              <w:bottom w:w="28" w:type="dxa"/>
              <w:right w:w="85" w:type="dxa"/>
            </w:tcMar>
            <w:shd w:val="clear" w:color="auto" w:fill="FFFFFF"/>
          </w:tcPr>
          <w:p w14:paraId="579896DB" w14:textId="77777777" w:rsidR="00464BCB" w:rsidRDefault="00000000">
            <w:pPr>
              <w:spacing w:before="0" w:after="0" w:line="240" w:lineRule="auto"/>
            </w:pPr>
            <w:r>
              <w:rPr>
                <w:b w:val="0"/>
                <w:sz w:val="17"/>
              </w:rPr>
              <w:t>Chapter 8: Memory Aids and Quick Review Charts</w:t>
            </w:r>
          </w:p>
        </w:tc>
        <w:tc>
          <w:tcPr>
            <w:tcW w:w="1180" w:type="dxa"/>
            <w:tcMar>
              <w:top w:w="28" w:type="dxa"/>
              <w:left w:w="85" w:type="dxa"/>
              <w:bottom w:w="28" w:type="dxa"/>
              <w:right w:w="85" w:type="dxa"/>
            </w:tcMar>
            <w:shd w:val="clear" w:color="auto" w:fill="FFFFFF"/>
          </w:tcPr>
          <w:p w14:paraId="13E03F48" w14:textId="77777777" w:rsidR="00464BCB" w:rsidRDefault="00000000">
            <w:pPr>
              <w:spacing w:before="0" w:after="0" w:line="240" w:lineRule="auto"/>
              <w:jc w:val="center"/>
            </w:pPr>
            <w:r>
              <w:rPr>
                <w:b w:val="0"/>
                <w:sz w:val="17"/>
              </w:rPr>
              <w:t>70</w:t>
            </w:r>
          </w:p>
        </w:tc>
      </w:tr>
      <w:tr w:rsidR="00464BCB" w14:paraId="0A33CCB9" w14:textId="77777777">
        <w:trPr>
          <w:jc w:val="center"/>
          <w:cantSplit w:val="1"/>
        </w:trPr>
        <w:tc>
          <w:tcPr>
            <w:tcW w:w="8290" w:type="dxa"/>
            <w:tcMar>
              <w:top w:w="28" w:type="dxa"/>
              <w:left w:w="85" w:type="dxa"/>
              <w:bottom w:w="28" w:type="dxa"/>
              <w:right w:w="85" w:type="dxa"/>
            </w:tcMar>
            <w:shd w:val="clear" w:color="auto" w:fill="FFFFFF"/>
          </w:tcPr>
          <w:p w14:paraId="18D02409" w14:textId="77777777" w:rsidR="00464BCB" w:rsidRDefault="00000000">
            <w:pPr>
              <w:spacing w:before="0" w:after="0" w:line="240" w:lineRule="auto"/>
            </w:pPr>
            <w:r>
              <w:rPr>
                <w:b w:val="0"/>
                <w:sz w:val="17"/>
              </w:rPr>
              <w:t>Sources and Accuracy Note</w:t>
            </w:r>
          </w:p>
        </w:tc>
        <w:tc>
          <w:tcPr>
            <w:tcW w:w="1180" w:type="dxa"/>
            <w:tcMar>
              <w:top w:w="28" w:type="dxa"/>
              <w:left w:w="85" w:type="dxa"/>
              <w:bottom w:w="28" w:type="dxa"/>
              <w:right w:w="85" w:type="dxa"/>
            </w:tcMar>
            <w:shd w:val="clear" w:color="auto" w:fill="FFFFFF"/>
          </w:tcPr>
          <w:p w14:paraId="040335CE" w14:textId="77777777" w:rsidR="00464BCB" w:rsidRDefault="00000000">
            <w:pPr>
              <w:spacing w:before="0" w:after="0" w:line="240" w:lineRule="auto"/>
              <w:jc w:val="center"/>
            </w:pPr>
            <w:r>
              <w:rPr>
                <w:b w:val="0"/>
                <w:sz w:val="17"/>
              </w:rPr>
              <w:t>80</w:t>
            </w:r>
          </w:p>
        </w:tc>
      </w:tr>
    </w:tbl>
    <w:p>
      <w:pPr>
        <w:spacing w:before="240"/>
      </w:pPr>
      <w:r>
        <w:rPr>
          <w:rFonts w:ascii="Arial" w:hAnsi="Arial"/>
          <w:b/>
          <w:color w:val="10324F"/>
          <w:sz w:val="20"/>
        </w:rPr>
        <w:t xml:space="preserve">Companion assessment: </w:t>
      </w:r>
      <w:r>
        <w:rPr>
          <w:rFonts w:ascii="Arial" w:hAnsi="Arial"/>
          <w:sz w:val="20"/>
        </w:rPr>
        <w:t>A separate 85-question bank covers Chapters 1–5. Rapid Review Chapters 6–8 do not receive separate scored question banks.</w:t>
      </w:r>
    </w:p>
    <w:p>
      <w:pPr>
        <w:pStyle w:val="Heading1"/>
        <w:keepNext/>
        <w:spacing w:before="120" w:after="80"/>
        <w:pageBreakBefore/>
      </w:pPr>
      <w:r>
        <w:t>Chapter 1</w:t>
      </w:r>
    </w:p>
    <w:p>
      <w:pPr>
        <w:pStyle w:val="Title"/>
      </w:pPr>
      <w:r>
        <w:t>Recognizing Professional Impairment</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Professional impairment is established by meaningful interference with safe, ethical, and effective professional functioning—not by a diagnosis, disability, stressor, medication, or personal history alone.</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Define professional impairment using a functional, client-protection standard.</w:t>
      </w:r>
    </w:p>
    <w:p>
      <w:pPr>
        <w:pStyle w:val="CTAListNumber"/>
        <w:spacing w:after="40" w:line="250" w:lineRule="auto"/>
        <w:ind w:left="331" w:hanging="331"/>
      </w:pPr>
      <w:r>
        <w:rPr>
          <w:rFonts w:ascii="Aptos" w:hAnsi="Aptos"/>
          <w:color w:val="222A31"/>
          <w:sz w:val="19"/>
        </w:rPr>
        <w:t>2. Distinguish a personal condition or stressor from professional impairment.</w:t>
      </w:r>
    </w:p>
    <w:p>
      <w:pPr>
        <w:pStyle w:val="CTAListNumber"/>
        <w:spacing w:after="40" w:line="250" w:lineRule="auto"/>
        <w:ind w:left="331" w:hanging="331"/>
      </w:pPr>
      <w:r>
        <w:rPr>
          <w:rFonts w:ascii="Aptos" w:hAnsi="Aptos"/>
          <w:color w:val="222A31"/>
          <w:sz w:val="19"/>
        </w:rPr>
        <w:t>3. Differentiate impairment, incompetence, and misconduct.</w:t>
      </w:r>
    </w:p>
    <w:p>
      <w:pPr>
        <w:pStyle w:val="CTAListNumber"/>
        <w:spacing w:after="40" w:line="250" w:lineRule="auto"/>
        <w:ind w:left="331" w:hanging="331"/>
      </w:pPr>
      <w:r>
        <w:rPr>
          <w:rFonts w:ascii="Aptos" w:hAnsi="Aptos"/>
          <w:color w:val="222A31"/>
          <w:sz w:val="19"/>
        </w:rPr>
        <w:t>4. Identify cognitive, clinical, operational, relational, and ethical warning signs.</w:t>
      </w:r>
    </w:p>
    <w:p>
      <w:pPr>
        <w:pStyle w:val="CTAListNumber"/>
        <w:spacing w:after="40" w:line="250" w:lineRule="auto"/>
        <w:ind w:left="331" w:hanging="331"/>
      </w:pPr>
      <w:r>
        <w:rPr>
          <w:rFonts w:ascii="Aptos" w:hAnsi="Aptos"/>
          <w:color w:val="222A31"/>
          <w:sz w:val="19"/>
        </w:rPr>
        <w:t>5. Evaluate pattern, persistence, severity, insight, and client risk.</w:t>
      </w:r>
    </w:p>
    <w:p>
      <w:pPr>
        <w:pStyle w:val="CTAListNumber"/>
        <w:spacing w:after="40" w:line="250" w:lineRule="auto"/>
        <w:ind w:left="331" w:hanging="331"/>
      </w:pPr>
      <w:r>
        <w:rPr>
          <w:rFonts w:ascii="Aptos" w:hAnsi="Aptos"/>
          <w:color w:val="222A31"/>
          <w:sz w:val="19"/>
        </w:rPr>
        <w:t>6. Apply a proportionate first-response sequence to concerns involving oneself or another professional.</w:t>
      </w:r>
    </w:p>
    <w:p>
      <w:pPr>
        <w:pStyle w:val="CTAListNumber"/>
        <w:spacing w:after="40" w:line="250" w:lineRule="auto"/>
        <w:ind w:left="331" w:hanging="331"/>
      </w:pPr>
      <w:r>
        <w:rPr>
          <w:rFonts w:ascii="Aptos" w:hAnsi="Aptos"/>
          <w:color w:val="222A31"/>
          <w:sz w:val="19"/>
        </w:rPr>
        <w:t>7. Recognize California LCSW legal and social-work ethical standards relevant to impairment.</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Mental health professionals are not required to be free from illness, disability, grief, stress, or personal difficulty. They are required to practice safely and to respond when personal factors begin to interfere with professional judgment or performance. Impairment questions therefore test both recognition and action: What changed, how serious is the risk, and what response adequately protects clients?</w:t>
      </w:r>
    </w:p>
    <w:p>
      <w:pPr>
        <w:keepNext w:val="0"/>
        <w:spacing w:before="0" w:after="100" w:line="259" w:lineRule="auto"/>
      </w:pPr>
      <w:r>
        <w:rPr>
          <w:rFonts w:ascii="Aptos" w:hAnsi="Aptos"/>
          <w:b w:val="0"/>
          <w:i w:val="0"/>
          <w:color w:val="222A31"/>
          <w:sz w:val="20"/>
        </w:rPr>
        <w:t>The examination often includes tempting distractors that stigmatize a diagnosis, minimize a repeated pattern, or jump immediately to permanent removal from practice. The strongest answer usually focuses on current functioning and selects the least disruptive response that is still sufficient for client protection.</w:t>
      </w:r>
    </w:p>
    <w:p>
      <w:pPr>
        <w:pStyle w:val="Heading2"/>
        <w:keepNext/>
        <w:spacing w:before="120" w:after="80"/>
      </w:pPr>
      <w:r>
        <w:t>California Legal and Examination Framework</w:t>
      </w:r>
    </w:p>
    <w:p>
      <w:pPr>
        <w:keepNext w:val="0"/>
        <w:spacing w:before="0" w:after="100" w:line="259" w:lineRule="auto"/>
      </w:pPr>
      <w:r>
        <w:rPr>
          <w:rFonts w:ascii="Aptos" w:hAnsi="Aptos"/>
          <w:b w:val="0"/>
          <w:i w:val="0"/>
          <w:color w:val="222A31"/>
          <w:sz w:val="20"/>
        </w:rPr>
        <w:t>California’s BBS statutes do not create one universal day-to-day definition of “professional impairment.” Instead, several legal provisions address unsafe professional functioning and Board authority:</w:t>
      </w:r>
    </w:p>
    <w:p>
      <w:pPr>
        <w:pStyle w:val="CTAListBullet"/>
        <w:spacing w:after="40" w:line="250" w:lineRule="auto"/>
        <w:ind w:left="259" w:hanging="202"/>
      </w:pPr>
      <w:r>
        <w:rPr>
          <w:rFonts w:ascii="Aptos" w:hAnsi="Aptos"/>
          <w:color w:val="222A31"/>
          <w:sz w:val="19"/>
        </w:rPr>
        <w:t>• Under the Clinical Social Worker Practice Act, Business and Professions Code section 4992.3(c)–(e) treats dangerous or injurious alcohol or drug use, use that impairs an applicant’s, ASW’s, or LCSW’s ability to conduct the authorized practice safely, incompetence in clinical social work, and gross negligence as grounds for denial or discipline.</w:t>
      </w:r>
    </w:p>
    <w:p>
      <w:pPr>
        <w:pStyle w:val="CTAListBullet"/>
        <w:spacing w:after="40" w:line="250" w:lineRule="auto"/>
        <w:ind w:left="259" w:hanging="202"/>
      </w:pPr>
      <w:r>
        <w:rPr>
          <w:rFonts w:ascii="Aptos" w:hAnsi="Aptos"/>
          <w:color w:val="222A31"/>
          <w:sz w:val="19"/>
        </w:rPr>
        <w:t>• Business and Professions Code section 820 authorizes a licensing agency to order an examination when a licensee may be unable to practice safely because of mental illness or a physical illness affecting competency. This is a formal Board process—not a shortcut for labeling a clinician impaired.</w:t>
      </w:r>
    </w:p>
    <w:p>
      <w:pPr>
        <w:pStyle w:val="CTAListBullet"/>
        <w:spacing w:after="40" w:line="250" w:lineRule="auto"/>
        <w:ind w:left="259" w:hanging="202"/>
      </w:pPr>
      <w:r>
        <w:rPr>
          <w:rFonts w:ascii="Aptos" w:hAnsi="Aptos"/>
          <w:color w:val="222A31"/>
          <w:sz w:val="19"/>
        </w:rPr>
        <w:t>• The NASW Code of Ethics requires social workers to prevent personal problems, psychosocial distress, legal problems, substance abuse, or mental-health difficulties from interfering with professional judgment/performance or jeopardizing clients, and to seek consultation and take appropriate remedial action when impairment occurs. [NASW Code of Ethics § 4.05]</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EXAM DISTINCTION  </w:t>
            </w:r>
            <w:r>
              <w:rPr>
                <w:rFonts w:ascii="Aptos" w:hAnsi="Aptos"/>
                <w:color w:val="222A31"/>
                <w:sz w:val="19"/>
              </w:rPr>
              <w:t>A condition may be clinically important without being professional impairment. Conversely, a clinician may show dangerous functional decline before anyone knows the cause. The examination centers observable performance and client risk—not moral judgment or diagnostic speculation.</w:t>
            </w:r>
          </w:p>
        </w:tc>
      </w:tr>
    </w:tbl>
    <w:p>
      <w:pPr>
        <w:pStyle w:val="Heading2"/>
        <w:keepNext/>
        <w:spacing w:before="120" w:after="80"/>
      </w:pPr>
      <w:r>
        <w:t>1. What Is Professional Impairment?</w:t>
      </w:r>
    </w:p>
    <w:p>
      <w:pPr>
        <w:keepNext w:val="0"/>
        <w:spacing w:before="0" w:after="100" w:line="259" w:lineRule="auto"/>
      </w:pPr>
      <w:r>
        <w:rPr>
          <w:rFonts w:ascii="Aptos" w:hAnsi="Aptos"/>
          <w:b w:val="0"/>
          <w:i w:val="0"/>
          <w:color w:val="222A31"/>
          <w:sz w:val="20"/>
        </w:rPr>
        <w:t>Professional impairment occurs when a clinician’s personal, psychological, physical, emotional, cognitive, substance-related, or situational condition meaningfully interferes with the clinician’s ability to perform professional responsibilities safely, ethically, and effectively.</w:t>
      </w:r>
    </w:p>
    <w:p>
      <w:pPr>
        <w:keepNext w:val="0"/>
        <w:spacing w:before="0" w:after="100" w:line="259" w:lineRule="auto"/>
      </w:pPr>
      <w:r>
        <w:rPr>
          <w:rFonts w:ascii="Aptos" w:hAnsi="Aptos"/>
          <w:b w:val="0"/>
          <w:i w:val="0"/>
          <w:color w:val="222A31"/>
          <w:sz w:val="20"/>
        </w:rPr>
        <w:t>The functional impact may involve judgment, attention, memory, risk assessment, documentation, boundaries, reliability, communication, treatment planning, or the ability to recognize and correct errors.</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CORE QUESTION  </w:t>
            </w:r>
            <w:r>
              <w:rPr>
                <w:rFonts w:ascii="Aptos" w:hAnsi="Aptos"/>
                <w:color w:val="222A31"/>
                <w:sz w:val="19"/>
              </w:rPr>
              <w:t>Is the clinician currently able to provide the required services safely and meet professional responsibilities?</w:t>
            </w:r>
          </w:p>
        </w:tc>
      </w:tr>
    </w:tbl>
    <w:p>
      <w:pPr>
        <w:pStyle w:val="Heading3"/>
        <w:keepNext/>
        <w:spacing w:before="120" w:after="80"/>
      </w:pPr>
      <w:r>
        <w:t>Condition or Stressor vs. Professional Impairment</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Condition or Stressor Present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Functioning Remains Intact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Professional Impairment Concern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Depression, anxiety, grief, trauma history, or other mental-health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Judgment, reliability, boundaries, and client care remain effective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Symptoms interfere with judgment, attention, reliability, or client welfare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Physical illness, disability, pain, injury, or sensory limitation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Effective accommodations support safe performance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condition or unsupported limitation prevents safe or reliable service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Alcohol, prescribed medication, or other substance exposure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professional aftereffects or performance decline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Intoxication, residual effects, misuse, or side effects impair safe practice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Stress, workload pressure, family conflict, or financial strain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Responsibilities and clinical effectiveness remain stable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stressor contributes to repeated errors, poor judgment, avoidance, or unsafe practice</w:t>
            </w:r>
          </w:p>
        </w:tc>
      </w:tr>
    </w:tbl>
    <w:p>
      <w:pPr>
        <w:pStyle w:val="Heading2"/>
        <w:keepNext/>
        <w:spacing w:before="120" w:after="80"/>
      </w:pPr>
      <w:r>
        <w:t>2. The Five-Part Functional Analysis</w:t>
      </w:r>
    </w:p>
    <w:p>
      <w:pPr>
        <w:keepNext w:val="0"/>
        <w:spacing w:before="0" w:after="100" w:line="259" w:lineRule="auto"/>
      </w:pPr>
      <w:r>
        <w:rPr>
          <w:rFonts w:ascii="Aptos" w:hAnsi="Aptos"/>
          <w:b w:val="0"/>
          <w:i w:val="0"/>
          <w:color w:val="222A31"/>
          <w:sz w:val="20"/>
        </w:rPr>
        <w:t>Do not decide impairment from one label. Organize the facts using five questions:</w:t>
      </w:r>
    </w:p>
    <w:p>
      <w:pPr>
        <w:pStyle w:val="CTAListNumber"/>
        <w:spacing w:after="40" w:line="250" w:lineRule="auto"/>
        <w:ind w:left="331" w:hanging="331"/>
      </w:pPr>
      <w:r>
        <w:rPr>
          <w:rFonts w:ascii="Aptos" w:hAnsi="Aptos"/>
          <w:color w:val="222A31"/>
          <w:sz w:val="19"/>
        </w:rPr>
        <w:t>1. FUNCTION — What specific professional ability has changed?</w:t>
      </w:r>
    </w:p>
    <w:p>
      <w:pPr>
        <w:pStyle w:val="CTAListNumber"/>
        <w:spacing w:after="40" w:line="250" w:lineRule="auto"/>
        <w:ind w:left="331" w:hanging="331"/>
      </w:pPr>
      <w:r>
        <w:rPr>
          <w:rFonts w:ascii="Aptos" w:hAnsi="Aptos"/>
          <w:color w:val="222A31"/>
          <w:sz w:val="19"/>
        </w:rPr>
        <w:t>2. PATTERN — Is the concern isolated, repeated, worsening, or persistent?</w:t>
      </w:r>
    </w:p>
    <w:p>
      <w:pPr>
        <w:pStyle w:val="CTAListNumber"/>
        <w:spacing w:after="40" w:line="250" w:lineRule="auto"/>
        <w:ind w:left="331" w:hanging="331"/>
      </w:pPr>
      <w:r>
        <w:rPr>
          <w:rFonts w:ascii="Aptos" w:hAnsi="Aptos"/>
          <w:color w:val="222A31"/>
          <w:sz w:val="19"/>
        </w:rPr>
        <w:t>3. SEVERITY — How much is performance affected, and can the clinician correct the problem in real time?</w:t>
      </w:r>
    </w:p>
    <w:p>
      <w:pPr>
        <w:pStyle w:val="CTAListNumber"/>
        <w:spacing w:after="40" w:line="250" w:lineRule="auto"/>
        <w:ind w:left="331" w:hanging="331"/>
      </w:pPr>
      <w:r>
        <w:rPr>
          <w:rFonts w:ascii="Aptos" w:hAnsi="Aptos"/>
          <w:color w:val="222A31"/>
          <w:sz w:val="19"/>
        </w:rPr>
        <w:t>4. RISK — Are clients, supervisees, records, or required professional duties in immediate danger?</w:t>
      </w:r>
    </w:p>
    <w:p>
      <w:pPr>
        <w:pStyle w:val="CTAListNumber"/>
        <w:spacing w:after="40" w:line="250" w:lineRule="auto"/>
        <w:ind w:left="331" w:hanging="331"/>
      </w:pPr>
      <w:r>
        <w:rPr>
          <w:rFonts w:ascii="Aptos" w:hAnsi="Aptos"/>
          <w:color w:val="222A31"/>
          <w:sz w:val="19"/>
        </w:rPr>
        <w:t>5. INSIGHT AND RESPONSE — Does the clinician recognize the concern and take effective corrective action?</w:t>
      </w:r>
    </w:p>
    <w:p>
      <w:pPr>
        <w:keepNext w:val="0"/>
        <w:spacing w:before="0" w:after="100" w:line="259" w:lineRule="auto"/>
      </w:pPr>
      <w:r>
        <w:rPr>
          <w:rFonts w:ascii="Aptos" w:hAnsi="Aptos"/>
          <w:b w:val="0"/>
          <w:i w:val="0"/>
          <w:color w:val="222A31"/>
          <w:sz w:val="20"/>
        </w:rPr>
        <w:t>A single late note, difficult session, or emotional reaction may warrant attention without establishing impairment. Repeated errors, missed risk information, declining judgment, and denial create a stronger impairment concern.</w:t>
      </w:r>
    </w:p>
    <w:p>
      <w:pPr>
        <w:pStyle w:val="Heading2"/>
        <w:keepNext/>
        <w:spacing w:before="120" w:after="80"/>
      </w:pPr>
      <w:r>
        <w:t>3. Warning Signs by Area of Functioning</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Area</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Warning Signs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Matters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Cognitive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Confusion, memory gaps, difficulty concentrating, disorganization, slowed thinking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May impair assessment, treatment planning, documentation, and crisis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Clinical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Missed risk cues, ineffective or inappropriate interventions, failure to adjust treatment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May directly compromise client safety and standard of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Operational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Repeated lateness, missed appointments, incomplete records, poor follow-through</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Signals declining reliability and continuity of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Relational / Boundary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Unusual irritability, detachment, overinvolvement, inconsistent boundaries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May impair objectivity, alliance, and professional judgment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Ethical / Regulatory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Concealing errors, practicing while unable to function safely, disregarding feedback</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May allow impairment to become misconduct or unprofessional conduct</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9"/>
              </w:rPr>
              <w:t xml:space="preserve">REMEMBER  </w:t>
            </w:r>
            <w:r>
              <w:rPr>
                <w:rFonts w:ascii="Aptos" w:hAnsi="Aptos"/>
                <w:color w:val="222A31"/>
                <w:sz w:val="19"/>
              </w:rPr>
              <w:t>One warning sign is information, not a diagnosis. Look for pattern, persistence, severity, client impact, and the clinician’s response.</w:t>
            </w:r>
          </w:p>
        </w:tc>
      </w:tr>
    </w:tbl>
    <w:p>
      <w:pPr>
        <w:pStyle w:val="Heading2"/>
        <w:keepNext/>
        <w:spacing w:before="120" w:after="80"/>
      </w:pPr>
      <w:r>
        <w:t>4. Impairment Exists on a Continuum</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Level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Typical Functional Picture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Proportionate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established decline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condition or stressor exists, but professional duties remain safe and effective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Monitor, use ordinary supports, and maintain preventive self-assessment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Early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Subtle decline, increasing strain, or isolated correctable errors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Consult, obtain support, adjust schedule, and monitor more closely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Ongoing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Repeated errors, reduced judgment, unreliable performance, or affected clients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Modify duties or caseload, increase oversight, obtain treatment, and arrange coverage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Significant safety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Clinician cannot reliably manage risk or provide competent service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Limit or stop affected duties; arrange qualified coverage, referral, transfer, or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danger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Clinician is actively unable to practice safely or a client faces urgent risk</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Protect the client first and do not allow unsafe services to continue</w:t>
            </w:r>
          </w:p>
        </w:tc>
      </w:tr>
    </w:tbl>
    <w:p>
      <w:pPr>
        <w:keepNext w:val="0"/>
        <w:spacing w:before="0" w:after="100" w:line="259" w:lineRule="auto"/>
      </w:pPr>
      <w:r>
        <w:rPr>
          <w:rFonts w:ascii="Aptos" w:hAnsi="Aptos"/>
          <w:b w:val="0"/>
          <w:i w:val="0"/>
          <w:color w:val="222A31"/>
          <w:sz w:val="20"/>
        </w:rPr>
        <w:t>“Least restrictive” does not mean “least inconvenient.” A less disruptive response is appropriate only when it adequately protects clients and professional responsibilities.</w:t>
      </w:r>
    </w:p>
    <w:p>
      <w:pPr>
        <w:pStyle w:val="Heading2"/>
        <w:keepNext/>
        <w:spacing w:before="120" w:after="80"/>
      </w:pPr>
      <w:r>
        <w:t>5. Impairment, Incompetence, and Misconduct</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Primary Focus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Relationship to the Other Concepts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condition or circumstance interfering with current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May contribute to errors or misconduct, but does not automatically prove either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Incompetence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Insufficient ability to perform the professional service safely and effectively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May result from inadequate preparation, outdated skill, or current impairment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Conduct violating legal, ethical, or professional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May occur with or without impairment; impairment does not excuse the conduct</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EXAM TRAP  </w:t>
            </w:r>
            <w:r>
              <w:rPr>
                <w:rFonts w:ascii="Aptos" w:hAnsi="Aptos"/>
                <w:color w:val="222A31"/>
                <w:sz w:val="19"/>
              </w:rPr>
              <w:t>Do not select “the diagnosis excuses the violation.” The clinician’s condition may explain context, but unsafe or unethical conduct still requires a protective and accountable response.</w:t>
            </w:r>
          </w:p>
        </w:tc>
      </w:tr>
    </w:tbl>
    <w:p>
      <w:pPr>
        <w:pStyle w:val="Heading2"/>
        <w:keepNext/>
        <w:spacing w:before="120" w:after="80"/>
      </w:pPr>
      <w:r>
        <w:t>6. Self-Monitoring and External Feedback</w:t>
      </w:r>
    </w:p>
    <w:p>
      <w:pPr>
        <w:keepNext w:val="0"/>
        <w:spacing w:before="0" w:after="100" w:line="259" w:lineRule="auto"/>
      </w:pPr>
      <w:r>
        <w:rPr>
          <w:rFonts w:ascii="Aptos" w:hAnsi="Aptos"/>
          <w:b w:val="0"/>
          <w:i w:val="0"/>
          <w:color w:val="222A31"/>
          <w:sz w:val="20"/>
        </w:rPr>
        <w:t>Clinicians should monitor changes in their own effectiveness, but impairment can reduce insight. Feedback from supervisors, colleagues, clients, documentation audits, or performance data may therefore be important evidence.</w:t>
      </w:r>
    </w:p>
    <w:p>
      <w:pPr>
        <w:pStyle w:val="CTAListBullet"/>
        <w:spacing w:after="40" w:line="250" w:lineRule="auto"/>
        <w:ind w:left="259" w:hanging="202"/>
      </w:pPr>
      <w:r>
        <w:rPr>
          <w:rFonts w:ascii="Aptos" w:hAnsi="Aptos"/>
          <w:color w:val="222A31"/>
          <w:sz w:val="19"/>
        </w:rPr>
        <w:t>• Compare current performance with the clinician’s usual baseline.</w:t>
      </w:r>
    </w:p>
    <w:p>
      <w:pPr>
        <w:pStyle w:val="CTAListBullet"/>
        <w:spacing w:after="40" w:line="250" w:lineRule="auto"/>
        <w:ind w:left="259" w:hanging="202"/>
      </w:pPr>
      <w:r>
        <w:rPr>
          <w:rFonts w:ascii="Aptos" w:hAnsi="Aptos"/>
          <w:color w:val="222A31"/>
          <w:sz w:val="19"/>
        </w:rPr>
        <w:t>• Identify specific errors or changes rather than relying on vague labels.</w:t>
      </w:r>
    </w:p>
    <w:p>
      <w:pPr>
        <w:pStyle w:val="CTAListBullet"/>
        <w:spacing w:after="40" w:line="250" w:lineRule="auto"/>
        <w:ind w:left="259" w:hanging="202"/>
      </w:pPr>
      <w:r>
        <w:rPr>
          <w:rFonts w:ascii="Aptos" w:hAnsi="Aptos"/>
          <w:color w:val="222A31"/>
          <w:sz w:val="19"/>
        </w:rPr>
        <w:t>• Consider whether the clinician is minimizing, concealing, or rationalizing a repeated pattern.</w:t>
      </w:r>
    </w:p>
    <w:p>
      <w:pPr>
        <w:pStyle w:val="CTAListBullet"/>
        <w:spacing w:after="40" w:line="250" w:lineRule="auto"/>
        <w:ind w:left="259" w:hanging="202"/>
      </w:pPr>
      <w:r>
        <w:rPr>
          <w:rFonts w:ascii="Aptos" w:hAnsi="Aptos"/>
          <w:color w:val="222A31"/>
          <w:sz w:val="19"/>
        </w:rPr>
        <w:t>• Do not wait for a complaint or injury when the evidence already suggests declining safe performance.</w:t>
      </w:r>
    </w:p>
    <w:p>
      <w:pPr>
        <w:pStyle w:val="CTAListBullet"/>
        <w:spacing w:after="40" w:line="250" w:lineRule="auto"/>
        <w:ind w:left="259" w:hanging="202"/>
      </w:pPr>
      <w:r>
        <w:rPr>
          <w:rFonts w:ascii="Aptos" w:hAnsi="Aptos"/>
          <w:color w:val="222A31"/>
          <w:sz w:val="19"/>
        </w:rPr>
        <w:t>• Use consultation or supervision when self-assessment is uncertain, especially in high-risk work.</w:t>
      </w:r>
    </w:p>
    <w:p>
      <w:pPr>
        <w:pStyle w:val="Heading2"/>
        <w:keepNext/>
        <w:spacing w:before="120" w:after="80"/>
      </w:pPr>
      <w:r>
        <w:t>7. The IMPACT First-Response Sequence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Question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 — Identify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observable change or error occurred?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Describe facts without diagnosing or assigning motive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 — Measure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How persistent, severe, and widespread is the functional decline?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Compare baseline, pattern, duties, and feedback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 — Protect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current services continue safely?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Address urgent risk, high-risk cases, and immediate coverage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 Act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response matches the concern?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consultation, supervision, treatment, accommodation, workload change, leave, referral, or transfer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 — Continue care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How will current clients receive appropriate services?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Plan communication, coverage, emergency access, records, and transition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 — Track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Has functioning improved enough for the current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 relevant decisions and reevaluate before expanding responsibilities</w:t>
            </w:r>
          </w:p>
        </w:tc>
      </w:tr>
    </w:tbl>
    <w:p>
      <w:pPr>
        <w:pStyle w:val="Heading2"/>
        <w:keepNext/>
        <w:spacing w:before="120" w:after="80"/>
      </w:pPr>
      <w:r>
        <w:t>8. When Another Professional May Be Impaired</w:t>
      </w:r>
    </w:p>
    <w:p>
      <w:pPr>
        <w:keepNext w:val="0"/>
        <w:spacing w:before="0" w:after="100" w:line="259" w:lineRule="auto"/>
      </w:pPr>
      <w:r>
        <w:rPr>
          <w:rFonts w:ascii="Aptos" w:hAnsi="Aptos"/>
          <w:b w:val="0"/>
          <w:i w:val="0"/>
          <w:color w:val="222A31"/>
          <w:sz w:val="20"/>
        </w:rPr>
        <w:t>The correct response depends on the observer’s role, the available facts, the urgency, and the applicable ethical code or workplace procedure. California law does not create a universal rule that every suspicion must immediately be reported to the BBS.</w:t>
      </w:r>
    </w:p>
    <w:p>
      <w:pPr>
        <w:pStyle w:val="Heading3"/>
        <w:keepNext/>
        <w:spacing w:before="120" w:after="80"/>
      </w:pPr>
      <w:r>
        <w:t>Focus on Observable Conduct</w:t>
      </w:r>
    </w:p>
    <w:p>
      <w:pPr>
        <w:pStyle w:val="CTAListBullet"/>
        <w:spacing w:after="40" w:line="250" w:lineRule="auto"/>
        <w:ind w:left="259" w:hanging="202"/>
      </w:pPr>
      <w:r>
        <w:rPr>
          <w:rFonts w:ascii="Aptos" w:hAnsi="Aptos"/>
          <w:color w:val="222A31"/>
          <w:sz w:val="19"/>
        </w:rPr>
        <w:t>• Describe specific behavior, errors, missed responsibilities, or changes in performance.</w:t>
      </w:r>
    </w:p>
    <w:p>
      <w:pPr>
        <w:pStyle w:val="CTAListBullet"/>
        <w:spacing w:after="40" w:line="250" w:lineRule="auto"/>
        <w:ind w:left="259" w:hanging="202"/>
      </w:pPr>
      <w:r>
        <w:rPr>
          <w:rFonts w:ascii="Aptos" w:hAnsi="Aptos"/>
          <w:color w:val="222A31"/>
          <w:sz w:val="19"/>
        </w:rPr>
        <w:t>• Assess whether a client is about to receive unsafe care or whether urgent coverage is needed.</w:t>
      </w:r>
    </w:p>
    <w:p>
      <w:pPr>
        <w:pStyle w:val="CTAListBullet"/>
        <w:spacing w:after="40" w:line="250" w:lineRule="auto"/>
        <w:ind w:left="259" w:hanging="202"/>
      </w:pPr>
      <w:r>
        <w:rPr>
          <w:rFonts w:ascii="Aptos" w:hAnsi="Aptos"/>
          <w:color w:val="222A31"/>
          <w:sz w:val="19"/>
        </w:rPr>
        <w:t>• Consult the professional directly when feasible and productive, unless doing so would delay necessary protection or increase risk.</w:t>
      </w:r>
    </w:p>
    <w:p>
      <w:pPr>
        <w:pStyle w:val="CTAListBullet"/>
        <w:spacing w:after="40" w:line="250" w:lineRule="auto"/>
        <w:ind w:left="259" w:hanging="202"/>
      </w:pPr>
      <w:r>
        <w:rPr>
          <w:rFonts w:ascii="Aptos" w:hAnsi="Aptos"/>
          <w:color w:val="222A31"/>
          <w:sz w:val="19"/>
        </w:rPr>
        <w:t>• Use appropriate supervisory, employer, professional, or regulatory channels when the problem is serious, persists, or is not adequately addressed.</w:t>
      </w:r>
    </w:p>
    <w:p>
      <w:pPr>
        <w:pStyle w:val="CTAListBullet"/>
        <w:spacing w:after="40" w:line="250" w:lineRule="auto"/>
        <w:ind w:left="259" w:hanging="202"/>
      </w:pPr>
      <w:r>
        <w:rPr>
          <w:rFonts w:ascii="Aptos" w:hAnsi="Aptos"/>
          <w:color w:val="222A31"/>
          <w:sz w:val="19"/>
        </w:rPr>
        <w:t>• Limit disclosures to information needed for the protective purpose.</w:t>
      </w:r>
    </w:p>
    <w:p>
      <w:pPr>
        <w:pStyle w:val="Heading3"/>
        <w:keepNext/>
        <w:spacing w:before="120" w:after="80"/>
      </w:pPr>
      <w:r>
        <w:t>Avoid</w:t>
      </w:r>
    </w:p>
    <w:p>
      <w:pPr>
        <w:pStyle w:val="CTAListBullet"/>
        <w:spacing w:after="40" w:line="250" w:lineRule="auto"/>
        <w:ind w:left="259" w:hanging="202"/>
      </w:pPr>
      <w:r>
        <w:rPr>
          <w:rFonts w:ascii="Aptos" w:hAnsi="Aptos"/>
          <w:color w:val="222A31"/>
          <w:sz w:val="19"/>
        </w:rPr>
        <w:t>• Diagnosing the colleague from limited observations.</w:t>
      </w:r>
    </w:p>
    <w:p>
      <w:pPr>
        <w:pStyle w:val="CTAListBullet"/>
        <w:spacing w:after="40" w:line="250" w:lineRule="auto"/>
        <w:ind w:left="259" w:hanging="202"/>
      </w:pPr>
      <w:r>
        <w:rPr>
          <w:rFonts w:ascii="Aptos" w:hAnsi="Aptos"/>
          <w:color w:val="222A31"/>
          <w:sz w:val="19"/>
        </w:rPr>
        <w:t>• Discussing suspicions with clients or uninvolved coworkers.</w:t>
      </w:r>
    </w:p>
    <w:p>
      <w:pPr>
        <w:pStyle w:val="CTAListBullet"/>
        <w:spacing w:after="40" w:line="250" w:lineRule="auto"/>
        <w:ind w:left="259" w:hanging="202"/>
      </w:pPr>
      <w:r>
        <w:rPr>
          <w:rFonts w:ascii="Aptos" w:hAnsi="Aptos"/>
          <w:color w:val="222A31"/>
          <w:sz w:val="19"/>
        </w:rPr>
        <w:t>• Protecting loyalty, reputation, or workplace comfort over client safety.</w:t>
      </w:r>
    </w:p>
    <w:p>
      <w:pPr>
        <w:pStyle w:val="CTAListBullet"/>
        <w:spacing w:after="40" w:line="250" w:lineRule="auto"/>
        <w:ind w:left="259" w:hanging="202"/>
      </w:pPr>
      <w:r>
        <w:rPr>
          <w:rFonts w:ascii="Aptos" w:hAnsi="Aptos"/>
          <w:color w:val="222A31"/>
          <w:sz w:val="19"/>
        </w:rPr>
        <w:t>• Assuming that confrontation is always the first step when a client faces imminent harm.</w:t>
      </w:r>
    </w:p>
    <w:p>
      <w:pPr>
        <w:pStyle w:val="CTAListBullet"/>
        <w:spacing w:after="40" w:line="250" w:lineRule="auto"/>
        <w:ind w:left="259" w:hanging="202"/>
      </w:pPr>
      <w:r>
        <w:rPr>
          <w:rFonts w:ascii="Aptos" w:hAnsi="Aptos"/>
          <w:color w:val="222A31"/>
          <w:sz w:val="19"/>
        </w:rPr>
        <w:t>• Assuming that a report to a licensing board is either always required or never appropriate.</w:t>
      </w:r>
    </w:p>
    <w:p>
      <w:r>
        <w:br w:type="page"/>
      </w:r>
    </w:p>
    <w:p>
      <w:pPr>
        <w:pStyle w:val="Heading1"/>
        <w:keepNext/>
        <w:spacing w:before="120" w:after="80"/>
      </w:pPr>
      <w:r>
        <w:t>Clinical Applications</w:t>
      </w:r>
    </w:p>
    <w:p>
      <w:pPr>
        <w:pStyle w:val="Heading2"/>
        <w:keepNext/>
        <w:spacing w:before="120" w:after="80"/>
      </w:pPr>
      <w:r>
        <w:t>Application 1: Diagnosis With Intact Functioning</w:t>
      </w:r>
    </w:p>
    <w:p>
      <w:pPr>
        <w:keepNext w:val="0"/>
        <w:spacing w:before="0" w:after="100" w:line="259" w:lineRule="auto"/>
      </w:pPr>
      <w:r>
        <w:rPr>
          <w:rFonts w:ascii="Aptos" w:hAnsi="Aptos"/>
          <w:b w:val="0"/>
          <w:i/>
          <w:color w:val="222A31"/>
          <w:sz w:val="20"/>
        </w:rPr>
        <w:t>Scenario: A therapist has a well-managed anxiety disorder, remains attentive and reliable, documents accurately, and makes sound clinical decisions.</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BEST ANALYSIS  </w:t>
            </w:r>
            <w:r>
              <w:rPr>
                <w:rFonts w:ascii="Aptos" w:hAnsi="Aptos"/>
                <w:color w:val="222A31"/>
                <w:sz w:val="19"/>
              </w:rPr>
              <w:t>A diagnosis alone does not establish professional impairment. Continue appropriate self-monitoring without stigmatizing the clinician or inventing a duty to disclose private health information to every client.</w:t>
            </w:r>
          </w:p>
        </w:tc>
      </w:tr>
    </w:tbl>
    <w:p>
      <w:pPr>
        <w:pStyle w:val="Heading2"/>
        <w:keepNext/>
        <w:spacing w:before="120" w:after="80"/>
      </w:pPr>
      <w:r>
        <w:t>Application 2: Pattern of Decline</w:t>
      </w:r>
    </w:p>
    <w:p>
      <w:pPr>
        <w:keepNext w:val="0"/>
        <w:spacing w:before="0" w:after="100" w:line="259" w:lineRule="auto"/>
      </w:pPr>
      <w:r>
        <w:rPr>
          <w:rFonts w:ascii="Aptos" w:hAnsi="Aptos"/>
          <w:b w:val="0"/>
          <w:i/>
          <w:color w:val="222A31"/>
          <w:sz w:val="20"/>
        </w:rPr>
        <w:t>Scenario: A clinician misses appointments, completes notes late, forgets critical client information, and overlooks two risk indicators during one month.</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BEST ANALYSIS  </w:t>
            </w:r>
            <w:r>
              <w:rPr>
                <w:rFonts w:ascii="Aptos" w:hAnsi="Aptos"/>
                <w:color w:val="222A31"/>
                <w:sz w:val="19"/>
              </w:rPr>
              <w:t>The repeated, clinically significant pattern requires prompt assessment of functioning and client risk. Waiting for a complaint is not the best response.</w:t>
            </w:r>
          </w:p>
        </w:tc>
      </w:tr>
    </w:tbl>
    <w:p>
      <w:pPr>
        <w:pStyle w:val="Heading2"/>
        <w:keepNext/>
        <w:spacing w:before="120" w:after="80"/>
      </w:pPr>
      <w:r>
        <w:t>Application 3: Prescribed Medication and High-Risk Work</w:t>
      </w:r>
    </w:p>
    <w:p>
      <w:pPr>
        <w:keepNext w:val="0"/>
        <w:spacing w:before="0" w:after="100" w:line="259" w:lineRule="auto"/>
      </w:pPr>
      <w:r>
        <w:rPr>
          <w:rFonts w:ascii="Aptos" w:hAnsi="Aptos"/>
          <w:b w:val="0"/>
          <w:i/>
          <w:color w:val="222A31"/>
          <w:sz w:val="20"/>
        </w:rPr>
        <w:t>Scenario: A new prescribed medication causes marked drowsiness and slowed thinking immediately before a high-risk session.</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BEST ANALYSIS  </w:t>
            </w:r>
            <w:r>
              <w:rPr>
                <w:rFonts w:ascii="Aptos" w:hAnsi="Aptos"/>
                <w:color w:val="222A31"/>
                <w:sz w:val="19"/>
              </w:rPr>
              <w:t>Prescription status does not answer the professional question. The clinician should assess present ability, avoid unsafe practice, and arrange appropriate coverage or rescheduling if safe performance is not possible.</w:t>
            </w:r>
          </w:p>
        </w:tc>
      </w:tr>
    </w:tbl>
    <w:p>
      <w:pPr>
        <w:pStyle w:val="Heading2"/>
        <w:keepNext/>
        <w:spacing w:before="120" w:after="80"/>
      </w:pPr>
      <w:r>
        <w:t>Application 4: Concern About a Colleague</w:t>
      </w:r>
    </w:p>
    <w:p>
      <w:pPr>
        <w:keepNext w:val="0"/>
        <w:spacing w:before="0" w:after="100" w:line="259" w:lineRule="auto"/>
      </w:pPr>
      <w:r>
        <w:rPr>
          <w:rFonts w:ascii="Aptos" w:hAnsi="Aptos"/>
          <w:b w:val="0"/>
          <w:i/>
          <w:color w:val="222A31"/>
          <w:sz w:val="20"/>
        </w:rPr>
        <w:t>Scenario: A colleague appears disoriented, is slurring speech, and is preparing to conduct an emergency assessment.</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BEST ANALYSIS  </w:t>
            </w:r>
            <w:r>
              <w:rPr>
                <w:rFonts w:ascii="Aptos" w:hAnsi="Aptos"/>
                <w:color w:val="222A31"/>
                <w:sz w:val="19"/>
              </w:rPr>
              <w:t>Protect the client first and use immediate supervisory or workplace procedures. Do not wait to establish a diagnosis or debate the cause before preventing unsafe service.</w:t>
            </w:r>
          </w:p>
        </w:tc>
      </w:tr>
    </w:tbl>
    <w:p>
      <w:pPr>
        <w:pStyle w:val="Heading1"/>
        <w:keepNext/>
        <w:spacing w:before="120" w:after="80"/>
      </w:pPr>
      <w:r>
        <w:t>Common Exam Traps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Diagnosis equals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diagnosis, disability, or personal history does not establish current functional decline.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No diagnosis means no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Observable unsafe performance can require action even when the cause is unknown.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One mistake proves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Assess pattern, persistence, severity, and client impact.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No complaint means no duty to act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Client protection begins before a complaint or injury when warning signs are significant.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Good intentions cure functional decline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Intent does not restore judgment, attention, reliability, or safe performance.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Help-seeking alone resolves the practice issue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Treatment and consultation may be necessary, but current duties and client continuity must also be addressed.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Every concern requires permanent termination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Use a proportionate response; many concerns can be addressed with support, modification, or temporary leave.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The employer or supervisor owns the entire problem</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Supervision and workplace processes help, but the clinician retains responsibility for accurate disclosure and safe conduct.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colleague must be diagnosed before action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Address observable behavior and risk without practicing outside one’s role.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Every colleague concern must immediately be reported to the BBS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Use the applicable law, ethical code, professional role, and appropriate channels; immediate client safety remains the first priority.</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Professional impairment is a functional concept: a condition or circumstance interferes with safe, ethical, and effective professional performance.</w:t>
      </w:r>
    </w:p>
    <w:p>
      <w:pPr>
        <w:pStyle w:val="CTAListBullet"/>
        <w:spacing w:after="60" w:line="250" w:lineRule="auto"/>
        <w:ind w:left="259" w:hanging="202"/>
      </w:pPr>
      <w:r>
        <w:rPr>
          <w:rFonts w:ascii="Aptos" w:hAnsi="Aptos"/>
          <w:color w:val="222A31"/>
          <w:sz w:val="19"/>
        </w:rPr>
        <w:t>• Diagnosis, disability, medication, stress, grief, or substance use alone does not prove impairment.</w:t>
      </w:r>
    </w:p>
    <w:p>
      <w:pPr>
        <w:pStyle w:val="CTAListBullet"/>
        <w:spacing w:after="60" w:line="250" w:lineRule="auto"/>
        <w:ind w:left="259" w:hanging="202"/>
      </w:pPr>
      <w:r>
        <w:rPr>
          <w:rFonts w:ascii="Aptos" w:hAnsi="Aptos"/>
          <w:color w:val="222A31"/>
          <w:sz w:val="19"/>
        </w:rPr>
        <w:t>• Evaluate function, pattern, severity, risk, insight, and response.</w:t>
      </w:r>
    </w:p>
    <w:p>
      <w:pPr>
        <w:pStyle w:val="CTAListBullet"/>
        <w:spacing w:after="60" w:line="250" w:lineRule="auto"/>
        <w:ind w:left="259" w:hanging="202"/>
      </w:pPr>
      <w:r>
        <w:rPr>
          <w:rFonts w:ascii="Aptos" w:hAnsi="Aptos"/>
          <w:color w:val="222A31"/>
          <w:sz w:val="19"/>
        </w:rPr>
        <w:t>• Impairment, incompetence, and misconduct overlap but are not interchangeable.</w:t>
      </w:r>
    </w:p>
    <w:p>
      <w:pPr>
        <w:pStyle w:val="CTAListBullet"/>
        <w:spacing w:after="60" w:line="250" w:lineRule="auto"/>
        <w:ind w:left="259" w:hanging="202"/>
      </w:pPr>
      <w:r>
        <w:rPr>
          <w:rFonts w:ascii="Aptos" w:hAnsi="Aptos"/>
          <w:color w:val="222A31"/>
          <w:sz w:val="19"/>
        </w:rPr>
        <w:t>• When risk is urgent, protect clients before completing a routine self-assessment or consultation process.</w:t>
      </w:r>
    </w:p>
    <w:p>
      <w:pPr>
        <w:pStyle w:val="CTAListBullet"/>
        <w:spacing w:after="60" w:line="250" w:lineRule="auto"/>
        <w:ind w:left="259" w:hanging="202"/>
      </w:pPr>
      <w:r>
        <w:rPr>
          <w:rFonts w:ascii="Aptos" w:hAnsi="Aptos"/>
          <w:color w:val="222A31"/>
          <w:sz w:val="19"/>
        </w:rPr>
        <w:t>• Use the IMPACT sequence: Identify, Measure, Protect, Act, Continue care, and Track.</w:t>
      </w:r>
    </w:p>
    <w:p>
      <w:pPr>
        <w:pStyle w:val="CTAListBullet"/>
        <w:spacing w:after="60" w:line="250" w:lineRule="auto"/>
        <w:ind w:left="259" w:hanging="202"/>
      </w:pPr>
      <w:r>
        <w:rPr>
          <w:rFonts w:ascii="Aptos" w:hAnsi="Aptos"/>
          <w:color w:val="222A31"/>
          <w:sz w:val="19"/>
        </w:rPr>
        <w:t>• For colleague concerns, focus on observable conduct, client safety, and appropriate channels—not unsupported diagnosis or gossip.</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20"/>
              </w:rPr>
              <w:t xml:space="preserve">CTA EXAM STRATEGY  </w:t>
            </w:r>
            <w:r>
              <w:rPr>
                <w:rFonts w:ascii="Aptos" w:hAnsi="Aptos"/>
                <w:color w:val="222A31"/>
                <w:sz w:val="20"/>
              </w:rPr>
              <w:t>Ask three questions in order: What changed in professional functioning? Can the clinician practice safely right now? What proportionate action protects clients and continuity of care?</w:t>
            </w:r>
          </w:p>
        </w:tc>
      </w:tr>
    </w:tbl>
    <w:p>
      <w:pPr>
        <w:pStyle w:val="Heading1"/>
        <w:keepNext/>
        <w:spacing w:before="120" w:after="80"/>
        <w:pageBreakBefore/>
      </w:pPr>
      <w:r>
        <w:t>Chapter 2</w:t>
      </w:r>
    </w:p>
    <w:p>
      <w:pPr>
        <w:pStyle w:val="Title"/>
      </w:pPr>
      <w:r>
        <w:t>Substance Use and Professional Impairment</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Substance use becomes a professional impairment concern when the clinician cannot perform safely, ethically, and effectively. The decisive issue is current professional functioning and client risk—not moral judgment, legal status, or diagnosis alone.</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Distinguish substance use, misuse, substance use disorder, and professional impairment.</w:t>
      </w:r>
    </w:p>
    <w:p>
      <w:pPr>
        <w:pStyle w:val="CTAListNumber"/>
        <w:spacing w:after="40" w:line="250" w:lineRule="auto"/>
        <w:ind w:left="331" w:hanging="331"/>
      </w:pPr>
      <w:r>
        <w:rPr>
          <w:rFonts w:ascii="Aptos" w:hAnsi="Aptos"/>
          <w:color w:val="222A31"/>
          <w:sz w:val="19"/>
        </w:rPr>
        <w:t>2. Explain California’s LCSW/ASW-specific unprofessional-conduct rules involving alcohol and drugs.</w:t>
      </w:r>
    </w:p>
    <w:p>
      <w:pPr>
        <w:pStyle w:val="CTAListNumber"/>
        <w:spacing w:after="40" w:line="250" w:lineRule="auto"/>
        <w:ind w:left="331" w:hanging="331"/>
      </w:pPr>
      <w:r>
        <w:rPr>
          <w:rFonts w:ascii="Aptos" w:hAnsi="Aptos"/>
          <w:color w:val="222A31"/>
          <w:sz w:val="19"/>
        </w:rPr>
        <w:t>3. Identify cognitive, behavioral, clinical, and operational signs of substance-related functional decline.</w:t>
      </w:r>
    </w:p>
    <w:p>
      <w:pPr>
        <w:pStyle w:val="CTAListNumber"/>
        <w:spacing w:after="40" w:line="250" w:lineRule="auto"/>
        <w:ind w:left="331" w:hanging="331"/>
      </w:pPr>
      <w:r>
        <w:rPr>
          <w:rFonts w:ascii="Aptos" w:hAnsi="Aptos"/>
          <w:color w:val="222A31"/>
          <w:sz w:val="19"/>
        </w:rPr>
        <w:t>4. Evaluate prescribed medication, over-the-counter medication, and off-duty substance use using the same functional standard.</w:t>
      </w:r>
    </w:p>
    <w:p>
      <w:pPr>
        <w:pStyle w:val="CTAListNumber"/>
        <w:spacing w:after="40" w:line="250" w:lineRule="auto"/>
        <w:ind w:left="331" w:hanging="331"/>
      </w:pPr>
      <w:r>
        <w:rPr>
          <w:rFonts w:ascii="Aptos" w:hAnsi="Aptos"/>
          <w:color w:val="222A31"/>
          <w:sz w:val="19"/>
        </w:rPr>
        <w:t>5. Select an immediate response when a clinician may be unable to practice safely.</w:t>
      </w:r>
    </w:p>
    <w:p>
      <w:pPr>
        <w:pStyle w:val="CTAListNumber"/>
        <w:spacing w:after="40" w:line="250" w:lineRule="auto"/>
        <w:ind w:left="331" w:hanging="331"/>
      </w:pPr>
      <w:r>
        <w:rPr>
          <w:rFonts w:ascii="Aptos" w:hAnsi="Aptos"/>
          <w:color w:val="222A31"/>
          <w:sz w:val="19"/>
        </w:rPr>
        <w:t>6. Recognize why treatment or recovery support does not replace protection of current clients.</w:t>
      </w:r>
    </w:p>
    <w:p>
      <w:pPr>
        <w:pStyle w:val="CTAListNumber"/>
        <w:spacing w:after="40" w:line="250" w:lineRule="auto"/>
        <w:ind w:left="331" w:hanging="331"/>
      </w:pPr>
      <w:r>
        <w:rPr>
          <w:rFonts w:ascii="Aptos" w:hAnsi="Aptos"/>
          <w:color w:val="222A31"/>
          <w:sz w:val="19"/>
        </w:rPr>
        <w:t>7. Apply objective, role-appropriate reasoning when another professional may be impaired.</w:t>
      </w:r>
    </w:p>
    <w:p>
      <w:pPr>
        <w:pStyle w:val="CTAListNumber"/>
        <w:spacing w:after="40" w:line="250" w:lineRule="auto"/>
        <w:ind w:left="331" w:hanging="331"/>
      </w:pPr>
      <w:r>
        <w:rPr>
          <w:rFonts w:ascii="Aptos" w:hAnsi="Aptos"/>
          <w:color w:val="222A31"/>
          <w:sz w:val="19"/>
        </w:rPr>
        <w:t>8. Assess readiness to resume duties based on restored functioning rather than optimism alone.</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Substance-related questions are often written to provoke an overreaction or a moral judgment. One distractor may treat any use as impairment. Another may excuse unsafe functioning because the substance was prescribed, legal, or used outside work. A third may delay action until a diagnosis, complaint, or injury occurs. All three approaches miss the controlling issue: whether the clinician can provide safe and competent services now.</w:t>
      </w:r>
    </w:p>
    <w:p>
      <w:pPr>
        <w:keepNext w:val="0"/>
        <w:spacing w:before="0" w:after="100" w:line="259" w:lineRule="auto"/>
      </w:pPr>
      <w:r>
        <w:rPr>
          <w:rFonts w:ascii="Aptos" w:hAnsi="Aptos"/>
          <w:b w:val="0"/>
          <w:i w:val="0"/>
          <w:color w:val="222A31"/>
          <w:sz w:val="20"/>
        </w:rPr>
        <w:t>The examination also tests timing. When the facts describe immediate inability to function safely, client protection comes before a lengthy investigation, routine consultation, or future treatment plan. When immediate danger is not established, the clinician should identify the specific functional concern, evaluate pattern and risk, and choose a proportionate response.</w:t>
      </w:r>
    </w:p>
    <w:p>
      <w:pPr>
        <w:pStyle w:val="Heading2"/>
        <w:keepNext/>
        <w:spacing w:before="120" w:after="80"/>
      </w:pPr>
      <w:r>
        <w:t>California Legal Framework</w:t>
      </w:r>
    </w:p>
    <w:p>
      <w:pPr>
        <w:keepNext w:val="0"/>
        <w:spacing w:before="0" w:after="100" w:line="259" w:lineRule="auto"/>
      </w:pPr>
      <w:r>
        <w:rPr>
          <w:rFonts w:ascii="Aptos" w:hAnsi="Aptos"/>
          <w:b w:val="0"/>
          <w:i w:val="0"/>
          <w:color w:val="222A31"/>
          <w:sz w:val="20"/>
        </w:rPr>
        <w:t>Business and Professions Code section 4992.3(c) applies directly to the LCSW/ASW track. The Board may deny an application or discipline an ASW or LCSW when controlled-substance, dangerous-drug, or alcohol use is dangerous or injurious, or when it impairs the person’s ability to conduct the authorized practice safely to the public.</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LCSW/ASW Status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Controlling Statutory Anchor</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High-Yield Rule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LCSW / ASW / applicant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Business and Professions Code § 4992.3(c)–(e)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r>
              <w:t>Dangerous or injurious alcohol or drug use, use that impairs safe practice, incompetence in clinical social work, and gross negligence may support denial or discipline.</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LEGAL PRECISION  </w:t>
            </w:r>
            <w:r>
              <w:rPr>
                <w:rFonts w:ascii="Aptos" w:hAnsi="Aptos"/>
                <w:color w:val="222A31"/>
                <w:sz w:val="19"/>
              </w:rPr>
              <w:t>The statutes do not say that any alcohol use, any medication use, or any history of substance problems automatically proves unprofessional conduct. They focus on dangerous or injurious use and on the ability to practice safely.</w:t>
            </w:r>
          </w:p>
        </w:tc>
      </w:tr>
    </w:tbl>
    <w:p>
      <w:pPr>
        <w:keepNext w:val="0"/>
        <w:spacing w:before="0" w:after="100" w:line="259" w:lineRule="auto"/>
      </w:pPr>
      <w:r>
        <w:rPr>
          <w:rFonts w:ascii="Aptos" w:hAnsi="Aptos"/>
          <w:b w:val="0"/>
          <w:i w:val="0"/>
          <w:color w:val="222A31"/>
          <w:sz w:val="20"/>
        </w:rPr>
        <w:t>California Code of Regulations section 1888 incorporates the BBS Uniform Standards Related to Substance Abuse and Disciplinary Guidelines for disciplinary decision-making. The version operative July 1, 2026 applies when the Board is deciding a disciplinary matter and a violation involving drugs or alcohol has been found or presumed under the regulation. It is not a rule requiring every clinician with a possible concern to enter Board probation, undergo testing, or surrender a license.</w:t>
      </w:r>
    </w:p>
    <w:p>
      <w:r>
        <w:br w:type="page"/>
      </w:r>
    </w:p>
    <w:p>
      <w:pPr>
        <w:pStyle w:val="Heading1"/>
        <w:keepNext/>
        <w:spacing w:before="120" w:after="80"/>
      </w:pPr>
      <w:r>
        <w:t>Six Concepts That Must Be Kept Separate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Means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Does Not Automatically Mean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Substance use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substance was consumed or taken.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That judgment, performance, or client care was impaired.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Misuse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is inconsistent with directions, law, or safe use.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a specific diagnosis has been established.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Substance use disorder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clinical diagnosis based on applicable diagnostic criteria.</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That the person is currently unable to practice safely in every circumstance.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Professional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Substance effects interfere with safe, ethical, or effective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the impairment is permanent or that every duty must end forever.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Incompetence / gross negligence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performance fails to meet required competence or falls substantially below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That substance use must be the cause.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Unprofessional 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Conduct falls within a disciplinary ground or professional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every concern automatically results in revocation.</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REMEMBER  </w:t>
            </w:r>
            <w:r>
              <w:rPr>
                <w:rFonts w:ascii="Aptos" w:hAnsi="Aptos"/>
                <w:color w:val="222A31"/>
                <w:sz w:val="19"/>
              </w:rPr>
              <w:t>A diagnosis may exist without current impairment. Current impairment may exist before a diagnosis is known. Address observable functioning and risk without inventing facts.</w:t>
            </w:r>
          </w:p>
        </w:tc>
      </w:tr>
    </w:tbl>
    <w:p>
      <w:pPr>
        <w:pStyle w:val="Heading1"/>
        <w:keepNext/>
        <w:spacing w:before="120" w:after="80"/>
      </w:pPr>
      <w:r>
        <w:t>How Substance-Related Impairment May Appear</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Domain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Possible Functional Changes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Attention and cognition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Poor concentration, slowed processing, confusion, memory gaps, difficulty following a client’s narrative.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Judgment and risk assessment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Minimizing danger, impulsive decisions, missed warning signs, delayed emergency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Communication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Slurred, disorganized, unusually rapid, or unclear speech; inconsistent explanations; inappropriate messages.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Reliability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Lateness, missed appointments, unexplained absences, failure to respond during assigned duties.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Documentation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Late, incomplete, contradictory, or inaccurate records; repeated omissions.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Boundaries and behavior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Disinhibition, irritability, unusual familiarity, defensiveness, secrecy, or poor professional limits.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Clinical effectiveness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Rushed sessions, reduced presence, repeated ineffective decisions, inability to manage complexity or crises.</w:t>
            </w:r>
          </w:p>
        </w:tc>
      </w:tr>
    </w:tbl>
    <w:p>
      <w:pPr>
        <w:keepNext w:val="0"/>
        <w:spacing w:before="0" w:after="100" w:line="259" w:lineRule="auto"/>
      </w:pPr>
      <w:r>
        <w:rPr>
          <w:rFonts w:ascii="Aptos" w:hAnsi="Aptos"/>
          <w:b w:val="0"/>
          <w:i w:val="0"/>
          <w:color w:val="222A31"/>
          <w:sz w:val="20"/>
        </w:rPr>
        <w:t>No single sign proves the cause. Fatigue, illness, a neurological event, medication effects, acute stress, and other conditions can produce similar observations. The clinician should not wait for diagnostic certainty before addressing an immediate safety problem, but should avoid labeling the person with a substance use disorder without an appropriate evaluation.</w:t>
      </w:r>
    </w:p>
    <w:p>
      <w:pPr>
        <w:pStyle w:val="Heading2"/>
        <w:keepNext/>
        <w:spacing w:before="120" w:after="80"/>
      </w:pPr>
      <w:r>
        <w:t>Pattern, Persistence, Severity, and Context</w:t>
      </w:r>
    </w:p>
    <w:p>
      <w:pPr>
        <w:pStyle w:val="CTAListBullet"/>
        <w:spacing w:after="40" w:line="250" w:lineRule="auto"/>
        <w:ind w:left="259" w:hanging="202"/>
      </w:pPr>
      <w:r>
        <w:rPr>
          <w:rFonts w:ascii="Aptos" w:hAnsi="Aptos"/>
          <w:color w:val="222A31"/>
          <w:sz w:val="19"/>
        </w:rPr>
        <w:t>• Pattern: Are there repeated or converging changes across sessions, records, attendance, and judgment?</w:t>
      </w:r>
    </w:p>
    <w:p>
      <w:pPr>
        <w:pStyle w:val="CTAListBullet"/>
        <w:spacing w:after="40" w:line="250" w:lineRule="auto"/>
        <w:ind w:left="259" w:hanging="202"/>
      </w:pPr>
      <w:r>
        <w:rPr>
          <w:rFonts w:ascii="Aptos" w:hAnsi="Aptos"/>
          <w:color w:val="222A31"/>
          <w:sz w:val="19"/>
        </w:rPr>
        <w:t>• Persistence: Does the concern resolve, recur, or continue despite rest or ordinary support?</w:t>
      </w:r>
    </w:p>
    <w:p>
      <w:pPr>
        <w:pStyle w:val="CTAListBullet"/>
        <w:spacing w:after="40" w:line="250" w:lineRule="auto"/>
        <w:ind w:left="259" w:hanging="202"/>
      </w:pPr>
      <w:r>
        <w:rPr>
          <w:rFonts w:ascii="Aptos" w:hAnsi="Aptos"/>
          <w:color w:val="222A31"/>
          <w:sz w:val="19"/>
        </w:rPr>
        <w:t>• Severity: Are the changes minor, clinically significant, or incompatible with safe practice?</w:t>
      </w:r>
    </w:p>
    <w:p>
      <w:pPr>
        <w:pStyle w:val="CTAListBullet"/>
        <w:spacing w:after="40" w:line="250" w:lineRule="auto"/>
        <w:ind w:left="259" w:hanging="202"/>
      </w:pPr>
      <w:r>
        <w:rPr>
          <w:rFonts w:ascii="Aptos" w:hAnsi="Aptos"/>
          <w:color w:val="222A31"/>
          <w:sz w:val="19"/>
        </w:rPr>
        <w:t>• Change from baseline: Is this unusual for the clinician?</w:t>
      </w:r>
    </w:p>
    <w:p>
      <w:pPr>
        <w:pStyle w:val="CTAListBullet"/>
        <w:spacing w:after="40" w:line="250" w:lineRule="auto"/>
        <w:ind w:left="259" w:hanging="202"/>
      </w:pPr>
      <w:r>
        <w:rPr>
          <w:rFonts w:ascii="Aptos" w:hAnsi="Aptos"/>
          <w:color w:val="222A31"/>
          <w:sz w:val="19"/>
        </w:rPr>
        <w:t>• Client impact: Have care, continuity, confidentiality, or risk management been affected?</w:t>
      </w:r>
    </w:p>
    <w:p>
      <w:pPr>
        <w:pStyle w:val="CTAListBullet"/>
        <w:spacing w:after="40" w:line="250" w:lineRule="auto"/>
        <w:ind w:left="259" w:hanging="202"/>
      </w:pPr>
      <w:r>
        <w:rPr>
          <w:rFonts w:ascii="Aptos" w:hAnsi="Aptos"/>
          <w:color w:val="222A31"/>
          <w:sz w:val="19"/>
        </w:rPr>
        <w:t>• Insight and response: Is the clinician recognizing the concern and taking effective steps, or denying and concealing it?</w:t>
      </w:r>
    </w:p>
    <w:p>
      <w:pPr>
        <w:pStyle w:val="Heading1"/>
        <w:keepNext/>
        <w:spacing w:before="120" w:after="80"/>
      </w:pPr>
      <w:r>
        <w:t>Legal, Prescribed, and Off-Duty Use</w:t>
      </w:r>
    </w:p>
    <w:p>
      <w:pPr>
        <w:pStyle w:val="Heading2"/>
        <w:keepNext/>
        <w:spacing w:before="120" w:after="80"/>
      </w:pPr>
      <w:r>
        <w:t>Prescribed and Over-the-Counter Medication</w:t>
      </w:r>
    </w:p>
    <w:p>
      <w:pPr>
        <w:keepNext w:val="0"/>
        <w:spacing w:before="0" w:after="100" w:line="259" w:lineRule="auto"/>
      </w:pPr>
      <w:r>
        <w:rPr>
          <w:rFonts w:ascii="Aptos" w:hAnsi="Aptos"/>
          <w:b w:val="0"/>
          <w:i w:val="0"/>
          <w:color w:val="222A31"/>
          <w:sz w:val="20"/>
        </w:rPr>
        <w:t>A prescription establishes lawful authorization to take a medication as directed. It does not establish that the clinician is alert, cognitively clear, or able to perform every professional duty safely. Sedation, slowed thinking, agitation, impaired coordination, memory difficulty, or other side effects require a functional assessment and, when appropriate, medical consultation and practice modification.</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COMMON TRAP  </w:t>
            </w:r>
            <w:r>
              <w:rPr>
                <w:rFonts w:ascii="Aptos" w:hAnsi="Aptos"/>
                <w:color w:val="222A31"/>
                <w:sz w:val="19"/>
              </w:rPr>
              <w:t>“It was prescribed” is not the end of the analysis. Do not instruct the clinician to stop medication abruptly; evaluate practice safety and seek appropriate medical guidance.</w:t>
            </w:r>
          </w:p>
        </w:tc>
      </w:tr>
    </w:tbl>
    <w:p>
      <w:pPr>
        <w:pStyle w:val="Heading2"/>
        <w:keepNext/>
        <w:spacing w:before="120" w:after="80"/>
      </w:pPr>
      <w:r>
        <w:t>Alcohol, Cannabis, and Other Legal Use</w:t>
      </w:r>
    </w:p>
    <w:p>
      <w:pPr>
        <w:keepNext w:val="0"/>
        <w:spacing w:before="0" w:after="100" w:line="259" w:lineRule="auto"/>
      </w:pPr>
      <w:r>
        <w:rPr>
          <w:rFonts w:ascii="Aptos" w:hAnsi="Aptos"/>
          <w:b w:val="0"/>
          <w:i w:val="0"/>
          <w:color w:val="222A31"/>
          <w:sz w:val="20"/>
        </w:rPr>
        <w:t>A substance may be lawful for an adult to use and still impair professional functioning. Legal status does not authorize intoxicated or unsafe practice. Conversely, lawful use that produces no professional effect does not automatically establish impairment.</w:t>
      </w:r>
    </w:p>
    <w:p>
      <w:pPr>
        <w:pStyle w:val="Heading2"/>
        <w:keepNext/>
        <w:spacing w:before="120" w:after="80"/>
      </w:pPr>
      <w:r>
        <w:t>Use Outside Work Hours</w:t>
      </w:r>
    </w:p>
    <w:p>
      <w:pPr>
        <w:keepNext w:val="0"/>
        <w:spacing w:before="0" w:after="100" w:line="259" w:lineRule="auto"/>
      </w:pPr>
      <w:r>
        <w:rPr>
          <w:rFonts w:ascii="Aptos" w:hAnsi="Aptos"/>
          <w:b w:val="0"/>
          <w:i w:val="0"/>
          <w:color w:val="222A31"/>
          <w:sz w:val="20"/>
        </w:rPr>
        <w:t>Private conduct becomes professionally relevant when intoxication, residual effects, withdrawal, disrupted sleep, missed availability, or other consequences carry into professional responsibilities. The examination may describe a hangover, poor sleep, or failure to respond during assigned on-call duties rather than use during a session. The question remains whether current professional performance and client safety are affected.</w:t>
      </w:r>
    </w:p>
    <w:p>
      <w:pPr>
        <w:pStyle w:val="Heading1"/>
        <w:keepNext/>
        <w:spacing w:before="120" w:after="80"/>
      </w:pPr>
      <w:r>
        <w:t>Immediate Safety: The SAFE Sequence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Focus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 — See the functional signs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Identify objective observations: confusion, odor, speech, errors, behavior change, or inability to remain alert.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 not begin with a diagnosis or rumor.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 Assess ability now</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Determine whether the clinician can begin or continue the professional duty safely at that moment.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Immediate risk changes the order of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 — Facilitate client protection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Pause unsafe services, obtain qualified coverage, address emergencies, and preserve continuity and confidentiality.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 not abandon clients or simply send the clinician home without coverage.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 — Engage help and reevaluate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supervision, consultation, medical or behavioral health care, workplace procedures, workload changes, leave, and follow-up.</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and monitoring must be matched to current duties and risk.</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URGENT-RISK RULE  </w:t>
            </w:r>
            <w:r>
              <w:rPr>
                <w:rFonts w:ascii="Aptos" w:hAnsi="Aptos"/>
                <w:color w:val="222A31"/>
                <w:sz w:val="19"/>
              </w:rPr>
              <w:t>When a clinician appears unable to conduct a high-risk session safely, protect the client first. Do not delay solely to confirm a diagnosis, collect perfect proof, or complete a routine meeting.</w:t>
            </w:r>
          </w:p>
        </w:tc>
      </w:tr>
    </w:tbl>
    <w:p>
      <w:pPr>
        <w:pStyle w:val="Heading1"/>
        <w:keepNext/>
        <w:spacing w:before="120" w:after="80"/>
      </w:pPr>
      <w:r>
        <w:t>Responding to One’s Own Substance-Related Concern</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Level of Concern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Possible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Use with no functional impact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Continue ordinary self-monitoring; do not assume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Possible early or residual effects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Assess current duties, obtain medical or professional input as needed, modify schedule, and monitor.</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Repeated decline affecting some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Seek treatment or consultation, reduce workload, increase oversight, remove high-risk duties, and arrange coverage.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Significant inability to practice safely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Stop or limit practice, arrange qualified coverage or transfer, address emergencies, and take leave when necessary.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Return to fuller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Base the decision on restored judgment, reliability, documentation, endurance, boundaries, and risk-management ability.</w:t>
            </w:r>
          </w:p>
        </w:tc>
      </w:tr>
    </w:tbl>
    <w:p>
      <w:pPr>
        <w:pStyle w:val="Heading2"/>
        <w:keepNext/>
        <w:spacing w:before="120" w:after="80"/>
      </w:pPr>
      <w:r>
        <w:t>Treatment Is Necessary Sometimes—but Not Sufficient by Itself</w:t>
      </w:r>
    </w:p>
    <w:p>
      <w:pPr>
        <w:keepNext w:val="0"/>
        <w:spacing w:before="0" w:after="100" w:line="259" w:lineRule="auto"/>
      </w:pPr>
      <w:r>
        <w:rPr>
          <w:rFonts w:ascii="Aptos" w:hAnsi="Aptos"/>
          <w:b w:val="0"/>
          <w:i w:val="0"/>
          <w:color w:val="222A31"/>
          <w:sz w:val="20"/>
        </w:rPr>
        <w:t>Entering treatment, mutual-help support, medical care, or another recovery service may be an important and responsible step. It does not automatically establish that the clinician can safely continue a full caseload or resume high-risk duties. The professional plan must also address current client care, coverage, documentation, emergency responsibilities, and follow-up.</w:t>
      </w:r>
    </w:p>
    <w:p>
      <w:pPr>
        <w:pStyle w:val="Heading2"/>
        <w:keepNext/>
        <w:spacing w:before="120" w:after="80"/>
      </w:pPr>
      <w:r>
        <w:t>ASWs</w:t>
      </w:r>
    </w:p>
    <w:p>
      <w:pPr>
        <w:keepNext w:val="0"/>
        <w:spacing w:before="0" w:after="100" w:line="259" w:lineRule="auto"/>
      </w:pPr>
      <w:r>
        <w:rPr>
          <w:rFonts w:ascii="Aptos" w:hAnsi="Aptos"/>
          <w:b w:val="0"/>
          <w:i w:val="0"/>
          <w:color w:val="222A31"/>
          <w:sz w:val="20"/>
        </w:rPr>
        <w:t>An ASW should promptly provide the supervisor with accurate information about any condition affecting professional functioning. The supervisor must evaluate client risk, assignments, coverage, and the level of oversight needed. A supervisee may not rely on the supervisor’s license as permission to practice while unsafe, and a supervisor should not minimize functional concerns to preserve staffing.</w:t>
      </w:r>
    </w:p>
    <w:p>
      <w:pPr>
        <w:pStyle w:val="Heading1"/>
        <w:keepNext/>
        <w:spacing w:before="120" w:after="80"/>
      </w:pPr>
      <w:r>
        <w:t>When Another Professional May Be Impaired</w:t>
      </w:r>
    </w:p>
    <w:p>
      <w:pPr>
        <w:pStyle w:val="CTAListBullet"/>
        <w:spacing w:after="40" w:line="250" w:lineRule="auto"/>
        <w:ind w:left="259" w:hanging="202"/>
      </w:pPr>
      <w:r>
        <w:rPr>
          <w:rFonts w:ascii="Aptos" w:hAnsi="Aptos"/>
          <w:color w:val="222A31"/>
          <w:sz w:val="19"/>
        </w:rPr>
        <w:t>• Observe and describe specific behavior rather than assigning a diagnosis.</w:t>
      </w:r>
    </w:p>
    <w:p>
      <w:pPr>
        <w:pStyle w:val="CTAListBullet"/>
        <w:spacing w:after="40" w:line="250" w:lineRule="auto"/>
        <w:ind w:left="259" w:hanging="202"/>
      </w:pPr>
      <w:r>
        <w:rPr>
          <w:rFonts w:ascii="Aptos" w:hAnsi="Aptos"/>
          <w:color w:val="222A31"/>
          <w:sz w:val="19"/>
        </w:rPr>
        <w:t>• Determine whether immediate client safety or emergency coverage is required.</w:t>
      </w:r>
    </w:p>
    <w:p>
      <w:pPr>
        <w:pStyle w:val="CTAListBullet"/>
        <w:spacing w:after="40" w:line="250" w:lineRule="auto"/>
        <w:ind w:left="259" w:hanging="202"/>
      </w:pPr>
      <w:r>
        <w:rPr>
          <w:rFonts w:ascii="Aptos" w:hAnsi="Aptos"/>
          <w:color w:val="222A31"/>
          <w:sz w:val="19"/>
        </w:rPr>
        <w:t>• Use the authority available in the actual role: supervisor, colleague, manager, clinical director, or consultant.</w:t>
      </w:r>
    </w:p>
    <w:p>
      <w:pPr>
        <w:pStyle w:val="CTAListBullet"/>
        <w:spacing w:after="40" w:line="250" w:lineRule="auto"/>
        <w:ind w:left="259" w:hanging="202"/>
      </w:pPr>
      <w:r>
        <w:rPr>
          <w:rFonts w:ascii="Aptos" w:hAnsi="Aptos"/>
          <w:color w:val="222A31"/>
          <w:sz w:val="19"/>
        </w:rPr>
        <w:t>• Follow applicable workplace, supervision, ethical, licensing, and reporting procedures.</w:t>
      </w:r>
    </w:p>
    <w:p>
      <w:pPr>
        <w:pStyle w:val="CTAListBullet"/>
        <w:spacing w:after="40" w:line="250" w:lineRule="auto"/>
        <w:ind w:left="259" w:hanging="202"/>
      </w:pPr>
      <w:r>
        <w:rPr>
          <w:rFonts w:ascii="Aptos" w:hAnsi="Aptos"/>
          <w:color w:val="222A31"/>
          <w:sz w:val="19"/>
        </w:rPr>
        <w:t>• Share only information necessary for the protective purpose and avoid discussing suspicions with clients or uninvolved coworkers.</w:t>
      </w:r>
    </w:p>
    <w:p>
      <w:pPr>
        <w:pStyle w:val="CTAListBullet"/>
        <w:spacing w:after="40" w:line="250" w:lineRule="auto"/>
        <w:ind w:left="259" w:hanging="202"/>
      </w:pPr>
      <w:r>
        <w:rPr>
          <w:rFonts w:ascii="Aptos" w:hAnsi="Aptos"/>
          <w:color w:val="222A31"/>
          <w:sz w:val="19"/>
        </w:rPr>
        <w:t>• Do not protect reputation, loyalty, or staffing convenience at the expense of client safety.</w:t>
      </w:r>
    </w:p>
    <w:p>
      <w:pPr>
        <w:pStyle w:val="CTAListBullet"/>
        <w:spacing w:after="40" w:line="250" w:lineRule="auto"/>
        <w:ind w:left="259" w:hanging="202"/>
      </w:pPr>
      <w:r>
        <w:rPr>
          <w:rFonts w:ascii="Aptos" w:hAnsi="Aptos"/>
          <w:color w:val="222A31"/>
          <w:sz w:val="19"/>
        </w:rPr>
        <w:t>• Do not assume that every concern must be reported directly to the BBS; the correct channel depends on the facts and applicable duty.</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9"/>
              </w:rPr>
              <w:t xml:space="preserve">OBJECTIVE DOCUMENTATION  </w:t>
            </w:r>
            <w:r>
              <w:rPr>
                <w:rFonts w:ascii="Aptos" w:hAnsi="Aptos"/>
                <w:color w:val="222A31"/>
                <w:sz w:val="19"/>
              </w:rPr>
              <w:t>Record relevant observations, dates, risks, consultations, coverage decisions, and follow-up. Avoid speculative labels such as “alcoholic” or “addicted” unless a qualified evaluation has established that diagnosis and the label is necessary to the record.</w:t>
            </w:r>
          </w:p>
        </w:tc>
      </w:tr>
    </w:tbl>
    <w:p>
      <w:pPr>
        <w:pStyle w:val="Heading1"/>
        <w:keepNext/>
        <w:spacing w:before="120" w:after="80"/>
      </w:pPr>
      <w:r>
        <w:t>Clinical Applications</w:t>
      </w:r>
    </w:p>
    <w:p>
      <w:pPr>
        <w:pStyle w:val="Heading2"/>
        <w:keepNext/>
        <w:spacing w:before="100" w:after="40"/>
      </w:pPr>
      <w:r>
        <w:t>1. Weekend alcohol use with intact functioning</w:t>
      </w:r>
    </w:p>
    <w:p>
      <w:pPr>
        <w:keepNext w:val="0"/>
        <w:spacing w:before="0" w:after="60" w:line="259" w:lineRule="auto"/>
      </w:pPr>
      <w:r>
        <w:rPr>
          <w:rFonts w:ascii="Aptos" w:hAnsi="Aptos"/>
          <w:b w:val="0"/>
          <w:i/>
          <w:color w:val="222A31"/>
          <w:sz w:val="20"/>
        </w:rPr>
        <w:t>A therapist has one drink at dinner on Saturday. On Monday the therapist is fully alert, prepared, reliable, and clinically effective.</w:t>
      </w:r>
    </w:p>
    <w:p>
      <w:pPr>
        <w:keepNext w:val="0"/>
        <w:spacing w:before="0" w:after="120" w:line="259" w:lineRule="auto"/>
      </w:pPr>
      <w:r>
        <w:rPr>
          <w:rFonts w:ascii="Aptos" w:hAnsi="Aptos"/>
          <w:b/>
          <w:i w:val="0"/>
          <w:color w:val="08746F"/>
          <w:sz w:val="20"/>
        </w:rPr>
        <w:t>Best analysis: The facts do not establish professional impairment. Substance use alone does not answer the functional question.</w:t>
      </w:r>
    </w:p>
    <w:p>
      <w:pPr>
        <w:pStyle w:val="Heading2"/>
        <w:keepNext/>
        <w:spacing w:before="100" w:after="40"/>
      </w:pPr>
      <w:r>
        <w:t>2. Prescribed medication and afternoon sedation</w:t>
      </w:r>
    </w:p>
    <w:p>
      <w:pPr>
        <w:keepNext w:val="0"/>
        <w:spacing w:before="0" w:after="60" w:line="259" w:lineRule="auto"/>
      </w:pPr>
      <w:r>
        <w:rPr>
          <w:rFonts w:ascii="Aptos" w:hAnsi="Aptos"/>
          <w:b w:val="0"/>
          <w:i/>
          <w:color w:val="222A31"/>
          <w:sz w:val="20"/>
        </w:rPr>
        <w:t>A clinician begins a prescribed medication and repeatedly becomes drowsy, loses track of client narratives, and makes documentation errors during afternoon sessions.</w:t>
      </w:r>
    </w:p>
    <w:p>
      <w:pPr>
        <w:keepNext w:val="0"/>
        <w:spacing w:before="0" w:after="120" w:line="259" w:lineRule="auto"/>
      </w:pPr>
      <w:r>
        <w:rPr>
          <w:rFonts w:ascii="Aptos" w:hAnsi="Aptos"/>
          <w:b/>
          <w:i w:val="0"/>
          <w:color w:val="08746F"/>
          <w:sz w:val="20"/>
        </w:rPr>
        <w:t>Best response: Assess whether the clinician can practice safely, obtain appropriate medical guidance, and modify duties or scheduling rather than relying on prescription status.</w:t>
      </w:r>
    </w:p>
    <w:p>
      <w:pPr>
        <w:pStyle w:val="Heading2"/>
        <w:keepNext/>
        <w:spacing w:before="100" w:after="40"/>
      </w:pPr>
      <w:r>
        <w:t>3. Apparent impairment before a high-risk session</w:t>
      </w:r>
    </w:p>
    <w:p>
      <w:pPr>
        <w:keepNext w:val="0"/>
        <w:spacing w:before="0" w:after="60" w:line="259" w:lineRule="auto"/>
      </w:pPr>
      <w:r>
        <w:rPr>
          <w:rFonts w:ascii="Aptos" w:hAnsi="Aptos"/>
          <w:b w:val="0"/>
          <w:i/>
          <w:color w:val="222A31"/>
          <w:sz w:val="20"/>
        </w:rPr>
        <w:t>A coworker smells strongly of alcohol, is slurring speech, and is preparing to meet with a client who has active suicide risk.</w:t>
      </w:r>
    </w:p>
    <w:p>
      <w:pPr>
        <w:keepNext w:val="0"/>
        <w:spacing w:before="0" w:after="120" w:line="259" w:lineRule="auto"/>
      </w:pPr>
      <w:r>
        <w:rPr>
          <w:rFonts w:ascii="Aptos" w:hAnsi="Aptos"/>
          <w:b/>
          <w:i w:val="0"/>
          <w:color w:val="08746F"/>
          <w:sz w:val="20"/>
        </w:rPr>
        <w:t>Best response: Protect the client and obtain qualified coverage immediately through the available supervisory or workplace process. Diagnostic certainty can be addressed after immediate safety.</w:t>
      </w:r>
    </w:p>
    <w:p>
      <w:pPr>
        <w:pStyle w:val="Heading2"/>
        <w:keepNext/>
        <w:spacing w:before="100" w:after="40"/>
      </w:pPr>
      <w:r>
        <w:t>4. Treatment without practice modification</w:t>
      </w:r>
    </w:p>
    <w:p>
      <w:pPr>
        <w:keepNext w:val="0"/>
        <w:spacing w:before="0" w:after="60" w:line="259" w:lineRule="auto"/>
      </w:pPr>
      <w:r>
        <w:rPr>
          <w:rFonts w:ascii="Aptos" w:hAnsi="Aptos"/>
          <w:b w:val="0"/>
          <w:i/>
          <w:color w:val="222A31"/>
          <w:sz w:val="20"/>
        </w:rPr>
        <w:t>A clinician enters substance-use treatment but continues seeing high-risk clients despite ongoing confusion, missed risk cues, and unreliable attendance.</w:t>
      </w:r>
    </w:p>
    <w:p>
      <w:pPr>
        <w:keepNext w:val="0"/>
        <w:spacing w:before="0" w:after="120" w:line="259" w:lineRule="auto"/>
      </w:pPr>
      <w:r>
        <w:rPr>
          <w:rFonts w:ascii="Aptos" w:hAnsi="Aptos"/>
          <w:b/>
          <w:i w:val="0"/>
          <w:color w:val="08746F"/>
          <w:sz w:val="20"/>
        </w:rPr>
        <w:t>Best analysis: Help-seeking is responsible but does not resolve the immediate professional concern. Duties and continuity must be modified until functioning is sufficient.</w:t>
      </w:r>
    </w:p>
    <w:p>
      <w:pPr>
        <w:pStyle w:val="Heading2"/>
        <w:keepNext/>
        <w:spacing w:before="100" w:after="40"/>
      </w:pPr>
      <w:r>
        <w:t>5. Return to practice</w:t>
      </w:r>
    </w:p>
    <w:p>
      <w:pPr>
        <w:keepNext w:val="0"/>
        <w:spacing w:before="0" w:after="60" w:line="259" w:lineRule="auto"/>
      </w:pPr>
      <w:r>
        <w:rPr>
          <w:rFonts w:ascii="Aptos" w:hAnsi="Aptos"/>
          <w:b w:val="0"/>
          <w:i/>
          <w:color w:val="222A31"/>
          <w:sz w:val="20"/>
        </w:rPr>
        <w:t>A therapist reports feeling better after several weeks away but has not demonstrated reliable attention, documentation, or crisis-management capacity.</w:t>
      </w:r>
    </w:p>
    <w:p>
      <w:pPr>
        <w:keepNext w:val="0"/>
        <w:spacing w:before="0" w:after="120" w:line="259" w:lineRule="auto"/>
      </w:pPr>
      <w:r>
        <w:rPr>
          <w:rFonts w:ascii="Aptos" w:hAnsi="Aptos"/>
          <w:b/>
          <w:i w:val="0"/>
          <w:color w:val="08746F"/>
          <w:sz w:val="20"/>
        </w:rPr>
        <w:t>Best response: Base return to fuller duties on restored functioning and any needed monitoring or limitations—not subjective improvement alone.</w:t>
      </w:r>
    </w:p>
    <w:p>
      <w:pPr>
        <w:pStyle w:val="Heading1"/>
        <w:keepNext/>
        <w:spacing w:before="120" w:after="80"/>
      </w:pPr>
      <w:r>
        <w:t>Common Exam Traps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Any use equals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and impairment are not interchangeable. Look for professional impact.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Prescribed or legal use cannot impair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Legality does not eliminate sedation, confusion, poor judgment, or other functional effects.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is required before action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safety can be addressed based on objective behavior and risk.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One sign proves a substance use disorder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Consider pattern and context; do not diagnose from limited observations.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Off-duty conduct is always private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Residual effects and missed professional responsibilities can make it relevant.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alone solves the problem</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Current duties, coverage, and client risk may still require modification.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complaint means no need to act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Early intervention is preferred when professional functioning is declining.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Send the clinician home and do nothing else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Client coverage, emergencies, records, and continuity still need attention.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license surrender is always required</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 proportionate response; temporary limits or leave may be sufficient.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Feeling better proves readiness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Return depends on restored professional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Every colleague concern requires a direct BBS report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the actual role, applicable law and code, workplace procedures, and client-risk facts.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BBS probation standards govern every concern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Section 1888 addresses Board disciplinary decision-making, not routine self-management for every possible impairment issue.</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Substance use, misuse, a substance use disorder, and professional impairment are distinct concepts.</w:t>
      </w:r>
    </w:p>
    <w:p>
      <w:pPr>
        <w:pStyle w:val="CTAListBullet"/>
        <w:spacing w:after="60" w:line="250" w:lineRule="auto"/>
        <w:ind w:left="259" w:hanging="202"/>
      </w:pPr>
      <w:r>
        <w:rPr>
          <w:rFonts w:ascii="Aptos" w:hAnsi="Aptos"/>
          <w:color w:val="222A31"/>
          <w:sz w:val="19"/>
        </w:rPr>
        <w:t>• California law focuses on dangerous or injurious use and use that impairs the ability to practice safely.</w:t>
      </w:r>
    </w:p>
    <w:p>
      <w:pPr>
        <w:pStyle w:val="CTAListBullet"/>
        <w:spacing w:after="60" w:line="250" w:lineRule="auto"/>
        <w:ind w:left="259" w:hanging="202"/>
      </w:pPr>
      <w:r>
        <w:rPr>
          <w:rFonts w:ascii="Aptos" w:hAnsi="Aptos"/>
          <w:color w:val="222A31"/>
          <w:sz w:val="19"/>
        </w:rPr>
        <w:t>• Legal, prescribed, or off-duty use may still become professionally relevant when functioning is affected.</w:t>
      </w:r>
    </w:p>
    <w:p>
      <w:pPr>
        <w:pStyle w:val="CTAListBullet"/>
        <w:spacing w:after="60" w:line="250" w:lineRule="auto"/>
        <w:ind w:left="259" w:hanging="202"/>
      </w:pPr>
      <w:r>
        <w:rPr>
          <w:rFonts w:ascii="Aptos" w:hAnsi="Aptos"/>
          <w:color w:val="222A31"/>
          <w:sz w:val="19"/>
        </w:rPr>
        <w:t>• Observable unsafe functioning may require action before a diagnosis or confirmed cause is available.</w:t>
      </w:r>
    </w:p>
    <w:p>
      <w:pPr>
        <w:pStyle w:val="CTAListBullet"/>
        <w:spacing w:after="60" w:line="250" w:lineRule="auto"/>
        <w:ind w:left="259" w:hanging="202"/>
      </w:pPr>
      <w:r>
        <w:rPr>
          <w:rFonts w:ascii="Aptos" w:hAnsi="Aptos"/>
          <w:color w:val="222A31"/>
          <w:sz w:val="19"/>
        </w:rPr>
        <w:t>• Use the SAFE sequence: See the signs, Assess ability now, Facilitate client protection, Engage help and reevaluate.</w:t>
      </w:r>
    </w:p>
    <w:p>
      <w:pPr>
        <w:pStyle w:val="CTAListBullet"/>
        <w:spacing w:after="60" w:line="250" w:lineRule="auto"/>
        <w:ind w:left="259" w:hanging="202"/>
      </w:pPr>
      <w:r>
        <w:rPr>
          <w:rFonts w:ascii="Aptos" w:hAnsi="Aptos"/>
          <w:color w:val="222A31"/>
          <w:sz w:val="19"/>
        </w:rPr>
        <w:t>• Treatment or recovery support does not replace the need to address current duties, high-risk cases, coverage, and continuity.</w:t>
      </w:r>
    </w:p>
    <w:p>
      <w:pPr>
        <w:pStyle w:val="CTAListBullet"/>
        <w:spacing w:after="60" w:line="250" w:lineRule="auto"/>
        <w:ind w:left="259" w:hanging="202"/>
      </w:pPr>
      <w:r>
        <w:rPr>
          <w:rFonts w:ascii="Aptos" w:hAnsi="Aptos"/>
          <w:color w:val="222A31"/>
          <w:sz w:val="19"/>
        </w:rPr>
        <w:t>• Colleague concerns should be handled objectively, through appropriate channels, with the minimum necessary disclosure.</w:t>
      </w:r>
    </w:p>
    <w:p>
      <w:pPr>
        <w:pStyle w:val="CTAListBullet"/>
        <w:spacing w:after="60" w:line="250" w:lineRule="auto"/>
        <w:ind w:left="259" w:hanging="202"/>
      </w:pPr>
      <w:r>
        <w:rPr>
          <w:rFonts w:ascii="Aptos" w:hAnsi="Aptos"/>
          <w:color w:val="222A31"/>
          <w:sz w:val="19"/>
        </w:rPr>
        <w:t>• Return to fuller duties depends on restored professional functioning, not optimism alone.</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20"/>
              </w:rPr>
              <w:t xml:space="preserve">CTA EXAM STRATEGY  </w:t>
            </w:r>
            <w:r>
              <w:rPr>
                <w:rFonts w:ascii="Aptos" w:hAnsi="Aptos"/>
                <w:color w:val="222A31"/>
                <w:sz w:val="20"/>
              </w:rPr>
              <w:t>Ask in order: What observable professional function changed? Can the clinician practice safely right now? What protective and proportionate response addresses both recovery and current client care?</w:t>
            </w:r>
          </w:p>
        </w:tc>
      </w:tr>
    </w:tbl>
    <w:p>
      <w:pPr>
        <w:pStyle w:val="Heading1"/>
        <w:keepNext/>
        <w:spacing w:before="120" w:after="80"/>
        <w:pageBreakBefore/>
      </w:pPr>
      <w:r>
        <w:t>Chapter 3</w:t>
      </w:r>
    </w:p>
    <w:p>
      <w:pPr>
        <w:pStyle w:val="Title"/>
      </w:pPr>
      <w:r>
        <w:t>Mental Health, Burnout, and Compassion Fatigue</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A diagnosis or occupational stressor does not equal professional impairment. The ethical issue arises when the clinician's current functioning, judgment, reliability, boundaries, or ability to protect clients is meaningfully affected.</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Distinguish a mental health condition from professional impairment.</w:t>
      </w:r>
    </w:p>
    <w:p>
      <w:pPr>
        <w:pStyle w:val="CTAListNumber"/>
        <w:spacing w:after="40" w:line="250" w:lineRule="auto"/>
        <w:ind w:left="331" w:hanging="331"/>
      </w:pPr>
      <w:r>
        <w:rPr>
          <w:rFonts w:ascii="Aptos" w:hAnsi="Aptos"/>
          <w:color w:val="222A31"/>
          <w:sz w:val="19"/>
        </w:rPr>
        <w:t>2. Differentiate ordinary stress, burnout, secondary traumatic stress, compassion fatigue, and vicarious trauma.</w:t>
      </w:r>
    </w:p>
    <w:p>
      <w:pPr>
        <w:pStyle w:val="CTAListNumber"/>
        <w:spacing w:after="40" w:line="250" w:lineRule="auto"/>
        <w:ind w:left="331" w:hanging="331"/>
      </w:pPr>
      <w:r>
        <w:rPr>
          <w:rFonts w:ascii="Aptos" w:hAnsi="Aptos"/>
          <w:color w:val="222A31"/>
          <w:sz w:val="19"/>
        </w:rPr>
        <w:t>3. Identify functional warning signs that may affect safe, ethical, and effective practice.</w:t>
      </w:r>
    </w:p>
    <w:p>
      <w:pPr>
        <w:pStyle w:val="CTAListNumber"/>
        <w:spacing w:after="40" w:line="250" w:lineRule="auto"/>
        <w:ind w:left="331" w:hanging="331"/>
      </w:pPr>
      <w:r>
        <w:rPr>
          <w:rFonts w:ascii="Aptos" w:hAnsi="Aptos"/>
          <w:color w:val="222A31"/>
          <w:sz w:val="19"/>
        </w:rPr>
        <w:t>4. Explain California's safety-focused legal framework for mental or physical illness affecting practice.</w:t>
      </w:r>
    </w:p>
    <w:p>
      <w:pPr>
        <w:pStyle w:val="CTAListNumber"/>
        <w:spacing w:after="40" w:line="250" w:lineRule="auto"/>
        <w:ind w:left="331" w:hanging="331"/>
      </w:pPr>
      <w:r>
        <w:rPr>
          <w:rFonts w:ascii="Aptos" w:hAnsi="Aptos"/>
          <w:color w:val="222A31"/>
          <w:sz w:val="19"/>
        </w:rPr>
        <w:t>5. Evaluate pattern, severity, persistence, insight, and client risk rather than relying on labels.</w:t>
      </w:r>
    </w:p>
    <w:p>
      <w:pPr>
        <w:pStyle w:val="CTAListNumber"/>
        <w:spacing w:after="40" w:line="250" w:lineRule="auto"/>
        <w:ind w:left="331" w:hanging="331"/>
      </w:pPr>
      <w:r>
        <w:rPr>
          <w:rFonts w:ascii="Aptos" w:hAnsi="Aptos"/>
          <w:color w:val="222A31"/>
          <w:sz w:val="19"/>
        </w:rPr>
        <w:t>6. Apply the RESET sequence to emerging or established functional decline.</w:t>
      </w:r>
    </w:p>
    <w:p>
      <w:pPr>
        <w:pStyle w:val="CTAListNumber"/>
        <w:spacing w:after="40" w:line="250" w:lineRule="auto"/>
        <w:ind w:left="331" w:hanging="331"/>
      </w:pPr>
      <w:r>
        <w:rPr>
          <w:rFonts w:ascii="Aptos" w:hAnsi="Aptos"/>
          <w:color w:val="222A31"/>
          <w:sz w:val="19"/>
        </w:rPr>
        <w:t>7. Recognize when treatment, consultation, supervision, workload changes, or temporary limits may be needed.</w:t>
      </w:r>
    </w:p>
    <w:p>
      <w:pPr>
        <w:pStyle w:val="CTAListNumber"/>
        <w:spacing w:after="40" w:line="250" w:lineRule="auto"/>
        <w:ind w:left="331" w:hanging="331"/>
      </w:pPr>
      <w:r>
        <w:rPr>
          <w:rFonts w:ascii="Aptos" w:hAnsi="Aptos"/>
          <w:color w:val="222A31"/>
          <w:sz w:val="19"/>
        </w:rPr>
        <w:t>8. Assess return to fuller duties using demonstrated professional functioning rather than subjective improvement alone.</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These questions are vulnerable to two opposite errors. One distractor may stigmatize the clinician by treating any diagnosis, medication, therapy, grief, or trauma history as proof of impairment. Another may minimize repeated errors because the clinician has good intentions, is seeking help, or has not yet received a complaint. The strongest answer avoids both extremes and evaluates present professional functioning.</w:t>
      </w:r>
    </w:p>
    <w:p>
      <w:pPr>
        <w:keepNext w:val="0"/>
        <w:spacing w:before="0" w:after="100" w:line="259" w:lineRule="auto"/>
      </w:pPr>
      <w:r>
        <w:rPr>
          <w:rFonts w:ascii="Aptos" w:hAnsi="Aptos"/>
          <w:b w:val="0"/>
          <w:i w:val="0"/>
          <w:color w:val="222A31"/>
          <w:sz w:val="20"/>
        </w:rPr>
        <w:t>The examination also tests whether the candidate can separate the source of distress from its professional effect. A clinician may have depression and function effectively. A clinician without a formal diagnosis may still be unable to practice safely because of severe emotional dysregulation, sleep loss, or trauma-related symptoms. The label does not decide the case; the functional evidence and client risk do.</w:t>
      </w:r>
    </w:p>
    <w:p>
      <w:pPr>
        <w:pStyle w:val="Heading2"/>
        <w:keepNext/>
        <w:spacing w:before="120" w:after="80"/>
      </w:pPr>
      <w:r>
        <w:t>California Legal and Examination Framework</w:t>
      </w:r>
    </w:p>
    <w:p>
      <w:pPr>
        <w:keepNext w:val="0"/>
        <w:spacing w:before="0" w:after="100" w:line="259" w:lineRule="auto"/>
      </w:pPr>
      <w:r>
        <w:rPr>
          <w:rFonts w:ascii="Aptos" w:hAnsi="Aptos"/>
          <w:b w:val="0"/>
          <w:i w:val="0"/>
          <w:color w:val="222A31"/>
          <w:sz w:val="20"/>
        </w:rPr>
        <w:t>California Business and Professions Code section 820 permits a licensing agency to order an examination when it appears that a licensee may be unable to practice safely because the ability to practice is impaired due to mental illness or physical illness affecting competency. The statute is safety-focused. It does not say that a diagnosis alone proves inability to practice safely.</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Authority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Addresses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Precision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BPC § 820</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Possible inability of a current licentiate to practice safely because mental or physical illness impairs the ability to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safe professional functioning, not diagnosis alone.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BPC § 4992.35</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Possible refusal of an applicant's registration or license when the applicant may be unable to practice safely due to mental illness or chemical dependency.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These are applicant-stage provisions and should not be confused with automatic discipline of every clinician with a diagnosis.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California LCSW Law and Ethics Examination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California LCSW Law and Ethics Examination applies profession-specific California law and social-work ethics. Current BBS examination materials control; CTA materials are study tools and do not reproduce secure examination content.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Select the response that protects clients while avoiding unsupported labels and unnecessarily extreme action.</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LEGAL PRECISION  </w:t>
            </w:r>
            <w:r>
              <w:rPr>
                <w:rFonts w:ascii="Aptos" w:hAnsi="Aptos"/>
                <w:color w:val="222A31"/>
                <w:sz w:val="19"/>
              </w:rPr>
              <w:t>The statutory question is not “Does the clinician have a mental health diagnosis?” It is whether the clinician may be unable to practice safely because professional ability is impaired.</w:t>
            </w:r>
          </w:p>
        </w:tc>
      </w:tr>
    </w:tbl>
    <w:p>
      <w:r>
        <w:br w:type="page"/>
      </w:r>
    </w:p>
    <w:p>
      <w:pPr>
        <w:pStyle w:val="Heading1"/>
        <w:keepNext/>
        <w:spacing w:before="120" w:after="80"/>
      </w:pPr>
      <w:r>
        <w:t>Keep These Concepts Separate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High-Yield Meaning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Not Automatically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Mental health condition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diagnosable or clinically significant psychological condition may be present.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impairment, misconduct, or inability to practice.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Ordinary stress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Temporary strain that may occur while professional responsibilities remain intact.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 or professional impairment.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Burnout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 occupational phenomenon associated with chronic workplace stress that has not been successfully managed.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medical diagnosis or automatic professional impairment.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Secondary traumatic stress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Trauma-like symptoms that may follow indirect exposure to others' traumatic experiences.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same concept as burnout or proof of incompetence.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Compassion fatigue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broad, variably used term often describing the combined burden of burnout and secondary traumatic stress.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single universally defined diagnosis.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Vicarious trauma</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Cumulative changes in beliefs, worldview, safety, trust, or meaning related to repeated trauma exposure.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Automatic loss of professional competence.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condition or circumstance is interfering with safe, ethical, or effective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Permanent inability to work or automatic license loss.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Behavior violates a legal, ethical, or professional standard.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a mental health condition must be the cause.</w:t>
            </w:r>
          </w:p>
        </w:tc>
      </w:tr>
    </w:tbl>
    <w:p>
      <w:pPr>
        <w:pStyle w:val="Heading1"/>
        <w:keepNext/>
        <w:spacing w:before="120" w:after="80"/>
      </w:pPr>
      <w:r>
        <w:t>Burnout: Use the Correct Definition</w:t>
      </w:r>
    </w:p>
    <w:p>
      <w:pPr>
        <w:keepNext w:val="0"/>
        <w:spacing w:before="0" w:after="100" w:line="259" w:lineRule="auto"/>
      </w:pPr>
      <w:r>
        <w:rPr>
          <w:rFonts w:ascii="Aptos" w:hAnsi="Aptos"/>
          <w:b w:val="0"/>
          <w:i w:val="0"/>
          <w:color w:val="222A31"/>
          <w:sz w:val="20"/>
        </w:rPr>
        <w:t>The World Health Organization classifies burnout in ICD-11 as an occupational phenomenon, not a medical condition. It is conceptualized as resulting from chronic workplace stress that has not been successfully managed and is characterized by three dimensions:</w:t>
      </w:r>
    </w:p>
    <w:p>
      <w:pPr>
        <w:pStyle w:val="CTAListBullet"/>
        <w:spacing w:after="40" w:line="250" w:lineRule="auto"/>
        <w:ind w:left="259" w:hanging="202"/>
      </w:pPr>
      <w:r>
        <w:rPr>
          <w:rFonts w:ascii="Aptos" w:hAnsi="Aptos"/>
          <w:color w:val="222A31"/>
          <w:sz w:val="19"/>
        </w:rPr>
        <w:t>• Energy depletion or exhaustion.</w:t>
      </w:r>
    </w:p>
    <w:p>
      <w:pPr>
        <w:pStyle w:val="CTAListBullet"/>
        <w:spacing w:after="40" w:line="250" w:lineRule="auto"/>
        <w:ind w:left="259" w:hanging="202"/>
      </w:pPr>
      <w:r>
        <w:rPr>
          <w:rFonts w:ascii="Aptos" w:hAnsi="Aptos"/>
          <w:color w:val="222A31"/>
          <w:sz w:val="19"/>
        </w:rPr>
        <w:t>• Increased mental distance from the job, negativism, or cynicism related to the job.</w:t>
      </w:r>
    </w:p>
    <w:p>
      <w:pPr>
        <w:pStyle w:val="CTAListBullet"/>
        <w:spacing w:after="40" w:line="250" w:lineRule="auto"/>
        <w:ind w:left="259" w:hanging="202"/>
      </w:pPr>
      <w:r>
        <w:rPr>
          <w:rFonts w:ascii="Aptos" w:hAnsi="Aptos"/>
          <w:color w:val="222A31"/>
          <w:sz w:val="19"/>
        </w:rPr>
        <w:t>• Reduced professional efficacy.</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EXAM TRAP  </w:t>
            </w:r>
            <w:r>
              <w:rPr>
                <w:rFonts w:ascii="Aptos" w:hAnsi="Aptos"/>
                <w:color w:val="222A31"/>
                <w:sz w:val="19"/>
              </w:rPr>
              <w:t>Feeling tired after a demanding week does not automatically establish burnout. Burnout is broader and persistent; professional impairment requires evidence that functioning or client care is affected.</w:t>
            </w:r>
          </w:p>
        </w:tc>
      </w:tr>
    </w:tbl>
    <w:p>
      <w:pPr>
        <w:pStyle w:val="Heading1"/>
        <w:keepNext/>
        <w:spacing w:before="120" w:after="80"/>
      </w:pPr>
      <w:r>
        <w:t>Compassion Fatigue and Secondary Traumatic Stress</w:t>
      </w:r>
    </w:p>
    <w:p>
      <w:pPr>
        <w:keepNext w:val="0"/>
        <w:spacing w:before="0" w:after="100" w:line="259" w:lineRule="auto"/>
      </w:pPr>
      <w:r>
        <w:rPr>
          <w:rFonts w:ascii="Aptos" w:hAnsi="Aptos"/>
          <w:b w:val="0"/>
          <w:i w:val="0"/>
          <w:color w:val="222A31"/>
          <w:sz w:val="20"/>
        </w:rPr>
        <w:t>The term compassion fatigue is used inconsistently across professional literature. SAMHSA materials describe it as involving burnout and secondary traumatic stress. Secondary traumatic stress may include avoidance, intrusive reactions, hyperarousal, emotional numbing, or other trauma-like responses following indirect exposure to clients' traumatic experiences. A clinician may experience these reactions without being professionally impaired, but the concern becomes ethical when the reactions begin affecting judgment, engagement, reliability, boundaries, or client care.</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TERMINOLOGY NOTE  </w:t>
            </w:r>
            <w:r>
              <w:rPr>
                <w:rFonts w:ascii="Aptos" w:hAnsi="Aptos"/>
                <w:color w:val="222A31"/>
                <w:sz w:val="19"/>
              </w:rPr>
              <w:t>Do not spend the entire exam question trying to assign one perfect label. When several concepts overlap, identify the observable functional change, client risk, and needed response.</w:t>
            </w:r>
          </w:p>
        </w:tc>
      </w:tr>
    </w:tbl>
    <w:p>
      <w:pPr>
        <w:pStyle w:val="Heading1"/>
        <w:keepNext/>
        <w:spacing w:before="120" w:after="80"/>
      </w:pPr>
      <w:r>
        <w:t>Functional Warning Signs</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Domain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Warning Signs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Potential Professional Effect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Judgment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Impulsive decisions, rigid thinking, minimization, poor prioritization.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Unsafe treatment choices or delayed protective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Attention and memory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Losing track of sessions, forgetting commitments, missing important details.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Inaccurate assessment, documentation, or follow-through.</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Emotional regulation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Irritability, emotional flooding, numbness, unusual defensiveness.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Strained alliance, avoidance, or overreaction.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Clinical presence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Reduced empathy, detachment, rushing, disengagement.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Lower-quality assessment and intervention.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Boundaries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Overinvolvement, withdrawal, rescue behavior, inconsistent limits.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Role confusion or client harm.</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Reliability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Lateness, cancellations, missed calls, unfinished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Disrupted continuity and unmet client needs.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 assessment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Avoiding high-risk topics, missing warning signs, delayed response.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client or public-safety consequences.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Late, incomplete, vague, or inaccurate records.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Poor continuity, accountability, and legal risk.</w:t>
            </w:r>
          </w:p>
        </w:tc>
      </w:tr>
    </w:tbl>
    <w:p>
      <w:pPr>
        <w:pStyle w:val="Heading2"/>
        <w:keepNext/>
        <w:spacing w:before="120" w:after="80"/>
      </w:pPr>
      <w:r>
        <w:t>Pattern Matters More Than One Isolated Symptom</w:t>
      </w:r>
    </w:p>
    <w:p>
      <w:pPr>
        <w:pStyle w:val="CTAListBullet"/>
        <w:spacing w:after="40" w:line="250" w:lineRule="auto"/>
        <w:ind w:left="259" w:hanging="202"/>
      </w:pPr>
      <w:r>
        <w:rPr>
          <w:rFonts w:ascii="Aptos" w:hAnsi="Aptos"/>
          <w:color w:val="222A31"/>
          <w:sz w:val="19"/>
        </w:rPr>
        <w:t>• Change from the clinician's usual baseline.</w:t>
      </w:r>
    </w:p>
    <w:p>
      <w:pPr>
        <w:pStyle w:val="CTAListBullet"/>
        <w:spacing w:after="40" w:line="250" w:lineRule="auto"/>
        <w:ind w:left="259" w:hanging="202"/>
      </w:pPr>
      <w:r>
        <w:rPr>
          <w:rFonts w:ascii="Aptos" w:hAnsi="Aptos"/>
          <w:color w:val="222A31"/>
          <w:sz w:val="19"/>
        </w:rPr>
        <w:t>• Frequency and persistence of the concern.</w:t>
      </w:r>
    </w:p>
    <w:p>
      <w:pPr>
        <w:pStyle w:val="CTAListBullet"/>
        <w:spacing w:after="40" w:line="250" w:lineRule="auto"/>
        <w:ind w:left="259" w:hanging="202"/>
      </w:pPr>
      <w:r>
        <w:rPr>
          <w:rFonts w:ascii="Aptos" w:hAnsi="Aptos"/>
          <w:color w:val="222A31"/>
          <w:sz w:val="19"/>
        </w:rPr>
        <w:t>• Severity of the functional effect.</w:t>
      </w:r>
    </w:p>
    <w:p>
      <w:pPr>
        <w:pStyle w:val="CTAListBullet"/>
        <w:spacing w:after="40" w:line="250" w:lineRule="auto"/>
        <w:ind w:left="259" w:hanging="202"/>
      </w:pPr>
      <w:r>
        <w:rPr>
          <w:rFonts w:ascii="Aptos" w:hAnsi="Aptos"/>
          <w:color w:val="222A31"/>
          <w:sz w:val="19"/>
        </w:rPr>
        <w:t>• Whether the concern appears in several areas of practice.</w:t>
      </w:r>
    </w:p>
    <w:p>
      <w:pPr>
        <w:pStyle w:val="CTAListBullet"/>
        <w:spacing w:after="40" w:line="250" w:lineRule="auto"/>
        <w:ind w:left="259" w:hanging="202"/>
      </w:pPr>
      <w:r>
        <w:rPr>
          <w:rFonts w:ascii="Aptos" w:hAnsi="Aptos"/>
          <w:color w:val="222A31"/>
          <w:sz w:val="19"/>
        </w:rPr>
        <w:t>• Feedback from clients, supervisors, or colleagues.</w:t>
      </w:r>
    </w:p>
    <w:p>
      <w:pPr>
        <w:pStyle w:val="CTAListBullet"/>
        <w:spacing w:after="40" w:line="250" w:lineRule="auto"/>
        <w:ind w:left="259" w:hanging="202"/>
      </w:pPr>
      <w:r>
        <w:rPr>
          <w:rFonts w:ascii="Aptos" w:hAnsi="Aptos"/>
          <w:color w:val="222A31"/>
          <w:sz w:val="19"/>
        </w:rPr>
        <w:t>• Whether the clinician has insight or is minimizing the problem.</w:t>
      </w:r>
    </w:p>
    <w:p>
      <w:pPr>
        <w:pStyle w:val="CTAListBullet"/>
        <w:spacing w:after="40" w:line="250" w:lineRule="auto"/>
        <w:ind w:left="259" w:hanging="202"/>
      </w:pPr>
      <w:r>
        <w:rPr>
          <w:rFonts w:ascii="Aptos" w:hAnsi="Aptos"/>
          <w:color w:val="222A31"/>
          <w:sz w:val="19"/>
        </w:rPr>
        <w:t>• The complexity and risk level of current assignments.</w:t>
      </w:r>
    </w:p>
    <w:p>
      <w:pPr>
        <w:pStyle w:val="CTAListBullet"/>
        <w:spacing w:after="40" w:line="250" w:lineRule="auto"/>
        <w:ind w:left="259" w:hanging="202"/>
      </w:pPr>
      <w:r>
        <w:rPr>
          <w:rFonts w:ascii="Aptos" w:hAnsi="Aptos"/>
          <w:color w:val="222A31"/>
          <w:sz w:val="19"/>
        </w:rPr>
        <w:t>• Whether supports or adjustments are restoring safe functioning.</w:t>
      </w:r>
    </w:p>
    <w:p>
      <w:r>
        <w:br w:type="page"/>
      </w:r>
    </w:p>
    <w:p>
      <w:pPr>
        <w:pStyle w:val="Heading1"/>
        <w:keepNext/>
        <w:spacing w:before="120" w:after="80"/>
      </w:pPr>
      <w:r>
        <w:t>The RESET Response Sequence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Question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 - Recognize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What observable professional function has changed?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Describe the behavior or performance concern without relying on a diagnosis.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 - Evaluate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What are the pattern, severity, persistence, and client risks?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Determine whether the issue is isolated, emerging, ongoing, or immediately unsafe.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 - Stabilize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Can current clients continue receiving safe care?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Modify high-risk duties, arrange coverage, address emergencies, and preserve continuity.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 - Engage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What support or intervention is needed?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Use consultation, supervision, treatment, workload changes, leave, or other appropriate resources.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T - Track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Has professional functioning actually improved?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Monitor performance and base return to fuller duties on demonstrated readiness.</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URGENT-RISK RULE  </w:t>
            </w:r>
            <w:r>
              <w:rPr>
                <w:rFonts w:ascii="Aptos" w:hAnsi="Aptos"/>
                <w:color w:val="222A31"/>
                <w:sz w:val="19"/>
              </w:rPr>
              <w:t>When current functioning creates an immediate safety threat, stabilize client care before completing a lengthy diagnostic or workplace process. Help-seeking and assessment may continue after immediate protection is in place.</w:t>
            </w:r>
          </w:p>
        </w:tc>
      </w:tr>
    </w:tbl>
    <w:p>
      <w:pPr>
        <w:pStyle w:val="Heading1"/>
        <w:keepNext/>
        <w:spacing w:before="120" w:after="80"/>
      </w:pPr>
      <w:r>
        <w:t>Self-Care, Treatment, and Professional Action</w:t>
      </w:r>
    </w:p>
    <w:p>
      <w:pPr>
        <w:keepNext w:val="0"/>
        <w:spacing w:before="0" w:after="100" w:line="259" w:lineRule="auto"/>
      </w:pPr>
      <w:r>
        <w:rPr>
          <w:rFonts w:ascii="Aptos" w:hAnsi="Aptos"/>
          <w:b w:val="0"/>
          <w:i w:val="0"/>
          <w:color w:val="222A31"/>
          <w:sz w:val="20"/>
        </w:rPr>
        <w:t>Routine self-care may reduce ordinary stress and support prevention. Once significant functional decline is present, “practice more self-care” may be too vague or insufficient. The response must match the actual problem and may need to address both the clinician's recovery and current client responsibilities.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Concern Level</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Possible Professional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Stress with intact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Monitor, rest, use routine support, and maintain preventive boundaries.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Early decline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Consult, increase supervision, adjust schedule or caseload, and seek treatment or other support.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Ongoing impairment affecting some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Reduce workload, remove high-risk assignments, increase oversight, arrange collaboration or coverage, and reevaluate.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Significant inability to practice safely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Stop or limit duties, arrange qualified coverage or transfer, take leave when needed, and protect emergencies and continuity.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Return to fuller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Confirm restored judgment, attention, reliability, documentation, boundaries, endurance, and risk-management capacity.</w:t>
            </w:r>
          </w:p>
        </w:tc>
      </w:tr>
    </w:tbl>
    <w:p>
      <w:pPr>
        <w:pStyle w:val="Heading2"/>
        <w:keepNext/>
        <w:spacing w:before="120" w:after="80"/>
      </w:pPr>
      <w:r>
        <w:t>Treatment Does Not Replace Client Protection</w:t>
      </w:r>
    </w:p>
    <w:p>
      <w:pPr>
        <w:keepNext w:val="0"/>
        <w:spacing w:before="0" w:after="100" w:line="259" w:lineRule="auto"/>
      </w:pPr>
      <w:r>
        <w:rPr>
          <w:rFonts w:ascii="Aptos" w:hAnsi="Aptos"/>
          <w:b w:val="0"/>
          <w:i w:val="0"/>
          <w:color w:val="222A31"/>
          <w:sz w:val="20"/>
        </w:rPr>
        <w:t>Entering psychotherapy, medical care, employee assistance, or another support service is responsible. It does not automatically prove that the clinician can safely maintain a full caseload or resume high-risk work. The professional plan may also need coverage, documentation cleanup, supervision, workload adjustment, communication with the employer, or temporary leave.</w:t>
      </w:r>
    </w:p>
    <w:p>
      <w:pPr>
        <w:pStyle w:val="Heading1"/>
        <w:keepNext/>
        <w:spacing w:before="120" w:after="80"/>
      </w:pPr>
      <w:r>
        <w:t>ASW and Colleague Concerns</w:t>
      </w:r>
    </w:p>
    <w:p>
      <w:pPr>
        <w:pStyle w:val="CTAListBullet"/>
        <w:spacing w:after="40" w:line="250" w:lineRule="auto"/>
        <w:ind w:left="259" w:hanging="202"/>
      </w:pPr>
      <w:r>
        <w:rPr>
          <w:rFonts w:ascii="Aptos" w:hAnsi="Aptos"/>
          <w:color w:val="222A31"/>
          <w:sz w:val="19"/>
        </w:rPr>
        <w:t>• An ASW should accurately disclose functional concerns that affect client care so the supervisor can modify assignments and oversight.</w:t>
      </w:r>
    </w:p>
    <w:p>
      <w:pPr>
        <w:pStyle w:val="CTAListBullet"/>
        <w:spacing w:after="40" w:line="250" w:lineRule="auto"/>
        <w:ind w:left="259" w:hanging="202"/>
      </w:pPr>
      <w:r>
        <w:rPr>
          <w:rFonts w:ascii="Aptos" w:hAnsi="Aptos"/>
          <w:color w:val="222A31"/>
          <w:sz w:val="19"/>
        </w:rPr>
        <w:t>• A supervisor should focus on observable performance, current risk, and the supervisee's ability to function safely rather than stigmatizing a diagnosis.</w:t>
      </w:r>
    </w:p>
    <w:p>
      <w:pPr>
        <w:pStyle w:val="CTAListBullet"/>
        <w:spacing w:after="40" w:line="250" w:lineRule="auto"/>
        <w:ind w:left="259" w:hanging="202"/>
      </w:pPr>
      <w:r>
        <w:rPr>
          <w:rFonts w:ascii="Aptos" w:hAnsi="Aptos"/>
          <w:color w:val="222A31"/>
          <w:sz w:val="19"/>
        </w:rPr>
        <w:t>• A colleague does not need to diagnose another professional before addressing clear performance and safety concerns.</w:t>
      </w:r>
    </w:p>
    <w:p>
      <w:pPr>
        <w:pStyle w:val="CTAListBullet"/>
        <w:spacing w:after="40" w:line="250" w:lineRule="auto"/>
        <w:ind w:left="259" w:hanging="202"/>
      </w:pPr>
      <w:r>
        <w:rPr>
          <w:rFonts w:ascii="Aptos" w:hAnsi="Aptos"/>
          <w:color w:val="222A31"/>
          <w:sz w:val="19"/>
        </w:rPr>
        <w:t>• Use the appropriate role and channel: supervision, clinical leadership, workplace procedures, consultation, or a legally required process when applicable.</w:t>
      </w:r>
    </w:p>
    <w:p>
      <w:pPr>
        <w:pStyle w:val="CTAListBullet"/>
        <w:spacing w:after="40" w:line="250" w:lineRule="auto"/>
        <w:ind w:left="259" w:hanging="202"/>
      </w:pPr>
      <w:r>
        <w:rPr>
          <w:rFonts w:ascii="Aptos" w:hAnsi="Aptos"/>
          <w:color w:val="222A31"/>
          <w:sz w:val="19"/>
        </w:rPr>
        <w:t>• Avoid gossip, unnecessary disclosure, public confrontation, or discussing suspicions with clients.</w:t>
      </w:r>
    </w:p>
    <w:p>
      <w:pPr>
        <w:pStyle w:val="CTAListBullet"/>
        <w:spacing w:after="40" w:line="250" w:lineRule="auto"/>
        <w:ind w:left="259" w:hanging="202"/>
      </w:pPr>
      <w:r>
        <w:rPr>
          <w:rFonts w:ascii="Aptos" w:hAnsi="Aptos"/>
          <w:color w:val="222A31"/>
          <w:sz w:val="19"/>
        </w:rPr>
        <w:t>• Do not assume that every concern requires a direct BBS report; the correct action depends on facts, role, law, ethical code, and immediate risk.</w:t>
      </w:r>
    </w:p>
    <w:p>
      <w:pPr>
        <w:pStyle w:val="Heading1"/>
        <w:keepNext/>
        <w:spacing w:before="120" w:after="80"/>
      </w:pPr>
      <w:r>
        <w:t>Clinical Applications</w:t>
      </w:r>
    </w:p>
    <w:p>
      <w:pPr>
        <w:pStyle w:val="Heading2"/>
        <w:keepNext/>
        <w:spacing w:before="100" w:after="40"/>
      </w:pPr>
      <w:r>
        <w:t>1. Well-managed depression with intact functioning</w:t>
      </w:r>
    </w:p>
    <w:p>
      <w:pPr>
        <w:keepNext w:val="0"/>
        <w:spacing w:before="0" w:after="60" w:line="259" w:lineRule="auto"/>
      </w:pPr>
      <w:r>
        <w:rPr>
          <w:rFonts w:ascii="Aptos" w:hAnsi="Aptos"/>
          <w:b w:val="0"/>
          <w:i/>
          <w:color w:val="222A31"/>
          <w:sz w:val="20"/>
        </w:rPr>
        <w:t>A therapist receives treatment for depression and remains attentive, reliable, clinically effective, and able to manage risk.</w:t>
      </w:r>
    </w:p>
    <w:p>
      <w:pPr>
        <w:keepNext w:val="0"/>
        <w:spacing w:before="0" w:after="120" w:line="259" w:lineRule="auto"/>
      </w:pPr>
      <w:r>
        <w:rPr>
          <w:rFonts w:ascii="Aptos" w:hAnsi="Aptos"/>
          <w:b/>
          <w:i w:val="0"/>
          <w:color w:val="08746F"/>
          <w:sz w:val="20"/>
        </w:rPr>
        <w:t>Best analysis: The diagnosis and treatment history do not establish professional impairment. Continue appropriate monitoring without stigma.</w:t>
      </w:r>
    </w:p>
    <w:p>
      <w:pPr>
        <w:pStyle w:val="Heading2"/>
        <w:keepNext/>
        <w:spacing w:before="100" w:after="40"/>
      </w:pPr>
      <w:r>
        <w:t>2. Burnout affecting work quality</w:t>
      </w:r>
    </w:p>
    <w:p>
      <w:pPr>
        <w:keepNext w:val="0"/>
        <w:spacing w:before="0" w:after="60" w:line="259" w:lineRule="auto"/>
      </w:pPr>
      <w:r>
        <w:rPr>
          <w:rFonts w:ascii="Aptos" w:hAnsi="Aptos"/>
          <w:b w:val="0"/>
          <w:i/>
          <w:color w:val="222A31"/>
          <w:sz w:val="20"/>
        </w:rPr>
        <w:t>A clinician facing chronic workload pressure becomes cynical, rushes sessions, completes notes late, and reports reduced professional effectiveness.</w:t>
      </w:r>
    </w:p>
    <w:p>
      <w:pPr>
        <w:keepNext w:val="0"/>
        <w:spacing w:before="0" w:after="120" w:line="259" w:lineRule="auto"/>
      </w:pPr>
      <w:r>
        <w:rPr>
          <w:rFonts w:ascii="Aptos" w:hAnsi="Aptos"/>
          <w:b/>
          <w:i w:val="0"/>
          <w:color w:val="08746F"/>
          <w:sz w:val="20"/>
        </w:rPr>
        <w:t>Best response: Evaluate the functional decline and use proportionate workload, support, treatment, or supervision changes before the pattern worsens.</w:t>
      </w:r>
    </w:p>
    <w:p>
      <w:pPr>
        <w:pStyle w:val="Heading2"/>
        <w:keepNext/>
        <w:spacing w:before="100" w:after="40"/>
      </w:pPr>
      <w:r>
        <w:t>3. Secondary traumatic stress</w:t>
      </w:r>
    </w:p>
    <w:p>
      <w:pPr>
        <w:keepNext w:val="0"/>
        <w:spacing w:before="0" w:after="60" w:line="259" w:lineRule="auto"/>
      </w:pPr>
      <w:r>
        <w:rPr>
          <w:rFonts w:ascii="Aptos" w:hAnsi="Aptos"/>
          <w:b w:val="0"/>
          <w:i/>
          <w:color w:val="222A31"/>
          <w:sz w:val="20"/>
        </w:rPr>
        <w:t>After repeated exposure to severe trauma narratives, a clinician develops intrusive images, avoids trauma discussions, and misses important clinical material.</w:t>
      </w:r>
    </w:p>
    <w:p>
      <w:pPr>
        <w:keepNext w:val="0"/>
        <w:spacing w:before="0" w:after="120" w:line="259" w:lineRule="auto"/>
      </w:pPr>
      <w:r>
        <w:rPr>
          <w:rFonts w:ascii="Aptos" w:hAnsi="Aptos"/>
          <w:b/>
          <w:i w:val="0"/>
          <w:color w:val="08746F"/>
          <w:sz w:val="20"/>
        </w:rPr>
        <w:t>Best response: Address the trauma-related reactions and modify duties or obtain support as needed to protect current client care.</w:t>
      </w:r>
    </w:p>
    <w:p>
      <w:pPr>
        <w:pStyle w:val="Heading2"/>
        <w:keepNext/>
        <w:spacing w:before="100" w:after="40"/>
      </w:pPr>
      <w:r>
        <w:t>4. Help-seeking without duty modification</w:t>
      </w:r>
    </w:p>
    <w:p>
      <w:pPr>
        <w:keepNext w:val="0"/>
        <w:spacing w:before="0" w:after="60" w:line="259" w:lineRule="auto"/>
      </w:pPr>
      <w:r>
        <w:rPr>
          <w:rFonts w:ascii="Aptos" w:hAnsi="Aptos"/>
          <w:b w:val="0"/>
          <w:i/>
          <w:color w:val="222A31"/>
          <w:sz w:val="20"/>
        </w:rPr>
        <w:t>A therapist begins personal treatment but continues high-risk sessions despite emotional flooding, missed danger cues, and repeated cancellations.</w:t>
      </w:r>
    </w:p>
    <w:p>
      <w:pPr>
        <w:keepNext w:val="0"/>
        <w:spacing w:before="0" w:after="120" w:line="259" w:lineRule="auto"/>
      </w:pPr>
      <w:r>
        <w:rPr>
          <w:rFonts w:ascii="Aptos" w:hAnsi="Aptos"/>
          <w:b/>
          <w:i w:val="0"/>
          <w:color w:val="08746F"/>
          <w:sz w:val="20"/>
        </w:rPr>
        <w:t>Best analysis: Treatment is responsible but insufficient while unsafe professional functioning continues. Client coverage and duty changes are also needed.</w:t>
      </w:r>
    </w:p>
    <w:p>
      <w:pPr>
        <w:pStyle w:val="Heading2"/>
        <w:keepNext/>
        <w:spacing w:before="100" w:after="40"/>
      </w:pPr>
      <w:r>
        <w:t>5. Return to a crisis caseload</w:t>
      </w:r>
    </w:p>
    <w:p>
      <w:pPr>
        <w:keepNext w:val="0"/>
        <w:spacing w:before="0" w:after="60" w:line="259" w:lineRule="auto"/>
      </w:pPr>
      <w:r>
        <w:rPr>
          <w:rFonts w:ascii="Aptos" w:hAnsi="Aptos"/>
          <w:b w:val="0"/>
          <w:i/>
          <w:color w:val="222A31"/>
          <w:sz w:val="20"/>
        </w:rPr>
        <w:t>A clinician feels emotionally improved after leave but still shows inconsistent attention, late documentation, and difficulty making urgent decisions.</w:t>
      </w:r>
    </w:p>
    <w:p>
      <w:pPr>
        <w:keepNext w:val="0"/>
        <w:spacing w:before="0" w:after="120" w:line="259" w:lineRule="auto"/>
      </w:pPr>
      <w:r>
        <w:rPr>
          <w:rFonts w:ascii="Aptos" w:hAnsi="Aptos"/>
          <w:b/>
          <w:i w:val="0"/>
          <w:color w:val="08746F"/>
          <w:sz w:val="20"/>
        </w:rPr>
        <w:t>Best response: Continue limited or supported duties and base fuller return on demonstrated restoration of professional functioning.</w:t>
      </w:r>
    </w:p>
    <w:p>
      <w:pPr>
        <w:pStyle w:val="Heading1"/>
        <w:keepNext/>
        <w:spacing w:before="120" w:after="80"/>
      </w:pPr>
      <w:r>
        <w:t>Common Exam Traps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Diagnosis equals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alone does not prove unsafe professional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No diagnosis means no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Observable decline may require action before a diagnosis is known.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All stress is burnout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Temporary strain with intact functioning is not automatically burnout or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 is a medical diagnosis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WHO classifies burnout as an occupational phenomenon, not a medical condition.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Compassion fatigue has one exact definition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term overlaps with burnout and secondary traumatic stress; focus on function.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One difficult session proves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Look for pattern, persistence, severity, and client impact.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Self-care is always enough</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Significant decline may require treatment, workload changes, supervision, coverage, or leave.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Entering treatment resolves current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Help-seeking does not automatically restore safe practice.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High productivity proves competence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full caseload may continue while quality, judgment, or reliability declines.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Permanent removal is the safest answer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the least restrictive response that still protects clients.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Feeling better proves readiness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Return depends on demonstrated professional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colleague must be diagnosed or reported immediately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observable conduct, role-appropriate channels, and applicable duties.</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Mental health conditions and professional impairment are not interchangeable.</w:t>
      </w:r>
    </w:p>
    <w:p>
      <w:pPr>
        <w:pStyle w:val="CTAListBullet"/>
        <w:spacing w:after="60" w:line="250" w:lineRule="auto"/>
        <w:ind w:left="259" w:hanging="202"/>
      </w:pPr>
      <w:r>
        <w:rPr>
          <w:rFonts w:ascii="Aptos" w:hAnsi="Aptos"/>
          <w:color w:val="222A31"/>
          <w:sz w:val="19"/>
        </w:rPr>
        <w:t>• California law focuses on whether a clinician may be unable to practice safely because professional ability is impaired.</w:t>
      </w:r>
    </w:p>
    <w:p>
      <w:pPr>
        <w:pStyle w:val="CTAListBullet"/>
        <w:spacing w:after="60" w:line="250" w:lineRule="auto"/>
        <w:ind w:left="259" w:hanging="202"/>
      </w:pPr>
      <w:r>
        <w:rPr>
          <w:rFonts w:ascii="Aptos" w:hAnsi="Aptos"/>
          <w:color w:val="222A31"/>
          <w:sz w:val="19"/>
        </w:rPr>
        <w:t>• Burnout is an occupational phenomenon related to chronic workplace stress that has not been successfully managed.</w:t>
      </w:r>
    </w:p>
    <w:p>
      <w:pPr>
        <w:pStyle w:val="CTAListBullet"/>
        <w:spacing w:after="60" w:line="250" w:lineRule="auto"/>
        <w:ind w:left="259" w:hanging="202"/>
      </w:pPr>
      <w:r>
        <w:rPr>
          <w:rFonts w:ascii="Aptos" w:hAnsi="Aptos"/>
          <w:color w:val="222A31"/>
          <w:sz w:val="19"/>
        </w:rPr>
        <w:t>• Compassion fatigue, secondary traumatic stress, and vicarious trauma overlap but are not identical and are not automatic proof of impairment.</w:t>
      </w:r>
    </w:p>
    <w:p>
      <w:pPr>
        <w:pStyle w:val="CTAListBullet"/>
        <w:spacing w:after="60" w:line="250" w:lineRule="auto"/>
        <w:ind w:left="259" w:hanging="202"/>
      </w:pPr>
      <w:r>
        <w:rPr>
          <w:rFonts w:ascii="Aptos" w:hAnsi="Aptos"/>
          <w:color w:val="222A31"/>
          <w:sz w:val="19"/>
        </w:rPr>
        <w:t>• Evaluate changes in judgment, attention, emotional regulation, boundaries, reliability, documentation, and risk assessment.</w:t>
      </w:r>
    </w:p>
    <w:p>
      <w:pPr>
        <w:pStyle w:val="CTAListBullet"/>
        <w:spacing w:after="60" w:line="250" w:lineRule="auto"/>
        <w:ind w:left="259" w:hanging="202"/>
      </w:pPr>
      <w:r>
        <w:rPr>
          <w:rFonts w:ascii="Aptos" w:hAnsi="Aptos"/>
          <w:color w:val="222A31"/>
          <w:sz w:val="19"/>
        </w:rPr>
        <w:t>• Use RESET: Recognize, Evaluate, Stabilize, Engage, Track.</w:t>
      </w:r>
    </w:p>
    <w:p>
      <w:pPr>
        <w:pStyle w:val="CTAListBullet"/>
        <w:spacing w:after="60" w:line="250" w:lineRule="auto"/>
        <w:ind w:left="259" w:hanging="202"/>
      </w:pPr>
      <w:r>
        <w:rPr>
          <w:rFonts w:ascii="Aptos" w:hAnsi="Aptos"/>
          <w:color w:val="222A31"/>
          <w:sz w:val="19"/>
        </w:rPr>
        <w:t>• Treatment and self-care may be important but must be paired with protection of current clients when functioning has declined.</w:t>
      </w:r>
    </w:p>
    <w:p>
      <w:pPr>
        <w:pStyle w:val="CTAListBullet"/>
        <w:spacing w:after="60" w:line="250" w:lineRule="auto"/>
        <w:ind w:left="259" w:hanging="202"/>
      </w:pPr>
      <w:r>
        <w:rPr>
          <w:rFonts w:ascii="Aptos" w:hAnsi="Aptos"/>
          <w:color w:val="222A31"/>
          <w:sz w:val="19"/>
        </w:rPr>
        <w:t>• Return to fuller duties depends on demonstrated restoration of professional functioning.</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20"/>
              </w:rPr>
              <w:t xml:space="preserve">CTA EXAM STRATEGY  </w:t>
            </w:r>
            <w:r>
              <w:rPr>
                <w:rFonts w:ascii="Aptos" w:hAnsi="Aptos"/>
                <w:color w:val="222A31"/>
                <w:sz w:val="20"/>
              </w:rPr>
              <w:t>Ask in order: What function changed? Is there a pattern? What is the client risk now? What response is sufficient without being unnecessarily extreme? Has functioning been restored before fuller duties resume?</w:t>
            </w:r>
          </w:p>
        </w:tc>
      </w:tr>
    </w:tbl>
    <w:p>
      <w:pPr>
        <w:pStyle w:val="Heading1"/>
        <w:keepNext/>
        <w:spacing w:before="120" w:after="80"/>
        <w:pageBreakBefore/>
      </w:pPr>
      <w:r>
        <w:t>Chapter 4</w:t>
      </w:r>
    </w:p>
    <w:p>
      <w:pPr>
        <w:pStyle w:val="Title"/>
      </w:pPr>
      <w:r>
        <w:t>Physical Conditions, Fatigue, and Professional Functioning</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A physical condition, disability, medication, or period of fatigue does not equal professional impairment. The ethical question is whether the clinician can currently perform essential professional responsibilities safely, ethically, and effectively—with reasonable support when appropriate.</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Distinguish a physical condition or disability from professional impairment.</w:t>
      </w:r>
    </w:p>
    <w:p>
      <w:pPr>
        <w:pStyle w:val="CTAListNumber"/>
        <w:spacing w:after="40" w:line="250" w:lineRule="auto"/>
        <w:ind w:left="331" w:hanging="331"/>
      </w:pPr>
      <w:r>
        <w:rPr>
          <w:rFonts w:ascii="Aptos" w:hAnsi="Aptos"/>
          <w:color w:val="222A31"/>
          <w:sz w:val="19"/>
        </w:rPr>
        <w:t>2. Identify how fatigue, sleep deprivation, pain, illness, and medication side effects may affect clinical work.</w:t>
      </w:r>
    </w:p>
    <w:p>
      <w:pPr>
        <w:pStyle w:val="CTAListNumber"/>
        <w:spacing w:after="40" w:line="250" w:lineRule="auto"/>
        <w:ind w:left="331" w:hanging="331"/>
      </w:pPr>
      <w:r>
        <w:rPr>
          <w:rFonts w:ascii="Aptos" w:hAnsi="Aptos"/>
          <w:color w:val="222A31"/>
          <w:sz w:val="19"/>
        </w:rPr>
        <w:t>3. Apply California's safety-focused legal framework for physical illness affecting competency.</w:t>
      </w:r>
    </w:p>
    <w:p>
      <w:pPr>
        <w:pStyle w:val="CTAListNumber"/>
        <w:spacing w:after="40" w:line="250" w:lineRule="auto"/>
        <w:ind w:left="331" w:hanging="331"/>
      </w:pPr>
      <w:r>
        <w:rPr>
          <w:rFonts w:ascii="Aptos" w:hAnsi="Aptos"/>
          <w:color w:val="222A31"/>
          <w:sz w:val="19"/>
        </w:rPr>
        <w:t>4. Explain how reasonable accommodations may preserve competent professional functioning.</w:t>
      </w:r>
    </w:p>
    <w:p>
      <w:pPr>
        <w:pStyle w:val="CTAListNumber"/>
        <w:spacing w:after="40" w:line="250" w:lineRule="auto"/>
        <w:ind w:left="331" w:hanging="331"/>
      </w:pPr>
      <w:r>
        <w:rPr>
          <w:rFonts w:ascii="Aptos" w:hAnsi="Aptos"/>
          <w:color w:val="222A31"/>
          <w:sz w:val="19"/>
        </w:rPr>
        <w:t>5. Assess immediate fitness for high-risk, crisis, driving, and complex decision-making duties.</w:t>
      </w:r>
    </w:p>
    <w:p>
      <w:pPr>
        <w:pStyle w:val="CTAListNumber"/>
        <w:spacing w:after="40" w:line="250" w:lineRule="auto"/>
        <w:ind w:left="331" w:hanging="331"/>
      </w:pPr>
      <w:r>
        <w:rPr>
          <w:rFonts w:ascii="Aptos" w:hAnsi="Aptos"/>
          <w:color w:val="222A31"/>
          <w:sz w:val="19"/>
        </w:rPr>
        <w:t>6. Use the ALERT sequence to select a proportionate response.</w:t>
      </w:r>
    </w:p>
    <w:p>
      <w:pPr>
        <w:pStyle w:val="CTAListNumber"/>
        <w:spacing w:after="40" w:line="250" w:lineRule="auto"/>
        <w:ind w:left="331" w:hanging="331"/>
      </w:pPr>
      <w:r>
        <w:rPr>
          <w:rFonts w:ascii="Aptos" w:hAnsi="Aptos"/>
          <w:color w:val="222A31"/>
          <w:sz w:val="19"/>
        </w:rPr>
        <w:t>7. Protect client continuity while limiting or stopping unsafe duties.</w:t>
      </w:r>
    </w:p>
    <w:p>
      <w:pPr>
        <w:pStyle w:val="CTAListNumber"/>
        <w:spacing w:after="40" w:line="250" w:lineRule="auto"/>
        <w:ind w:left="331" w:hanging="331"/>
      </w:pPr>
      <w:r>
        <w:rPr>
          <w:rFonts w:ascii="Aptos" w:hAnsi="Aptos"/>
          <w:color w:val="222A31"/>
          <w:sz w:val="19"/>
        </w:rPr>
        <w:t>8. Evaluate return to fuller duties using demonstrated functioning rather than diagnosis, optimism, or a fixed waiting period.</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These questions often contain emotionally powerful but legally incomplete facts: a clinician has a disability, is taking medication, is pregnant, has chronic pain, has a neurological condition, or has slept poorly. The exam is not asking whether the condition sounds serious. It is asking what the condition is doing to professional functioning now and whether available supports are sufficient.</w:t>
      </w:r>
    </w:p>
    <w:p>
      <w:pPr>
        <w:keepNext w:val="0"/>
        <w:spacing w:before="0" w:after="100" w:line="259" w:lineRule="auto"/>
      </w:pPr>
      <w:r>
        <w:rPr>
          <w:rFonts w:ascii="Aptos" w:hAnsi="Aptos"/>
          <w:b w:val="0"/>
          <w:i w:val="0"/>
          <w:color w:val="222A31"/>
          <w:sz w:val="20"/>
        </w:rPr>
        <w:t>The strongest answer avoids two opposite errors. One distractor treats disability or medical history as automatic incompetence. Another ignores missed risk cues, confusion, falling asleep, or unsafe judgment because the clinician is dedicated, experienced, or has not yet received a complaint. Both approaches fail to conduct an individualized functional analysis.</w:t>
      </w:r>
    </w:p>
    <w:p>
      <w:pPr>
        <w:pStyle w:val="Heading2"/>
        <w:keepNext/>
        <w:spacing w:before="120" w:after="80"/>
      </w:pPr>
      <w:r>
        <w:t>California Legal and Examination Framework</w:t>
      </w:r>
    </w:p>
    <w:p>
      <w:pPr>
        <w:keepNext w:val="0"/>
        <w:spacing w:before="0" w:after="100" w:line="259" w:lineRule="auto"/>
      </w:pPr>
      <w:r>
        <w:rPr>
          <w:rFonts w:ascii="Aptos" w:hAnsi="Aptos"/>
          <w:b w:val="0"/>
          <w:i w:val="0"/>
          <w:color w:val="222A31"/>
          <w:sz w:val="20"/>
        </w:rPr>
        <w:t>California Business and Professions Code section 820 authorizes a licensing agency to order an examination when it appears that a licentiate may be unable to practice safely because mental illness or physical illness affecting competency impairs the ability to practice. The statute centers safe practice and competency; it does not state that a diagnosis or disability alone proves inability to practice.</w:t>
      </w:r>
    </w:p>
    <w:p>
      <w:pPr>
        <w:keepNext w:val="0"/>
        <w:spacing w:before="0" w:after="100" w:line="259" w:lineRule="auto"/>
      </w:pPr>
      <w:r>
        <w:rPr>
          <w:rFonts w:ascii="Aptos" w:hAnsi="Aptos"/>
          <w:b w:val="0"/>
          <w:i w:val="0"/>
          <w:color w:val="222A31"/>
          <w:sz w:val="20"/>
        </w:rPr>
        <w:t>California employment law separately requires covered employers to consider reasonable accommodation and engage in an individualized, good-faith interactive process. This employment framework does not eliminate the clinician's independent duty to provide safe care. An accommodation is appropriate only when it enables the clinician to perform the essential functions of the job and professional role safely and effectively.</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Authority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Addresses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Precision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BPC § 820</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Possible inability of a licentiate to practice safely because physical illness affects competency.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current ability to practice safely, not diagnosis alone.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California FEHA / CRD guidance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Reasonable accommodation and an individualized interactive process for covered employment settings.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Consider whether support enables essential functions; do not assume disability equals inability.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California LCSW Law and Ethics Examination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California LCSW Law and Ethics Examination applies profession-specific California law and social-work ethics. Current BBS examination materials control; CTA materials are study tools and do not reproduce secure examination content.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Choose the response that protects clients while avoiding stigma and unnecessary extremes.</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LEGAL PRECISION  </w:t>
            </w:r>
            <w:r>
              <w:rPr>
                <w:rFonts w:ascii="Aptos" w:hAnsi="Aptos"/>
                <w:color w:val="222A31"/>
                <w:sz w:val="19"/>
              </w:rPr>
              <w:t>Licensing fitness, employment accommodation, medical treatment, and client-care planning are related but distinct. A strong answer identifies the clinician's current functional limits and then uses the correct role-specific process.</w:t>
            </w:r>
          </w:p>
        </w:tc>
      </w:tr>
    </w:tbl>
    <w:p>
      <w:r>
        <w:br w:type="page"/>
      </w:r>
    </w:p>
    <w:p>
      <w:pPr>
        <w:pStyle w:val="Heading1"/>
        <w:keepNext/>
        <w:spacing w:before="120" w:after="80"/>
      </w:pPr>
      <w:r>
        <w:t>Keep These Concepts Separate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High-Yield Meaning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Not Automatically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Physical condition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 illness, injury, pain condition, sensory limitation, neurological condition, or other health issue is present.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impairment or inability to practice.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Disability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protected physical or mental limitation may require individualized accommodation analysis.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Incompetence, reduced standards, or mandatory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Fatigue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Reduced energy or alertness may arise from sleep loss, workload, illness, medication, caregiving, or other causes.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impairment unless functioning is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Medication side effect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legal or prescribed medication may affect alertness, memory, coordination, speech, or judgment.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Misconduct or a requirement to stop medication without medical guidance.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Accommodation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change in schedule, equipment, environment, or duties that enables essential functions.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Proof of incompetence or permission to provide unsafe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Professional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Current functioning is interfering with safe, ethical, or effective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Permanent inability to work.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lacks or cannot apply the knowledge, skill, judgment, or functioning needed for a service.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That a medical diagnosis must be present.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Behavior violates a legal, ethical, or professional standard.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the conduct was caused by illness or disability.</w:t>
            </w:r>
          </w:p>
        </w:tc>
      </w:tr>
    </w:tbl>
    <w:p>
      <w:pPr>
        <w:pStyle w:val="Heading2"/>
        <w:keepNext/>
        <w:spacing w:before="120" w:after="80"/>
      </w:pPr>
      <w:r>
        <w:t>Functional Domains to Assess</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Domain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Warning Signs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Matters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Alertness and attention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Falling asleep, losing the thread of the session, missing details.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 cues and client information may be missed.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Memory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Forgetting instructions, client history, follow-up, or appointments.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and continuity may become unreliable.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Judgment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Slowed reasoning, impulsive decisions, failure to recognize limitations.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Clinical and legal decisions may become unsafe.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Communication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Slurred, slowed, unclear, inaccessible, or inaccurate communication.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Consent, risk assessment, and collaboration may fail.</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Physical access and endurance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Inability to sustain sessions, move safely, use required systems, or complete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may need adjustments, coverage, or limits.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Late, incomplete, confused, or inaccurate records.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Continuity, accountability, and legal compliance are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Reliability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Frequent cancellations, lateness, missed calls, or absent emergency coverage.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Clients may not receive necessary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Emergency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Delayed reaction, difficulty prioritizing, inability to drive or coordinate urgent help.</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High-risk situations may require immediate reassignment.</w:t>
            </w:r>
          </w:p>
        </w:tc>
      </w:tr>
    </w:tbl>
    <w:p>
      <w:pPr>
        <w:pStyle w:val="Heading2"/>
        <w:keepNext/>
        <w:spacing w:before="120" w:after="80"/>
      </w:pPr>
      <w:r>
        <w:t>Fatigue Is a Functional and Safety Issue</w:t>
      </w:r>
    </w:p>
    <w:p>
      <w:pPr>
        <w:keepNext w:val="0"/>
        <w:spacing w:before="0" w:after="100" w:line="259" w:lineRule="auto"/>
      </w:pPr>
      <w:r>
        <w:rPr>
          <w:rFonts w:ascii="Aptos" w:hAnsi="Aptos"/>
          <w:b w:val="0"/>
          <w:i w:val="0"/>
          <w:color w:val="222A31"/>
          <w:sz w:val="20"/>
        </w:rPr>
        <w:t>CDC/NIOSH guidance explains that fatigue can slow reaction time, reduce attention and concentration, limit short-term memory, and impair judgment. Fatigue may arise from inadequate sleep, long hours, stress, illness, demanding tasks, caregiving, pain, medication effects, or sleep disorders.</w:t>
      </w:r>
    </w:p>
    <w:p>
      <w:pPr>
        <w:keepNext w:val="0"/>
        <w:spacing w:before="0" w:after="100" w:line="259" w:lineRule="auto"/>
      </w:pPr>
      <w:r>
        <w:rPr>
          <w:rFonts w:ascii="Aptos" w:hAnsi="Aptos"/>
          <w:b w:val="0"/>
          <w:i w:val="0"/>
          <w:color w:val="222A31"/>
          <w:sz w:val="20"/>
        </w:rPr>
        <w:t>A common exam trap is assuming that motivation, experience, caffeine, or professional dedication reliably overcomes sleep deprivation. Significant fatigue can also reduce insight into one's own performance. The candidate should evaluate the task, the degree of fatigue, and the consequences of an error rather than relying on confidence.</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HIGH-RISK TASK RULE  </w:t>
            </w:r>
            <w:r>
              <w:rPr>
                <w:rFonts w:ascii="Aptos" w:hAnsi="Aptos"/>
                <w:color w:val="222A31"/>
                <w:sz w:val="19"/>
              </w:rPr>
              <w:t>The more a task depends on sustained attention, rapid judgment, emergency response, accurate driving, or complex risk assessment, the less tolerance there is for significant fatigue or cognitive slowing.</w:t>
            </w:r>
          </w:p>
        </w:tc>
      </w:tr>
    </w:tbl>
    <w:p>
      <w:r>
        <w:br w:type="page"/>
      </w:r>
    </w:p>
    <w:p>
      <w:pPr>
        <w:pStyle w:val="Heading1"/>
        <w:keepNext/>
        <w:spacing w:before="120" w:after="80"/>
      </w:pPr>
      <w:r>
        <w:t>The ALERT Response Sequence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Question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 Assess current function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can the clinician safely do right now?</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Identify specific deficits rather than relying on diagnosis or intention.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 — Limit immediate risk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Which duties cannot safely continue?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Pause, reassign, cover, or modify high-risk work without unsafe delay.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 — Engage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medical, supervisory, consultation, accommodation, or workplace support is appropriate?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the relevant process while preserving necessary privacy.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 — Reconfigure work and continuity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How can essential duties and client care continue?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Adjust schedule, environment, caseload, technology, collaboration, coverage, referral, or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 — Track recovery and readiness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Is the plan restoring reliable professional performance?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Document relevant decisions, monitor functioning, and reassess before fuller return.</w:t>
            </w:r>
          </w:p>
        </w:tc>
      </w:tr>
    </w:tbl>
    <w:p>
      <w:pPr>
        <w:pStyle w:val="Heading2"/>
        <w:keepNext/>
        <w:spacing w:before="120" w:after="80"/>
      </w:pPr>
      <w:r>
        <w:t>Match the Response to the Actual Functional Problem</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Level of Concern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Condition present; functioning intact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Continue practice with ordinary monitoring and effective supports. Do not assume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Early or mild functional strain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Increase rest and recovery, consult, adjust schedule, use accommodations, or reduce nonessential demands.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Ongoing decline affecting selected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Modify caseload or hours, remove high-risk work, increase oversight, arrange collaboration or coverage, and obtain medical or other support.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Significant inability to practice safely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Stop or limit affected duties, arrange qualified coverage or transfer, use leave when needed, and protect emergencies and records.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Return to fuller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Confirm restored attention, judgment, communication, reliability, endurance, documentation, and risk-management ability.</w:t>
            </w:r>
          </w:p>
        </w:tc>
      </w:tr>
    </w:tbl>
    <w:p>
      <w:pPr>
        <w:pStyle w:val="Heading2"/>
        <w:keepNext/>
        <w:spacing w:before="120" w:after="80"/>
      </w:pPr>
      <w:r>
        <w:t>Reasonable Accommodation and Professional Standards</w:t>
      </w:r>
    </w:p>
    <w:p>
      <w:pPr>
        <w:keepNext w:val="0"/>
        <w:spacing w:before="0" w:after="100" w:line="259" w:lineRule="auto"/>
      </w:pPr>
      <w:r>
        <w:rPr>
          <w:rFonts w:ascii="Aptos" w:hAnsi="Aptos"/>
          <w:b w:val="0"/>
          <w:i w:val="0"/>
          <w:color w:val="222A31"/>
          <w:sz w:val="20"/>
        </w:rPr>
        <w:t>An accommodation may include schedule changes, breaks, assistive technology, remote work when clinically and legally appropriate, modified nonessential duties, accessible equipment, reduced physical demands, or temporary leave. The correct analysis is individualized: does the change enable the clinician to perform essential professional responsibilities safely and effectively?</w:t>
      </w:r>
    </w:p>
    <w:p>
      <w:pPr>
        <w:pStyle w:val="CTAListBullet"/>
        <w:spacing w:after="40" w:line="250" w:lineRule="auto"/>
        <w:ind w:left="259" w:hanging="202"/>
      </w:pPr>
      <w:r>
        <w:rPr>
          <w:rFonts w:ascii="Aptos" w:hAnsi="Aptos"/>
          <w:color w:val="222A31"/>
          <w:sz w:val="19"/>
        </w:rPr>
        <w:t>• An accommodation should not be treated as evidence of incompetence.</w:t>
      </w:r>
    </w:p>
    <w:p>
      <w:pPr>
        <w:pStyle w:val="CTAListBullet"/>
        <w:spacing w:after="40" w:line="250" w:lineRule="auto"/>
        <w:ind w:left="259" w:hanging="202"/>
      </w:pPr>
      <w:r>
        <w:rPr>
          <w:rFonts w:ascii="Aptos" w:hAnsi="Aptos"/>
          <w:color w:val="222A31"/>
          <w:sz w:val="19"/>
        </w:rPr>
        <w:t>• The clinician and employer should not substitute assumptions for an individualized assessment.</w:t>
      </w:r>
    </w:p>
    <w:p>
      <w:pPr>
        <w:pStyle w:val="CTAListBullet"/>
        <w:spacing w:after="40" w:line="250" w:lineRule="auto"/>
        <w:ind w:left="259" w:hanging="202"/>
      </w:pPr>
      <w:r>
        <w:rPr>
          <w:rFonts w:ascii="Aptos" w:hAnsi="Aptos"/>
          <w:color w:val="222A31"/>
          <w:sz w:val="19"/>
        </w:rPr>
        <w:t>• A professional standard is not waived merely because an accommodation is requested.</w:t>
      </w:r>
    </w:p>
    <w:p>
      <w:pPr>
        <w:pStyle w:val="CTAListBullet"/>
        <w:spacing w:after="40" w:line="250" w:lineRule="auto"/>
        <w:ind w:left="259" w:hanging="202"/>
      </w:pPr>
      <w:r>
        <w:rPr>
          <w:rFonts w:ascii="Aptos" w:hAnsi="Aptos"/>
          <w:color w:val="222A31"/>
          <w:sz w:val="19"/>
        </w:rPr>
        <w:t>• If no available accommodation permits safe performance of an essential duty, the duty may need to be reassigned or practice limited.</w:t>
      </w:r>
    </w:p>
    <w:p>
      <w:pPr>
        <w:pStyle w:val="CTAListBullet"/>
        <w:spacing w:after="40" w:line="250" w:lineRule="auto"/>
        <w:ind w:left="259" w:hanging="202"/>
      </w:pPr>
      <w:r>
        <w:rPr>
          <w:rFonts w:ascii="Aptos" w:hAnsi="Aptos"/>
          <w:color w:val="222A31"/>
          <w:sz w:val="19"/>
        </w:rPr>
        <w:t>• Employment-law rights can be fact-specific; examination questions generally focus on individualized analysis, safety, and proportionate action rather than technical litigation rules.</w:t>
      </w:r>
    </w:p>
    <w:p>
      <w:pPr>
        <w:pStyle w:val="Heading2"/>
        <w:keepNext/>
        <w:spacing w:before="120" w:after="80"/>
      </w:pPr>
      <w:r>
        <w:t>Medication, Pain, and Acute Illness</w:t>
      </w:r>
    </w:p>
    <w:p>
      <w:pPr>
        <w:keepNext w:val="0"/>
        <w:spacing w:before="0" w:after="100" w:line="259" w:lineRule="auto"/>
      </w:pPr>
      <w:r>
        <w:rPr>
          <w:rFonts w:ascii="Aptos" w:hAnsi="Aptos"/>
          <w:b w:val="0"/>
          <w:i w:val="0"/>
          <w:color w:val="222A31"/>
          <w:sz w:val="20"/>
        </w:rPr>
        <w:t>Medication status does not decide the professional question. A prescribed or over-the-counter medication may cause sedation, confusion, slowed processing, dizziness, coordination problems, or impaired judgment. The clinician should evaluate the professional effect, communicate with the prescriber when appropriate, and modify duties if safe functioning is not present. Abruptly stopping medication without medical guidance is not the preferred exam response.</w:t>
      </w:r>
    </w:p>
    <w:p>
      <w:pPr>
        <w:keepNext w:val="0"/>
        <w:spacing w:before="0" w:after="100" w:line="259" w:lineRule="auto"/>
      </w:pPr>
      <w:r>
        <w:rPr>
          <w:rFonts w:ascii="Aptos" w:hAnsi="Aptos"/>
          <w:b w:val="0"/>
          <w:i w:val="0"/>
          <w:color w:val="222A31"/>
          <w:sz w:val="20"/>
        </w:rPr>
        <w:t>Severe pain or acute illness can affect attention, patience, communication, and endurance even when the clinician remains motivated. A short-term adjustment may be sufficient for a mild limitation. Confusion, inability to remain awake, inability to communicate accurately, or repeated missed risk information may require immediate coverage or leave.</w:t>
      </w:r>
    </w:p>
    <w:p>
      <w:pPr>
        <w:pStyle w:val="Heading1"/>
        <w:keepNext/>
        <w:spacing w:before="120" w:after="80"/>
      </w:pPr>
      <w:r>
        <w:t>Confidentiality, Communication, and Documentation</w:t>
      </w:r>
    </w:p>
    <w:p>
      <w:pPr>
        <w:pStyle w:val="CTAListBullet"/>
        <w:spacing w:after="40" w:line="250" w:lineRule="auto"/>
        <w:ind w:left="259" w:hanging="202"/>
      </w:pPr>
      <w:r>
        <w:rPr>
          <w:rFonts w:ascii="Aptos" w:hAnsi="Aptos"/>
          <w:color w:val="222A31"/>
          <w:sz w:val="19"/>
        </w:rPr>
        <w:t>• Clients generally need information about scheduling, coverage, availability, transfer, or changes in services—not unnecessary private medical details.</w:t>
      </w:r>
    </w:p>
    <w:p>
      <w:pPr>
        <w:pStyle w:val="CTAListBullet"/>
        <w:spacing w:after="40" w:line="250" w:lineRule="auto"/>
        <w:ind w:left="259" w:hanging="202"/>
      </w:pPr>
      <w:r>
        <w:rPr>
          <w:rFonts w:ascii="Aptos" w:hAnsi="Aptos"/>
          <w:color w:val="222A31"/>
          <w:sz w:val="19"/>
        </w:rPr>
        <w:t>• A supervisee should disclose enough functional information to permit safe supervision and assignment decisions.</w:t>
      </w:r>
    </w:p>
    <w:p>
      <w:pPr>
        <w:pStyle w:val="CTAListBullet"/>
        <w:spacing w:after="40" w:line="250" w:lineRule="auto"/>
        <w:ind w:left="259" w:hanging="202"/>
      </w:pPr>
      <w:r>
        <w:rPr>
          <w:rFonts w:ascii="Aptos" w:hAnsi="Aptos"/>
          <w:color w:val="222A31"/>
          <w:sz w:val="19"/>
        </w:rPr>
        <w:t>• An employee requesting accommodation may need to use the employer's interactive process, but disclosure should remain limited to what the process requires.</w:t>
      </w:r>
    </w:p>
    <w:p>
      <w:pPr>
        <w:pStyle w:val="CTAListBullet"/>
        <w:spacing w:after="40" w:line="250" w:lineRule="auto"/>
        <w:ind w:left="259" w:hanging="202"/>
      </w:pPr>
      <w:r>
        <w:rPr>
          <w:rFonts w:ascii="Aptos" w:hAnsi="Aptos"/>
          <w:color w:val="222A31"/>
          <w:sz w:val="19"/>
        </w:rPr>
        <w:t>• Document the functional concern, risk assessment, consultation or supervision, duty modification, coverage, and follow-up plan when professionally relevant.</w:t>
      </w:r>
    </w:p>
    <w:p>
      <w:pPr>
        <w:pStyle w:val="CTAListBullet"/>
        <w:spacing w:after="40" w:line="250" w:lineRule="auto"/>
        <w:ind w:left="259" w:hanging="202"/>
      </w:pPr>
      <w:r>
        <w:rPr>
          <w:rFonts w:ascii="Aptos" w:hAnsi="Aptos"/>
          <w:color w:val="222A31"/>
          <w:sz w:val="19"/>
        </w:rPr>
        <w:t>• Do not use documentation as a substitute for action. A well-written note does not make unsafe practice acceptable.</w:t>
      </w:r>
    </w:p>
    <w:p>
      <w:pPr>
        <w:pStyle w:val="Heading2"/>
        <w:keepNext/>
        <w:spacing w:before="120" w:after="80"/>
      </w:pPr>
      <w:r>
        <w:t>Colleague and Supervisor Concerns</w:t>
      </w:r>
    </w:p>
    <w:p>
      <w:pPr>
        <w:keepNext w:val="0"/>
        <w:spacing w:before="0" w:after="100" w:line="259" w:lineRule="auto"/>
      </w:pPr>
      <w:r>
        <w:rPr>
          <w:rFonts w:ascii="Aptos" w:hAnsi="Aptos"/>
          <w:b w:val="0"/>
          <w:i w:val="0"/>
          <w:color w:val="222A31"/>
          <w:sz w:val="20"/>
        </w:rPr>
        <w:t>When another professional appears physically unable to practice safely, focus on observable conduct and immediate client risk. Do not diagnose the person, gossip, or equate disability with incapacity. Use the appropriate supervisory, workplace, consultation, emergency, or regulatory process based on the facts and role.</w:t>
      </w:r>
    </w:p>
    <w:p>
      <w:pPr>
        <w:keepNext w:val="0"/>
        <w:spacing w:before="0" w:after="100" w:line="259" w:lineRule="auto"/>
      </w:pPr>
      <w:r>
        <w:rPr>
          <w:rFonts w:ascii="Aptos" w:hAnsi="Aptos"/>
          <w:b w:val="0"/>
          <w:i w:val="0"/>
          <w:color w:val="222A31"/>
          <w:sz w:val="20"/>
        </w:rPr>
        <w:t>A supervisor should evaluate whether an ASW can perform assigned duties safely with support, whether higher-risk work should be reassigned, and whether continuity or emergency coverage is needed. Loyalty, privacy, or staffing pressure does not justify allowing clearly unsafe practice to continue.</w:t>
      </w:r>
    </w:p>
    <w:p>
      <w:r>
        <w:br w:type="page"/>
      </w:r>
    </w:p>
    <w:p>
      <w:pPr>
        <w:pStyle w:val="Heading2"/>
        <w:keepNext/>
        <w:spacing w:before="120" w:after="80"/>
      </w:pPr>
      <w:r>
        <w:t>Return-to-Practice Readiness</w:t>
      </w:r>
    </w:p>
    <w:p>
      <w:pPr>
        <w:keepNext w:val="0"/>
        <w:spacing w:before="0" w:after="100" w:line="259" w:lineRule="auto"/>
      </w:pPr>
      <w:r>
        <w:rPr>
          <w:rFonts w:ascii="Aptos" w:hAnsi="Aptos"/>
          <w:b w:val="0"/>
          <w:i w:val="0"/>
          <w:color w:val="222A31"/>
          <w:sz w:val="20"/>
        </w:rPr>
        <w:t>A fixed number of days, a medical diagnosis, or the clinician's report of feeling better does not by itself establish readiness. The relevant evidence is reliable professional performance. Return may be gradual and may include temporary restrictions, accommodations, reduced caseload, oversight, or trial duties.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Readiness Domain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Evidence to Consider</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Attention and memory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Sustained focus, accurate recall, and no repeated cognitive errors.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Judgment and risk management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Timely, sound decisions and recognition of urgent concerns.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Communication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Clear, accessible, accurate interaction with clients and colleagues.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Reliability and documentation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Consistent attendance, follow-through, and timely accurate records.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Endurance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Ability to sustain the actual schedule and duties without unsafe decline.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Accommodation effectiveness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Support works in the real setting and preserves essential functions.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planning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Coverage and transition plans remain adequate during any staged return.</w:t>
            </w:r>
          </w:p>
        </w:tc>
      </w:tr>
    </w:tbl>
    <w:p>
      <w:r>
        <w:br w:type="page"/>
      </w:r>
    </w:p>
    <w:p>
      <w:pPr>
        <w:pStyle w:val="Heading1"/>
        <w:keepNext/>
        <w:spacing w:before="120" w:after="80"/>
      </w:pPr>
      <w:r>
        <w:t>Clinical Applications</w:t>
      </w:r>
    </w:p>
    <w:p>
      <w:pPr>
        <w:pStyle w:val="Heading2"/>
        <w:keepNext/>
        <w:spacing w:before="100" w:after="40"/>
      </w:pPr>
      <w:r>
        <w:t>1. Chronic condition with effective accommodation</w:t>
      </w:r>
    </w:p>
    <w:p>
      <w:pPr>
        <w:keepNext w:val="0"/>
        <w:spacing w:before="0" w:after="60" w:line="259" w:lineRule="auto"/>
      </w:pPr>
      <w:r>
        <w:rPr>
          <w:rFonts w:ascii="Aptos" w:hAnsi="Aptos"/>
          <w:b w:val="0"/>
          <w:i/>
          <w:color w:val="222A31"/>
          <w:sz w:val="20"/>
        </w:rPr>
        <w:t>A therapist with chronic pain uses an adjustable workstation, shorter session blocks, and scheduled breaks. Attention, documentation, risk assessment, and reliability remain strong.</w:t>
      </w:r>
    </w:p>
    <w:p>
      <w:pPr>
        <w:keepNext w:val="0"/>
        <w:spacing w:before="0" w:after="120" w:line="259" w:lineRule="auto"/>
      </w:pPr>
      <w:r>
        <w:rPr>
          <w:rFonts w:ascii="Aptos" w:hAnsi="Aptos"/>
          <w:b/>
          <w:i w:val="0"/>
          <w:color w:val="08746F"/>
          <w:sz w:val="20"/>
        </w:rPr>
        <w:t>Best analysis: The condition and accommodation do not establish impairment. The support is preserving competent functioning.</w:t>
      </w:r>
    </w:p>
    <w:p>
      <w:pPr>
        <w:pStyle w:val="Heading2"/>
        <w:keepNext/>
        <w:spacing w:before="100" w:after="40"/>
      </w:pPr>
      <w:r>
        <w:t>2. Severe sleep loss before a crisis assessment</w:t>
      </w:r>
    </w:p>
    <w:p>
      <w:pPr>
        <w:keepNext w:val="0"/>
        <w:spacing w:before="0" w:after="60" w:line="259" w:lineRule="auto"/>
      </w:pPr>
      <w:r>
        <w:rPr>
          <w:rFonts w:ascii="Aptos" w:hAnsi="Aptos"/>
          <w:b w:val="0"/>
          <w:i/>
          <w:color w:val="222A31"/>
          <w:sz w:val="20"/>
        </w:rPr>
        <w:t>A clinician has slept only a few hours over several nights, is struggling to remain awake, and is scheduled for an urgent suicide assessment.</w:t>
      </w:r>
    </w:p>
    <w:p>
      <w:pPr>
        <w:keepNext w:val="0"/>
        <w:spacing w:before="0" w:after="120" w:line="259" w:lineRule="auto"/>
      </w:pPr>
      <w:r>
        <w:rPr>
          <w:rFonts w:ascii="Aptos" w:hAnsi="Aptos"/>
          <w:b/>
          <w:i w:val="0"/>
          <w:color w:val="08746F"/>
          <w:sz w:val="20"/>
        </w:rPr>
        <w:t>Best response: Do not rely on motivation or caffeine. Arrange qualified coverage or another immediate protective alternative if the clinician cannot safely perform the task.</w:t>
      </w:r>
    </w:p>
    <w:p>
      <w:pPr>
        <w:pStyle w:val="Heading2"/>
        <w:keepNext/>
        <w:spacing w:before="100" w:after="40"/>
      </w:pPr>
      <w:r>
        <w:t>3. Prescribed medication side effects</w:t>
      </w:r>
    </w:p>
    <w:p>
      <w:pPr>
        <w:keepNext w:val="0"/>
        <w:spacing w:before="0" w:after="60" w:line="259" w:lineRule="auto"/>
      </w:pPr>
      <w:r>
        <w:rPr>
          <w:rFonts w:ascii="Aptos" w:hAnsi="Aptos"/>
          <w:b w:val="0"/>
          <w:i/>
          <w:color w:val="222A31"/>
          <w:sz w:val="20"/>
        </w:rPr>
        <w:t>A new medication causes confusion, slowed thinking, and repeated errors during afternoon sessions.</w:t>
      </w:r>
    </w:p>
    <w:p>
      <w:pPr>
        <w:keepNext w:val="0"/>
        <w:spacing w:before="0" w:after="120" w:line="259" w:lineRule="auto"/>
      </w:pPr>
      <w:r>
        <w:rPr>
          <w:rFonts w:ascii="Aptos" w:hAnsi="Aptos"/>
          <w:b/>
          <w:i w:val="0"/>
          <w:color w:val="08746F"/>
          <w:sz w:val="20"/>
        </w:rPr>
        <w:t>Best response: Assess current safety, modify affected duties, coordinate medically as appropriate, and avoid independently stopping treatment as the sole plan.</w:t>
      </w:r>
    </w:p>
    <w:p>
      <w:pPr>
        <w:pStyle w:val="Heading2"/>
        <w:keepNext/>
        <w:spacing w:before="100" w:after="40"/>
      </w:pPr>
      <w:r>
        <w:t>4. Sensory limitation with successful technology</w:t>
      </w:r>
    </w:p>
    <w:p>
      <w:pPr>
        <w:keepNext w:val="0"/>
        <w:spacing w:before="0" w:after="60" w:line="259" w:lineRule="auto"/>
      </w:pPr>
      <w:r>
        <w:rPr>
          <w:rFonts w:ascii="Aptos" w:hAnsi="Aptos"/>
          <w:b w:val="0"/>
          <w:i/>
          <w:color w:val="222A31"/>
          <w:sz w:val="20"/>
        </w:rPr>
        <w:t>A clinician develops hearing loss and uses reliable assistive technology that permits accurate communication and risk assessment.</w:t>
      </w:r>
    </w:p>
    <w:p>
      <w:pPr>
        <w:keepNext w:val="0"/>
        <w:spacing w:before="0" w:after="120" w:line="259" w:lineRule="auto"/>
      </w:pPr>
      <w:r>
        <w:rPr>
          <w:rFonts w:ascii="Aptos" w:hAnsi="Aptos"/>
          <w:b/>
          <w:i w:val="0"/>
          <w:color w:val="08746F"/>
          <w:sz w:val="20"/>
        </w:rPr>
        <w:t>Best analysis: Effective accommodation may support continued competent practice; the sensory condition alone is not impairment.</w:t>
      </w:r>
    </w:p>
    <w:p>
      <w:pPr>
        <w:pStyle w:val="Heading2"/>
        <w:keepNext/>
        <w:spacing w:before="100" w:after="40"/>
      </w:pPr>
      <w:r>
        <w:t>5. Return after acute illness</w:t>
      </w:r>
    </w:p>
    <w:p>
      <w:pPr>
        <w:keepNext w:val="0"/>
        <w:spacing w:before="0" w:after="60" w:line="259" w:lineRule="auto"/>
      </w:pPr>
      <w:r>
        <w:rPr>
          <w:rFonts w:ascii="Aptos" w:hAnsi="Aptos"/>
          <w:b w:val="0"/>
          <w:i/>
          <w:color w:val="222A31"/>
          <w:sz w:val="20"/>
        </w:rPr>
        <w:t>A clinician feels improved after leave but trial sessions still show fatigue, delayed decisions, and incomplete documentation.</w:t>
      </w:r>
    </w:p>
    <w:p>
      <w:pPr>
        <w:keepNext w:val="0"/>
        <w:spacing w:before="0" w:after="120" w:line="259" w:lineRule="auto"/>
      </w:pPr>
      <w:r>
        <w:rPr>
          <w:rFonts w:ascii="Aptos" w:hAnsi="Aptos"/>
          <w:b/>
          <w:i w:val="0"/>
          <w:color w:val="08746F"/>
          <w:sz w:val="20"/>
        </w:rPr>
        <w:t>Best response: Continue limited or supported duties and base fuller return on demonstrated functioning rather than subjective improvement alone.</w:t>
      </w:r>
    </w:p>
    <w:p>
      <w:pPr>
        <w:pStyle w:val="Heading1"/>
        <w:keepNext/>
        <w:spacing w:before="120" w:after="80"/>
      </w:pPr>
      <w:r>
        <w:t>Common Exam Traps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Diagnosis or disability equals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Evaluate actual professional functioning and available support.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Accommodation proves incompetence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successful accommodation may preserve competence and equal access.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Prescribed medication cannot impair practice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Legal status does not eliminate functional side effects.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Stop medication immediately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Coordinate medically and address current professional duties; do not prescribe for oneself.</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Fatigue is normal, so it is irrelevant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Common conditions may still impair attention, memory, reaction time, and judgment.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Experience overcomes sleep loss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Training and motivation do not reliably erase significant fatigue effects.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Caffeine is a complete safety plan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temporary stimulant does not establish restored fitness for a high-risk task.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Every condition requires leave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accommodations or limited changes when they adequately protect clients.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means the clinician must keep working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cannot justify unsafe practice; use coverage or transfer.</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Clients need the diagnosis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Communicate necessary service information without unnecessary private details.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colleague must be diagnosed</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Address observable conduct, role, and client risk.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Feeling better proves readiness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Return depends on demonstrated professional functioning.</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A physical condition, disability, medication, or fatigue does not automatically establish professional impairment.</w:t>
      </w:r>
    </w:p>
    <w:p>
      <w:pPr>
        <w:pStyle w:val="CTAListBullet"/>
        <w:spacing w:after="60" w:line="250" w:lineRule="auto"/>
        <w:ind w:left="259" w:hanging="202"/>
      </w:pPr>
      <w:r>
        <w:rPr>
          <w:rFonts w:ascii="Aptos" w:hAnsi="Aptos"/>
          <w:color w:val="222A31"/>
          <w:sz w:val="19"/>
        </w:rPr>
        <w:t>• California Business and Professions Code section 820 focuses on possible inability to practice safely because physical illness affects competency.</w:t>
      </w:r>
    </w:p>
    <w:p>
      <w:pPr>
        <w:pStyle w:val="CTAListBullet"/>
        <w:spacing w:after="60" w:line="250" w:lineRule="auto"/>
        <w:ind w:left="259" w:hanging="202"/>
      </w:pPr>
      <w:r>
        <w:rPr>
          <w:rFonts w:ascii="Aptos" w:hAnsi="Aptos"/>
          <w:color w:val="222A31"/>
          <w:sz w:val="19"/>
        </w:rPr>
        <w:t>• Evaluate alertness, memory, judgment, communication, endurance, documentation, reliability, and emergency response.</w:t>
      </w:r>
    </w:p>
    <w:p>
      <w:pPr>
        <w:pStyle w:val="CTAListBullet"/>
        <w:spacing w:after="60" w:line="250" w:lineRule="auto"/>
        <w:ind w:left="259" w:hanging="202"/>
      </w:pPr>
      <w:r>
        <w:rPr>
          <w:rFonts w:ascii="Aptos" w:hAnsi="Aptos"/>
          <w:color w:val="222A31"/>
          <w:sz w:val="19"/>
        </w:rPr>
        <w:t>• Fatigue can reduce attention, short-term memory, reaction time, and judgment; confidence is not a sufficient fitness assessment.</w:t>
      </w:r>
    </w:p>
    <w:p>
      <w:pPr>
        <w:pStyle w:val="CTAListBullet"/>
        <w:spacing w:after="60" w:line="250" w:lineRule="auto"/>
        <w:ind w:left="259" w:hanging="202"/>
      </w:pPr>
      <w:r>
        <w:rPr>
          <w:rFonts w:ascii="Aptos" w:hAnsi="Aptos"/>
          <w:color w:val="222A31"/>
          <w:sz w:val="19"/>
        </w:rPr>
        <w:t>• Reasonable accommodation may preserve competent practice when it enables essential professional functions safely and effectively.</w:t>
      </w:r>
    </w:p>
    <w:p>
      <w:pPr>
        <w:pStyle w:val="CTAListBullet"/>
        <w:spacing w:after="60" w:line="250" w:lineRule="auto"/>
        <w:ind w:left="259" w:hanging="202"/>
      </w:pPr>
      <w:r>
        <w:rPr>
          <w:rFonts w:ascii="Aptos" w:hAnsi="Aptos"/>
          <w:color w:val="222A31"/>
          <w:sz w:val="19"/>
        </w:rPr>
        <w:t>• Use ALERT: Assess function, Limit risk, Engage support, Reconfigure work and continuity, Track recovery.</w:t>
      </w:r>
    </w:p>
    <w:p>
      <w:pPr>
        <w:pStyle w:val="CTAListBullet"/>
        <w:spacing w:after="60" w:line="250" w:lineRule="auto"/>
        <w:ind w:left="259" w:hanging="202"/>
      </w:pPr>
      <w:r>
        <w:rPr>
          <w:rFonts w:ascii="Aptos" w:hAnsi="Aptos"/>
          <w:color w:val="222A31"/>
          <w:sz w:val="19"/>
        </w:rPr>
        <w:t>• Medication side effects require functional analysis, medical coordination when appropriate, and professional-duty changes when needed.</w:t>
      </w:r>
    </w:p>
    <w:p>
      <w:pPr>
        <w:pStyle w:val="CTAListBullet"/>
        <w:spacing w:after="60" w:line="250" w:lineRule="auto"/>
        <w:ind w:left="259" w:hanging="202"/>
      </w:pPr>
      <w:r>
        <w:rPr>
          <w:rFonts w:ascii="Aptos" w:hAnsi="Aptos"/>
          <w:color w:val="222A31"/>
          <w:sz w:val="19"/>
        </w:rPr>
        <w:t>• Return to fuller duties is based on demonstrated restoration of professional functioning.</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20"/>
              </w:rPr>
              <w:t xml:space="preserve">CTA EXAM STRATEGY  </w:t>
            </w:r>
            <w:r>
              <w:rPr>
                <w:rFonts w:ascii="Aptos" w:hAnsi="Aptos"/>
                <w:color w:val="222A31"/>
                <w:sz w:val="20"/>
              </w:rPr>
              <w:t>Ask in order: What function is affected? Can this clinician safely perform this task now? Can an accommodation or duty change adequately protect clients? What continuity plan is needed? What evidence supports return?</w:t>
            </w:r>
          </w:p>
        </w:tc>
      </w:tr>
    </w:tbl>
    <w:p>
      <w:pPr>
        <w:pStyle w:val="Heading1"/>
        <w:keepNext/>
        <w:spacing w:before="120" w:after="80"/>
        <w:pageBreakBefore/>
      </w:pPr>
      <w:r>
        <w:t>Chapter 5</w:t>
      </w:r>
    </w:p>
    <w:p>
      <w:pPr>
        <w:pStyle w:val="Title"/>
      </w:pPr>
      <w:r>
        <w:t>Responding Ethically to Professional Impairment</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Recognizing impairment is only the beginning. Ethical practice requires a timely, proportionate response that protects clients, preserves continuity when safe, and permits fuller duties only when professional functioning is restored.</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Explain why recognition without corrective action is ethically insufficient.</w:t>
      </w:r>
    </w:p>
    <w:p>
      <w:pPr>
        <w:pStyle w:val="CTAListNumber"/>
        <w:spacing w:after="40" w:line="250" w:lineRule="auto"/>
        <w:ind w:left="331" w:hanging="331"/>
      </w:pPr>
      <w:r>
        <w:rPr>
          <w:rFonts w:ascii="Aptos" w:hAnsi="Aptos"/>
          <w:color w:val="222A31"/>
          <w:sz w:val="19"/>
        </w:rPr>
        <w:t>2. Assess immediate client risk before selecting a longer-term impairment response.</w:t>
      </w:r>
    </w:p>
    <w:p>
      <w:pPr>
        <w:pStyle w:val="CTAListNumber"/>
        <w:spacing w:after="40" w:line="250" w:lineRule="auto"/>
        <w:ind w:left="331" w:hanging="331"/>
      </w:pPr>
      <w:r>
        <w:rPr>
          <w:rFonts w:ascii="Aptos" w:hAnsi="Aptos"/>
          <w:color w:val="222A31"/>
          <w:sz w:val="19"/>
        </w:rPr>
        <w:t>3. Use the PROTECT sequence to build a proportionate client-protection plan.</w:t>
      </w:r>
    </w:p>
    <w:p>
      <w:pPr>
        <w:pStyle w:val="CTAListNumber"/>
        <w:spacing w:after="40" w:line="250" w:lineRule="auto"/>
        <w:ind w:left="331" w:hanging="331"/>
      </w:pPr>
      <w:r>
        <w:rPr>
          <w:rFonts w:ascii="Aptos" w:hAnsi="Aptos"/>
          <w:color w:val="222A31"/>
          <w:sz w:val="19"/>
        </w:rPr>
        <w:t>4. Differentiate consultation, supervision, personal treatment, accommodation, duty modification, leave, referral, and transfer.</w:t>
      </w:r>
    </w:p>
    <w:p>
      <w:pPr>
        <w:pStyle w:val="CTAListNumber"/>
        <w:spacing w:after="40" w:line="250" w:lineRule="auto"/>
        <w:ind w:left="331" w:hanging="331"/>
      </w:pPr>
      <w:r>
        <w:rPr>
          <w:rFonts w:ascii="Aptos" w:hAnsi="Aptos"/>
          <w:color w:val="222A31"/>
          <w:sz w:val="19"/>
        </w:rPr>
        <w:t>5. Protect continuity of care while limiting or stopping unsafe practice.</w:t>
      </w:r>
    </w:p>
    <w:p>
      <w:pPr>
        <w:pStyle w:val="CTAListNumber"/>
        <w:spacing w:after="40" w:line="250" w:lineRule="auto"/>
        <w:ind w:left="331" w:hanging="331"/>
      </w:pPr>
      <w:r>
        <w:rPr>
          <w:rFonts w:ascii="Aptos" w:hAnsi="Aptos"/>
          <w:color w:val="222A31"/>
          <w:sz w:val="19"/>
        </w:rPr>
        <w:t>6. Apply role-specific responsibilities to supervisee, supervisor, and colleague impairment concerns.</w:t>
      </w:r>
    </w:p>
    <w:p>
      <w:pPr>
        <w:pStyle w:val="CTAListNumber"/>
        <w:spacing w:after="40" w:line="250" w:lineRule="auto"/>
        <w:ind w:left="331" w:hanging="331"/>
      </w:pPr>
      <w:r>
        <w:rPr>
          <w:rFonts w:ascii="Aptos" w:hAnsi="Aptos"/>
          <w:color w:val="222A31"/>
          <w:sz w:val="19"/>
        </w:rPr>
        <w:t>7. Document impairment-related professional decisions without unnecessary private disclosure.</w:t>
      </w:r>
    </w:p>
    <w:p>
      <w:pPr>
        <w:pStyle w:val="CTAListNumber"/>
        <w:spacing w:after="40" w:line="250" w:lineRule="auto"/>
        <w:ind w:left="331" w:hanging="331"/>
      </w:pPr>
      <w:r>
        <w:rPr>
          <w:rFonts w:ascii="Aptos" w:hAnsi="Aptos"/>
          <w:color w:val="222A31"/>
          <w:sz w:val="19"/>
        </w:rPr>
        <w:t>8. Evaluate return-to-practice readiness using demonstrated professional functioning.</w:t>
      </w:r>
    </w:p>
    <w:p>
      <w:pPr>
        <w:pStyle w:val="CTAListNumber"/>
        <w:spacing w:after="40" w:line="250" w:lineRule="auto"/>
        <w:ind w:left="331" w:hanging="331"/>
      </w:pPr>
      <w:r>
        <w:rPr>
          <w:rFonts w:ascii="Aptos" w:hAnsi="Aptos"/>
          <w:color w:val="222A31"/>
          <w:sz w:val="19"/>
        </w:rPr>
        <w:t>9. Distinguish ordinary ethical action from formal BBS fitness and disciplinary processes.</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Impairment questions often present several responses that sound responsible: seek therapy, consult a colleague, reduce hours, take leave, refer high-risk clients, or report a colleague. The examination is testing whether the candidate chooses the response that addresses the actual level of risk and the clinician’s professional role.</w:t>
      </w:r>
    </w:p>
    <w:p>
      <w:pPr>
        <w:keepNext w:val="0"/>
        <w:spacing w:before="0" w:after="100" w:line="259" w:lineRule="auto"/>
      </w:pPr>
      <w:r>
        <w:rPr>
          <w:rFonts w:ascii="Aptos" w:hAnsi="Aptos"/>
          <w:b w:val="0"/>
          <w:i w:val="0"/>
          <w:color w:val="222A31"/>
          <w:sz w:val="20"/>
        </w:rPr>
        <w:t>The strongest answer usually does more than name a helpful resource. It connects assistance to current client protection. A therapist may begin treatment and still be unable to conduct a crisis assessment safely. A supervisee may disclose a condition, yet assignments may still need modification. A colleague may need support, but immediate client danger cannot wait for a private conversation.</w:t>
      </w:r>
    </w:p>
    <w:p>
      <w:pPr>
        <w:pStyle w:val="Heading2"/>
        <w:keepNext/>
        <w:spacing w:before="120" w:after="80"/>
      </w:pPr>
      <w:r>
        <w:t>California Legal and Examination Framework</w:t>
      </w:r>
    </w:p>
    <w:p>
      <w:pPr>
        <w:keepNext w:val="0"/>
        <w:spacing w:before="0" w:after="100" w:line="259" w:lineRule="auto"/>
      </w:pPr>
      <w:r>
        <w:rPr>
          <w:rFonts w:ascii="Aptos" w:hAnsi="Aptos"/>
          <w:b w:val="0"/>
          <w:i w:val="0"/>
          <w:color w:val="222A31"/>
          <w:sz w:val="20"/>
        </w:rPr>
        <w:t>California law and professional ethics address impairment through several related but distinct frameworks. Candidates should not collapse them into one automatic rule.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Framework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Addresses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Precision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BPC §§ 820–822</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Formal licensing-agency evaluation and possible action when illness may impair safe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This is a Board process, not the first response to every everyday concern.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Clinical Social Worker Practice Act — BPC § 4992.3(c)–(e)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Unsafe practice, incompetence or gross negligence, and substance use that impairs safe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Client safety and professional performance remain central.</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Social-work ethics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Monitoring impairment, obtaining assistance, limiting unsafe work, and addressing colleague concerns.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t>NASW ethical standards supplement California law and current client-protection duties.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Employment and supervision systems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Work assignments, accommodation, leave, coverage, remediation, and oversight.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the process that matches the clinician’s role and setting.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safety duties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Urgent action when a client or another person faces immediate danger.</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Protective action cannot be delayed for routine consultation or treatment planning.</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LEGAL PRECISION  </w:t>
            </w:r>
            <w:r>
              <w:rPr>
                <w:rFonts w:ascii="Aptos" w:hAnsi="Aptos"/>
                <w:color w:val="222A31"/>
                <w:sz w:val="19"/>
              </w:rPr>
              <w:t>Do not assume that every impairment concern must be reported to the BBS. Reporting depends on a specific legal requirement, professional role, workplace rule, court order, or other applicable authority. The immediate ethical question is what action is necessary to protect clients now.</w:t>
            </w:r>
          </w:p>
        </w:tc>
      </w:tr>
    </w:tbl>
    <w:p>
      <w:r>
        <w:br w:type="page"/>
      </w:r>
    </w:p>
    <w:p>
      <w:pPr>
        <w:pStyle w:val="Heading1"/>
        <w:keepNext/>
        <w:spacing w:before="120" w:after="80"/>
      </w:pPr>
      <w:r>
        <w:t>Recognition Is Not the Same as Response</w:t>
      </w:r>
    </w:p>
    <w:p>
      <w:pPr>
        <w:keepNext w:val="0"/>
        <w:spacing w:before="0" w:after="100" w:line="259" w:lineRule="auto"/>
      </w:pPr>
      <w:r>
        <w:rPr>
          <w:rFonts w:ascii="Aptos" w:hAnsi="Aptos"/>
          <w:b w:val="0"/>
          <w:i w:val="0"/>
          <w:color w:val="222A31"/>
          <w:sz w:val="20"/>
        </w:rPr>
        <w:t>A clinician may correctly recognize impairment and still respond inadequately. Ethical responsibility requires the plan to address both the underlying concern and the effect on current professional duties.</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Incomplete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Is Insufficient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Stronger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 started therapy.”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Treatment supports recovery but may not protect clients during current functional decline.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Address client risk, workload, coverage, and treatment together.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 told my supervisor.”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Disclosure alone does not determine whether assignments remain safe.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Provide enough functional information for supervision, duty changes, and follow-up.</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 will try harder.”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Motivation does not restore attention, judgment, or reliability.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measurable changes and objective reassessment.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“No client has complained.”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complaint is not required when warning signs and risk are already present.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Intervene before harm or complaint.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 documented the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Documentation does not substitute for corrective action.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Document and implement a sufficient protection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colleague promised to improve.”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promise may be encouraging but does not resolve persistent unsafe performance.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Monitor observable change and use appropriate channels if risk continues.</w:t>
            </w:r>
          </w:p>
        </w:tc>
      </w:tr>
    </w:tbl>
    <w:p>
      <w:pPr>
        <w:pStyle w:val="Heading1"/>
        <w:keepNext/>
        <w:spacing w:before="120" w:after="80"/>
      </w:pPr>
      <w:r>
        <w:t>The PROTECT Response Sequence</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MEMORY AID  </w:t>
            </w:r>
            <w:r>
              <w:rPr>
                <w:rFonts w:ascii="Aptos" w:hAnsi="Aptos"/>
                <w:color w:val="222A31"/>
                <w:sz w:val="19"/>
              </w:rPr>
              <w:t>PROTECT = Prioritize safety • Review functioning and role • Obtain qualified help • Tailor duties and continuity • Explain only what is necessary • Chart decisions • Track recovery and return.</w:t>
            </w:r>
          </w:p>
        </w:tc>
      </w:tr>
    </w:tbl>
    <w:p>
      <w:pPr>
        <w:pStyle w:val="Heading2"/>
        <w:keepNext/>
        <w:spacing w:before="100" w:after="40"/>
      </w:pPr>
      <w:r>
        <w:t>P — Prioritize Immediate Safety</w:t>
      </w:r>
    </w:p>
    <w:p>
      <w:pPr>
        <w:pStyle w:val="CTAListBullet"/>
        <w:spacing w:after="40" w:line="250" w:lineRule="auto"/>
        <w:ind w:left="259" w:hanging="202"/>
      </w:pPr>
      <w:r>
        <w:rPr>
          <w:rFonts w:ascii="Aptos" w:hAnsi="Aptos"/>
          <w:color w:val="222A31"/>
          <w:sz w:val="19"/>
        </w:rPr>
        <w:t>• Determine whether the clinician can practice safely at that moment.</w:t>
      </w:r>
    </w:p>
    <w:p>
      <w:pPr>
        <w:pStyle w:val="CTAListBullet"/>
        <w:spacing w:after="40" w:line="250" w:lineRule="auto"/>
        <w:ind w:left="259" w:hanging="202"/>
      </w:pPr>
      <w:r>
        <w:rPr>
          <w:rFonts w:ascii="Aptos" w:hAnsi="Aptos"/>
          <w:color w:val="222A31"/>
          <w:sz w:val="19"/>
        </w:rPr>
        <w:t>• Address urgent client danger, crisis coverage, unsafe driving, intoxication, severe confusion, or inability to remain alert before routine long-term planning.</w:t>
      </w:r>
    </w:p>
    <w:p>
      <w:pPr>
        <w:pStyle w:val="CTAListBullet"/>
        <w:spacing w:after="40" w:line="250" w:lineRule="auto"/>
        <w:ind w:left="259" w:hanging="202"/>
      </w:pPr>
      <w:r>
        <w:rPr>
          <w:rFonts w:ascii="Aptos" w:hAnsi="Aptos"/>
          <w:color w:val="222A31"/>
          <w:sz w:val="19"/>
        </w:rPr>
        <w:t>• Do not leave high-risk clients without a qualified alternative merely because the clinician is embarrassed or staffing is difficult.</w:t>
      </w:r>
    </w:p>
    <w:p>
      <w:pPr>
        <w:pStyle w:val="Heading2"/>
        <w:keepNext/>
        <w:spacing w:before="100" w:after="40"/>
      </w:pPr>
      <w:r>
        <w:t>R — Review Functioning, Pattern, and Role</w:t>
      </w:r>
    </w:p>
    <w:p>
      <w:pPr>
        <w:pStyle w:val="CTAListBullet"/>
        <w:spacing w:after="40" w:line="250" w:lineRule="auto"/>
        <w:ind w:left="259" w:hanging="202"/>
      </w:pPr>
      <w:r>
        <w:rPr>
          <w:rFonts w:ascii="Aptos" w:hAnsi="Aptos"/>
          <w:color w:val="222A31"/>
          <w:sz w:val="19"/>
        </w:rPr>
        <w:t>• Identify the specific professional functions affected: judgment, attention, boundaries, reliability, documentation, communication, risk assessment, or treatment effectiveness.</w:t>
      </w:r>
    </w:p>
    <w:p>
      <w:pPr>
        <w:pStyle w:val="CTAListBullet"/>
        <w:spacing w:after="40" w:line="250" w:lineRule="auto"/>
        <w:ind w:left="259" w:hanging="202"/>
      </w:pPr>
      <w:r>
        <w:rPr>
          <w:rFonts w:ascii="Aptos" w:hAnsi="Aptos"/>
          <w:color w:val="222A31"/>
          <w:sz w:val="19"/>
        </w:rPr>
        <w:t>• Consider frequency, persistence, severity, change from baseline, insight, and response to feedback.</w:t>
      </w:r>
    </w:p>
    <w:p>
      <w:pPr>
        <w:pStyle w:val="CTAListBullet"/>
        <w:spacing w:after="40" w:line="250" w:lineRule="auto"/>
        <w:ind w:left="259" w:hanging="202"/>
      </w:pPr>
      <w:r>
        <w:rPr>
          <w:rFonts w:ascii="Aptos" w:hAnsi="Aptos"/>
          <w:color w:val="222A31"/>
          <w:sz w:val="19"/>
        </w:rPr>
        <w:t>• Clarify whether the person is an LCSW, ASW, supervisor, colleague, employee, contractor, or practice owner; role changes the available processes.</w:t>
      </w:r>
    </w:p>
    <w:p>
      <w:pPr>
        <w:pStyle w:val="Heading2"/>
        <w:keepNext/>
        <w:spacing w:before="100" w:after="40"/>
      </w:pPr>
      <w:r>
        <w:t>O — Obtain Qualified Help</w:t>
      </w:r>
    </w:p>
    <w:p>
      <w:pPr>
        <w:pStyle w:val="CTAListBullet"/>
        <w:spacing w:after="40" w:line="250" w:lineRule="auto"/>
        <w:ind w:left="259" w:hanging="202"/>
      </w:pPr>
      <w:r>
        <w:rPr>
          <w:rFonts w:ascii="Aptos" w:hAnsi="Aptos"/>
          <w:color w:val="222A31"/>
          <w:sz w:val="19"/>
        </w:rPr>
        <w:t>• Use consultation, supervision, medical care, behavioral-health treatment, employee assistance, risk-management consultation, or legal advice as appropriate.</w:t>
      </w:r>
    </w:p>
    <w:p>
      <w:pPr>
        <w:pStyle w:val="CTAListBullet"/>
        <w:spacing w:after="40" w:line="250" w:lineRule="auto"/>
        <w:ind w:left="259" w:hanging="202"/>
      </w:pPr>
      <w:r>
        <w:rPr>
          <w:rFonts w:ascii="Aptos" w:hAnsi="Aptos"/>
          <w:color w:val="222A31"/>
          <w:sz w:val="19"/>
        </w:rPr>
        <w:t>• Select help that addresses the actual concern. A clinical consultant cannot prescribe medication, and a personal therapist does not decide legal reporting duties.</w:t>
      </w:r>
    </w:p>
    <w:p>
      <w:pPr>
        <w:pStyle w:val="CTAListBullet"/>
        <w:spacing w:after="40" w:line="250" w:lineRule="auto"/>
        <w:ind w:left="259" w:hanging="202"/>
      </w:pPr>
      <w:r>
        <w:rPr>
          <w:rFonts w:ascii="Aptos" w:hAnsi="Aptos"/>
          <w:color w:val="222A31"/>
          <w:sz w:val="19"/>
        </w:rPr>
        <w:t>• Seeking help is responsible, but assistance does not transfer the clinician’s professional responsibility.</w:t>
      </w:r>
    </w:p>
    <w:p>
      <w:pPr>
        <w:pStyle w:val="Heading2"/>
        <w:keepNext/>
        <w:spacing w:before="100" w:after="40"/>
      </w:pPr>
      <w:r>
        <w:t>T — Tailor Duties and Continuity</w:t>
      </w:r>
    </w:p>
    <w:p>
      <w:pPr>
        <w:pStyle w:val="CTAListBullet"/>
        <w:spacing w:after="40" w:line="250" w:lineRule="auto"/>
        <w:ind w:left="259" w:hanging="202"/>
      </w:pPr>
      <w:r>
        <w:rPr>
          <w:rFonts w:ascii="Aptos" w:hAnsi="Aptos"/>
          <w:color w:val="222A31"/>
          <w:sz w:val="19"/>
        </w:rPr>
        <w:t>• Use the least disruptive change that adequately protects clients: increased oversight, reduced caseload, removal from high-risk work, shorter hours, accommodation, qualified coverage, referral, transfer, or temporary leave.</w:t>
      </w:r>
    </w:p>
    <w:p>
      <w:pPr>
        <w:pStyle w:val="CTAListBullet"/>
        <w:spacing w:after="40" w:line="250" w:lineRule="auto"/>
        <w:ind w:left="259" w:hanging="202"/>
      </w:pPr>
      <w:r>
        <w:rPr>
          <w:rFonts w:ascii="Aptos" w:hAnsi="Aptos"/>
          <w:color w:val="222A31"/>
          <w:sz w:val="19"/>
        </w:rPr>
        <w:t>• Avoid abrupt abandonment. Arrange emergency access, records, referrals, coverage, and a clinically appropriate transition.</w:t>
      </w:r>
    </w:p>
    <w:p>
      <w:pPr>
        <w:pStyle w:val="CTAListBullet"/>
        <w:spacing w:after="40" w:line="250" w:lineRule="auto"/>
        <w:ind w:left="259" w:hanging="202"/>
      </w:pPr>
      <w:r>
        <w:rPr>
          <w:rFonts w:ascii="Aptos" w:hAnsi="Aptos"/>
          <w:color w:val="222A31"/>
          <w:sz w:val="19"/>
        </w:rPr>
        <w:t>• Continuity is important, but it cannot justify unsafe practice.</w:t>
      </w:r>
    </w:p>
    <w:p>
      <w:pPr>
        <w:pStyle w:val="Heading2"/>
        <w:keepNext/>
        <w:spacing w:before="100" w:after="40"/>
      </w:pPr>
      <w:r>
        <w:t>E — Explain Only What Is Necessary</w:t>
      </w:r>
    </w:p>
    <w:p>
      <w:pPr>
        <w:pStyle w:val="CTAListBullet"/>
        <w:spacing w:after="40" w:line="250" w:lineRule="auto"/>
        <w:ind w:left="259" w:hanging="202"/>
      </w:pPr>
      <w:r>
        <w:rPr>
          <w:rFonts w:ascii="Aptos" w:hAnsi="Aptos"/>
          <w:color w:val="222A31"/>
          <w:sz w:val="19"/>
        </w:rPr>
        <w:t>• Clients generally need accurate service information, not the clinician’s private diagnosis or treatment details.</w:t>
      </w:r>
    </w:p>
    <w:p>
      <w:pPr>
        <w:pStyle w:val="CTAListBullet"/>
        <w:spacing w:after="40" w:line="250" w:lineRule="auto"/>
        <w:ind w:left="259" w:hanging="202"/>
      </w:pPr>
      <w:r>
        <w:rPr>
          <w:rFonts w:ascii="Aptos" w:hAnsi="Aptos"/>
          <w:color w:val="222A31"/>
          <w:sz w:val="19"/>
        </w:rPr>
        <w:t>• Supervisors, employers, insurers, or accommodation processes may require limited functional information consistent with applicable law and policy.</w:t>
      </w:r>
    </w:p>
    <w:p>
      <w:pPr>
        <w:pStyle w:val="CTAListBullet"/>
        <w:spacing w:after="40" w:line="250" w:lineRule="auto"/>
        <w:ind w:left="259" w:hanging="202"/>
      </w:pPr>
      <w:r>
        <w:rPr>
          <w:rFonts w:ascii="Aptos" w:hAnsi="Aptos"/>
          <w:color w:val="222A31"/>
          <w:sz w:val="19"/>
        </w:rPr>
        <w:t>• Do not gossip, publicly label a colleague, or disclose more than is needed for safety and coordination.</w:t>
      </w:r>
    </w:p>
    <w:p>
      <w:pPr>
        <w:pStyle w:val="Heading2"/>
        <w:keepNext/>
        <w:spacing w:before="100" w:after="40"/>
      </w:pPr>
      <w:r>
        <w:t>C — Chart Relevant Decisions</w:t>
      </w:r>
    </w:p>
    <w:p>
      <w:pPr>
        <w:pStyle w:val="CTAListBullet"/>
        <w:spacing w:after="40" w:line="250" w:lineRule="auto"/>
        <w:ind w:left="259" w:hanging="202"/>
      </w:pPr>
      <w:r>
        <w:rPr>
          <w:rFonts w:ascii="Aptos" w:hAnsi="Aptos"/>
          <w:color w:val="222A31"/>
          <w:sz w:val="19"/>
        </w:rPr>
        <w:t>• Document observable functional concerns, client-risk assessment, consultation or supervision, duty changes, coverage, referral, and follow-up when professionally relevant.</w:t>
      </w:r>
    </w:p>
    <w:p>
      <w:pPr>
        <w:pStyle w:val="CTAListBullet"/>
        <w:spacing w:after="40" w:line="250" w:lineRule="auto"/>
        <w:ind w:left="259" w:hanging="202"/>
      </w:pPr>
      <w:r>
        <w:rPr>
          <w:rFonts w:ascii="Aptos" w:hAnsi="Aptos"/>
          <w:color w:val="222A31"/>
          <w:sz w:val="19"/>
        </w:rPr>
        <w:t>• Use neutral, behavior-based language and avoid unsupported diagnoses.</w:t>
      </w:r>
    </w:p>
    <w:p>
      <w:pPr>
        <w:pStyle w:val="CTAListBullet"/>
        <w:spacing w:after="40" w:line="250" w:lineRule="auto"/>
        <w:ind w:left="259" w:hanging="202"/>
      </w:pPr>
      <w:r>
        <w:rPr>
          <w:rFonts w:ascii="Aptos" w:hAnsi="Aptos"/>
          <w:color w:val="222A31"/>
          <w:sz w:val="19"/>
        </w:rPr>
        <w:t>• Documentation should show clinical reasoning and implementation—not merely defensive note-writing.</w:t>
      </w:r>
    </w:p>
    <w:p>
      <w:pPr>
        <w:pStyle w:val="Heading2"/>
        <w:keepNext/>
        <w:spacing w:before="100" w:after="40"/>
      </w:pPr>
      <w:r>
        <w:t>T — Track Recovery and Return</w:t>
      </w:r>
    </w:p>
    <w:p>
      <w:pPr>
        <w:pStyle w:val="CTAListBullet"/>
        <w:spacing w:after="40" w:line="250" w:lineRule="auto"/>
        <w:ind w:left="259" w:hanging="202"/>
      </w:pPr>
      <w:r>
        <w:rPr>
          <w:rFonts w:ascii="Aptos" w:hAnsi="Aptos"/>
          <w:color w:val="222A31"/>
          <w:sz w:val="19"/>
        </w:rPr>
        <w:t>• Reevaluate whether the response is working and whether risk has decreased.</w:t>
      </w:r>
    </w:p>
    <w:p>
      <w:pPr>
        <w:pStyle w:val="CTAListBullet"/>
        <w:spacing w:after="40" w:line="250" w:lineRule="auto"/>
        <w:ind w:left="259" w:hanging="202"/>
      </w:pPr>
      <w:r>
        <w:rPr>
          <w:rFonts w:ascii="Aptos" w:hAnsi="Aptos"/>
          <w:color w:val="222A31"/>
          <w:sz w:val="19"/>
        </w:rPr>
        <w:t>• Use objective evidence such as reliable attendance, accurate records, sound judgment, sustained attention, stable boundaries, and competent risk management.</w:t>
      </w:r>
    </w:p>
    <w:p>
      <w:pPr>
        <w:pStyle w:val="CTAListBullet"/>
        <w:spacing w:after="40" w:line="250" w:lineRule="auto"/>
        <w:ind w:left="259" w:hanging="202"/>
      </w:pPr>
      <w:r>
        <w:rPr>
          <w:rFonts w:ascii="Aptos" w:hAnsi="Aptos"/>
          <w:color w:val="222A31"/>
          <w:sz w:val="19"/>
        </w:rPr>
        <w:t>• Return may be gradual. Feeling better, completing treatment, or passing a fixed date does not automatically establish full readiness.</w:t>
      </w:r>
    </w:p>
    <w:p>
      <w:r>
        <w:br w:type="page"/>
      </w:r>
    </w:p>
    <w:p>
      <w:pPr>
        <w:pStyle w:val="Heading1"/>
        <w:keepNext/>
        <w:spacing w:before="120" w:after="80"/>
      </w:pPr>
      <w:r>
        <w:t>Match the Response to Severity and Risk</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Level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Functional Picture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Ethical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1. Monitor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Temporary strain; functioning remains intact.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Self-monitoring, routine support, recovery time, preventive consultation.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2. Increase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Early decline or isolated errors; safe practice remains possible with help.</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Consultation, supervision, treatment, accommodation, increased monitoring.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3. Modify practice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Ongoing impairment affects some duties but safe care may continue with limits.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Reduce workload, remove high-risk cases, modify schedule or duties, add oversight or coverage.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4. Limit or stop affected duties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Significant decline affects judgment, reliability, risk assessment, or client safety.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Stop unsafe work, arrange qualified coverage, transfer selected clients, take temporary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5. Immediate protective action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Clinician cannot safely function now or a client faces urgent danger.</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 not begin or continue the unsafe duty; activate emergency, supervisory, workplace, or coverage procedures.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6. Reevaluate return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Symptoms improve or treatment begins, but readiness must be demonstrated.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Staged return, continued support, trial duties, objective review before full caseload or high-risk work.</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PROPORTIONALITY RULE  </w:t>
            </w:r>
            <w:r>
              <w:rPr>
                <w:rFonts w:ascii="Aptos" w:hAnsi="Aptos"/>
                <w:color w:val="222A31"/>
                <w:sz w:val="19"/>
              </w:rPr>
              <w:t>The least restrictive response is appropriate only when it adequately protects clients. “Least restrictive” does not mean “least inconvenient” for the clinician or employer.</w:t>
            </w:r>
          </w:p>
        </w:tc>
      </w:tr>
    </w:tbl>
    <w:p>
      <w:pPr>
        <w:pStyle w:val="Heading2"/>
        <w:keepNext/>
        <w:spacing w:before="120" w:after="80"/>
      </w:pPr>
      <w:r>
        <w:t>Protecting Current Clients and Continuity of Care</w:t>
      </w:r>
    </w:p>
    <w:p>
      <w:pPr>
        <w:pStyle w:val="CTAListBullet"/>
        <w:spacing w:after="40" w:line="250" w:lineRule="auto"/>
        <w:ind w:left="259" w:hanging="202"/>
      </w:pPr>
      <w:r>
        <w:rPr>
          <w:rFonts w:ascii="Aptos" w:hAnsi="Aptos"/>
          <w:color w:val="222A31"/>
          <w:sz w:val="19"/>
        </w:rPr>
        <w:t>• Identify clients whose acuity, crisis risk, dependence on specialized services, or limited alternatives make disruption especially significant.</w:t>
      </w:r>
    </w:p>
    <w:p>
      <w:pPr>
        <w:pStyle w:val="CTAListBullet"/>
        <w:spacing w:after="40" w:line="250" w:lineRule="auto"/>
        <w:ind w:left="259" w:hanging="202"/>
      </w:pPr>
      <w:r>
        <w:rPr>
          <w:rFonts w:ascii="Aptos" w:hAnsi="Aptos"/>
          <w:color w:val="222A31"/>
          <w:sz w:val="19"/>
        </w:rPr>
        <w:t>• Arrange qualified coverage or transfer before stopping affected services whenever the situation allows.</w:t>
      </w:r>
    </w:p>
    <w:p>
      <w:pPr>
        <w:pStyle w:val="CTAListBullet"/>
        <w:spacing w:after="40" w:line="250" w:lineRule="auto"/>
        <w:ind w:left="259" w:hanging="202"/>
      </w:pPr>
      <w:r>
        <w:rPr>
          <w:rFonts w:ascii="Aptos" w:hAnsi="Aptos"/>
          <w:color w:val="222A31"/>
          <w:sz w:val="19"/>
        </w:rPr>
        <w:t>• Provide reasonable notice and referral assistance, but shorten the transition when immediate safety requires prompt change.</w:t>
      </w:r>
    </w:p>
    <w:p>
      <w:pPr>
        <w:pStyle w:val="CTAListBullet"/>
        <w:spacing w:after="40" w:line="250" w:lineRule="auto"/>
        <w:ind w:left="259" w:hanging="202"/>
      </w:pPr>
      <w:r>
        <w:rPr>
          <w:rFonts w:ascii="Aptos" w:hAnsi="Aptos"/>
          <w:color w:val="222A31"/>
          <w:sz w:val="19"/>
        </w:rPr>
        <w:t>• Address emergency instructions, prescription or medical coordination when relevant to the service, record access, and communication with authorized team members.</w:t>
      </w:r>
    </w:p>
    <w:p>
      <w:pPr>
        <w:pStyle w:val="CTAListBullet"/>
        <w:spacing w:after="40" w:line="250" w:lineRule="auto"/>
        <w:ind w:left="259" w:hanging="202"/>
      </w:pPr>
      <w:r>
        <w:rPr>
          <w:rFonts w:ascii="Aptos" w:hAnsi="Aptos"/>
          <w:color w:val="222A31"/>
          <w:sz w:val="19"/>
        </w:rPr>
        <w:t>• Do not place responsibility on the client to decide whether the clinician is competent or safe to continue.</w:t>
      </w:r>
    </w:p>
    <w:p>
      <w:pPr>
        <w:pStyle w:val="CTAListBullet"/>
        <w:spacing w:after="40" w:line="250" w:lineRule="auto"/>
        <w:ind w:left="259" w:hanging="202"/>
      </w:pPr>
      <w:r>
        <w:rPr>
          <w:rFonts w:ascii="Aptos" w:hAnsi="Aptos"/>
          <w:color w:val="222A31"/>
          <w:sz w:val="19"/>
        </w:rPr>
        <w:t>• Document the continuity plan and follow through. A referral list without reasonable transition support may be insufficient in a high-risk case.</w:t>
      </w:r>
    </w:p>
    <w:p>
      <w:pPr>
        <w:pStyle w:val="Heading2"/>
        <w:keepNext/>
        <w:spacing w:before="120" w:after="80"/>
      </w:pPr>
      <w:r>
        <w:t>Professional Assistance: Use the Right Resource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Resource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Best Use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Important Limit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Consultation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Clarify risk, options, ethics, documentation, or continuity.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Consultant advises; the clinician retains responsibility.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Clinical supervision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Review supervisee functioning, assignments, client risk, remediation, and oversight.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Supervision is not personal psychotherapy.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Personal treatment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Address mental, physical, emotional, or substance-related causes.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Treatment alone does not establish current fitness for duties.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Medical coordination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Evaluate medication effects, illness, sleep, pain, or physical limitations.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clinician should not independently alter medical treatment as the sole professional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Employment/accommodation process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Consider schedule, equipment, duties, leave, and essential job functions.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Accommodation must still support safe professional performance.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Risk-management or legal consultation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Clarify legal duties, reporting, liability, employment, or practice-closure issues.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Legal advice should be case-specific and does not replace clinical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Peer support or EAP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Provide support, resources, and early assistance.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Support is not sufficient if immediate client safety remains unresolved.</w:t>
            </w:r>
          </w:p>
        </w:tc>
      </w:tr>
    </w:tbl>
    <w:p>
      <w:r>
        <w:br w:type="page"/>
      </w:r>
    </w:p>
    <w:p>
      <w:pPr>
        <w:pStyle w:val="Heading1"/>
        <w:keepNext/>
        <w:spacing w:before="120" w:after="80"/>
      </w:pPr>
      <w:r>
        <w:t>Supervisee and Supervisor Responsibilities</w:t>
      </w:r>
    </w:p>
    <w:p>
      <w:pPr>
        <w:pStyle w:val="Heading2"/>
        <w:keepNext/>
        <w:spacing w:before="120" w:after="80"/>
      </w:pPr>
      <w:r>
        <w:t>When the Supervisee May Be Impaired</w:t>
      </w:r>
    </w:p>
    <w:p>
      <w:pPr>
        <w:pStyle w:val="CTAListBullet"/>
        <w:spacing w:after="40" w:line="250" w:lineRule="auto"/>
        <w:ind w:left="259" w:hanging="202"/>
      </w:pPr>
      <w:r>
        <w:rPr>
          <w:rFonts w:ascii="Aptos" w:hAnsi="Aptos"/>
          <w:color w:val="222A31"/>
          <w:sz w:val="19"/>
        </w:rPr>
        <w:t>• Disclose enough accurate information for the supervisor to evaluate current client risk and assignments.</w:t>
      </w:r>
    </w:p>
    <w:p>
      <w:pPr>
        <w:pStyle w:val="CTAListBullet"/>
        <w:spacing w:after="40" w:line="250" w:lineRule="auto"/>
        <w:ind w:left="259" w:hanging="202"/>
      </w:pPr>
      <w:r>
        <w:rPr>
          <w:rFonts w:ascii="Aptos" w:hAnsi="Aptos"/>
          <w:color w:val="222A31"/>
          <w:sz w:val="19"/>
        </w:rPr>
        <w:t>• Do not minimize errors, conceal substance effects, or omit information that materially affects safe supervision.</w:t>
      </w:r>
    </w:p>
    <w:p>
      <w:pPr>
        <w:pStyle w:val="CTAListBullet"/>
        <w:spacing w:after="40" w:line="250" w:lineRule="auto"/>
        <w:ind w:left="259" w:hanging="202"/>
      </w:pPr>
      <w:r>
        <w:rPr>
          <w:rFonts w:ascii="Aptos" w:hAnsi="Aptos"/>
          <w:color w:val="222A31"/>
          <w:sz w:val="19"/>
        </w:rPr>
        <w:t>• Participate in remediation, treatment referral, workload change, increased observation, or temporary restriction when indicated.</w:t>
      </w:r>
    </w:p>
    <w:p>
      <w:pPr>
        <w:pStyle w:val="CTAListBullet"/>
        <w:spacing w:after="40" w:line="250" w:lineRule="auto"/>
        <w:ind w:left="259" w:hanging="202"/>
      </w:pPr>
      <w:r>
        <w:rPr>
          <w:rFonts w:ascii="Aptos" w:hAnsi="Aptos"/>
          <w:color w:val="222A31"/>
          <w:sz w:val="19"/>
        </w:rPr>
        <w:t>• Do not assume that registration or weekly supervision makes unsafe work acceptable.</w:t>
      </w:r>
    </w:p>
    <w:p>
      <w:pPr>
        <w:pStyle w:val="Heading2"/>
        <w:keepNext/>
        <w:spacing w:before="120" w:after="80"/>
      </w:pPr>
      <w:r>
        <w:t>When the Supervisor Learns of a Concern</w:t>
      </w:r>
    </w:p>
    <w:p>
      <w:pPr>
        <w:pStyle w:val="CTAListBullet"/>
        <w:spacing w:after="40" w:line="250" w:lineRule="auto"/>
        <w:ind w:left="259" w:hanging="202"/>
      </w:pPr>
      <w:r>
        <w:rPr>
          <w:rFonts w:ascii="Aptos" w:hAnsi="Aptos"/>
          <w:color w:val="222A31"/>
          <w:sz w:val="19"/>
        </w:rPr>
        <w:t>• Assess immediate client safety and the supervisee’s ability to perform assigned duties.</w:t>
      </w:r>
    </w:p>
    <w:p>
      <w:pPr>
        <w:pStyle w:val="CTAListBullet"/>
        <w:spacing w:after="40" w:line="250" w:lineRule="auto"/>
        <w:ind w:left="259" w:hanging="202"/>
      </w:pPr>
      <w:r>
        <w:rPr>
          <w:rFonts w:ascii="Aptos" w:hAnsi="Aptos"/>
          <w:color w:val="222A31"/>
          <w:sz w:val="19"/>
        </w:rPr>
        <w:t>• Increase oversight, directly observe work, review records, modify assignments, or arrange coverage when needed.</w:t>
      </w:r>
    </w:p>
    <w:p>
      <w:pPr>
        <w:pStyle w:val="CTAListBullet"/>
        <w:spacing w:after="40" w:line="250" w:lineRule="auto"/>
        <w:ind w:left="259" w:hanging="202"/>
      </w:pPr>
      <w:r>
        <w:rPr>
          <w:rFonts w:ascii="Aptos" w:hAnsi="Aptos"/>
          <w:color w:val="222A31"/>
          <w:sz w:val="19"/>
        </w:rPr>
        <w:t>• Use clear behavioral expectations and measurable remediation rather than vague reassurance or punitive labeling.</w:t>
      </w:r>
    </w:p>
    <w:p>
      <w:pPr>
        <w:pStyle w:val="CTAListBullet"/>
        <w:spacing w:after="40" w:line="250" w:lineRule="auto"/>
        <w:ind w:left="259" w:hanging="202"/>
      </w:pPr>
      <w:r>
        <w:rPr>
          <w:rFonts w:ascii="Aptos" w:hAnsi="Aptos"/>
          <w:color w:val="222A31"/>
          <w:sz w:val="19"/>
        </w:rPr>
        <w:t>• Document feedback, risk assessment, changes, follow-up, and decisions affecting supervised experience.</w:t>
      </w:r>
    </w:p>
    <w:p>
      <w:pPr>
        <w:pStyle w:val="CTAListBullet"/>
        <w:spacing w:after="40" w:line="250" w:lineRule="auto"/>
        <w:ind w:left="259" w:hanging="202"/>
      </w:pPr>
      <w:r>
        <w:rPr>
          <w:rFonts w:ascii="Aptos" w:hAnsi="Aptos"/>
          <w:color w:val="222A31"/>
          <w:sz w:val="19"/>
        </w:rPr>
        <w:t>• Refer the supervisee for appropriate personal treatment or assistance rather than becoming the supervisee’s therapist.</w:t>
      </w:r>
    </w:p>
    <w:p>
      <w:pPr>
        <w:pStyle w:val="CTAListBullet"/>
        <w:spacing w:after="40" w:line="250" w:lineRule="auto"/>
        <w:ind w:left="259" w:hanging="202"/>
      </w:pPr>
      <w:r>
        <w:rPr>
          <w:rFonts w:ascii="Aptos" w:hAnsi="Aptos"/>
          <w:color w:val="222A31"/>
          <w:sz w:val="19"/>
        </w:rPr>
        <w:t>• If safe practice cannot continue, limit or stop affected duties and protect continuity of care.</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9"/>
              </w:rPr>
              <w:t xml:space="preserve">SUPERVISION EXAM TRAP  </w:t>
            </w:r>
            <w:r>
              <w:rPr>
                <w:rFonts w:ascii="Aptos" w:hAnsi="Aptos"/>
                <w:color w:val="222A31"/>
                <w:sz w:val="19"/>
              </w:rPr>
              <w:t>A supervisor should not respond only with empathy or only with discipline. The strongest answer combines client protection, accurate assessment, appropriate support, clear expectations, and follow-up.</w:t>
            </w:r>
          </w:p>
        </w:tc>
      </w:tr>
    </w:tbl>
    <w:p>
      <w:pPr>
        <w:pStyle w:val="Heading1"/>
        <w:keepNext/>
        <w:spacing w:before="120" w:after="80"/>
      </w:pPr>
      <w:r>
        <w:t>When a Colleague May Be Impaired</w:t>
      </w:r>
    </w:p>
    <w:p>
      <w:pPr>
        <w:keepNext w:val="0"/>
        <w:spacing w:before="0" w:after="100" w:line="259" w:lineRule="auto"/>
      </w:pPr>
      <w:r>
        <w:rPr>
          <w:rFonts w:ascii="Aptos" w:hAnsi="Aptos"/>
          <w:b w:val="0"/>
          <w:i w:val="0"/>
          <w:color w:val="222A31"/>
          <w:sz w:val="20"/>
        </w:rPr>
        <w:t>The NASW Code of Ethics reinforces the examination principles of observable conduct, client protection, appropriate professional assistance, role-appropriate channels, proportionality, accurate consultation, and appropriate escalation when a colleague’s impairment remains unaddressed.</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Situation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Strong Initial Analysis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Ambiguous isolated concern; no immediate risk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Gather objective information, avoid diagnosis, and consider a private supportive conversation or consultation.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Direct knowledge of declining practice effectiveness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When feasible, address the colleague and assist with remedial action; monitor whether the concern is adequately addressed.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Persistent impairment despite support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appropriate employer, agency, professional, supervisory, or regulatory channels consistent with role and facts.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Immediate danger before a client encounter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Intervene to protect the client first; do not delay for a routine private discussion.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Rumor without direct information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 not repeat the rumor or assign a diagnosis; seek appropriate fact-based consultation if needed.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Question about reporting to the BBS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Identify a specific legal or regulatory duty rather than assuming all impairment concerns are automatically reportable.</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8"/>
              </w:rPr>
              <w:t>SOCIAL WORK ETHICS NOTE The NASW Code requires social workers to prevent personal problems or impairment from interfering with judgment/performance or jeopardizing clients, and to seek consultation and take appropriate remedial action when impairment occurs. For colleague impairment, consult with the colleague when feasible, assist remedial action, and use appropriate channels if adequate steps are not taken. [NASW Code of Ethics §§ 2.08, 4.05]</w:t>
            </w:r>
            <w:r>
              <w:rPr>
                <w:rFonts w:ascii="Aptos" w:hAnsi="Aptos"/>
                <w:color w:val="222A31"/>
                <w:sz w:val="18"/>
              </w:rPr>
            </w:r>
          </w:p>
        </w:tc>
      </w:tr>
    </w:tbl>
    <w:p>
      <w:pPr>
        <w:pStyle w:val="Heading1"/>
        <w:keepNext/>
        <w:spacing w:before="120" w:after="80"/>
      </w:pPr>
      <w:r>
        <w:t>Documentation, Privacy, and Communication</w:t>
      </w:r>
    </w:p>
    <w:p>
      <w:pPr>
        <w:pStyle w:val="CTAListBullet"/>
        <w:spacing w:after="40" w:line="250" w:lineRule="auto"/>
        <w:ind w:left="259" w:hanging="202"/>
      </w:pPr>
      <w:r>
        <w:rPr>
          <w:rFonts w:ascii="Aptos" w:hAnsi="Aptos"/>
          <w:color w:val="222A31"/>
          <w:sz w:val="19"/>
        </w:rPr>
        <w:t>• Document behavior and functioning rather than unsupported diagnostic conclusions.</w:t>
      </w:r>
    </w:p>
    <w:p>
      <w:pPr>
        <w:pStyle w:val="CTAListBullet"/>
        <w:spacing w:after="40" w:line="250" w:lineRule="auto"/>
        <w:ind w:left="259" w:hanging="202"/>
      </w:pPr>
      <w:r>
        <w:rPr>
          <w:rFonts w:ascii="Aptos" w:hAnsi="Aptos"/>
          <w:color w:val="222A31"/>
          <w:sz w:val="19"/>
        </w:rPr>
        <w:t>• Record clinically relevant risk, consultation, supervision, duty changes, coverage, client communication, and follow-up.</w:t>
      </w:r>
    </w:p>
    <w:p>
      <w:pPr>
        <w:pStyle w:val="CTAListBullet"/>
        <w:spacing w:after="40" w:line="250" w:lineRule="auto"/>
        <w:ind w:left="259" w:hanging="202"/>
      </w:pPr>
      <w:r>
        <w:rPr>
          <w:rFonts w:ascii="Aptos" w:hAnsi="Aptos"/>
          <w:color w:val="222A31"/>
          <w:sz w:val="19"/>
        </w:rPr>
        <w:t>• Limit private health information to what is necessary for the professional process and applicable law.</w:t>
      </w:r>
    </w:p>
    <w:p>
      <w:pPr>
        <w:pStyle w:val="CTAListBullet"/>
        <w:spacing w:after="40" w:line="250" w:lineRule="auto"/>
        <w:ind w:left="259" w:hanging="202"/>
      </w:pPr>
      <w:r>
        <w:rPr>
          <w:rFonts w:ascii="Aptos" w:hAnsi="Aptos"/>
          <w:color w:val="222A31"/>
          <w:sz w:val="19"/>
        </w:rPr>
        <w:t>• Tell clients what they need to know about availability, changes, coverage, referrals, and emergencies without unnecessary personal detail.</w:t>
      </w:r>
    </w:p>
    <w:p>
      <w:pPr>
        <w:pStyle w:val="CTAListBullet"/>
        <w:spacing w:after="40" w:line="250" w:lineRule="auto"/>
        <w:ind w:left="259" w:hanging="202"/>
      </w:pPr>
      <w:r>
        <w:rPr>
          <w:rFonts w:ascii="Aptos" w:hAnsi="Aptos"/>
          <w:color w:val="222A31"/>
          <w:sz w:val="19"/>
        </w:rPr>
        <w:t>• Correct inaccurate records and complete delayed documentation when safely possible; do not fabricate or backdate.</w:t>
      </w:r>
    </w:p>
    <w:p>
      <w:pPr>
        <w:pStyle w:val="CTAListBullet"/>
        <w:spacing w:after="40" w:line="250" w:lineRule="auto"/>
        <w:ind w:left="259" w:hanging="202"/>
      </w:pPr>
      <w:r>
        <w:rPr>
          <w:rFonts w:ascii="Aptos" w:hAnsi="Aptos"/>
          <w:color w:val="222A31"/>
          <w:sz w:val="19"/>
        </w:rPr>
        <w:t>• Do not use confidentiality as a reason to conceal immediate client danger or to prevent authorized supervisory review.</w:t>
      </w:r>
    </w:p>
    <w:p>
      <w:r>
        <w:br w:type="page"/>
      </w:r>
    </w:p>
    <w:p>
      <w:pPr>
        <w:pStyle w:val="Heading1"/>
        <w:keepNext/>
        <w:spacing w:before="120" w:after="80"/>
      </w:pPr>
      <w:r>
        <w:t>Return-to-Practice and Restoration of Duties</w:t>
      </w:r>
    </w:p>
    <w:p>
      <w:pPr>
        <w:keepNext w:val="0"/>
        <w:spacing w:before="0" w:after="100" w:line="259" w:lineRule="auto"/>
      </w:pPr>
      <w:r>
        <w:rPr>
          <w:rFonts w:ascii="Aptos" w:hAnsi="Aptos"/>
          <w:b w:val="0"/>
          <w:i w:val="0"/>
          <w:color w:val="222A31"/>
          <w:sz w:val="20"/>
        </w:rPr>
        <w:t>Return is a professional-functioning decision. It may involve the clinician, supervisor, employer, treatment provider, accommodation process, insurer, or licensing authority depending on the facts. No single person or document automatically answers every dimension of readiness.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Readiness Domain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Evidence of Safer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Judgment and insight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Recognizes limitations, responds to feedback, and makes sound clinical decisions.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Attention and memory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Sustains focus, accurately follows client information, and avoids repeated cognitive errors.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 management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Identifies urgent concerns and follows appropriate protective procedures.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Reliability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Attends consistently, follows through, and communicates changes promptly.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Documentation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Records are timely, accurate, clinically sufficient, and not dependent on crisis catch-up.</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Boundaries and emotional regulation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Maintains professional limits and manages reactions without compromising care.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Endurance and workload</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sustain the actual schedule without predictable deterioration.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Support plan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accommodation, supervision, monitoring, and contingency plans remain adequate.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High-risk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Readiness is demonstrated before resuming crisis, forensic, supervisory, or other complex work.</w:t>
            </w:r>
          </w:p>
        </w:tc>
      </w:tr>
    </w:tbl>
    <w:p>
      <w:pPr>
        <w:pStyle w:val="Heading1"/>
        <w:keepNext/>
        <w:spacing w:before="120" w:after="80"/>
      </w:pPr>
      <w:r>
        <w:t>Clinical Applications</w:t>
      </w:r>
    </w:p>
    <w:p>
      <w:pPr>
        <w:pStyle w:val="Heading2"/>
        <w:keepNext/>
        <w:spacing w:before="100" w:after="40"/>
      </w:pPr>
      <w:r>
        <w:t>1. Help-seeking without duty modification</w:t>
      </w:r>
    </w:p>
    <w:p>
      <w:pPr>
        <w:keepNext w:val="0"/>
        <w:spacing w:before="0" w:after="60" w:line="259" w:lineRule="auto"/>
      </w:pPr>
      <w:r>
        <w:rPr>
          <w:rFonts w:ascii="Aptos" w:hAnsi="Aptos"/>
          <w:b w:val="0"/>
          <w:i/>
          <w:color w:val="222A31"/>
          <w:sz w:val="20"/>
        </w:rPr>
        <w:t>A clinician begins treatment for significant substance-related impairment but continues conducting high-risk crisis assessments despite confusion and missed cues.</w:t>
      </w:r>
    </w:p>
    <w:p>
      <w:pPr>
        <w:keepNext w:val="0"/>
        <w:spacing w:before="0" w:after="120" w:line="259" w:lineRule="auto"/>
      </w:pPr>
      <w:r>
        <w:rPr>
          <w:rFonts w:ascii="Aptos" w:hAnsi="Aptos"/>
          <w:b/>
          <w:i w:val="0"/>
          <w:color w:val="08746F"/>
          <w:sz w:val="20"/>
        </w:rPr>
        <w:t>Best response: Treatment supports recovery but does not resolve current client risk. Stop or reassign unsafe duties, arrange qualified coverage, and reassess functioning.</w:t>
      </w:r>
    </w:p>
    <w:p>
      <w:pPr>
        <w:pStyle w:val="Heading2"/>
        <w:keepNext/>
        <w:spacing w:before="100" w:after="40"/>
      </w:pPr>
      <w:r>
        <w:t>2. Early decline with available support</w:t>
      </w:r>
    </w:p>
    <w:p>
      <w:pPr>
        <w:keepNext w:val="0"/>
        <w:spacing w:before="0" w:after="60" w:line="259" w:lineRule="auto"/>
      </w:pPr>
      <w:r>
        <w:rPr>
          <w:rFonts w:ascii="Aptos" w:hAnsi="Aptos"/>
          <w:b w:val="0"/>
          <w:i/>
          <w:color w:val="222A31"/>
          <w:sz w:val="20"/>
        </w:rPr>
        <w:t>A therapist has increasing fatigue and delayed notes, but judgment and client safety remain intact. A reduced schedule, treatment, and weekly consultation are available.</w:t>
      </w:r>
    </w:p>
    <w:p>
      <w:pPr>
        <w:keepNext w:val="0"/>
        <w:spacing w:before="0" w:after="120" w:line="259" w:lineRule="auto"/>
      </w:pPr>
      <w:r>
        <w:rPr>
          <w:rFonts w:ascii="Aptos" w:hAnsi="Aptos"/>
          <w:b/>
          <w:i w:val="0"/>
          <w:color w:val="08746F"/>
          <w:sz w:val="20"/>
        </w:rPr>
        <w:t>Best response: Use a proportionate plan, monitor objective performance, and escalate if the measures do not preserve safe care.</w:t>
      </w:r>
    </w:p>
    <w:p>
      <w:pPr>
        <w:pStyle w:val="Heading2"/>
        <w:keepNext/>
        <w:spacing w:before="100" w:after="40"/>
      </w:pPr>
      <w:r>
        <w:t>3. Supervisee minimization</w:t>
      </w:r>
    </w:p>
    <w:p>
      <w:pPr>
        <w:keepNext w:val="0"/>
        <w:spacing w:before="0" w:after="60" w:line="259" w:lineRule="auto"/>
      </w:pPr>
      <w:r>
        <w:rPr>
          <w:rFonts w:ascii="Aptos" w:hAnsi="Aptos"/>
          <w:b w:val="0"/>
          <w:i/>
          <w:color w:val="222A31"/>
          <w:sz w:val="20"/>
        </w:rPr>
        <w:t>An ASW reports “personal stress” but omits repeated memory errors and a missed suicide-risk cue. The supervisor later learns the full facts.</w:t>
      </w:r>
    </w:p>
    <w:p>
      <w:pPr>
        <w:keepNext w:val="0"/>
        <w:spacing w:before="0" w:after="120" w:line="259" w:lineRule="auto"/>
      </w:pPr>
      <w:r>
        <w:rPr>
          <w:rFonts w:ascii="Aptos" w:hAnsi="Aptos"/>
          <w:b/>
          <w:i w:val="0"/>
          <w:color w:val="08746F"/>
          <w:sz w:val="20"/>
        </w:rPr>
        <w:t>Best response: Reassess client safety and assignments, require accurate disclosure and measurable remediation, and document the supervisory response.</w:t>
      </w:r>
    </w:p>
    <w:p>
      <w:pPr>
        <w:pStyle w:val="Heading2"/>
        <w:keepNext/>
        <w:spacing w:before="100" w:after="40"/>
      </w:pPr>
      <w:r>
        <w:t>4. Colleague before a high-risk session</w:t>
      </w:r>
    </w:p>
    <w:p>
      <w:pPr>
        <w:keepNext w:val="0"/>
        <w:spacing w:before="0" w:after="60" w:line="259" w:lineRule="auto"/>
      </w:pPr>
      <w:r>
        <w:rPr>
          <w:rFonts w:ascii="Aptos" w:hAnsi="Aptos"/>
          <w:b w:val="0"/>
          <w:i/>
          <w:color w:val="222A31"/>
          <w:sz w:val="20"/>
        </w:rPr>
        <w:t>A colleague appears disoriented, cannot follow conversation, and is preparing to meet a client with an active violence-risk concern.</w:t>
      </w:r>
    </w:p>
    <w:p>
      <w:pPr>
        <w:keepNext w:val="0"/>
        <w:spacing w:before="0" w:after="120" w:line="259" w:lineRule="auto"/>
      </w:pPr>
      <w:r>
        <w:rPr>
          <w:rFonts w:ascii="Aptos" w:hAnsi="Aptos"/>
          <w:b/>
          <w:i w:val="0"/>
          <w:color w:val="08746F"/>
          <w:sz w:val="20"/>
        </w:rPr>
        <w:t>Best response: Protect the client immediately through supervisory or workplace procedures and qualified coverage; do not wait for a private conversation.</w:t>
      </w:r>
    </w:p>
    <w:p>
      <w:pPr>
        <w:pStyle w:val="Heading2"/>
        <w:keepNext/>
        <w:spacing w:before="100" w:after="40"/>
      </w:pPr>
      <w:r>
        <w:t>5. Feeling better but not ready</w:t>
      </w:r>
    </w:p>
    <w:p>
      <w:pPr>
        <w:keepNext w:val="0"/>
        <w:spacing w:before="0" w:after="60" w:line="259" w:lineRule="auto"/>
      </w:pPr>
      <w:r>
        <w:rPr>
          <w:rFonts w:ascii="Aptos" w:hAnsi="Aptos"/>
          <w:b w:val="0"/>
          <w:i/>
          <w:color w:val="222A31"/>
          <w:sz w:val="20"/>
        </w:rPr>
        <w:t>After leave, a therapist reports improved mood but trial work still shows late records, poor concentration, and avoidance of complex cases.</w:t>
      </w:r>
    </w:p>
    <w:p>
      <w:pPr>
        <w:keepNext w:val="0"/>
        <w:spacing w:before="0" w:after="120" w:line="259" w:lineRule="auto"/>
      </w:pPr>
      <w:r>
        <w:rPr>
          <w:rFonts w:ascii="Aptos" w:hAnsi="Aptos"/>
          <w:b/>
          <w:i w:val="0"/>
          <w:color w:val="08746F"/>
          <w:sz w:val="20"/>
        </w:rPr>
        <w:t>Best response: Continue a staged or restricted return and base fuller duties on demonstrated functioning, not optimism alone.</w:t>
      </w:r>
    </w:p>
    <w:p>
      <w:pPr>
        <w:pStyle w:val="Heading2"/>
        <w:keepNext/>
        <w:spacing w:before="100" w:after="40"/>
      </w:pPr>
      <w:r>
        <w:t>6. Question about BBS reporting</w:t>
      </w:r>
    </w:p>
    <w:p>
      <w:pPr>
        <w:keepNext w:val="0"/>
        <w:spacing w:before="0" w:after="60" w:line="259" w:lineRule="auto"/>
      </w:pPr>
      <w:r>
        <w:rPr>
          <w:rFonts w:ascii="Aptos" w:hAnsi="Aptos"/>
          <w:b w:val="0"/>
          <w:i/>
          <w:color w:val="222A31"/>
          <w:sz w:val="20"/>
        </w:rPr>
        <w:t>A clinician learns that a colleague has entered treatment and assumes the diagnosis must automatically be reported to the Board.</w:t>
      </w:r>
    </w:p>
    <w:p>
      <w:pPr>
        <w:keepNext w:val="0"/>
        <w:spacing w:before="0" w:after="120" w:line="259" w:lineRule="auto"/>
      </w:pPr>
      <w:r>
        <w:rPr>
          <w:rFonts w:ascii="Aptos" w:hAnsi="Aptos"/>
          <w:b/>
          <w:i w:val="0"/>
          <w:color w:val="08746F"/>
          <w:sz w:val="20"/>
        </w:rPr>
        <w:t>Best response: Do not report merely because a condition or treatment exists. Identify observable professional risk and any specific reporting authority or required channel.</w:t>
      </w:r>
    </w:p>
    <w:p>
      <w:pPr>
        <w:pStyle w:val="Heading1"/>
        <w:keepNext/>
        <w:spacing w:before="120" w:after="80"/>
      </w:pPr>
      <w:r>
        <w:t>Common Exam Traps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Recognition alone is enough</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must implement a sufficient protection plan.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automatically makes practice safe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Address present duties and client risk separately from recovery treatment.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Every concern requires permanent career termination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 proportionate response and reassess.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Continuity means the clinician must keep working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coverage, referral, or transfer rather than unsafe continuation.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complaint means no action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Intervene when functioning and risk establish concern.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supervisor should become the supervisee’s therapist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Supervise professional work and refer for personal treatment.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Every impaired colleague must be reported immediately to the BBS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Identify specific law, role, facts, and applicable channels.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private conversation always comes first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Immediate client danger requires protective action first.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Clients need the clinician’s diagnosis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Provide necessary service information and protect privacy.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Documentation replaces action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Chart and implement the plan.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Income or staffing excuses unsafe practice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Client welfare and safe performance control.</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Feeling better proves full readiness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objective professional functioning and staged return when needed.</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Once impairment affects professional functioning, ethical responsibility requires effective action—not recognition alone.</w:t>
      </w:r>
    </w:p>
    <w:p>
      <w:pPr>
        <w:pStyle w:val="CTAListBullet"/>
        <w:spacing w:after="60" w:line="250" w:lineRule="auto"/>
        <w:ind w:left="259" w:hanging="202"/>
      </w:pPr>
      <w:r>
        <w:rPr>
          <w:rFonts w:ascii="Aptos" w:hAnsi="Aptos"/>
          <w:color w:val="222A31"/>
          <w:sz w:val="19"/>
        </w:rPr>
        <w:t>• Use PROTECT: Prioritize safety, Review functioning and role, Obtain help, Tailor duties and continuity, Explain only what is necessary, Chart decisions, Track recovery and return.</w:t>
      </w:r>
    </w:p>
    <w:p>
      <w:pPr>
        <w:pStyle w:val="CTAListBullet"/>
        <w:spacing w:after="60" w:line="250" w:lineRule="auto"/>
        <w:ind w:left="259" w:hanging="202"/>
      </w:pPr>
      <w:r>
        <w:rPr>
          <w:rFonts w:ascii="Aptos" w:hAnsi="Aptos"/>
          <w:color w:val="222A31"/>
          <w:sz w:val="19"/>
        </w:rPr>
        <w:t>• Treatment, consultation, or supervision supports the response but does not transfer responsibility or automatically resolve current risk.</w:t>
      </w:r>
    </w:p>
    <w:p>
      <w:pPr>
        <w:pStyle w:val="CTAListBullet"/>
        <w:spacing w:after="60" w:line="250" w:lineRule="auto"/>
        <w:ind w:left="259" w:hanging="202"/>
      </w:pPr>
      <w:r>
        <w:rPr>
          <w:rFonts w:ascii="Aptos" w:hAnsi="Aptos"/>
          <w:color w:val="222A31"/>
          <w:sz w:val="19"/>
        </w:rPr>
        <w:t>• Choose the least disruptive response that adequately protects clients; significant or immediate risk requires limiting or stopping unsafe duties.</w:t>
      </w:r>
    </w:p>
    <w:p>
      <w:pPr>
        <w:pStyle w:val="CTAListBullet"/>
        <w:spacing w:after="60" w:line="250" w:lineRule="auto"/>
        <w:ind w:left="259" w:hanging="202"/>
      </w:pPr>
      <w:r>
        <w:rPr>
          <w:rFonts w:ascii="Aptos" w:hAnsi="Aptos"/>
          <w:color w:val="222A31"/>
          <w:sz w:val="19"/>
        </w:rPr>
        <w:t>• Continuity of care requires qualified coverage, referral, transfer, emergency planning, record access, and follow-through as appropriate.</w:t>
      </w:r>
    </w:p>
    <w:p>
      <w:pPr>
        <w:pStyle w:val="CTAListBullet"/>
        <w:spacing w:after="60" w:line="250" w:lineRule="auto"/>
        <w:ind w:left="259" w:hanging="202"/>
      </w:pPr>
      <w:r>
        <w:rPr>
          <w:rFonts w:ascii="Aptos" w:hAnsi="Aptos"/>
          <w:color w:val="222A31"/>
          <w:sz w:val="19"/>
        </w:rPr>
        <w:t>• Supervisors must assess client risk, modify unsafe assignments, provide clear remediation, document, and follow up.</w:t>
      </w:r>
    </w:p>
    <w:p>
      <w:pPr>
        <w:pStyle w:val="CTAListBullet"/>
        <w:spacing w:after="60" w:line="250" w:lineRule="auto"/>
        <w:ind w:left="259" w:hanging="202"/>
      </w:pPr>
      <w:r>
        <w:rPr>
          <w:rFonts w:ascii="Aptos" w:hAnsi="Aptos"/>
          <w:color w:val="222A31"/>
          <w:sz w:val="19"/>
        </w:rPr>
        <w:t>• Colleague responses should be based on observable conduct, direct intervention when feasible, and appropriate channels when risk persists.</w:t>
      </w:r>
    </w:p>
    <w:p>
      <w:pPr>
        <w:pStyle w:val="CTAListBullet"/>
        <w:spacing w:after="60" w:line="250" w:lineRule="auto"/>
        <w:ind w:left="259" w:hanging="202"/>
      </w:pPr>
      <w:r>
        <w:rPr>
          <w:rFonts w:ascii="Aptos" w:hAnsi="Aptos"/>
          <w:color w:val="222A31"/>
          <w:sz w:val="19"/>
        </w:rPr>
        <w:t>• Do not assume every impairment concern creates an automatic BBS report. Identify the specific legal authority and professional role.</w:t>
      </w:r>
    </w:p>
    <w:p>
      <w:pPr>
        <w:pStyle w:val="CTAListBullet"/>
        <w:spacing w:after="60" w:line="250" w:lineRule="auto"/>
        <w:ind w:left="259" w:hanging="202"/>
      </w:pPr>
      <w:r>
        <w:rPr>
          <w:rFonts w:ascii="Aptos" w:hAnsi="Aptos"/>
          <w:color w:val="222A31"/>
          <w:sz w:val="19"/>
        </w:rPr>
        <w:t>• Return to fuller duties depends on demonstrated restoration of professional functioning.</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CTA EXAM STRATEGY  </w:t>
            </w:r>
            <w:r>
              <w:rPr>
                <w:rFonts w:ascii="Aptos" w:hAnsi="Aptos"/>
                <w:color w:val="222A31"/>
                <w:sz w:val="19"/>
              </w:rPr>
              <w:t>Ask in order: Is anyone in immediate danger? What professional function is affected? What role and authority apply? What action protects clients now? How will continuity be maintained? What evidence will support return?</w:t>
            </w:r>
          </w:p>
        </w:tc>
      </w:tr>
    </w:tbl>
    <w:p>
      <w:pPr>
        <w:pStyle w:val="Heading1"/>
        <w:keepNext/>
        <w:spacing w:before="120" w:after="80"/>
        <w:pageBreakBefore/>
      </w:pPr>
      <w:r>
        <w:t>Chapter 6</w:t>
      </w:r>
    </w:p>
    <w:p>
      <w:pPr>
        <w:pStyle w:val="Title"/>
      </w:pPr>
      <w:r>
        <w:t>Common Professional Impairment Exam Traps</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BIG IDEA  </w:t>
            </w:r>
            <w:r>
              <w:rPr>
                <w:rFonts w:ascii="Aptos" w:hAnsi="Aptos"/>
                <w:color w:val="222A31"/>
                <w:sz w:val="19"/>
              </w:rPr>
              <w:t>The hardest impairment distractors usually overreact to a label, minimize a functional decline, or name a helpful resource without protecting current clients. Start with observable professional functioning, then choose the action that fits risk, role, timing, and continuity.</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Recognize label-based, delay-based, and overreaction distractors in impairment scenarios.</w:t>
      </w:r>
    </w:p>
    <w:p>
      <w:pPr>
        <w:pStyle w:val="CTAListNumber"/>
        <w:spacing w:after="40" w:line="250" w:lineRule="auto"/>
        <w:ind w:left="331" w:hanging="331"/>
      </w:pPr>
      <w:r>
        <w:rPr>
          <w:rFonts w:ascii="Aptos" w:hAnsi="Aptos"/>
          <w:color w:val="222A31"/>
          <w:sz w:val="19"/>
        </w:rPr>
        <w:t>2. Separate a diagnosis, condition, stressor, substance use, or disability from actual professional impairment.</w:t>
      </w:r>
    </w:p>
    <w:p>
      <w:pPr>
        <w:pStyle w:val="CTAListNumber"/>
        <w:spacing w:after="40" w:line="250" w:lineRule="auto"/>
        <w:ind w:left="331" w:hanging="331"/>
      </w:pPr>
      <w:r>
        <w:rPr>
          <w:rFonts w:ascii="Aptos" w:hAnsi="Aptos"/>
          <w:color w:val="222A31"/>
          <w:sz w:val="19"/>
        </w:rPr>
        <w:t>3. Evaluate pattern, persistence, severity, insight, and client impact.</w:t>
      </w:r>
    </w:p>
    <w:p>
      <w:pPr>
        <w:pStyle w:val="CTAListNumber"/>
        <w:spacing w:after="40" w:line="250" w:lineRule="auto"/>
        <w:ind w:left="331" w:hanging="331"/>
      </w:pPr>
      <w:r>
        <w:rPr>
          <w:rFonts w:ascii="Aptos" w:hAnsi="Aptos"/>
          <w:color w:val="222A31"/>
          <w:sz w:val="19"/>
        </w:rPr>
        <w:t>4. Distinguish support for recovery from protection of current professional duties.</w:t>
      </w:r>
    </w:p>
    <w:p>
      <w:pPr>
        <w:pStyle w:val="CTAListNumber"/>
        <w:spacing w:after="40" w:line="250" w:lineRule="auto"/>
        <w:ind w:left="331" w:hanging="331"/>
      </w:pPr>
      <w:r>
        <w:rPr>
          <w:rFonts w:ascii="Aptos" w:hAnsi="Aptos"/>
          <w:color w:val="222A31"/>
          <w:sz w:val="19"/>
        </w:rPr>
        <w:t>5. Apply role-specific reasoning to supervisee, supervisor, colleague, employee, and independent-practice scenarios.</w:t>
      </w:r>
    </w:p>
    <w:p>
      <w:pPr>
        <w:pStyle w:val="CTAListNumber"/>
        <w:spacing w:after="40" w:line="250" w:lineRule="auto"/>
        <w:ind w:left="331" w:hanging="331"/>
      </w:pPr>
      <w:r>
        <w:rPr>
          <w:rFonts w:ascii="Aptos" w:hAnsi="Aptos"/>
          <w:color w:val="222A31"/>
          <w:sz w:val="19"/>
        </w:rPr>
        <w:t>6. Use the FUNCTION-FIRST rapid scan to select a proportionate response.</w:t>
      </w:r>
    </w:p>
    <w:p>
      <w:pPr>
        <w:pStyle w:val="CTAListNumber"/>
        <w:spacing w:after="40" w:line="250" w:lineRule="auto"/>
        <w:ind w:left="331" w:hanging="331"/>
      </w:pPr>
      <w:r>
        <w:rPr>
          <w:rFonts w:ascii="Aptos" w:hAnsi="Aptos"/>
          <w:color w:val="222A31"/>
          <w:sz w:val="19"/>
        </w:rPr>
        <w:t>7. Identify when immediate protective action must occur before routine consultation or support.</w:t>
      </w:r>
    </w:p>
    <w:p>
      <w:pPr>
        <w:pStyle w:val="CTAListNumber"/>
        <w:spacing w:after="40" w:line="250" w:lineRule="auto"/>
        <w:ind w:left="331" w:hanging="331"/>
      </w:pPr>
      <w:r>
        <w:rPr>
          <w:rFonts w:ascii="Aptos" w:hAnsi="Aptos"/>
          <w:color w:val="222A31"/>
          <w:sz w:val="19"/>
        </w:rPr>
        <w:t>8. Evaluate return to fuller duties through demonstrated professional functioning.</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Professional impairment questions often contain two answers that sound caring or cautious. One may focus only on the clinician’s diagnosis, treatment, reputation, or good intentions. Another may address the source of the problem but fail to protect clients who are receiving services now. The strongest answer connects functional evidence to a timely, role-appropriate protection plan.</w:t>
      </w:r>
    </w:p>
    <w:p>
      <w:pPr>
        <w:keepNext w:val="0"/>
        <w:spacing w:before="0" w:after="100" w:line="259" w:lineRule="auto"/>
      </w:pPr>
      <w:r>
        <w:rPr>
          <w:rFonts w:ascii="Aptos" w:hAnsi="Aptos"/>
          <w:b w:val="0"/>
          <w:i w:val="0"/>
          <w:color w:val="222A31"/>
          <w:sz w:val="20"/>
        </w:rPr>
        <w:t>A useful exam sequence is: What changed in professional performance? Is there a pattern? Can the clinician practice safely right now? What role and process apply? What response is sufficient without being unnecessarily extreme?</w:t>
      </w:r>
    </w:p>
    <w:p>
      <w:r>
        <w:br w:type="page"/>
      </w:r>
    </w:p>
    <w:p>
      <w:pPr>
        <w:pStyle w:val="Heading1"/>
        <w:keepNext/>
        <w:spacing w:before="120" w:after="80"/>
      </w:pPr>
      <w:r>
        <w:t>California Legal and Ethical Precision</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Framework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Means for Exam Questions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BPC sections 820–822</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formal licensing-agency fitness process when illness may impair safe practice. It is not the automatic first response to every concern.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Clinical Social Worker Practice Act — BPC § 4992.3(c)–(e)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Unsafe practice, incompetence or gross negligence, and substance use affecting safe practice may create professional consequences.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Social-work ethics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t>NASW ethical standards address professional assistance, practicing while impaired, client welfare, competence, colleague response, and role accountability; current California law still controls.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Supervision and employment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Supervisors and employers may modify assignments, increase oversight, arrange coverage, use accommodation processes, or require leave.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client safety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When the clinician cannot safely perform an urgent duty, protective action and qualified coverage come before routine support planning.</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8"/>
              </w:rPr>
              <w:t xml:space="preserve">EXAM RULE  </w:t>
            </w:r>
            <w:r>
              <w:rPr>
                <w:rFonts w:ascii="Aptos" w:hAnsi="Aptos"/>
                <w:color w:val="222A31"/>
                <w:sz w:val="18"/>
              </w:rPr>
              <w:t>Do not convert every impairment concern into an automatic diagnosis, license surrender, BBS report, or permanent career ending. Do not minimize established unsafe functioning merely because the clinician is respected, seeking treatment, or has not received a complaint.</w:t>
            </w:r>
          </w:p>
        </w:tc>
      </w:tr>
    </w:tbl>
    <w:p>
      <w:r>
        <w:br w:type="page"/>
      </w:r>
    </w:p>
    <w:p>
      <w:pPr>
        <w:pStyle w:val="Heading1"/>
        <w:keepNext/>
        <w:spacing w:before="120" w:after="80"/>
      </w:pPr>
      <w:r>
        <w:t>Trap Cluster 1: Labels and Assumptions</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proves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does not establish how the clinician is functioning professionally.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Look for judgment, attention, reliability, boundaries, documentation, effectiveness, and client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No diagnosis means no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Functional decline may exist before a diagnosis is known or without a formal diagnosis.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observable performance rather than waiting for a label.</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Stress automatically equals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Stress, grief, and temporary strain may occur with intact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Ask whether performance or client care is actually declining.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Substance use equals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misuse, disorder, and professional impairment are different concepts.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Evaluate intoxication, residual effects, withdrawal, reliability, judgment, and present ability to work safely.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Prescribed or legal means harmless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legal substance may still cause sedation, confusion, slowed thinking, or poor judgment.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side effects and current performance.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Disability equals incompetence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Many clinicians practice competently with effective accommodations.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Assess essential professional functions and whether the support preserves safe, effective service.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One sign proves a disorder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late note, tired appearance, or isolated error is often nonspecific.</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Consider pattern, persistence, severity, context, and change from baseline.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Experience prevents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Seniority and reputation do not guarantee current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present performance and response to feedback.</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MEMORY AID  </w:t>
            </w:r>
            <w:r>
              <w:rPr>
                <w:rFonts w:ascii="Aptos" w:hAnsi="Aptos"/>
                <w:color w:val="222A31"/>
                <w:sz w:val="19"/>
              </w:rPr>
              <w:t>Condition or label = information. Functional decline + client risk = the professional analysis.</w:t>
            </w:r>
          </w:p>
        </w:tc>
      </w:tr>
    </w:tbl>
    <w:p>
      <w:r>
        <w:br w:type="page"/>
      </w:r>
    </w:p>
    <w:p>
      <w:pPr>
        <w:pStyle w:val="Heading1"/>
        <w:keepNext/>
        <w:spacing w:before="120" w:after="80"/>
      </w:pPr>
      <w:r>
        <w:t>Trap Cluster 2: Burnout, Compassion Fatigue, and Fatigue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Burnout is just part of the job</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Common workplace stress does not excuse declining empathy, judgment, reliability, or documentation.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Evaluate functional impact and intervene before deterioration becomes unsafe.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 is a medical diagnosis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WHO classifies burnout as an occupational phenomenon, not a medical condition.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its work-related pattern and effects; do not make the label do more than it can.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Compassion fatigue has one exact definition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term is used inconsistently and overlaps with secondary traumatic stress and burnout.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emotional numbing, avoidance, reduced engagement, intrusive reactions, and client impact.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Fatigue is too ordinary to matter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Sleep loss and exhaustion may impair attention, memory, reaction time, and judgment.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Ask whether the clinician can perform the actual duties safely today.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Caffeine fixes the problem</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stimulant does not prove restored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objective ability, risk, and coverage—not optimism or a quick workaround.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Productivity proves 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clinician may maintain a full schedule while quality and reliability decline.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Evaluate the work, not merely the volume of work completed.</w:t>
            </w:r>
          </w:p>
        </w:tc>
      </w:tr>
    </w:tbl>
    <w:p>
      <w:r>
        <w:br w:type="page"/>
      </w:r>
    </w:p>
    <w:p>
      <w:pPr>
        <w:pStyle w:val="Heading1"/>
        <w:keepNext/>
        <w:spacing w:before="120" w:after="80"/>
      </w:pPr>
      <w:r>
        <w:t>Trap Cluster 3: Delay, Minimization, and Incomplete Responses</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complaint means no action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Complaints are not required when warning signs and risk are already evident.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Intervene when functioning is affected, before harm or complaint.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Good intentions are enough</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Intent does not restore judgment, attention, boundaries, or reliability.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actual performance and client protection.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will try harder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Effort alone may not correct cognitive, emotional, physical, or substance-related limitations.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measurable duty changes, support, and reassessment.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solves the professional issue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supports recovery but may not make current duties safe.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Address recovery and client protection together.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Consultation transfers responsibility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consultant advises; the clinician or supervisor remains accountable.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Implement the necessary action and document follow-through.</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Documentation is the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Charting a concern does not reduce risk by itself.</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 and carry out a sufficient protection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means keep working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does not justify unsafe service.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qualified coverage, referral, transfer, or temporary limitation.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Income or staffing changes the standard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Financial pressure and shortages do not make unsafe performance acceptable.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Choose the safest feasible continuity plan.</w:t>
            </w:r>
          </w:p>
        </w:tc>
      </w:tr>
    </w:tbl>
    <w:p>
      <w:pPr>
        <w:pStyle w:val="Heading1"/>
        <w:keepNext/>
        <w:spacing w:before="120" w:after="80"/>
      </w:pPr>
      <w:r>
        <w:t>Trap Cluster 4: Overreaction and Disproportionate Answers</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Any concern requires permanent career termination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Impairment exists on a continuum and may be temporary or manageable.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the least disruptive response that adequately protects clients.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Every clinician in treatment must stop practicing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may occur with intact functioning or as an early preventive step.</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Base restrictions on actual functional impact and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Any accommodation proves inability to work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Accommodation may preserve competent performance.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Test whether it is effective, practical, confidential, and sufficient.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single error requires license surrender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One error may require correction without establishing impairment or permanent unfitness.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Evaluate context, seriousness, pattern, remediation, and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Referral is always the safest answer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Abrupt transfer may be unnecessary or harmful when safe modification is available.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Refer or transfer when client needs cannot be met safely; otherwise use proportionate support.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least restrictive answer is always best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minimal response may be unsafe when risk is serious or immediate.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Choose the least restrictive response that fully addresses the actual danger.</w:t>
            </w:r>
          </w:p>
        </w:tc>
      </w:tr>
    </w:tbl>
    <w:p>
      <w:r>
        <w:br w:type="page"/>
      </w:r>
    </w:p>
    <w:p>
      <w:pPr>
        <w:pStyle w:val="Heading1"/>
        <w:keepNext/>
        <w:spacing w:before="120" w:after="80"/>
      </w:pPr>
      <w:r>
        <w:t>Trap Cluster 5: Colleagues, Supervision, and Reporting</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Diagnose the colleague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observer usually lacks adequate information and role authority for a diagnosis.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Describe observable behavior, performance change, and client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private conversation always comes first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Immediate danger may require action before a supportive discussion.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Protect clients first when unsafe service is imminent; address support afterward.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Every concern must be reported to the BBS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California does not impose one universal automatic Board report for every impairment concern.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Identify the exact law, role, setting, facts, and available channels.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Never use formal channels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Persistent unsafe performance may require supervisory, employment, professional, or regulatory action.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Escalate proportionately when direct assistance is infeasible or insufficient.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Protect the colleague’s privacy at all costs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Privacy does not justify allowing imminent unsafe service.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Limit disclosure to what is necessary for safety and the applicable professional process.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Tell clients the suspected diagnosis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Clients generally need service and continuity information, not speculative private details.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Communicate availability, coverage, referral, and emergency plans without unnecessary disclosure.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supervisor should become the therapist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Supervision and personal treatment serve different roles.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Supervise work, modify assignments, and refer for personal treatment or medical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Supervision makes unsafe work acceptable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Oversight does not cure every impairment or allow duties beyond safe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Increase oversight only when it is sufficient; restrict or stop affected duties when necessary.</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9"/>
              </w:rPr>
              <w:t xml:space="preserve">COLLEAGUE RESPONSE RULE  </w:t>
            </w:r>
            <w:r>
              <w:rPr>
                <w:rFonts w:ascii="Aptos" w:hAnsi="Aptos"/>
                <w:color w:val="222A31"/>
                <w:sz w:val="19"/>
              </w:rPr>
              <w:t>Use observable facts. Match the response to urgency and role. Support the professional when feasible, but never protect reputation, loyalty, or privacy at the expense of immediate client safety.</w:t>
            </w:r>
          </w:p>
        </w:tc>
      </w:tr>
    </w:tbl>
    <w:p>
      <w:r>
        <w:br w:type="page"/>
      </w:r>
    </w:p>
    <w:p>
      <w:pPr>
        <w:pStyle w:val="Heading1"/>
        <w:keepNext/>
        <w:spacing w:before="120" w:after="80"/>
      </w:pPr>
      <w:r>
        <w:t>Trap Cluster 6: Return to Practice and Formal Processes</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Feeling better proves readiness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Subjective improvement may occur before reliable professional functioning returns.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Evaluate judgment, attention, documentation, endurance, boundaries, risk management, and actual workload.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treatment note guarantees full return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One provider may address health status without deciding every professional, supervisory, employment, or legal issue.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role-appropriate evidence and staged return when needed.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fixed waiting period decides readiness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Time alone does not prove restored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demonstrated performance and ongoing monitoring.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Formal BBS evaluation is the first everyday 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BPC sections 820–822 describe a licensing-agency process, not routine self-management.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immediate safety, consultation, supervision, employment, treatment, and continuity processes as the facts require.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restrictions means no monitoring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Residual vulnerabilities or high-risk duties may still require support.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Match monitoring to the actual risk and return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Permanent restriction is always punitive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Some limits may be necessary to protect clients; others may be temporary and restorative.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Analyze purpose, evidence, proportionality, and reassessment.</w:t>
            </w:r>
          </w:p>
        </w:tc>
      </w:tr>
    </w:tbl>
    <w:p>
      <w:r>
        <w:br w:type="page"/>
      </w:r>
    </w:p>
    <w:p>
      <w:pPr>
        <w:pStyle w:val="Heading1"/>
        <w:keepNext/>
        <w:spacing w:before="120" w:after="80"/>
      </w:pPr>
      <w:r>
        <w:t>The FUNCTION-FIRST Rapid Scan</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8"/>
              </w:rPr>
              <w:t xml:space="preserve">FUNCTION-FIRST  </w:t>
            </w:r>
            <w:r>
              <w:rPr>
                <w:rFonts w:ascii="Aptos" w:hAnsi="Aptos"/>
                <w:color w:val="222A31"/>
                <w:sz w:val="18"/>
              </w:rPr>
              <w:t>Function • Urgency • Nature and pattern • Client impact • Treatment/support • Individual role • Options for continuity • Necessary disclosure • Follow-through • Improvement evidence • Rule or authority • Safest proportionate timing</w:t>
            </w:r>
          </w:p>
        </w:tc>
      </w:tr>
    </w:tbl>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Question to Ask</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Distractor It Eliminates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1. Function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What professional ability has changed?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Answers based only on diagnosis, stress, disability, or substance use.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2. Urgency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Can the clinician safely perform this duty now?</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Delay when immediate protection is required.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3. Nature and pattern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Is the concern isolated, repeated, worsening, or persistent?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Overreaction to one nonspecific sign and minimization of a pattern.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4. Client impact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Which clients, duties, or risks are affected?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Generic self-care answers that ignore current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5. Treatment and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What qualified help addresses the source and the work consequences?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Assuming one resource solves every dimension.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6. Individual role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Is the person an LCSW, ASW, ASW, supervisor, colleague, employee, or owner?</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Using the wrong process or shifting responsibility.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7. Options for continuity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Can safe coverage, modification, referral, or transfer be arranged?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Unsafe continuation or abrupt abandonment.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8. Necessary disclosure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Who needs what information for safety and process?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Unnecessary private disclosure or secrecy that blocks protection.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9. Follow-through</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Was the plan implemented and monitored?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Documentation, promises, or consultation without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10. Improvement evidence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Is professional functioning demonstrably restored?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Immediate full return based on optimism alone.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11. Rule or authority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Does a statute, regulation, ethical rule, workplace duty, or Board process control?</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Automatic reporting or vague “ethical judgment.”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12. Safest proportionate timing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What action fully addresses risk without unnecessary disruption?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Both minimization and needless permanent removal.</w:t>
            </w:r>
          </w:p>
        </w:tc>
      </w:tr>
    </w:tbl>
    <w:p>
      <w:r>
        <w:br w:type="page"/>
      </w:r>
    </w:p>
    <w:p>
      <w:pPr>
        <w:pStyle w:val="Heading1"/>
        <w:keepNext/>
        <w:spacing w:before="120" w:after="80"/>
      </w:pPr>
      <w:r>
        <w:t>Strong Answer vs. Distractor Pattern</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Strong Answers Usually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Distractors Often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Describe observable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Rely on a label or unsupported diagnosis.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Protect immediate client safety.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Wait for harm, a complaint, or perfect certainty.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role-appropriate assistance.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Name consultation or treatment without implementing action.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Match the response to severity and urgency.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Choose automatic permanent removal or an inadequate minimal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Preserve continuity when safe.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Force unsafe continuation or abrupt unsupported termination.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Limit disclosures to what is necessary.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Reveal private information unnecessarily or conceal material safety facts.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Reassess demonstrated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Treat time, optimism, or one note as conclusive.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Identify the actual controlling process.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Assume every concern is a mandatory BBS report.</w:t>
            </w:r>
          </w:p>
        </w:tc>
      </w:tr>
    </w:tbl>
    <w:p>
      <w:r>
        <w:br w:type="page"/>
      </w:r>
    </w:p>
    <w:p>
      <w:pPr>
        <w:pStyle w:val="Heading1"/>
        <w:keepNext/>
        <w:spacing w:before="120" w:after="80"/>
      </w:pPr>
      <w:r>
        <w:t>Unscored Rapid-Review Micro-Scenarios</w:t>
      </w:r>
    </w:p>
    <w:p>
      <w:pPr>
        <w:pStyle w:val="Heading2"/>
        <w:keepNext/>
        <w:spacing w:before="80" w:after="40"/>
      </w:pPr>
      <w:r>
        <w:t>1. Diagnosis with intact functioning</w:t>
      </w:r>
    </w:p>
    <w:p>
      <w:pPr>
        <w:keepNext w:val="0"/>
        <w:spacing w:before="0" w:after="40" w:line="259" w:lineRule="auto"/>
      </w:pPr>
      <w:r>
        <w:rPr>
          <w:rFonts w:ascii="Aptos" w:hAnsi="Aptos"/>
          <w:b w:val="0"/>
          <w:i w:val="0"/>
          <w:color w:val="222A31"/>
          <w:sz w:val="20"/>
        </w:rPr>
        <w:t>A therapist has a well-managed anxiety disorder, reliable performance, sound judgment, and no client impact.</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A diagnosis alone does not establish impairment. Continue appropriate monitoring without imposing unsupported restrictions.</w:t>
            </w:r>
          </w:p>
        </w:tc>
      </w:tr>
    </w:tbl>
    <w:p>
      <w:pPr>
        <w:pStyle w:val="Heading2"/>
        <w:keepNext/>
        <w:spacing w:before="80" w:after="40"/>
      </w:pPr>
      <w:r>
        <w:t>2. One late arrival</w:t>
      </w:r>
    </w:p>
    <w:p>
      <w:pPr>
        <w:keepNext w:val="0"/>
        <w:spacing w:before="0" w:after="40" w:line="259" w:lineRule="auto"/>
      </w:pPr>
      <w:r>
        <w:rPr>
          <w:rFonts w:ascii="Aptos" w:hAnsi="Aptos"/>
          <w:b w:val="0"/>
          <w:i w:val="0"/>
          <w:color w:val="222A31"/>
          <w:sz w:val="20"/>
        </w:rPr>
        <w:t>A colleague is late once and appears tired after caring for an ill family member. No errors or pattern are described.</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Do not diagnose or report. Use objective observation and respond if a meaningful pattern or risk develops.</w:t>
            </w:r>
          </w:p>
        </w:tc>
      </w:tr>
    </w:tbl>
    <w:p>
      <w:pPr>
        <w:pStyle w:val="Heading2"/>
        <w:keepNext/>
        <w:spacing w:before="80" w:after="40"/>
      </w:pPr>
      <w:r>
        <w:t>3. Treatment but unsafe duties</w:t>
      </w:r>
    </w:p>
    <w:p>
      <w:pPr>
        <w:keepNext w:val="0"/>
        <w:spacing w:before="0" w:after="40" w:line="259" w:lineRule="auto"/>
      </w:pPr>
      <w:r>
        <w:rPr>
          <w:rFonts w:ascii="Aptos" w:hAnsi="Aptos"/>
          <w:b w:val="0"/>
          <w:i w:val="0"/>
          <w:color w:val="222A31"/>
          <w:sz w:val="20"/>
        </w:rPr>
        <w:t>A clinician enters substance-use treatment but remains confused during crisis assessments.</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Recovery treatment is responsible, but high-risk duties must be modified or covered now.</w:t>
            </w:r>
          </w:p>
        </w:tc>
      </w:tr>
    </w:tbl>
    <w:p>
      <w:pPr>
        <w:pStyle w:val="Heading2"/>
        <w:keepNext/>
        <w:spacing w:before="80" w:after="40"/>
      </w:pPr>
      <w:r>
        <w:t>4. Effective accommodation</w:t>
      </w:r>
    </w:p>
    <w:p>
      <w:pPr>
        <w:keepNext w:val="0"/>
        <w:spacing w:before="0" w:after="40" w:line="259" w:lineRule="auto"/>
      </w:pPr>
      <w:r>
        <w:rPr>
          <w:rFonts w:ascii="Aptos" w:hAnsi="Aptos"/>
          <w:b w:val="0"/>
          <w:i w:val="0"/>
          <w:color w:val="222A31"/>
          <w:sz w:val="20"/>
        </w:rPr>
        <w:t>A clinician with a hearing disability uses reliable assistive technology and communicates accurately with clients.</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Disability does not equal impairment; an effective accommodation may support competent practice.</w:t>
            </w:r>
          </w:p>
        </w:tc>
      </w:tr>
    </w:tbl>
    <w:p>
      <w:r>
        <w:br w:type="page"/>
      </w:r>
    </w:p>
    <w:p>
      <w:pPr>
        <w:pStyle w:val="Heading2"/>
        <w:keepNext/>
        <w:spacing w:before="80" w:after="40"/>
      </w:pPr>
      <w:r>
        <w:t>5. Ineffective accommodation</w:t>
      </w:r>
    </w:p>
    <w:p>
      <w:pPr>
        <w:keepNext w:val="0"/>
        <w:spacing w:before="0" w:after="40" w:line="259" w:lineRule="auto"/>
      </w:pPr>
      <w:r>
        <w:rPr>
          <w:rFonts w:ascii="Aptos" w:hAnsi="Aptos"/>
          <w:b w:val="0"/>
          <w:i w:val="0"/>
          <w:color w:val="222A31"/>
          <w:sz w:val="20"/>
        </w:rPr>
        <w:t>A reduced schedule is in place, but the clinician continues missing risk cues and making repeated errors.</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Increase the protective response. Accommodation is not sufficient merely because it exists.</w:t>
            </w:r>
          </w:p>
        </w:tc>
      </w:tr>
    </w:tbl>
    <w:p>
      <w:pPr>
        <w:pStyle w:val="Heading2"/>
        <w:keepNext/>
        <w:spacing w:before="80" w:after="40"/>
      </w:pPr>
      <w:r>
        <w:t>6. Immediate colleague danger</w:t>
      </w:r>
    </w:p>
    <w:p>
      <w:pPr>
        <w:keepNext w:val="0"/>
        <w:spacing w:before="0" w:after="40" w:line="259" w:lineRule="auto"/>
      </w:pPr>
      <w:r>
        <w:rPr>
          <w:rFonts w:ascii="Aptos" w:hAnsi="Aptos"/>
          <w:b w:val="0"/>
          <w:i w:val="0"/>
          <w:color w:val="222A31"/>
          <w:sz w:val="20"/>
        </w:rPr>
        <w:t>A disoriented colleague is about to conduct a violence-risk assessment.</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Protect the client and arrange qualified coverage before a routine private conversation.</w:t>
            </w:r>
          </w:p>
        </w:tc>
      </w:tr>
    </w:tbl>
    <w:p>
      <w:pPr>
        <w:pStyle w:val="Heading2"/>
        <w:keepNext/>
        <w:spacing w:before="80" w:after="40"/>
      </w:pPr>
      <w:r>
        <w:t>7. Feeling better after leave</w:t>
      </w:r>
    </w:p>
    <w:p>
      <w:pPr>
        <w:keepNext w:val="0"/>
        <w:spacing w:before="0" w:after="40" w:line="259" w:lineRule="auto"/>
      </w:pPr>
      <w:r>
        <w:rPr>
          <w:rFonts w:ascii="Aptos" w:hAnsi="Aptos"/>
          <w:b w:val="0"/>
          <w:i w:val="0"/>
          <w:color w:val="222A31"/>
          <w:sz w:val="20"/>
        </w:rPr>
        <w:t>The clinician reports improved mood but trial work still shows late records and poor concentration.</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Continue a staged or restricted return until professional functioning is demonstrated.</w:t>
            </w:r>
          </w:p>
        </w:tc>
      </w:tr>
    </w:tbl>
    <w:p>
      <w:pPr>
        <w:pStyle w:val="Heading2"/>
        <w:keepNext/>
        <w:spacing w:before="80" w:after="40"/>
      </w:pPr>
      <w:r>
        <w:t>8. Reporting assumption</w:t>
      </w:r>
    </w:p>
    <w:p>
      <w:pPr>
        <w:keepNext w:val="0"/>
        <w:spacing w:before="0" w:after="40" w:line="259" w:lineRule="auto"/>
      </w:pPr>
      <w:r>
        <w:rPr>
          <w:rFonts w:ascii="Aptos" w:hAnsi="Aptos"/>
          <w:b w:val="0"/>
          <w:i w:val="0"/>
          <w:color w:val="222A31"/>
          <w:sz w:val="20"/>
        </w:rPr>
        <w:t>A clinician learns that a colleague is in therapy and assumes the condition must be reported to the BBS.</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Treatment or diagnosis alone does not create a universal report. Identify observable risk and a specific reporting authority.</w:t>
            </w:r>
          </w:p>
        </w:tc>
      </w:tr>
    </w:tbl>
    <w:p>
      <w:r>
        <w:br w:type="page"/>
      </w:r>
    </w:p>
    <w:p>
      <w:pPr>
        <w:pStyle w:val="Heading1"/>
        <w:keepNext/>
        <w:spacing w:before="120" w:after="80"/>
      </w:pPr>
      <w:r>
        <w:t>Chapter Snapshot</w:t>
      </w:r>
    </w:p>
    <w:p>
      <w:pPr>
        <w:pStyle w:val="CTAListBullet"/>
        <w:spacing w:after="40" w:line="250" w:lineRule="auto"/>
        <w:ind w:left="259" w:hanging="202"/>
      </w:pPr>
      <w:r>
        <w:rPr>
          <w:rFonts w:ascii="Aptos" w:hAnsi="Aptos"/>
          <w:color w:val="222A31"/>
          <w:sz w:val="19"/>
        </w:rPr>
        <w:t>• Professional impairment is determined by current professional functioning, not by a diagnosis, condition, stressor, substance use history, medication, disability, or treatment status alone.</w:t>
      </w:r>
    </w:p>
    <w:p>
      <w:pPr>
        <w:pStyle w:val="CTAListBullet"/>
        <w:spacing w:after="40" w:line="250" w:lineRule="auto"/>
        <w:ind w:left="259" w:hanging="202"/>
      </w:pPr>
      <w:r>
        <w:rPr>
          <w:rFonts w:ascii="Aptos" w:hAnsi="Aptos"/>
          <w:color w:val="222A31"/>
          <w:sz w:val="19"/>
        </w:rPr>
        <w:t>• One sign is information; a pattern, persistent decline, severe event, or immediate safety threat changes the response.</w:t>
      </w:r>
    </w:p>
    <w:p>
      <w:pPr>
        <w:pStyle w:val="CTAListBullet"/>
        <w:spacing w:after="40" w:line="250" w:lineRule="auto"/>
        <w:ind w:left="259" w:hanging="202"/>
      </w:pPr>
      <w:r>
        <w:rPr>
          <w:rFonts w:ascii="Aptos" w:hAnsi="Aptos"/>
          <w:color w:val="222A31"/>
          <w:sz w:val="19"/>
        </w:rPr>
        <w:t>• Burnout, compassion fatigue, secondary traumatic stress, fatigue, and illness become professional concerns when they affect safe, ethical, or effective service.</w:t>
      </w:r>
    </w:p>
    <w:p>
      <w:pPr>
        <w:pStyle w:val="CTAListBullet"/>
        <w:spacing w:after="40" w:line="250" w:lineRule="auto"/>
        <w:ind w:left="259" w:hanging="202"/>
      </w:pPr>
      <w:r>
        <w:rPr>
          <w:rFonts w:ascii="Aptos" w:hAnsi="Aptos"/>
          <w:color w:val="222A31"/>
          <w:sz w:val="19"/>
        </w:rPr>
        <w:t>• Help-seeking is responsible, but treatment and consultation do not automatically protect current clients or restore readiness.</w:t>
      </w:r>
    </w:p>
    <w:p>
      <w:pPr>
        <w:pStyle w:val="CTAListBullet"/>
        <w:spacing w:after="40" w:line="250" w:lineRule="auto"/>
        <w:ind w:left="259" w:hanging="202"/>
      </w:pPr>
      <w:r>
        <w:rPr>
          <w:rFonts w:ascii="Aptos" w:hAnsi="Aptos"/>
          <w:color w:val="222A31"/>
          <w:sz w:val="19"/>
        </w:rPr>
        <w:t>• Use the least disruptive response only when it fully protects clients. Immediate danger may require stopping or reassigning duties now.</w:t>
      </w:r>
    </w:p>
    <w:p>
      <w:pPr>
        <w:pStyle w:val="CTAListBullet"/>
        <w:spacing w:after="40" w:line="250" w:lineRule="auto"/>
        <w:ind w:left="259" w:hanging="202"/>
      </w:pPr>
      <w:r>
        <w:rPr>
          <w:rFonts w:ascii="Aptos" w:hAnsi="Aptos"/>
          <w:color w:val="222A31"/>
          <w:sz w:val="19"/>
        </w:rPr>
        <w:t>• Colleague concerns should be based on observable conduct, client risk, role, and applicable channels—not speculation or automatic reporting.</w:t>
      </w:r>
    </w:p>
    <w:p>
      <w:pPr>
        <w:pStyle w:val="CTAListBullet"/>
        <w:spacing w:after="40" w:line="250" w:lineRule="auto"/>
        <w:ind w:left="259" w:hanging="202"/>
      </w:pPr>
      <w:r>
        <w:rPr>
          <w:rFonts w:ascii="Aptos" w:hAnsi="Aptos"/>
          <w:color w:val="222A31"/>
          <w:sz w:val="19"/>
        </w:rPr>
        <w:t>• Continuity of care requires qualified coverage, referral, transfer, and emergency planning when unsafe practice is limited or stopped.</w:t>
      </w:r>
    </w:p>
    <w:p>
      <w:pPr>
        <w:pStyle w:val="CTAListBullet"/>
        <w:spacing w:after="40" w:line="250" w:lineRule="auto"/>
        <w:ind w:left="259" w:hanging="202"/>
      </w:pPr>
      <w:r>
        <w:rPr>
          <w:rFonts w:ascii="Aptos" w:hAnsi="Aptos"/>
          <w:color w:val="222A31"/>
          <w:sz w:val="19"/>
        </w:rPr>
        <w:t>• Return to fuller duties depends on demonstrated judgment, attention, reliability, documentation, boundaries, endurance, and risk management.</w:t>
      </w:r>
    </w:p>
    <w:p>
      <w:pPr>
        <w:pStyle w:val="CTAListBullet"/>
        <w:spacing w:after="40" w:line="250" w:lineRule="auto"/>
        <w:ind w:left="259" w:hanging="202"/>
      </w:pPr>
      <w:r>
        <w:rPr>
          <w:rFonts w:ascii="Aptos" w:hAnsi="Aptos"/>
          <w:color w:val="222A31"/>
          <w:sz w:val="19"/>
        </w:rPr>
        <w:t>• BPC sections 820–822 describe a formal Board fitness process; they are not the routine first answer to every impairment concern.</w:t>
      </w:r>
    </w:p>
    <w:p>
      <w:pPr>
        <w:pStyle w:val="CTAListBullet"/>
        <w:spacing w:after="40" w:line="250" w:lineRule="auto"/>
        <w:ind w:left="259" w:hanging="202"/>
      </w:pPr>
      <w:r>
        <w:rPr>
          <w:rFonts w:ascii="Aptos" w:hAnsi="Aptos"/>
          <w:color w:val="222A31"/>
          <w:sz w:val="19"/>
        </w:rPr>
        <w:t>• A strong answer connects function, urgency, role, authority, continuity, and follow-through.</w:t>
      </w:r>
    </w:p>
    <w:p>
      <w:pPr>
        <w:pStyle w:val="Heading1"/>
        <w:keepNext/>
        <w:spacing w:before="120" w:after="80"/>
      </w:pPr>
      <w:r>
        <w:t>Final 30-Second Checklist</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Check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Ask Yourself</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Function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specific professional ability has changed?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Pattern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this isolated, repeated, worsening, or severe?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the clinician perform this duty safely right now?</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Role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Who is responsible, and what process fits the setting?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Response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action fully protects clients without unnecessary disruption?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Continuity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Who will provide qualified care if duties change?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Privacy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information is necessary, and what is unnecessary?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Follow-through</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Was the plan implemented, documented, and monitored?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Return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Is restored professional functioning demonstrated?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Authority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a specific law, ethical rule, workplace duty, or Board process controlling?</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LAST-MINUTE RULE  </w:t>
            </w:r>
            <w:r>
              <w:rPr>
                <w:rFonts w:ascii="Aptos" w:hAnsi="Aptos"/>
                <w:color w:val="222A31"/>
                <w:sz w:val="19"/>
              </w:rPr>
              <w:t>Do not choose the answer that merely sounds compassionate, private, strict, or cautious. Choose the answer that correctly addresses observable functioning, immediate risk, professional role, continuity, and the governing rule.</w:t>
            </w:r>
          </w:p>
        </w:tc>
      </w:tr>
    </w:tbl>
    <w:p>
      <w:pPr>
        <w:pStyle w:val="Heading1"/>
        <w:keepNext/>
        <w:spacing w:before="120" w:after="80"/>
        <w:pageBreakBefore/>
      </w:pPr>
      <w:r>
        <w:t>Chapter 7</w:t>
      </w:r>
    </w:p>
    <w:p>
      <w:pPr>
        <w:pStyle w:val="Title"/>
      </w:pPr>
      <w:r>
        <w:t>Top Professional Impairment Concepts You Must Know</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BIG IDEA  </w:t>
            </w:r>
            <w:r>
              <w:rPr>
                <w:rFonts w:ascii="Aptos" w:hAnsi="Aptos"/>
                <w:color w:val="222A31"/>
                <w:sz w:val="19"/>
              </w:rPr>
              <w:t>Professional impairment analysis is not about labeling the clinician. It is about determining what has changed in professional functioning, how serious the client risk is, and what action is sufficient to restore or preserve safe care.</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Identify the highest-yield professional impairment concepts tested on the California LCSW Law and Ethics Examination.</w:t>
      </w:r>
    </w:p>
    <w:p>
      <w:pPr>
        <w:pStyle w:val="CTAListNumber"/>
        <w:spacing w:after="40" w:line="250" w:lineRule="auto"/>
        <w:ind w:left="331" w:hanging="331"/>
      </w:pPr>
      <w:r>
        <w:rPr>
          <w:rFonts w:ascii="Aptos" w:hAnsi="Aptos"/>
          <w:color w:val="222A31"/>
          <w:sz w:val="19"/>
        </w:rPr>
        <w:t>2. Separate a diagnosis, disability, stressor, substance use, or medication from professional impairment.</w:t>
      </w:r>
    </w:p>
    <w:p>
      <w:pPr>
        <w:pStyle w:val="CTAListNumber"/>
        <w:spacing w:after="40" w:line="250" w:lineRule="auto"/>
        <w:ind w:left="331" w:hanging="331"/>
      </w:pPr>
      <w:r>
        <w:rPr>
          <w:rFonts w:ascii="Aptos" w:hAnsi="Aptos"/>
          <w:color w:val="222A31"/>
          <w:sz w:val="19"/>
        </w:rPr>
        <w:t>3. Evaluate present functioning, pattern, severity, insight, and client risk.</w:t>
      </w:r>
    </w:p>
    <w:p>
      <w:pPr>
        <w:pStyle w:val="CTAListNumber"/>
        <w:spacing w:after="40" w:line="250" w:lineRule="auto"/>
        <w:ind w:left="331" w:hanging="331"/>
      </w:pPr>
      <w:r>
        <w:rPr>
          <w:rFonts w:ascii="Aptos" w:hAnsi="Aptos"/>
          <w:color w:val="222A31"/>
          <w:sz w:val="19"/>
        </w:rPr>
        <w:t>4. Distinguish burnout, compassion fatigue, secondary traumatic stress, fatigue, and substance-related impairment.</w:t>
      </w:r>
    </w:p>
    <w:p>
      <w:pPr>
        <w:pStyle w:val="CTAListNumber"/>
        <w:spacing w:after="40" w:line="250" w:lineRule="auto"/>
        <w:ind w:left="331" w:hanging="331"/>
      </w:pPr>
      <w:r>
        <w:rPr>
          <w:rFonts w:ascii="Aptos" w:hAnsi="Aptos"/>
          <w:color w:val="222A31"/>
          <w:sz w:val="19"/>
        </w:rPr>
        <w:t>5. Choose a proportionate response that protects current clients and continuity of care.</w:t>
      </w:r>
    </w:p>
    <w:p>
      <w:pPr>
        <w:pStyle w:val="CTAListNumber"/>
        <w:spacing w:after="40" w:line="250" w:lineRule="auto"/>
        <w:ind w:left="331" w:hanging="331"/>
      </w:pPr>
      <w:r>
        <w:rPr>
          <w:rFonts w:ascii="Aptos" w:hAnsi="Aptos"/>
          <w:color w:val="222A31"/>
          <w:sz w:val="19"/>
        </w:rPr>
        <w:t>6. Apply role-specific reasoning to self, colleague, supervisee, supervisor, and employer scenarios.</w:t>
      </w:r>
    </w:p>
    <w:p>
      <w:pPr>
        <w:pStyle w:val="CTAListNumber"/>
        <w:spacing w:after="40" w:line="250" w:lineRule="auto"/>
        <w:ind w:left="331" w:hanging="331"/>
      </w:pPr>
      <w:r>
        <w:rPr>
          <w:rFonts w:ascii="Aptos" w:hAnsi="Aptos"/>
          <w:color w:val="222A31"/>
          <w:sz w:val="19"/>
        </w:rPr>
        <w:t>7. Evaluate readiness for return to broader duties through demonstrated functioning.</w:t>
      </w:r>
    </w:p>
    <w:p>
      <w:pPr>
        <w:pStyle w:val="CTAListNumber"/>
        <w:spacing w:after="40" w:line="250" w:lineRule="auto"/>
        <w:ind w:left="331" w:hanging="331"/>
      </w:pPr>
      <w:r>
        <w:rPr>
          <w:rFonts w:ascii="Aptos" w:hAnsi="Aptos"/>
          <w:color w:val="222A31"/>
          <w:sz w:val="19"/>
        </w:rPr>
        <w:t>8. Distinguish ordinary ethical action from formal BBS fitness proceedings.</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Impairment questions often contain emotionally charged facts: a diagnosis, substance use, grief, fatigue, a disability, or a clinician who is respected and afraid of losing income. Those facts matter only insofar as they affect professional performance, risk, and the response required. The exam rewards disciplined client-protection reasoning rather than stigma, loyalty, punishment, or denial.</w:t>
      </w:r>
    </w:p>
    <w:p>
      <w:pPr>
        <w:keepNext w:val="0"/>
        <w:spacing w:before="0" w:after="100" w:line="259" w:lineRule="auto"/>
      </w:pPr>
      <w:r>
        <w:rPr>
          <w:rFonts w:ascii="Aptos" w:hAnsi="Aptos"/>
          <w:b w:val="0"/>
          <w:i w:val="0"/>
          <w:color w:val="222A31"/>
          <w:sz w:val="20"/>
        </w:rPr>
        <w:t>Most questions can be solved by separating five issues: Function, Pattern, Risk, Response, and Continuity.</w:t>
      </w:r>
    </w:p>
    <w:p>
      <w:r>
        <w:br w:type="page"/>
      </w:r>
    </w:p>
    <w:p>
      <w:pPr>
        <w:pStyle w:val="Heading2"/>
        <w:keepNext/>
        <w:spacing w:before="120" w:after="80"/>
      </w:pPr>
      <w:r>
        <w:t>The Master Concept Map</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Core Question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the Best Answer Does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1. FUNCTION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specific professional ability has changed?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Uses observable performance rather than a diagnosis or assumption.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2. PATTERN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the concern isolated, repeated, worsening, persistent, or severe?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Avoids both overreaction to one nonspecific event and minimization of a pattern.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3. RISK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the clinician safely perform this duty right now?</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Prioritizes immediate protection when urgent risk is present.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4.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action fully addresses the concern without unnecessary restriction?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Matches support, modification, coverage, leave, or transfer to severity.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5. CONTINUITY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How will clients continue receiving qualified care?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Prevents unsafe continuation and abrupt abandonment.</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20"/>
              </w:rPr>
              <w:t xml:space="preserve">MEMORY AID  </w:t>
            </w:r>
            <w:r>
              <w:rPr>
                <w:rFonts w:ascii="Aptos" w:hAnsi="Aptos"/>
                <w:color w:val="222A31"/>
                <w:sz w:val="20"/>
              </w:rPr>
              <w:t>FUNCTION → PATTERN → RISK → RESPONSE → CONTINUITY</w:t>
            </w:r>
          </w:p>
        </w:tc>
      </w:tr>
    </w:tbl>
    <w:p>
      <w:pPr>
        <w:pStyle w:val="Heading1"/>
        <w:keepNext/>
        <w:spacing w:before="120" w:after="80"/>
      </w:pPr>
      <w:r>
        <w:t>Decision Domain 1: What Impairment Is—and Is Not</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 Function, not label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Impairment concerns meaningful interference with safe, ethical, or effective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Choose evidence about judgment, attention, reliability, boundaries, documentation, effectiveness, and safety.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 Diagnosis ≠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 mental or physical diagnosis does not automatically establish professional impairment.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Reject answers based only on diagnosis, disclosure, or presumed incapacity.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 No diagnosis ≠ no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Observable decline may require action before a diagnosis is known.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 not wait for proof of a disorder when client safety or performance is already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4. Impairment is dynamic</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Professional functioning may improve, worsen, fluctuate, or be limited only for certain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Avoid permanent conclusions when temporary or role-specific limits may protect clients.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5. One sign vs. pattern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One nonspecific event may not establish impairment; repeated, severe, or high-risk evidence may.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Evaluate frequency, persistence, severity, context, baseline, and client impact.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6. Impairment ≠ 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Impairment describes reduced functioning; misconduct describes behavior violating professional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Address unsafe or unethical behavior even when impairment may help explain it.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7. Good intentions ≠ safe practice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Motivation, dedication, reputation, and years of experience do not establish current ability.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Focus on actual performance and response to feedback.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8. Insight matters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Denial, concealment, or minimization can increase risk by delaying protection.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Prefer honest assessment and corrective action over defensiveness or waiting for a complaint.</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8"/>
              </w:rPr>
              <w:t xml:space="preserve">HIGH-YIELD DISTINCTION  </w:t>
            </w:r>
            <w:r>
              <w:rPr>
                <w:rFonts w:ascii="Aptos" w:hAnsi="Aptos"/>
                <w:color w:val="222A31"/>
                <w:sz w:val="18"/>
              </w:rPr>
              <w:t>A condition is what the clinician is experiencing. Impairment is what the condition is doing to professional performance.</w:t>
            </w:r>
          </w:p>
        </w:tc>
      </w:tr>
    </w:tbl>
    <w:p>
      <w:pPr>
        <w:pStyle w:val="Heading1"/>
        <w:keepNext/>
        <w:spacing w:before="120" w:after="80"/>
      </w:pPr>
      <w:r>
        <w:t>Decision Domain 2: Sources and Functional Effects</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9. Substance use vs.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Alcohol, cannabis, medication, or other substance use does not automatically establish impairment.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Look for intoxication, residual effects, withdrawal, missed duties, poor judgment, or unsafe practice.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10. Prescribed can still impair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Legal or prescribed status does not eliminate professional effects.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Evaluate sedation, confusion, slowed thinking, memory difficulty, coordination, and judgment.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11. Burnout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Burnout is generally linked to chronic workplace stress and may involve exhaustion, cynicism, and reduced effectiveness.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 not dismiss it as “part of the job” when functioning is declining.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12. Compassion fatigue / STS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Repeated exposure to others’ suffering may produce emotional depletion, avoidance, intrusive reactions, or reduced empathy.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Identify client-engagement and trauma-exposure effects without assuming misconduct.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13. Fatigue and sleep loss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Fatigue may impair attention, concentration, memory, reaction time, patience, and judgment.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Ask whether the clinician can safely perform the duty now, especially in high-risk work.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14. Disability and accommodation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Disability does not equal incompetence; effective accommodation may preserve competent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Assess whether essential duties can be performed safely with the support in place.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15. Accommodation must work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The existence of an accommodation is not enough if performance remains unsafe.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Increase the response when errors, risk failures, or inability to meet essential duties persist.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16. Multiple causes may coexist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Stress, illness, medication, burnout, grief, and substance effects may interact.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Do not waste time assigning one perfect label when functional decline and risk are clear.</w:t>
            </w:r>
          </w:p>
        </w:tc>
      </w:tr>
    </w:tbl>
    <w:p>
      <w:pPr>
        <w:pStyle w:val="Heading2"/>
        <w:keepNext/>
        <w:spacing w:before="120" w:after="80"/>
      </w:pPr>
      <w:r>
        <w:t>Source-to-Effect Matrix</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Source Mentioned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Do Not Assume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Evaluate Instead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Mental health diagnosis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Automatic impairment or mandatory client disclosure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Current judgment, reliability, boundaries, and client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Alcohol or other substance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Moral fault or impairment from use alone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Present effects, pattern, aftereffects, withdrawal, and safety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Prescribed medication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Professionally irrelevant because it is legal</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Alertness, memory, reaction time, and judgment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Either harmless or automatic incapacity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Work-related exhaustion and actual effect on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Compassion fatigue / STS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Misconduct or permanent loss of empathy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Emotional availability, avoidance, intrusion, and effectiveness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Disability or chronic illness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Incompetence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Essential functions and effectiveness of accommodations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Fatigue or sleep deprivation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Normal and therefore ignorable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Present alertness, errors, risk assessment, and recovery</w:t>
            </w:r>
          </w:p>
        </w:tc>
      </w:tr>
    </w:tbl>
    <w:p>
      <w:pPr>
        <w:pStyle w:val="Heading1"/>
        <w:keepNext/>
        <w:spacing w:before="120" w:after="80"/>
      </w:pPr>
      <w:r>
        <w:t>Decision Domain 3: Recognition and Immediate Protection</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17. Client safety comes first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When the clinician cannot safely perform an urgent duty, protective action precedes routine support planning.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Arrange qualified coverage, remove unsafe duties, or respond to the emergency now.</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18. Early intervention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Action is appropriate when meaningful decline appears; a complaint or completed harm is not required.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Reject “wait and see” when the pattern is worsening or client care is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19. Feedback is evidence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Supervisor, colleague, staff, or client feedback may reveal changes the clinician has normalized.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Evaluate specific feedback rather than dismissing it or accepting it uncritically.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20. High-risk work raises the threshold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Crisis assessment, violence or suicide risk, child safety, and other high-stakes duties require adequate present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 limitation that might be manageable in one duty may require immediate coverage in another.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21. Privacy is not secrecy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The clinician need not reveal unnecessary personal details, but relevant decision-makers need sufficient information to protect clients.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Choose limited, role-appropriate disclosure rather than oversharing or concealment.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22. Present ability is the first question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Long-term recovery planning does not answer whether the clinician can practice safely today.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Separate immediate duty safety from treatment and future return decisions.</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8"/>
              </w:rPr>
              <w:t xml:space="preserve">FIRST-STEP RULE  </w:t>
            </w:r>
            <w:r>
              <w:rPr>
                <w:rFonts w:ascii="Aptos" w:hAnsi="Aptos"/>
                <w:color w:val="222A31"/>
                <w:sz w:val="18"/>
              </w:rPr>
              <w:t>When immediate danger is not established, identify the functional concern and assess risk before selecting a drastic response. When immediate danger is established, protect first and consult without creating an unsafe delay.</w:t>
            </w:r>
          </w:p>
        </w:tc>
      </w:tr>
    </w:tbl>
    <w:p>
      <w:r>
        <w:br w:type="page"/>
      </w:r>
    </w:p>
    <w:p>
      <w:pPr>
        <w:pStyle w:val="Heading1"/>
        <w:keepNext/>
        <w:spacing w:before="120" w:after="80"/>
      </w:pPr>
      <w:r>
        <w:t>Decision Domain 4: The Ethical Response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23. Help-seeking is responsible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Consultation, supervision, treatment, medical care, or peer support may address the source and improve decision-making.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 not stigmatize help-seeking or treat it as proof of misconduct.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24. Treatment alone is insufficient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Entering treatment does not automatically protect current clients or prove readiness for all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Also address workload, high-risk cases, coverage, documentation, and follow-through.</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25. Match response to severity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Use the least restrictive response only when it fully protects clients.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Choose monitoring, support, duty modification, leave, referral, or transfer based on actual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26. Modify before abandoning when safe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Some clinicians can continue safely with limits, oversight, accommodation, or reduced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Avoid automatic permanent departure or abrupt termination when a safer, less disruptive plan is adequate.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27. Stop or limit when necessary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Continuity does not justify ongoing unsafe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When functioning remains significantly impaired, arrange coverage, transfer, or temporary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28. Continuity is an ethical task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Changes in practice require planning for qualified care, emergencies, records, referrals, and transition.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Reject both “continue unsafely” and “end immediately with no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29. Documentation supports action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Record relevant functional concerns, risk assessment, consultation, duty changes, continuity arrangements, and reevaluation.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Documentation is not a substitute for action, but it supports accountability and follow-through.</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30. Reevaluate the plan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 response that was sufficient initially may become inadequate if functioning does not improve.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Monitor outcomes and escalate or reduce restrictions based on current evidence.</w:t>
            </w:r>
          </w:p>
        </w:tc>
      </w:tr>
    </w:tbl>
    <w:p>
      <w:pPr>
        <w:pStyle w:val="Heading2"/>
        <w:keepNext/>
        <w:spacing w:before="120" w:after="80"/>
      </w:pPr>
      <w:r>
        <w:t>Proportionate Response Ladder</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Level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When It Fits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Responses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1. Monitor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Condition or strain is present; functioning remains intact.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Self-monitoring, routine support, prevention, rest, scheduled check-in.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2. Increase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Early warning signs appear; safe practice can continue.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Consultation, supervision, treatment, medical review, increased monitoring.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3. Modify practice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Functioning is declining but selected duties can continue safely with limits.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Reduce caseload, remove high-risk cases, adjust schedule, use accommodation, increase oversight.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4. Limit or stop temporarily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Significant impairment affects safe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Qualified coverage, referral, transfer, leave, workplace or supervisory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5. Reevaluate return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Improvement is reported or observed.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Staged return, objective performance review, continued support, gradual restoration of duties.</w:t>
            </w:r>
          </w:p>
        </w:tc>
      </w:tr>
    </w:tbl>
    <w:p>
      <w:r>
        <w:br w:type="page"/>
      </w:r>
    </w:p>
    <w:p>
      <w:pPr>
        <w:pStyle w:val="Heading1"/>
        <w:keepNext/>
        <w:spacing w:before="120" w:after="80"/>
      </w:pPr>
      <w:r>
        <w:t>Decision Domain 5: Other Professionals and Return to Practice</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31. Observe, do not diagnose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Colleague concerns should be based on specific behavior, performance, and client risk.</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Avoid rumors, labels, public confrontation, and discussions with clients.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32. Role controls the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 peer, supervisor, supervisee, employer, owner, or independent practitioner may have different authority and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Use the channel that fits the role and setting; do not shift responsibility.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33. Supervision includes gatekeeping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Supervisors must use accurate information to evaluate assignments, oversight, remediation, and client protection.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supervisee should disclose material limitations; a supervisor should not ignore known decline.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34. Immediate colleague risk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When a colleague is about to perform an unsafe duty, protect the client before a routine private conversation.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Arrange qualified coverage and use appropriate supervisory or workplace procedures.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35. Reporting requires authority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There is no universal rule that every diagnosis, treatment episode, or colleague concern must be reported to the BBS.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Identify a specific statute, regulation, court order, employer duty, or ethical standard before selecting reporting.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36. Feeling better ≠ ready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Subjective improvement is relevant but does not prove restored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Look for judgment, attention, reliability, documentation, boundaries, and risk-management evidence.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37. Return may be staged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gradual or restricted return may be appropriate when capacity is improving but not fully demonstrated.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Restore duties in proportion to demonstrated functioning and support.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38. Formal Board process is distinct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Business and Professions Code sections 820–822 describe a licensing-agency fitness process.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Do not make that formal process the automatic first answer to ordinary early impairment concerns.</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8"/>
              </w:rPr>
              <w:t xml:space="preserve">COLLEAGUE RULE  </w:t>
            </w:r>
            <w:r>
              <w:rPr>
                <w:rFonts w:ascii="Aptos" w:hAnsi="Aptos"/>
                <w:color w:val="222A31"/>
                <w:sz w:val="18"/>
              </w:rPr>
              <w:t>OBSERVE → PROTECT → USE YOUR ROLE → FOLLOW THE APPLICABLE PROCESS → DOCUMENT WHAT IS NECESSARY</w:t>
            </w:r>
          </w:p>
        </w:tc>
      </w:tr>
    </w:tbl>
    <w:p>
      <w:r>
        <w:br w:type="page"/>
      </w:r>
    </w:p>
    <w:p>
      <w:pPr>
        <w:pStyle w:val="Heading1"/>
        <w:keepNext/>
        <w:spacing w:before="120" w:after="80"/>
      </w:pPr>
      <w:r>
        <w:t>Return-to-Practice Readiness Matrix</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Area</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Readiness Evidence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Warning That More Support Is Needed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Judgment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Decisions are timely, reasoned, and consistent with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Repeated poor decisions, minimization, or inability to recognize limits.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Attention and memory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Can track client information and remain alert throughout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Missed cues, confusion, forgetfulness, or inability to sustain attention.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Documentation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Records are accurate, timely, and clinically meaningful.</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Persistent delays, omissions, contradictions, or errors.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Reliability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Attendance, follow-through, and communication are consistent.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Repeated lateness, cancellations, missed tasks, or unavailability.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Boundaries and 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Professional limits and communication are stable.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Overinvolvement, detachment, irritability, or inappropriate conduct.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Risk management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Can identify and manage urgent concerns within role.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Missed risk indicators or delayed protective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Endurance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Can sustain the assigned workload without deterioration.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Decline across the workday or after high-intensity duties.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Use of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Uses treatment, consultation, supervision, or accommodation as planned.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Stops support prematurely or conceals continuing difficulties.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Continuity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Clients receive consistent, qualified care during the transition.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Coverage gaps, abrupt changes, or unresolved high-risk needs.</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8"/>
              </w:rPr>
              <w:t xml:space="preserve">RETURN RULE  </w:t>
            </w:r>
            <w:r>
              <w:rPr>
                <w:rFonts w:ascii="Aptos" w:hAnsi="Aptos"/>
                <w:color w:val="222A31"/>
                <w:sz w:val="18"/>
              </w:rPr>
              <w:t>Readiness is demonstrated through professional functioning—not through elapsed time, optimism, pressure to return, or one favorable statement considered in isolation.</w:t>
            </w:r>
          </w:p>
        </w:tc>
      </w:tr>
    </w:tbl>
    <w:p>
      <w:r>
        <w:br w:type="page"/>
      </w:r>
    </w:p>
    <w:p>
      <w:pPr>
        <w:pStyle w:val="Heading1"/>
        <w:keepNext/>
        <w:spacing w:before="120" w:after="80"/>
      </w:pPr>
      <w:r>
        <w:t>High-Yield Comparison Charts</w:t>
      </w:r>
    </w:p>
    <w:p>
      <w:pPr>
        <w:pStyle w:val="Heading2"/>
        <w:keepNext/>
        <w:spacing w:before="120" w:after="80"/>
      </w:pPr>
      <w:r>
        <w:t>Condition, Impairment, Incompetence, and Misconduct</w:t>
      </w:r>
    </w:p>
    <w:tbl>
      <w:tblPr>
        <w:tblW w:type="dxa" w:w="947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Primary Focus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Question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Condition or circumstance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Diagnosis, disability, stressor, medication, fatigue, substance use, grief, or workplace strain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Is professional functioning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Professional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Reduced ability to provide safe, ethical, or effective services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changed, how serious is the risk, and what response is required?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Insufficient professional ability or performance for the service or duty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this clinician perform the task safely and effectively?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Behavior violating legal, ethical, or professional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rule was violated, and what protection or accountability is required?</w:t>
            </w:r>
          </w:p>
        </w:tc>
      </w:tr>
    </w:tbl>
    <w:p>
      <w:pPr>
        <w:pStyle w:val="Heading2"/>
        <w:keepNext/>
        <w:spacing w:before="120" w:after="80"/>
      </w:pPr>
      <w:r>
        <w:t>Burnout vs. Compassion Fatigue / Secondary Traumatic Stress</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Burnout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Compassion Fatigue / STS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Primarily associated with chronic workplace stress, workload, pressure, and low control.</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Primarily associated with repeated exposure to others’ trauma, suffering, grief, or crisis.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May involve exhaustion, cynicism, disengagement, and reduced effectiveness.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May involve emotional numbness, avoidance, intrusion, detachment, or reduced empathy.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May improve when work conditions, workload, or recovery opportunities change.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May require trauma-informed recovery, case adjustment, support, and boundaries.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Becomes an impairment concern when professional functioning declines.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Becomes an impairment concern when professional functioning declines.</w:t>
            </w:r>
          </w:p>
        </w:tc>
      </w:tr>
    </w:tbl>
    <w:p>
      <w:pPr>
        <w:pStyle w:val="Heading2"/>
        <w:keepNext/>
        <w:spacing w:before="120" w:after="80"/>
      </w:pPr>
      <w:r>
        <w:t>Strong Answer vs. Distractor Pattern</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Strong Answers Usually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Distractors Often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observable professional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only on diagnosis, identity, reputation, or intention.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Assess present safety and pattern.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Wait for harm or overreact to one nonspecific sign.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treatment and work protections together.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Assume help-seeking alone resolves current risk.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Match the intervention to severity.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Select automatic permanent removal or an inadequate minimal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Plan continuity and limited disclosure.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Continue unsafe care or disclose unnecessary private details.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role-specific procedures.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Assume every concern requires the same report or process.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Reevaluate demonstrated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Assume feeling better or time away proves readiness.</w:t>
            </w:r>
          </w:p>
        </w:tc>
      </w:tr>
    </w:tbl>
    <w:p>
      <w:r>
        <w:br w:type="page"/>
      </w:r>
    </w:p>
    <w:p>
      <w:pPr>
        <w:pStyle w:val="Heading1"/>
        <w:keepNext/>
        <w:spacing w:before="120" w:after="80"/>
      </w:pPr>
      <w:r>
        <w:t>The One-Minute Examination Sequence</w:t>
      </w:r>
    </w:p>
    <w:p>
      <w:pPr>
        <w:pStyle w:val="CTAListNumber"/>
        <w:spacing w:after="60" w:line="250" w:lineRule="auto"/>
        <w:ind w:left="331" w:hanging="331"/>
      </w:pPr>
      <w:r>
        <w:rPr>
          <w:rFonts w:ascii="Aptos" w:hAnsi="Aptos"/>
          <w:color w:val="222A31"/>
          <w:sz w:val="19"/>
        </w:rPr>
        <w:t>1. Name the observable functional change.</w:t>
      </w:r>
    </w:p>
    <w:p>
      <w:pPr>
        <w:pStyle w:val="CTAListNumber"/>
        <w:spacing w:after="60" w:line="250" w:lineRule="auto"/>
        <w:ind w:left="331" w:hanging="331"/>
      </w:pPr>
      <w:r>
        <w:rPr>
          <w:rFonts w:ascii="Aptos" w:hAnsi="Aptos"/>
          <w:color w:val="222A31"/>
          <w:sz w:val="19"/>
        </w:rPr>
        <w:t>2. Decide whether the evidence is isolated, patterned, severe, or worsening.</w:t>
      </w:r>
    </w:p>
    <w:p>
      <w:pPr>
        <w:pStyle w:val="CTAListNumber"/>
        <w:spacing w:after="60" w:line="250" w:lineRule="auto"/>
        <w:ind w:left="331" w:hanging="331"/>
      </w:pPr>
      <w:r>
        <w:rPr>
          <w:rFonts w:ascii="Aptos" w:hAnsi="Aptos"/>
          <w:color w:val="222A31"/>
          <w:sz w:val="19"/>
        </w:rPr>
        <w:t>3. Identify any duty that cannot be performed safely right now.</w:t>
      </w:r>
    </w:p>
    <w:p>
      <w:pPr>
        <w:pStyle w:val="CTAListNumber"/>
        <w:spacing w:after="60" w:line="250" w:lineRule="auto"/>
        <w:ind w:left="331" w:hanging="331"/>
      </w:pPr>
      <w:r>
        <w:rPr>
          <w:rFonts w:ascii="Aptos" w:hAnsi="Aptos"/>
          <w:color w:val="222A31"/>
          <w:sz w:val="19"/>
        </w:rPr>
        <w:t>4. Determine the clinician’s role and who has authority to act.</w:t>
      </w:r>
    </w:p>
    <w:p>
      <w:pPr>
        <w:pStyle w:val="CTAListNumber"/>
        <w:spacing w:after="60" w:line="250" w:lineRule="auto"/>
        <w:ind w:left="331" w:hanging="331"/>
      </w:pPr>
      <w:r>
        <w:rPr>
          <w:rFonts w:ascii="Aptos" w:hAnsi="Aptos"/>
          <w:color w:val="222A31"/>
          <w:sz w:val="19"/>
        </w:rPr>
        <w:t>5. Select the least restrictive response that fully protects clients.</w:t>
      </w:r>
    </w:p>
    <w:p>
      <w:pPr>
        <w:pStyle w:val="CTAListNumber"/>
        <w:spacing w:after="60" w:line="250" w:lineRule="auto"/>
        <w:ind w:left="331" w:hanging="331"/>
      </w:pPr>
      <w:r>
        <w:rPr>
          <w:rFonts w:ascii="Aptos" w:hAnsi="Aptos"/>
          <w:color w:val="222A31"/>
          <w:sz w:val="19"/>
        </w:rPr>
        <w:t>6. Add qualified coverage, referral, transfer, and emergency planning when duties change.</w:t>
      </w:r>
    </w:p>
    <w:p>
      <w:pPr>
        <w:pStyle w:val="CTAListNumber"/>
        <w:spacing w:after="60" w:line="250" w:lineRule="auto"/>
        <w:ind w:left="331" w:hanging="331"/>
      </w:pPr>
      <w:r>
        <w:rPr>
          <w:rFonts w:ascii="Aptos" w:hAnsi="Aptos"/>
          <w:color w:val="222A31"/>
          <w:sz w:val="19"/>
        </w:rPr>
        <w:t>7. Limit disclosure to information necessary for safety and process.</w:t>
      </w:r>
    </w:p>
    <w:p>
      <w:pPr>
        <w:pStyle w:val="CTAListNumber"/>
        <w:spacing w:after="60" w:line="250" w:lineRule="auto"/>
        <w:ind w:left="331" w:hanging="331"/>
      </w:pPr>
      <w:r>
        <w:rPr>
          <w:rFonts w:ascii="Aptos" w:hAnsi="Aptos"/>
          <w:color w:val="222A31"/>
          <w:sz w:val="19"/>
        </w:rPr>
        <w:t>8. Document the decision, action, consultation, and follow-up when appropriate.</w:t>
      </w:r>
    </w:p>
    <w:p>
      <w:pPr>
        <w:pStyle w:val="CTAListNumber"/>
        <w:spacing w:after="60" w:line="250" w:lineRule="auto"/>
        <w:ind w:left="331" w:hanging="331"/>
      </w:pPr>
      <w:r>
        <w:rPr>
          <w:rFonts w:ascii="Aptos" w:hAnsi="Aptos"/>
          <w:color w:val="222A31"/>
          <w:sz w:val="19"/>
        </w:rPr>
        <w:t>9. Reevaluate professional functioning before restoring broader duties.</w:t>
      </w:r>
    </w:p>
    <w:p>
      <w:pPr>
        <w:pStyle w:val="CTAListNumber"/>
        <w:spacing w:after="60" w:line="250" w:lineRule="auto"/>
        <w:ind w:left="331" w:hanging="331"/>
      </w:pPr>
      <w:r>
        <w:rPr>
          <w:rFonts w:ascii="Aptos" w:hAnsi="Aptos"/>
          <w:color w:val="222A31"/>
          <w:sz w:val="19"/>
        </w:rPr>
        <w:t>10. Use a formal BBS process only when the facts and authority actually support it.</w:t>
      </w:r>
    </w:p>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8"/>
              </w:rPr>
              <w:t xml:space="preserve">WHEN TWO ANSWERS SOUND REASONABLE  </w:t>
            </w:r>
            <w:r>
              <w:rPr>
                <w:rFonts w:ascii="Aptos" w:hAnsi="Aptos"/>
                <w:color w:val="222A31"/>
                <w:sz w:val="18"/>
              </w:rPr>
              <w:t>Choose the answer that addresses the client-facing professional problem now—not merely the clinician’s private recovery, reputation, income, or desire to continue.</w:t>
            </w:r>
          </w:p>
        </w:tc>
      </w:tr>
    </w:tbl>
    <w:p>
      <w:pPr>
        <w:pStyle w:val="Heading2"/>
        <w:keepNext/>
        <w:spacing w:before="120" w:after="80"/>
      </w:pPr>
      <w:r>
        <w:t>Fast “If You See…” Review</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If You See…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Think…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with intact performance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Diagnosis does not equal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Repeated errors, lateness, and missed risk cues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Functional decline and client risk.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Substance use without work effects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alone does not establish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Prescribed medication causing confusion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Legal status does not eliminate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Effective disability accommodation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Accommodation may support competence.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 treatment but unchanged high-risk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Help-seeking alone is insufficient.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disoriented colleague about to see a high-risk client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protection before routine discussion.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No client complaint yet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 not wait for harm when decline is established.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says they feel better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Confirm restored professional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“Report to the BBS immediately”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Look for a specific reporting or formal-process authority.</w:t>
            </w:r>
          </w:p>
        </w:tc>
      </w:tr>
    </w:tbl>
    <w:p>
      <w:r>
        <w:br w:type="page"/>
      </w:r>
    </w:p>
    <w:p>
      <w:pPr>
        <w:pStyle w:val="Heading1"/>
        <w:keepNext/>
        <w:spacing w:before="120" w:after="80"/>
      </w:pPr>
      <w:r>
        <w:t>Chapter Snapshot</w:t>
      </w:r>
    </w:p>
    <w:p>
      <w:pPr>
        <w:pStyle w:val="CTAListBullet"/>
        <w:spacing w:after="40" w:line="250" w:lineRule="auto"/>
        <w:ind w:left="259" w:hanging="202"/>
      </w:pPr>
      <w:r>
        <w:rPr>
          <w:rFonts w:ascii="Aptos" w:hAnsi="Aptos"/>
          <w:color w:val="222A31"/>
          <w:sz w:val="19"/>
        </w:rPr>
        <w:t>• Professional impairment is a functional and client-protection concept, not a diagnosis or identity label.</w:t>
      </w:r>
    </w:p>
    <w:p>
      <w:pPr>
        <w:pStyle w:val="CTAListBullet"/>
        <w:spacing w:after="40" w:line="250" w:lineRule="auto"/>
        <w:ind w:left="259" w:hanging="202"/>
      </w:pPr>
      <w:r>
        <w:rPr>
          <w:rFonts w:ascii="Aptos" w:hAnsi="Aptos"/>
          <w:color w:val="222A31"/>
          <w:sz w:val="19"/>
        </w:rPr>
        <w:t>• A diagnosis, disability, stressor, medication, or substance use history may be relevant but is not conclusive.</w:t>
      </w:r>
    </w:p>
    <w:p>
      <w:pPr>
        <w:pStyle w:val="CTAListBullet"/>
        <w:spacing w:after="40" w:line="250" w:lineRule="auto"/>
        <w:ind w:left="259" w:hanging="202"/>
      </w:pPr>
      <w:r>
        <w:rPr>
          <w:rFonts w:ascii="Aptos" w:hAnsi="Aptos"/>
          <w:color w:val="222A31"/>
          <w:sz w:val="19"/>
        </w:rPr>
        <w:t>• Pattern, persistence, severity, change from baseline, insight, and client impact determine the strength of the concern.</w:t>
      </w:r>
    </w:p>
    <w:p>
      <w:pPr>
        <w:pStyle w:val="CTAListBullet"/>
        <w:spacing w:after="40" w:line="250" w:lineRule="auto"/>
        <w:ind w:left="259" w:hanging="202"/>
      </w:pPr>
      <w:r>
        <w:rPr>
          <w:rFonts w:ascii="Aptos" w:hAnsi="Aptos"/>
          <w:color w:val="222A31"/>
          <w:sz w:val="19"/>
        </w:rPr>
        <w:t>• Substance use and professional impairment are different; prescribed substances can still impair practice.</w:t>
      </w:r>
    </w:p>
    <w:p>
      <w:pPr>
        <w:pStyle w:val="CTAListBullet"/>
        <w:spacing w:after="40" w:line="250" w:lineRule="auto"/>
        <w:ind w:left="259" w:hanging="202"/>
      </w:pPr>
      <w:r>
        <w:rPr>
          <w:rFonts w:ascii="Aptos" w:hAnsi="Aptos"/>
          <w:color w:val="222A31"/>
          <w:sz w:val="19"/>
        </w:rPr>
        <w:t>• Burnout and compassion fatigue or secondary traumatic stress overlap but have different common sources.</w:t>
      </w:r>
    </w:p>
    <w:p>
      <w:pPr>
        <w:pStyle w:val="CTAListBullet"/>
        <w:spacing w:after="40" w:line="250" w:lineRule="auto"/>
        <w:ind w:left="259" w:hanging="202"/>
      </w:pPr>
      <w:r>
        <w:rPr>
          <w:rFonts w:ascii="Aptos" w:hAnsi="Aptos"/>
          <w:color w:val="222A31"/>
          <w:sz w:val="19"/>
        </w:rPr>
        <w:t>• Fatigue and sleep deprivation can impair attention, memory, judgment, reaction time, and risk assessment.</w:t>
      </w:r>
    </w:p>
    <w:p>
      <w:pPr>
        <w:pStyle w:val="CTAListBullet"/>
        <w:spacing w:after="40" w:line="250" w:lineRule="auto"/>
        <w:ind w:left="259" w:hanging="202"/>
      </w:pPr>
      <w:r>
        <w:rPr>
          <w:rFonts w:ascii="Aptos" w:hAnsi="Aptos"/>
          <w:color w:val="222A31"/>
          <w:sz w:val="19"/>
        </w:rPr>
        <w:t>• Effective accommodations may support competent practice; ineffective accommodations must be revised.</w:t>
      </w:r>
    </w:p>
    <w:p>
      <w:pPr>
        <w:pStyle w:val="CTAListBullet"/>
        <w:spacing w:after="40" w:line="250" w:lineRule="auto"/>
        <w:ind w:left="259" w:hanging="202"/>
      </w:pPr>
      <w:r>
        <w:rPr>
          <w:rFonts w:ascii="Aptos" w:hAnsi="Aptos"/>
          <w:color w:val="222A31"/>
          <w:sz w:val="19"/>
        </w:rPr>
        <w:t>• Early action is generally stronger than waiting for a complaint, completed harm, or perfect diagnostic certainty.</w:t>
      </w:r>
    </w:p>
    <w:p>
      <w:pPr>
        <w:pStyle w:val="CTAListBullet"/>
        <w:spacing w:after="40" w:line="250" w:lineRule="auto"/>
        <w:ind w:left="259" w:hanging="202"/>
      </w:pPr>
      <w:r>
        <w:rPr>
          <w:rFonts w:ascii="Aptos" w:hAnsi="Aptos"/>
          <w:color w:val="222A31"/>
          <w:sz w:val="19"/>
        </w:rPr>
        <w:t>• Treatment and consultation support recovery but do not replace current client protection or duty modification.</w:t>
      </w:r>
    </w:p>
    <w:p>
      <w:pPr>
        <w:pStyle w:val="CTAListBullet"/>
        <w:spacing w:after="40" w:line="250" w:lineRule="auto"/>
        <w:ind w:left="259" w:hanging="202"/>
      </w:pPr>
      <w:r>
        <w:rPr>
          <w:rFonts w:ascii="Aptos" w:hAnsi="Aptos"/>
          <w:color w:val="222A31"/>
          <w:sz w:val="19"/>
        </w:rPr>
        <w:t>• The least restrictive response is appropriate only when it fully protects clients.</w:t>
      </w:r>
    </w:p>
    <w:p>
      <w:pPr>
        <w:pStyle w:val="CTAListBullet"/>
        <w:spacing w:after="40" w:line="250" w:lineRule="auto"/>
        <w:ind w:left="259" w:hanging="202"/>
      </w:pPr>
      <w:r>
        <w:rPr>
          <w:rFonts w:ascii="Aptos" w:hAnsi="Aptos"/>
          <w:color w:val="222A31"/>
          <w:sz w:val="19"/>
        </w:rPr>
        <w:t>• Colleague and supervisee concerns require observable evidence, role-specific action, and client-safety planning.</w:t>
      </w:r>
    </w:p>
    <w:p>
      <w:pPr>
        <w:pStyle w:val="CTAListBullet"/>
        <w:spacing w:after="40" w:line="250" w:lineRule="auto"/>
        <w:ind w:left="259" w:hanging="202"/>
      </w:pPr>
      <w:r>
        <w:rPr>
          <w:rFonts w:ascii="Aptos" w:hAnsi="Aptos"/>
          <w:color w:val="222A31"/>
          <w:sz w:val="19"/>
        </w:rPr>
        <w:t>• Return to broader duties depends on demonstrated professional functioning and may be staged.</w:t>
      </w:r>
    </w:p>
    <w:p>
      <w:pPr>
        <w:pStyle w:val="CTAListBullet"/>
        <w:spacing w:after="40" w:line="250" w:lineRule="auto"/>
        <w:ind w:left="259" w:hanging="202"/>
      </w:pPr>
      <w:r>
        <w:rPr>
          <w:rFonts w:ascii="Aptos" w:hAnsi="Aptos"/>
          <w:color w:val="222A31"/>
          <w:sz w:val="19"/>
        </w:rPr>
        <w:t>• Formal BBS fitness proceedings are distinct from ordinary ethical, supervision, and workplace responses.</w:t>
      </w:r>
    </w:p>
    <w:p>
      <w:r>
        <w:br w:type="page"/>
      </w:r>
    </w:p>
    <w:p>
      <w:pPr>
        <w:pStyle w:val="Heading1"/>
        <w:keepNext/>
        <w:spacing w:before="120" w:after="80"/>
      </w:pPr>
      <w:r>
        <w:t>Final 30-Second Checklist</w:t>
      </w:r>
    </w:p>
    <w:tbl>
      <w:tblPr>
        <w:tblW w:type="dxa" w:w="947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Check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Ask Yourself</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Function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professional ability has changed?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Pattern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the evidence isolated, repeated, worsening, persistent, or severe?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this duty be performed safely right now?</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Source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Am I overreacting to a label or ignoring real effects?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Role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Who has authority and responsibility in this setting?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Response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action fully protects clients without unnecessary restriction?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Who will provide qualified care if duties change?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Privacy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information is necessary, and what should remain private?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Follow-through</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Was the plan implemented, documented, and monitored?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Return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restored professional functioning demonstrated?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Authority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Does a specific law, ethical standard, workplace duty, or BBS process apply?</w:t>
            </w:r>
          </w:p>
        </w:tc>
      </w:tr>
    </w:tbl>
    <w:tbl>
      <w:tblPr>
        <w:tblW w:type="dxa" w:w="947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LAST-MINUTE RULE  </w:t>
            </w:r>
            <w:r>
              <w:rPr>
                <w:rFonts w:ascii="Aptos" w:hAnsi="Aptos"/>
                <w:color w:val="222A31"/>
                <w:sz w:val="19"/>
              </w:rPr>
              <w:t>Function first. Protect clients now. Match the response to risk. Preserve continuity. Reevaluate before full return.</w:t>
            </w:r>
          </w:p>
        </w:tc>
      </w:tr>
    </w:tbl>
    <w:p>
      <w:pPr>
        <w:pStyle w:val="Heading1"/>
        <w:keepNext/>
        <w:pageBreakBefore/>
      </w:pPr>
      <w:r>
        <w:rPr>
          <w:i w:val="0"/>
        </w:rPr>
        <w:t>Chapter 8</w:t>
      </w:r>
    </w:p>
    <w:p>
      <w:pPr>
        <w:pStyle w:val="Title"/>
        <w:keepNext/>
      </w:pPr>
      <w:r>
        <w:rPr>
          <w:i w:val="0"/>
        </w:rPr>
        <w:t>Memory Aids and Quick Review Charts</w:t>
      </w:r>
    </w:p>
    <w:p>
      <w:pPr>
        <w:pStyle w:val="Heading2"/>
        <w:keepNext/>
      </w:pPr>
      <w:r>
        <w:rPr>
          <w:i w:val="0"/>
        </w:rPr>
        <w:t>Learning Objectives</w:t>
      </w:r>
    </w:p>
    <w:p>
      <w:pPr>
        <w:pStyle w:val="CTAListNumber"/>
      </w:pPr>
      <w:r>
        <w:rPr>
          <w:i w:val="0"/>
        </w:rPr>
        <w:t>1. Apply a consistent five-part scan to professional-impairment questions.</w:t>
      </w:r>
    </w:p>
    <w:p>
      <w:pPr>
        <w:pStyle w:val="CTAListNumber"/>
      </w:pPr>
      <w:r>
        <w:rPr>
          <w:i w:val="0"/>
        </w:rPr>
        <w:t>2. Separate a diagnosis, disability, stressor, medication, or substance use from actual professional impairment.</w:t>
      </w:r>
    </w:p>
    <w:p>
      <w:pPr>
        <w:pStyle w:val="CTAListNumber"/>
      </w:pPr>
      <w:r>
        <w:rPr>
          <w:i w:val="0"/>
        </w:rPr>
        <w:t>3. Recognize functional red flags and determine whether immediate client protection is required.</w:t>
      </w:r>
    </w:p>
    <w:p>
      <w:pPr>
        <w:pStyle w:val="CTAListNumber"/>
      </w:pPr>
      <w:r>
        <w:rPr>
          <w:i w:val="0"/>
        </w:rPr>
        <w:t>4. Match monitoring, support, practice modification, temporary limitation, and return-to-practice review to the severity of the concern.</w:t>
      </w:r>
    </w:p>
    <w:p>
      <w:pPr>
        <w:pStyle w:val="CTAListNumber"/>
      </w:pPr>
      <w:r>
        <w:rPr>
          <w:i w:val="0"/>
        </w:rPr>
        <w:t>5. Apply role-specific reasoning to self, colleague, supervisee, supervisor, and employer scenarios.</w:t>
      </w:r>
    </w:p>
    <w:p>
      <w:pPr>
        <w:pStyle w:val="CTAListNumber"/>
      </w:pPr>
      <w:r>
        <w:rPr>
          <w:i w:val="0"/>
        </w:rPr>
        <w:t>6. Preserve client continuity, privacy, documentation, and accountability while avoiding unnecessary disclosure or unsupported diagnosis.</w:t>
      </w:r>
    </w:p>
    <w:p>
      <w:pPr>
        <w:pStyle w:val="Heading2"/>
        <w:keepNext/>
      </w:pPr>
      <w:r>
        <w:rPr>
          <w:i w:val="0"/>
        </w:rPr>
        <w:t>Why This Topic Matters</w:t>
      </w:r>
    </w:p>
    <w:p>
      <w:pPr>
        <w:widowControl/>
      </w:pPr>
      <w:r>
        <w:rPr>
          <w:i w:val="0"/>
        </w:rPr>
        <w:t>Professional-impairment questions are rarely solved by naming the condition. The stem may mention depression, alcohol use, fatigue, grief, medication, chronic pain, disability, burnout, or treatment participation. Those facts matter only after the candidate determines what has changed in professional functioning and whether clients can still be served safely.</w:t>
      </w:r>
    </w:p>
    <w:p>
      <w:pPr>
        <w:widowControl/>
      </w:pPr>
      <w:r>
        <w:rPr>
          <w:i w:val="0"/>
        </w:rPr>
        <w:t>Use quick-review tools to organize the facts—not to skip legal authority, professional role, urgency, or continuity of care.</w:t>
      </w:r>
    </w:p>
    <w:tbl>
      <w:tblPr>
        <w:tblW w:type="dxa" w:w="9470"/>
        <w:jc w:val="center"/>
        <w:tblLook w:firstColumn="1" w:firstRow="1" w:lastColumn="0" w:lastRow="0" w:noHBand="0" w:noVBand="1" w:val="04A0"/>
        <w:tbl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blBorders>
        <w:tblLayout w:type="fixed"/>
      </w:tblPr>
      <w:tblGrid>
        <w:gridCol w:w="9470"/>
      </w:tblGrid>
      <w:tr>
        <w:trPr>
          <w:tblHeader w:val="true"/>
          <w:cantSplit w:val="1"/>
        </w:trPr>
        <w:tc>
          <w:tcPr>
            <w:tcW w:type="dxa" w:w="9470"/>
            <w:shd w:fill="EAF7F6"/>
            <w:tcMar>
              <w:top w:w="120" w:type="dxa"/>
              <w:start w:w="140" w:type="dxa"/>
              <w:bottom w:w="120" w:type="dxa"/>
              <w:end w:w="140" w:type="dxa"/>
            </w:tcMar>
          </w:tcPr>
          <w:p>
            <w:pPr>
              <w:spacing w:after="60"/>
            </w:pPr>
            <w:r/>
            <w:r>
              <w:rPr>
                <w:rFonts w:ascii="Aptos" w:hAnsi="Aptos"/>
                <w:b/>
                <w:color w:val="0B2545"/>
                <w:sz w:val="19"/>
              </w:rPr>
              <w:t>BIG IDEA</w:t>
            </w:r>
          </w:p>
          <w:p>
            <w:pPr>
              <w:spacing w:after="0" w:line="252" w:lineRule="auto"/>
            </w:pPr>
            <w:r>
              <w:rPr>
                <w:rFonts w:ascii="Aptos" w:hAnsi="Aptos"/>
                <w:color w:val="222A31"/>
                <w:sz w:val="18"/>
              </w:rPr>
              <w:t>The best answer is usually the one that identifies the actual functional change, responds at the correct level of urgency, protects clients, and avoids both minimization and unnecessary overreaction.</w:t>
            </w:r>
          </w:p>
        </w:tc>
      </w:tr>
    </w:tbl>
    <w:p>
      <w:pPr>
        <w:widowControl/>
        <w:spacing w:after="0"/>
      </w:pPr>
    </w:p>
    <w:p>
      <w:pPr>
        <w:widowControl/>
      </w:pPr>
      <w:r>
        <w:br w:type="page"/>
      </w:r>
    </w:p>
    <w:p>
      <w:pPr>
        <w:pStyle w:val="Heading1"/>
        <w:keepNext/>
      </w:pPr>
      <w:r>
        <w:rPr>
          <w:i w:val="0"/>
        </w:rPr>
        <w:t>The Master Decision Map</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Step</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Core Question</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Best Exam Direction</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FUNCTION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What specific professional ability has changed?</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Name the effect on judgment, attention, reliability, boundaries, documentation, communication, risk assessment, or clinical effectiveness.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PATTERN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Is the concern isolated, repeated, worsening, or persistent?</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frequency, severity, change from baseline, feedback, and impact—not one label or one unexplained incident.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RISK</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Can the clinician practice safely right now?</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When immediate safety is uncertain, protect clients before routine reflection, treatment planning, or long-term remediation.</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RESPONSE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What is the least restrictive action that adequately protects clients?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Match monitoring, support, modification, coverage, transfer, or leave to the actual degree of decline.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CONTINUITY</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How will current clients continue receiving appropriate care?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Address scheduling, coverage, referrals, records, emergencies, supervision, and follow-up without unnecessary personal disclosure.</w:t>
            </w:r>
          </w:p>
        </w:tc>
      </w:tr>
    </w:tbl>
    <w:p>
      <w:pPr>
        <w:widowControl/>
        <w:spacing w:after="0"/>
      </w:pPr>
    </w:p>
    <w:tbl>
      <w:tblPr>
        <w:tblW w:type="dxa" w:w="9470"/>
        <w:jc w:val="center"/>
        <w:tblLook w:firstColumn="1" w:firstRow="1" w:lastColumn="0" w:lastRow="0" w:noHBand="0" w:noVBand="1" w:val="04A0"/>
        <w:tblBorders>
          <w:top w:val="single" w:sz="10" w:space="0" w:color="D4A72C"/>
          <w:left w:val="single" w:sz="10" w:space="0" w:color="D4A72C"/>
          <w:bottom w:val="single" w:sz="10" w:space="0" w:color="D4A72C"/>
          <w:right w:val="single" w:sz="10" w:space="0" w:color="D4A72C"/>
          <w:insideH w:val="single" w:sz="10" w:space="0" w:color="D4A72C"/>
          <w:insideV w:val="single" w:sz="10" w:space="0" w:color="D4A72C"/>
        </w:tblBorders>
        <w:tblLayout w:type="fixed"/>
      </w:tblPr>
      <w:tblGrid>
        <w:gridCol w:w="9470"/>
      </w:tblGrid>
      <w:tr>
        <w:trPr>
          <w:tblHeader w:val="true"/>
          <w:cantSplit w:val="1"/>
        </w:trPr>
        <w:tc>
          <w:tcPr>
            <w:tcW w:type="dxa" w:w="9470"/>
            <w:shd w:fill="FFF8E1"/>
            <w:tcMar>
              <w:top w:w="120" w:type="dxa"/>
              <w:start w:w="140" w:type="dxa"/>
              <w:bottom w:w="120" w:type="dxa"/>
              <w:end w:w="140" w:type="dxa"/>
            </w:tcMar>
          </w:tcPr>
          <w:p>
            <w:pPr>
              <w:spacing w:after="60"/>
            </w:pPr>
            <w:r/>
            <w:r>
              <w:rPr>
                <w:rFonts w:ascii="Aptos" w:hAnsi="Aptos"/>
                <w:b/>
                <w:color w:val="0B2545"/>
                <w:sz w:val="19"/>
              </w:rPr>
              <w:t>LAST-MINUTE MEMORY AID</w:t>
            </w:r>
          </w:p>
          <w:p>
            <w:pPr>
              <w:spacing w:after="0" w:line="252" w:lineRule="auto"/>
            </w:pPr>
            <w:r>
              <w:rPr>
                <w:rFonts w:ascii="Aptos" w:hAnsi="Aptos"/>
                <w:color w:val="222A31"/>
                <w:sz w:val="18"/>
              </w:rPr>
              <w:t>FUNCTION → PATTERN → RISK → RESPONSE → CONTINUITY</w:t>
            </w:r>
          </w:p>
        </w:tc>
      </w:tr>
    </w:tbl>
    <w:p>
      <w:pPr>
        <w:widowControl/>
        <w:spacing w:after="0"/>
      </w:pPr>
    </w:p>
    <w:p>
      <w:pPr>
        <w:pStyle w:val="Heading1"/>
        <w:keepNext/>
      </w:pPr>
      <w:r>
        <w:rPr>
          <w:i w:val="0"/>
        </w:rPr>
        <w:t>Condition, Functioning, and Impairment</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Fact in the Stem</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It Does Not Automatically Prove</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Evaluate Instead</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Mental-health diagnosis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Impairment, incompetence, or misconduct</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Current judgment, reliability, attention, boundaries, and clinical effectiveness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Physical illness or disability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Inability to practice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Whether essential duties can be performed safely with effective accommodation</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Stress, grief, or family crisis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Professional impairment</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Whether responsibilities and client care remain intact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Alcohol, cannabis, or other substance use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Substance-related impairment or a diagnosis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Observable effects, residual effects, pattern, timing, and client risk</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Prescribed or over-the-counter medication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Professional safety or professional danger</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Actual side effects such as sedation, confusion, slowed thinking, or impaired judgment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Burnout or compassion fatigue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Automatic misconduct or permanent incapacity</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Functional decline, case impact, workload, emotional availability, and recovery</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Treatment participation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Readiness to continue or resume all duties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Demonstrated restoration of professional functioning and adequate safeguards</w:t>
            </w:r>
          </w:p>
        </w:tc>
      </w:tr>
    </w:tbl>
    <w:p>
      <w:pPr>
        <w:widowControl/>
        <w:spacing w:after="0"/>
      </w:pPr>
    </w:p>
    <w:tbl>
      <w:tblPr>
        <w:tblW w:type="dxa" w:w="9470"/>
        <w:jc w:val="center"/>
        <w:tblLook w:firstColumn="1" w:firstRow="1" w:lastColumn="0" w:lastRow="0" w:noHBand="0" w:noVBand="1" w:val="04A0"/>
        <w:tblBorders>
          <w:top w:val="single" w:sz="10" w:space="0" w:color="C65D5D"/>
          <w:left w:val="single" w:sz="10" w:space="0" w:color="C65D5D"/>
          <w:bottom w:val="single" w:sz="10" w:space="0" w:color="C65D5D"/>
          <w:right w:val="single" w:sz="10" w:space="0" w:color="C65D5D"/>
          <w:insideH w:val="single" w:sz="10" w:space="0" w:color="C65D5D"/>
          <w:insideV w:val="single" w:sz="10" w:space="0" w:color="C65D5D"/>
        </w:tblBorders>
        <w:tblLayout w:type="fixed"/>
      </w:tblPr>
      <w:tblGrid>
        <w:gridCol w:w="9470"/>
      </w:tblGrid>
      <w:tr>
        <w:trPr>
          <w:tblHeader w:val="true"/>
          <w:cantSplit w:val="1"/>
        </w:trPr>
        <w:tc>
          <w:tcPr>
            <w:tcW w:type="dxa" w:w="9470"/>
            <w:shd w:fill="FCEEEE"/>
            <w:tcMar>
              <w:top w:w="120" w:type="dxa"/>
              <w:start w:w="140" w:type="dxa"/>
              <w:bottom w:w="120" w:type="dxa"/>
              <w:end w:w="140" w:type="dxa"/>
            </w:tcMar>
          </w:tcPr>
          <w:p>
            <w:pPr>
              <w:spacing w:after="60"/>
            </w:pPr>
            <w:r/>
            <w:r>
              <w:rPr>
                <w:rFonts w:ascii="Aptos" w:hAnsi="Aptos"/>
                <w:b/>
                <w:color w:val="0B2545"/>
                <w:sz w:val="19"/>
              </w:rPr>
              <w:t>EXAM WARNING</w:t>
            </w:r>
          </w:p>
          <w:p>
            <w:pPr>
              <w:spacing w:after="0" w:line="252" w:lineRule="auto"/>
            </w:pPr>
            <w:r>
              <w:rPr>
                <w:rFonts w:ascii="Aptos" w:hAnsi="Aptos"/>
                <w:color w:val="222A31"/>
                <w:sz w:val="18"/>
              </w:rPr>
              <w:t>Label-based answers are often distractors. “Has a condition” and “cannot practice safely” are not the same finding.</w:t>
            </w:r>
          </w:p>
        </w:tc>
      </w:tr>
    </w:tbl>
    <w:p>
      <w:pPr>
        <w:widowControl/>
        <w:spacing w:after="0"/>
      </w:pPr>
    </w:p>
    <w:p>
      <w:pPr>
        <w:pStyle w:val="Heading1"/>
        <w:keepNext/>
      </w:pPr>
      <w:r>
        <w:rPr>
          <w:i w:val="0"/>
        </w:rPr>
        <w:t>Source Sorting Tool</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2368"/>
        <w:gridCol w:w="2368"/>
        <w:gridCol w:w="2368"/>
        <w:gridCol w:w="2366"/>
      </w:tblGrid>
      <w:tr>
        <w:trPr>
          <w:cantSplit w:val="1"/>
          <w:tblHeader w:val="1"/>
        </w:trPr>
        <w:tc>
          <w:tcPr>
            <w:tcW w:type="dxa" w:w="2368"/>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Source Area</w:t>
            </w:r>
          </w:p>
        </w:tc>
        <w:tc>
          <w:tcPr>
            <w:tcW w:type="dxa" w:w="2368"/>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Examples</w:t>
            </w:r>
          </w:p>
        </w:tc>
        <w:tc>
          <w:tcPr>
            <w:tcW w:type="dxa" w:w="2368"/>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Possible Functional Effects</w:t>
            </w:r>
          </w:p>
        </w:tc>
        <w:tc>
          <w:tcPr>
            <w:tcW w:type="dxa" w:w="236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Do Not Assume</w:t>
            </w:r>
          </w:p>
        </w:tc>
      </w:tr>
      <w:tr>
        <w:trPr>
          <w:cantSplit w:val="1"/>
        </w:trPr>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Mental or emotional</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Depression, anxiety, grief, trauma symptoms, severe distress</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Reduced concentration, avoidance, irritability, detachment, impaired judgment</w:t>
            </w:r>
          </w:p>
        </w:tc>
        <w:tc>
          <w:tcPr>
            <w:tcW w:type="dxa" w:w="2366"/>
            <w:vAlign w:val="center"/>
            <w:tcMar>
              <w:top w:w="80" w:type="dxa"/>
              <w:start w:w="100" w:type="dxa"/>
              <w:bottom w:w="80" w:type="dxa"/>
              <w:end w:w="100" w:type="dxa"/>
            </w:tcMar>
          </w:tcPr>
          <w:p>
            <w:pPr>
              <w:spacing w:after="0" w:line="240" w:lineRule="auto"/>
              <w:jc w:val="left"/>
            </w:pPr>
            <w:r/>
            <w:r>
              <w:rPr>
                <w:rFonts w:ascii="Aptos" w:hAnsi="Aptos"/>
                <w:b w:val="0"/>
                <w:color w:val="222A31"/>
                <w:sz w:val="15"/>
              </w:rPr>
              <w:t>Diagnosis alone establishes impairment</w:t>
            </w:r>
          </w:p>
        </w:tc>
      </w:tr>
      <w:tr>
        <w:trPr>
          <w:cantSplit w:val="1"/>
        </w:trPr>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Occupational</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Burnout, chronic workload strain, role conflict, inadequate recovery</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Cynicism, rushed work, late notes, reduced empathy, poor follow-through</w:t>
            </w:r>
          </w:p>
        </w:tc>
        <w:tc>
          <w:tcPr>
            <w:tcW w:type="dxa" w:w="236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Burnout is merely “part of the job”</w:t>
            </w:r>
          </w:p>
        </w:tc>
      </w:tr>
      <w:tr>
        <w:trPr>
          <w:cantSplit w:val="1"/>
        </w:trPr>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Trauma exposure</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Compassion fatigue, secondary traumatic stress, vicarious effects</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Emotional numbing, intrusive reactions, avoidance, reduced engagement</w:t>
            </w:r>
          </w:p>
        </w:tc>
        <w:tc>
          <w:tcPr>
            <w:tcW w:type="dxa" w:w="2366"/>
            <w:vAlign w:val="center"/>
            <w:tcMar>
              <w:top w:w="80" w:type="dxa"/>
              <w:start w:w="100" w:type="dxa"/>
              <w:bottom w:w="80" w:type="dxa"/>
              <w:end w:w="100" w:type="dxa"/>
            </w:tcMar>
          </w:tcPr>
          <w:p>
            <w:pPr>
              <w:spacing w:after="0" w:line="240" w:lineRule="auto"/>
              <w:jc w:val="left"/>
            </w:pPr>
            <w:r/>
            <w:r>
              <w:rPr>
                <w:rFonts w:ascii="Aptos" w:hAnsi="Aptos"/>
                <w:b w:val="0"/>
                <w:color w:val="222A31"/>
                <w:sz w:val="15"/>
              </w:rPr>
              <w:t>Every difficult reaction equals misconduct</w:t>
            </w:r>
          </w:p>
        </w:tc>
      </w:tr>
      <w:tr>
        <w:trPr>
          <w:cantSplit w:val="1"/>
        </w:trPr>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Substance-related</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Intoxication, residual effects, withdrawal, misuse, medication interactions</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Confusion, disorganization, unreliable attendance, poor risk decisions</w:t>
            </w:r>
          </w:p>
        </w:tc>
        <w:tc>
          <w:tcPr>
            <w:tcW w:type="dxa" w:w="236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 diagnosis must be proved before safety action</w:t>
            </w:r>
          </w:p>
        </w:tc>
      </w:tr>
      <w:tr>
        <w:trPr>
          <w:cantSplit w:val="1"/>
        </w:trPr>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Physical</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Illness, pain, injury, neurological symptoms, sensory changes</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Reduced stamina, communication difficulty, errors, delayed decisions</w:t>
            </w:r>
          </w:p>
        </w:tc>
        <w:tc>
          <w:tcPr>
            <w:tcW w:type="dxa" w:w="2366"/>
            <w:vAlign w:val="center"/>
            <w:tcMar>
              <w:top w:w="80" w:type="dxa"/>
              <w:start w:w="100" w:type="dxa"/>
              <w:bottom w:w="80" w:type="dxa"/>
              <w:end w:w="100" w:type="dxa"/>
            </w:tcMar>
          </w:tcPr>
          <w:p>
            <w:pPr>
              <w:spacing w:after="0" w:line="240" w:lineRule="auto"/>
              <w:jc w:val="left"/>
            </w:pPr>
            <w:r/>
            <w:r>
              <w:rPr>
                <w:rFonts w:ascii="Aptos" w:hAnsi="Aptos"/>
                <w:b w:val="0"/>
                <w:color w:val="222A31"/>
                <w:sz w:val="15"/>
              </w:rPr>
              <w:t>Disability equals incompetence</w:t>
            </w:r>
          </w:p>
        </w:tc>
      </w:tr>
      <w:tr>
        <w:trPr>
          <w:cantSplit w:val="1"/>
        </w:trPr>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Fatigue or sleep loss</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Insomnia, caregiving, excessive hours, shift work, medication effects</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Slowed thinking, missed information, irritability, reduced alertness</w:t>
            </w:r>
          </w:p>
        </w:tc>
        <w:tc>
          <w:tcPr>
            <w:tcW w:type="dxa" w:w="236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Caffeine or willpower resolves severe impairment</w:t>
            </w:r>
          </w:p>
        </w:tc>
      </w:tr>
    </w:tbl>
    <w:p>
      <w:pPr>
        <w:widowControl/>
        <w:spacing w:after="0"/>
      </w:pPr>
    </w:p>
    <w:p>
      <w:pPr>
        <w:pStyle w:val="Heading1"/>
        <w:keepNext/>
      </w:pPr>
      <w:r>
        <w:rPr>
          <w:i w:val="0"/>
        </w:rPr>
        <w:t>Functional Impact Red Flags</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Area</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Red Flags</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Why It Matters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Judgment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Impulsive decisions, minimization, poor treatment choices, failure to recognize limits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May produce unsafe or ineffective care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Attention and memory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Forgetting client facts, losing the thread, missing risk cues, confusion</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Can undermine assessment, continuity, and emergency response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Reliability</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Repeated lateness, absences, missed appointments, poor follow-through</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Disrupts treatment and may leave client needs unmet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Documentation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Late, incomplete, inaccurate, or contradictory records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Weakens continuity, accountability, and risk management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Boundaries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Overinvolvement, detachment, unusual disclosure, inconsistent limits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May exploit, confuse, or abandon clients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Communication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Slurred, disorganized, hostile, withdrawn, or unclear interactions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May interfere with consent, treatment, collaboration, and safety</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Clinical effectiveness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Rushed sessions, repetitive ineffective treatment, avoidance of difficult material</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Signals that services may no longer meet client needs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Insight</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Denial, concealment, blaming others, rejecting repeated feedback</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Delays corrective action and increases risk</w:t>
            </w:r>
          </w:p>
        </w:tc>
      </w:tr>
    </w:tbl>
    <w:p>
      <w:pPr>
        <w:widowControl/>
        <w:spacing w:after="0"/>
      </w:pPr>
    </w:p>
    <w:tbl>
      <w:tblPr>
        <w:tblW w:type="dxa" w:w="9470"/>
        <w:jc w:val="center"/>
        <w:tblLook w:firstColumn="1" w:firstRow="1" w:lastColumn="0" w:lastRow="0" w:noHBand="0" w:noVBand="1" w:val="04A0"/>
        <w:tbl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blBorders>
        <w:tblLayout w:type="fixed"/>
      </w:tblPr>
      <w:tblGrid>
        <w:gridCol w:w="9470"/>
      </w:tblGrid>
      <w:tr>
        <w:trPr>
          <w:tblHeader w:val="true"/>
          <w:cantSplit w:val="1"/>
        </w:trPr>
        <w:tc>
          <w:tcPr>
            <w:tcW w:type="dxa" w:w="9470"/>
            <w:shd w:fill="EEF4F7"/>
            <w:tcMar>
              <w:top w:w="120" w:type="dxa"/>
              <w:start w:w="140" w:type="dxa"/>
              <w:bottom w:w="120" w:type="dxa"/>
              <w:end w:w="140" w:type="dxa"/>
            </w:tcMar>
          </w:tcPr>
          <w:p>
            <w:pPr>
              <w:spacing w:after="60"/>
            </w:pPr>
            <w:r/>
            <w:r>
              <w:rPr>
                <w:rFonts w:ascii="Aptos" w:hAnsi="Aptos"/>
                <w:b/>
                <w:color w:val="0B2545"/>
                <w:sz w:val="19"/>
              </w:rPr>
              <w:t>PATTERN RULE</w:t>
            </w:r>
          </w:p>
          <w:p>
            <w:pPr>
              <w:spacing w:after="0" w:line="252" w:lineRule="auto"/>
            </w:pPr>
            <w:r>
              <w:rPr>
                <w:rFonts w:ascii="Aptos" w:hAnsi="Aptos"/>
                <w:color w:val="222A31"/>
                <w:sz w:val="18"/>
              </w:rPr>
              <w:t>One isolated concern may be ambiguous. Repetition, worsening severity, change from prior functioning, corroborating feedback, and client impact make the concern more significant.</w:t>
            </w:r>
          </w:p>
        </w:tc>
      </w:tr>
    </w:tbl>
    <w:p>
      <w:pPr>
        <w:widowControl/>
        <w:spacing w:after="0"/>
      </w:pPr>
    </w:p>
    <w:p>
      <w:pPr>
        <w:pStyle w:val="Heading1"/>
        <w:keepNext/>
      </w:pPr>
      <w:r>
        <w:rPr>
          <w:i w:val="0"/>
        </w:rPr>
        <w:t>Immediate Safety Screen</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Ask Now</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If Yes</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If No or Unclear</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Is the clinician unable to stay alert, oriented, or coherent?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Do not continue routine clinical duties; arrange qualified coverage or another protective response.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Continue the functional assessment and verify whether practice can remain safe.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Is a high-risk client about to be seen without adequate judgment or attention?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Address the immediate clinical risk first; do not delay solely for consultation or diagnosis.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consultation or supervision to select a proportionate plan.</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Are serious errors, missed danger cues, or unsafe decisions already occurring?</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Limit the affected duty and protect current clients now.</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Monitor trends and implement early corrective support.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Is there a safe, qualified alternative available?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coverage, collaboration, transfer, or schedule modification to preserve continuity.</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Develop the least disruptive lawful alternative that still protects clients.</w:t>
            </w:r>
          </w:p>
        </w:tc>
      </w:tr>
    </w:tbl>
    <w:p>
      <w:pPr>
        <w:widowControl/>
        <w:spacing w:after="0"/>
      </w:pPr>
    </w:p>
    <w:tbl>
      <w:tblPr>
        <w:tblW w:type="dxa" w:w="9470"/>
        <w:jc w:val="center"/>
        <w:tblLook w:firstColumn="1" w:firstRow="1" w:lastColumn="0" w:lastRow="0" w:noHBand="0" w:noVBand="1" w:val="04A0"/>
        <w:tblBorders>
          <w:top w:val="single" w:sz="10" w:space="0" w:color="C65D5D"/>
          <w:left w:val="single" w:sz="10" w:space="0" w:color="C65D5D"/>
          <w:bottom w:val="single" w:sz="10" w:space="0" w:color="C65D5D"/>
          <w:right w:val="single" w:sz="10" w:space="0" w:color="C65D5D"/>
          <w:insideH w:val="single" w:sz="10" w:space="0" w:color="C65D5D"/>
          <w:insideV w:val="single" w:sz="10" w:space="0" w:color="C65D5D"/>
        </w:tblBorders>
        <w:tblLayout w:type="fixed"/>
      </w:tblPr>
      <w:tblGrid>
        <w:gridCol w:w="9470"/>
      </w:tblGrid>
      <w:tr>
        <w:trPr>
          <w:tblHeader w:val="true"/>
          <w:cantSplit w:val="1"/>
        </w:trPr>
        <w:tc>
          <w:tcPr>
            <w:tcW w:type="dxa" w:w="9470"/>
            <w:shd w:fill="FCEEEE"/>
            <w:tcMar>
              <w:top w:w="120" w:type="dxa"/>
              <w:start w:w="140" w:type="dxa"/>
              <w:bottom w:w="120" w:type="dxa"/>
              <w:end w:w="140" w:type="dxa"/>
            </w:tcMar>
          </w:tcPr>
          <w:p>
            <w:pPr>
              <w:spacing w:after="60"/>
            </w:pPr>
            <w:r/>
            <w:r>
              <w:rPr>
                <w:rFonts w:ascii="Aptos" w:hAnsi="Aptos"/>
                <w:b/>
                <w:color w:val="0B2545"/>
                <w:sz w:val="19"/>
              </w:rPr>
              <w:t>URGENCY CHANGES THE ORDER</w:t>
            </w:r>
          </w:p>
          <w:p>
            <w:pPr>
              <w:spacing w:after="0" w:line="252" w:lineRule="auto"/>
            </w:pPr>
            <w:r>
              <w:rPr>
                <w:rFonts w:ascii="Aptos" w:hAnsi="Aptos"/>
                <w:color w:val="222A31"/>
                <w:sz w:val="18"/>
              </w:rPr>
              <w:t>In an immediate safety situation: protect clients first, then consult, document, arrange continuity, and address longer-term recovery. In a nonurgent situation: assess before choosing the intervention.</w:t>
            </w:r>
          </w:p>
        </w:tc>
      </w:tr>
    </w:tbl>
    <w:p>
      <w:pPr>
        <w:widowControl/>
        <w:spacing w:after="0"/>
      </w:pPr>
    </w:p>
    <w:p>
      <w:pPr>
        <w:widowControl/>
      </w:pPr>
      <w:r>
        <w:br w:type="page"/>
      </w:r>
    </w:p>
    <w:p>
      <w:pPr>
        <w:pStyle w:val="Heading1"/>
        <w:keepNext/>
      </w:pPr>
      <w:r>
        <w:rPr>
          <w:i w:val="0"/>
        </w:rPr>
        <w:t>Proportionate Response Ladder</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Level</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Use When</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Possible Actions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1 — Monitor</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A condition or stressor is present, but functioning remains intact.</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Self-monitoring, routine support, rest, preventive consultation, ordinary health care.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2 — Increase Support</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Early warning signs appear, but safe practice can continue.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Consultation, supervision, treatment, schedule changes, increased monitoring, clearer boundaries.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3 — Modify Practice</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Functioning is declining, but care can remain safe with limits.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Reduce caseload, remove high-risk duties, increase breaks, modify hours, use accommodations, arrange collaboration or coverage.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4 — Limit or Stop Temporarily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Significant impairment affects safety, reliability, or clinical judgment.</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Stop affected duties, transfer or refer clients, arrange coverage, take leave, follow workplace or professional procedures.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5 — Reevaluate Return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Symptoms have improved or the clinician seeks broader duties.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Confirm restored judgment, attention, reliability, documentation, boundaries, endurance, and risk-management ability before full return.</w:t>
            </w:r>
          </w:p>
        </w:tc>
      </w:tr>
    </w:tbl>
    <w:p>
      <w:pPr>
        <w:widowControl/>
        <w:spacing w:after="0"/>
      </w:pPr>
    </w:p>
    <w:tbl>
      <w:tblPr>
        <w:tblW w:type="dxa" w:w="9470"/>
        <w:jc w:val="center"/>
        <w:tblLook w:firstColumn="1" w:firstRow="1" w:lastColumn="0" w:lastRow="0" w:noHBand="0" w:noVBand="1" w:val="04A0"/>
        <w:tblBorders>
          <w:top w:val="single" w:sz="10" w:space="0" w:color="D4A72C"/>
          <w:left w:val="single" w:sz="10" w:space="0" w:color="D4A72C"/>
          <w:bottom w:val="single" w:sz="10" w:space="0" w:color="D4A72C"/>
          <w:right w:val="single" w:sz="10" w:space="0" w:color="D4A72C"/>
          <w:insideH w:val="single" w:sz="10" w:space="0" w:color="D4A72C"/>
          <w:insideV w:val="single" w:sz="10" w:space="0" w:color="D4A72C"/>
        </w:tblBorders>
        <w:tblLayout w:type="fixed"/>
      </w:tblPr>
      <w:tblGrid>
        <w:gridCol w:w="9470"/>
      </w:tblGrid>
      <w:tr>
        <w:trPr>
          <w:tblHeader w:val="true"/>
          <w:cantSplit w:val="1"/>
        </w:trPr>
        <w:tc>
          <w:tcPr>
            <w:tcW w:type="dxa" w:w="9470"/>
            <w:shd w:fill="FFF8E1"/>
            <w:tcMar>
              <w:top w:w="120" w:type="dxa"/>
              <w:start w:w="140" w:type="dxa"/>
              <w:bottom w:w="120" w:type="dxa"/>
              <w:end w:w="140" w:type="dxa"/>
            </w:tcMar>
          </w:tcPr>
          <w:p>
            <w:pPr>
              <w:spacing w:after="60"/>
            </w:pPr>
            <w:r/>
            <w:r>
              <w:rPr>
                <w:rFonts w:ascii="Aptos" w:hAnsi="Aptos"/>
                <w:b/>
                <w:color w:val="0B2545"/>
                <w:sz w:val="19"/>
              </w:rPr>
              <w:t>PROPORTIONALITY RULE</w:t>
            </w:r>
          </w:p>
          <w:p>
            <w:pPr>
              <w:spacing w:after="0" w:line="252" w:lineRule="auto"/>
            </w:pPr>
            <w:r>
              <w:rPr>
                <w:rFonts w:ascii="Aptos" w:hAnsi="Aptos"/>
                <w:color w:val="222A31"/>
                <w:sz w:val="18"/>
              </w:rPr>
              <w:t>The least restrictive response is appropriate only when it adequately protects clients. “Least restrictive” does not mean “continue unchanged.”</w:t>
            </w:r>
          </w:p>
        </w:tc>
      </w:tr>
    </w:tbl>
    <w:p>
      <w:pPr>
        <w:widowControl/>
        <w:spacing w:after="0"/>
      </w:pPr>
    </w:p>
    <w:p>
      <w:pPr>
        <w:pStyle w:val="Heading1"/>
        <w:keepNext/>
      </w:pPr>
      <w:r>
        <w:rPr>
          <w:i w:val="0"/>
        </w:rPr>
        <w:t>Role-Specific Response Map</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Role in the Stem</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Best First Focus</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Common Distractor</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Clinician assessing self</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Current functioning, client risk, honest disclosure to appropriate supports, duty modification, continuity</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Privacy, income, or reputation justifies delay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t>ASW</w:t>
            </w:r>
            <w:r>
              <w:rPr>
                <w:rFonts w:ascii="Aptos" w:hAnsi="Aptos"/>
                <w:b w:val="0"/>
                <w:color w:val="222A31"/>
                <w:sz w:val="15"/>
              </w:rPr>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Prompt, accurate disclosure to supervisor; review assignments, client risk, and legal supervision duties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The supervisee should handle the issue alone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Supervisor</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Gatekeeping, direct review of client risk, increased oversight, modification of duties, documentation</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Supportive conversation without changing unsafe assignments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Colleague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Observable behavior, immediate client risk, professional role, workplace procedures, consultation</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Diagnose the colleague or publicly confront them</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Employer or program leader</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Client safety, staffing, coverage, policy, lawful accommodation, confidentiality, documentation</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Protect productivity or reputation over care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Licensing agency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Formal statutory authority and evidentiary process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Assume every concern automatically becomes a BBS proceeding</w:t>
            </w:r>
          </w:p>
        </w:tc>
      </w:tr>
    </w:tbl>
    <w:p>
      <w:pPr>
        <w:widowControl/>
        <w:spacing w:after="0"/>
      </w:pPr>
    </w:p>
    <w:p>
      <w:pPr>
        <w:pStyle w:val="Heading2"/>
        <w:keepNext/>
      </w:pPr>
      <w:r>
        <w:rPr>
          <w:i w:val="0"/>
        </w:rPr>
        <w:t>Colleague Concern: Observe, Avoid, Act</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OBSERVE</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AVOID</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ACT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Specific behavior, change from baseline, repeated errors, reliability, judgment, client risk</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Rumors, unsupported diagnosis, client gossip, public accusation, unnecessary disclosure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Address immediate safety; use supervision or workplace procedures; consult; document relevant facts; follow any applicable legal or ethical requirement</w:t>
            </w:r>
          </w:p>
        </w:tc>
      </w:tr>
    </w:tbl>
    <w:p>
      <w:pPr>
        <w:widowControl/>
        <w:spacing w:after="0"/>
      </w:pPr>
    </w:p>
    <w:tbl>
      <w:tblPr>
        <w:tblW w:type="dxa" w:w="9470"/>
        <w:jc w:val="center"/>
        <w:tblLook w:firstColumn="1" w:firstRow="1" w:lastColumn="0" w:lastRow="0" w:noHBand="0" w:noVBand="1" w:val="04A0"/>
        <w:tbl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blBorders>
        <w:tblLayout w:type="fixed"/>
      </w:tblPr>
      <w:tblGrid>
        <w:gridCol w:w="9470"/>
      </w:tblGrid>
      <w:tr>
        <w:trPr>
          <w:tblHeader w:val="true"/>
          <w:cantSplit w:val="1"/>
        </w:trPr>
        <w:tc>
          <w:tcPr>
            <w:tcW w:type="dxa" w:w="9470"/>
            <w:shd w:fill="EEF4F7"/>
            <w:tcMar>
              <w:top w:w="120" w:type="dxa"/>
              <w:start w:w="140" w:type="dxa"/>
              <w:bottom w:w="120" w:type="dxa"/>
              <w:end w:w="140" w:type="dxa"/>
            </w:tcMar>
          </w:tcPr>
          <w:p>
            <w:pPr>
              <w:spacing w:after="60"/>
            </w:pPr>
            <w:r/>
            <w:r>
              <w:rPr>
                <w:rFonts w:ascii="Aptos" w:hAnsi="Aptos"/>
                <w:b/>
                <w:color w:val="0B2545"/>
                <w:sz w:val="19"/>
              </w:rPr>
              <w:t>REPORTING PRECISION</w:t>
            </w:r>
          </w:p>
          <w:p>
            <w:pPr>
              <w:spacing w:after="0" w:line="252" w:lineRule="auto"/>
            </w:pPr>
            <w:r>
              <w:rPr>
                <w:rFonts w:ascii="Aptos" w:hAnsi="Aptos"/>
                <w:color w:val="222A31"/>
                <w:sz w:val="18"/>
              </w:rPr>
              <w:t>Do not treat “a colleague may be impaired” as an automatic instruction to file a BBS report. Identify the actual reporting law, professional role, setting, policy, and urgency. Immediate client protection may still be required even when a specific external reporting mandate is not established.</w:t>
            </w:r>
          </w:p>
        </w:tc>
      </w:tr>
    </w:tbl>
    <w:p>
      <w:pPr>
        <w:widowControl/>
        <w:spacing w:after="0"/>
      </w:pPr>
    </w:p>
    <w:p>
      <w:pPr>
        <w:pStyle w:val="Heading1"/>
        <w:keepNext/>
      </w:pPr>
      <w:r>
        <w:rPr>
          <w:i w:val="0"/>
        </w:rPr>
        <w:t>Treatment, Support, and Practice Duties</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Resource or Action</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What It Can Do</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What It Does Not Automatically Do</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Personal treatment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Address the underlying mental, physical, or substance-related concern</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Make current client care safe or prove readiness for full duties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Consultation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Clarify severity, options, continuity, documentation, and legal questions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Transfer decision-making responsibility to the consultant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Supervision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Increase oversight, review risk, modify assignments, and support gatekeeping</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Make an unsafe service safe merely because a supervisor knows about it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Accommodation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Reduce or remove a functional barrier and support competent performance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Excuse inability to meet essential professional and safety requirements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Workload change</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Reduce strain and preserve safe care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Resolve every underlying condition or guarantee recovery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Coverage or collaboration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Maintain continuity when some duties cannot be safely performed</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Eliminate the need for role clarity, consent, confidentiality, and documentation</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Temporary leave</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Protect clients when safe practice cannot continue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Replace thoughtful transition, record access, emergency, and return planning</w:t>
            </w:r>
          </w:p>
        </w:tc>
      </w:tr>
    </w:tbl>
    <w:p>
      <w:pPr>
        <w:widowControl/>
        <w:spacing w:after="0"/>
      </w:pPr>
    </w:p>
    <w:p>
      <w:pPr>
        <w:pStyle w:val="Heading1"/>
        <w:keepNext/>
      </w:pPr>
      <w:r>
        <w:rPr>
          <w:i w:val="0"/>
        </w:rPr>
        <w:t>Accommodation and Disability Quick Chart</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Scenario</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Strong Analysis</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Weak Analysis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Condition is present and support is effective</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Functioning remains the focus; competent practice may continue.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The condition itself proves impairment.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 barrier may be corrected by assistive technology or scheduling</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Consider whether the adjustment preserves confidentiality, communication, essential duties, and client welfare.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Any accommodation is evidence of incompetence.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The proposed adjustment does not restore safe functioning</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a stronger practice modification, coverage, transfer, or temporary leave.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Keep the same caseload because an accommodation was attempted.</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Employer or supervisor is involved</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an individualized, lawful process while protecting client safety and privacy.</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Demand unnecessary medical detail or make assumptions based on diagnosis.</w:t>
            </w:r>
          </w:p>
        </w:tc>
      </w:tr>
    </w:tbl>
    <w:p>
      <w:pPr>
        <w:widowControl/>
        <w:spacing w:after="0"/>
      </w:pPr>
    </w:p>
    <w:tbl>
      <w:tblPr>
        <w:tblW w:type="dxa" w:w="9470"/>
        <w:jc w:val="center"/>
        <w:tblLook w:firstColumn="1" w:firstRow="1" w:lastColumn="0" w:lastRow="0" w:noHBand="0" w:noVBand="1" w:val="04A0"/>
        <w:tblBorders>
          <w:top w:val="single" w:sz="10" w:space="0" w:color="5F9F70"/>
          <w:left w:val="single" w:sz="10" w:space="0" w:color="5F9F70"/>
          <w:bottom w:val="single" w:sz="10" w:space="0" w:color="5F9F70"/>
          <w:right w:val="single" w:sz="10" w:space="0" w:color="5F9F70"/>
          <w:insideH w:val="single" w:sz="10" w:space="0" w:color="5F9F70"/>
          <w:insideV w:val="single" w:sz="10" w:space="0" w:color="5F9F70"/>
        </w:tblBorders>
        <w:tblLayout w:type="fixed"/>
      </w:tblPr>
      <w:tblGrid>
        <w:gridCol w:w="9470"/>
      </w:tblGrid>
      <w:tr>
        <w:trPr>
          <w:tblHeader w:val="true"/>
          <w:cantSplit w:val="1"/>
        </w:trPr>
        <w:tc>
          <w:tcPr>
            <w:tcW w:type="dxa" w:w="9470"/>
            <w:shd w:fill="EFF7F1"/>
            <w:tcMar>
              <w:top w:w="120" w:type="dxa"/>
              <w:start w:w="140" w:type="dxa"/>
              <w:bottom w:w="120" w:type="dxa"/>
              <w:end w:w="140" w:type="dxa"/>
            </w:tcMar>
          </w:tcPr>
          <w:p>
            <w:pPr>
              <w:spacing w:after="60"/>
            </w:pPr>
            <w:r/>
            <w:r>
              <w:rPr>
                <w:rFonts w:ascii="Aptos" w:hAnsi="Aptos"/>
                <w:b/>
                <w:color w:val="0B2545"/>
                <w:sz w:val="19"/>
              </w:rPr>
              <w:t>NONDISCRIMINATION PRINCIPLE</w:t>
            </w:r>
          </w:p>
          <w:p>
            <w:pPr>
              <w:spacing w:after="0" w:line="252" w:lineRule="auto"/>
            </w:pPr>
            <w:r>
              <w:rPr>
                <w:rFonts w:ascii="Aptos" w:hAnsi="Aptos"/>
                <w:color w:val="222A31"/>
                <w:sz w:val="18"/>
              </w:rPr>
              <w:t>Evaluate whether the clinician can perform essential professional duties safely—with effective support when appropriate. Avoid conclusions based only on diagnosis, disability, appearance, or treatment history.</w:t>
            </w:r>
          </w:p>
        </w:tc>
      </w:tr>
    </w:tbl>
    <w:p>
      <w:pPr>
        <w:widowControl/>
        <w:spacing w:after="0"/>
      </w:pPr>
    </w:p>
    <w:p>
      <w:pPr>
        <w:pStyle w:val="Heading1"/>
        <w:keepNext/>
      </w:pPr>
      <w:r>
        <w:rPr>
          <w:i w:val="0"/>
        </w:rPr>
        <w:t>Continuity, Privacy, and Documentation</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Issue</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Best Practice Direction</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Exam Trap</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Client communication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Explain scheduling, coverage, transfer, or service changes needed for care; disclose only what is necessary.</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Tell clients detailed personal health information to prove honesty.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Coverage and referral</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Use qualified professionals, clear role boundaries, consent when required, and reliable transition planning.</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Abruptly cancel all care without considering client risk.</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Records and emergencies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Ensure lawful access, current contact information, and a plan for urgent needs.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Assume leave eliminates responsibility for continuity.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Documentation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Record relevant functional concern, risk assessment, consultation or supervision, duty changes, coverage, and follow-up.</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Document stigmatizing labels, speculation, or unnecessary private detail.</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Follow-up</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Reevaluate whether the response remains sufficient and whether functioning is improving.</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Treat the first intervention as permanently adequate.</w:t>
            </w:r>
          </w:p>
        </w:tc>
      </w:tr>
    </w:tbl>
    <w:p>
      <w:pPr>
        <w:widowControl/>
        <w:spacing w:after="0"/>
      </w:pPr>
    </w:p>
    <w:p>
      <w:pPr>
        <w:pStyle w:val="Heading1"/>
        <w:keepNext/>
      </w:pPr>
      <w:r>
        <w:rPr>
          <w:i w:val="0"/>
        </w:rPr>
        <w:t>Return-to-Practice Readiness Matrix</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Area</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Readiness Question</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Evidence of Readiness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Judgment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decisions reliable, proportionate, and professionally sound?</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Consistent safe decisions across ordinary and difficult cases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Attention and memory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Can the clinician remain focused, track information, and recognize risk?</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Accurate sessions, follow-through, and reduced errors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Reliability</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responsibilities completed consistently?</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Stable attendance, scheduling, communication, and follow-up</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Documentation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records accurate, timely, and clinically adequate?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Sustained documentation performance—not one improved note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Boundaries and communication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professional limits and interactions stable?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Appropriate engagement, clarity, and responsiveness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Endurance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Can the clinician sustain the proposed workload?</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Functioning remains safe across the schedule, not only briefly</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Risk management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Can urgent concerns be identified and managed?</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Demonstrated ability with appropriate support and escalation</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Support plan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accommodations, monitoring, treatment, or supervision still needed?</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Clear plan for continued support and reevaluation</w:t>
            </w:r>
          </w:p>
        </w:tc>
      </w:tr>
    </w:tbl>
    <w:p>
      <w:pPr>
        <w:widowControl/>
        <w:spacing w:after="0"/>
      </w:pPr>
    </w:p>
    <w:tbl>
      <w:tblPr>
        <w:tblW w:type="dxa" w:w="9470"/>
        <w:jc w:val="center"/>
        <w:tblLook w:firstColumn="1" w:firstRow="1" w:lastColumn="0" w:lastRow="0" w:noHBand="0" w:noVBand="1" w:val="04A0"/>
        <w:tblBorders>
          <w:top w:val="single" w:sz="10" w:space="0" w:color="D4A72C"/>
          <w:left w:val="single" w:sz="10" w:space="0" w:color="D4A72C"/>
          <w:bottom w:val="single" w:sz="10" w:space="0" w:color="D4A72C"/>
          <w:right w:val="single" w:sz="10" w:space="0" w:color="D4A72C"/>
          <w:insideH w:val="single" w:sz="10" w:space="0" w:color="D4A72C"/>
          <w:insideV w:val="single" w:sz="10" w:space="0" w:color="D4A72C"/>
        </w:tblBorders>
        <w:tblLayout w:type="fixed"/>
      </w:tblPr>
      <w:tblGrid>
        <w:gridCol w:w="9470"/>
      </w:tblGrid>
      <w:tr>
        <w:trPr>
          <w:tblHeader w:val="true"/>
          <w:cantSplit w:val="1"/>
        </w:trPr>
        <w:tc>
          <w:tcPr>
            <w:tcW w:type="dxa" w:w="9470"/>
            <w:shd w:fill="FFF8E1"/>
            <w:tcMar>
              <w:top w:w="120" w:type="dxa"/>
              <w:start w:w="140" w:type="dxa"/>
              <w:bottom w:w="120" w:type="dxa"/>
              <w:end w:w="140" w:type="dxa"/>
            </w:tcMar>
          </w:tcPr>
          <w:p>
            <w:pPr>
              <w:spacing w:after="60"/>
            </w:pPr>
            <w:r/>
            <w:r>
              <w:rPr>
                <w:rFonts w:ascii="Aptos" w:hAnsi="Aptos"/>
                <w:b/>
                <w:color w:val="0B2545"/>
                <w:sz w:val="19"/>
              </w:rPr>
              <w:t>RETURN RULE</w:t>
            </w:r>
          </w:p>
          <w:p>
            <w:pPr>
              <w:spacing w:after="0" w:line="252" w:lineRule="auto"/>
            </w:pPr>
            <w:r>
              <w:rPr>
                <w:rFonts w:ascii="Aptos" w:hAnsi="Aptos"/>
                <w:color w:val="222A31"/>
                <w:sz w:val="18"/>
              </w:rPr>
              <w:t>Feeling better, completing treatment, or wanting to return is not enough. Readiness is based on restored professional functioning and the demands of the actual duties.</w:t>
            </w:r>
          </w:p>
        </w:tc>
      </w:tr>
    </w:tbl>
    <w:p>
      <w:pPr>
        <w:widowControl/>
        <w:spacing w:after="0"/>
      </w:pPr>
    </w:p>
    <w:p>
      <w:pPr>
        <w:pStyle w:val="Heading1"/>
        <w:keepNext/>
      </w:pPr>
      <w:r>
        <w:rPr>
          <w:i w:val="0"/>
        </w:rPr>
        <w:t>Ordinary Ethical Action vs. Formal BBS Fitness Authority</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Question</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Ordinary Ethical or Workplace Response</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Formal Licensing-Agency Context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Who acts?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Clinician, supervisor, employer, colleague, consultant, or treatment provider within their role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The licensing agency under statutory authority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What triggers action?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Observed functional decline, client risk, supervision duty, employment policy, or professional obligation</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 statutory basis suggesting the licensee may be unable to practice safely</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What may occur?</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Monitoring, support, duty modification, coverage, treatment, leave, referral, or workplace process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Under BPC section 820, the agency may order an examination when safe practice may be impaired by mental illness or physical illness affecting competency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Exam caution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 not delay ordinary client protection while waiting for a formal process.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 not assume every concern automatically triggers a Board examination or disciplinary case.</w:t>
            </w:r>
          </w:p>
        </w:tc>
      </w:tr>
    </w:tbl>
    <w:p>
      <w:pPr>
        <w:widowControl/>
        <w:spacing w:after="0"/>
      </w:pPr>
    </w:p>
    <w:p>
      <w:pPr>
        <w:pStyle w:val="Heading1"/>
        <w:keepNext/>
      </w:pPr>
      <w:r>
        <w:rPr>
          <w:i w:val="0"/>
        </w:rPr>
        <w:t>Strong Answer vs. Distractor Pattern</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4735"/>
        <w:gridCol w:w="4735"/>
      </w:tblGrid>
      <w:tr>
        <w:trPr>
          <w:cantSplit w:val="1"/>
          <w:tblHeader w:val="1"/>
        </w:trPr>
        <w:tc>
          <w:tcPr>
            <w:tcW w:type="dxa" w:w="4735"/>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Strong Answers Usually</w:t>
            </w:r>
          </w:p>
        </w:tc>
        <w:tc>
          <w:tcPr>
            <w:tcW w:type="dxa" w:w="4735"/>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Distractors Often</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Focus on observable professional functioning</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Focus only on diagnosis, disability, prescription status, or substance label</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Assess present client risk and timing</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Wait for a complaint or proven harm</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the least restrictive response that is actually safe</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Choose “continue unchanged” or permanent removal without analysis</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Protect continuity while changing duties</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Abruptly terminate or ignore coverage</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role-specific supervision, workplace, and legal procedures</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Assume one universal response for every clinician and setting</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Document relevant facts and decisions</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Record speculation, stigma, or unnecessary health details</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Reevaluate before full return</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Assume treatment completion or symptom improvement proves readiness</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Prioritize client welfare while respecting privacy</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Prioritize income, loyalty, reputation, embarrassment, or total disclosure</w:t>
            </w:r>
          </w:p>
        </w:tc>
      </w:tr>
    </w:tbl>
    <w:p>
      <w:pPr>
        <w:widowControl/>
        <w:spacing w:after="0"/>
      </w:pPr>
    </w:p>
    <w:p>
      <w:pPr>
        <w:pStyle w:val="Heading1"/>
        <w:keepNext/>
      </w:pPr>
      <w:r>
        <w:rPr>
          <w:i w:val="0"/>
        </w:rPr>
        <w:t>Eight Rapid Decision Drills</w:t>
      </w:r>
    </w:p>
    <w:tbl>
      <w:tblPr>
        <w:tblW w:type="dxa" w:w="947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4735"/>
        <w:gridCol w:w="4735"/>
      </w:tblGrid>
      <w:tr>
        <w:trPr>
          <w:cantSplit w:val="1"/>
          <w:tblHeader w:val="1"/>
        </w:trPr>
        <w:tc>
          <w:tcPr>
            <w:tcW w:type="dxa" w:w="4735"/>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Scenario Clue</w:t>
            </w:r>
          </w:p>
        </w:tc>
        <w:tc>
          <w:tcPr>
            <w:tcW w:type="dxa" w:w="4735"/>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Best Direction</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Well-managed diagnosis; performance remains stable</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Do not assume impairment. Continue appropriate monitoring and ordinary support.</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Repeated errors, missed risk cues, and denial</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Treat the pattern as a serious functional concern; assess immediate safety and act proportionately.</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Prescribed medication causes afternoon sedation</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Evaluate current ability; modify the schedule or duties and seek medical guidance rather than relying on prescription status.</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Colleague appears disoriented before a high-risk session</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Protect the client and use the appropriate supervisory or workplace pathway; do not wait to diagnose the colleague.</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Clinician enters treatment but keeps the same unsafe caseload</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Treatment is not enough; current duties and continuity must also be addressed.</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Disability is effectively accommodated</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Competent practice may continue when essential duties and client safety are preserved.</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Clinician feels better after leave and wants full duties immediately</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a readiness assessment and gradual or supported return when indicated.</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No immediate danger; limited correctable decline with strong support</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the least disruptive plan that adequately protects clients and track whether it works.</w:t>
            </w:r>
          </w:p>
        </w:tc>
      </w:tr>
    </w:tbl>
    <w:p>
      <w:pPr>
        <w:widowControl/>
        <w:spacing w:after="0"/>
      </w:pPr>
    </w:p>
    <w:p>
      <w:pPr>
        <w:pStyle w:val="Heading1"/>
        <w:keepNext/>
      </w:pPr>
      <w:r>
        <w:rPr>
          <w:i w:val="0"/>
        </w:rPr>
        <w:t>The 30-Second Final Scan</w:t>
      </w:r>
    </w:p>
    <w:p>
      <w:pPr>
        <w:pStyle w:val="CTAListNumber"/>
      </w:pPr>
      <w:r>
        <w:rPr>
          <w:i w:val="0"/>
        </w:rPr>
        <w:t>1. What changed in professional functioning?</w:t>
      </w:r>
    </w:p>
    <w:p>
      <w:pPr>
        <w:pStyle w:val="CTAListNumber"/>
      </w:pPr>
      <w:r>
        <w:rPr>
          <w:i w:val="0"/>
        </w:rPr>
        <w:t>2. Is there a meaningful pattern or only one ambiguous event?</w:t>
      </w:r>
    </w:p>
    <w:p>
      <w:pPr>
        <w:pStyle w:val="CTAListNumber"/>
      </w:pPr>
      <w:r>
        <w:rPr>
          <w:i w:val="0"/>
        </w:rPr>
        <w:t>3. Can the clinician practice safely right now?</w:t>
      </w:r>
    </w:p>
    <w:p>
      <w:pPr>
        <w:pStyle w:val="CTAListNumber"/>
      </w:pPr>
      <w:r>
        <w:rPr>
          <w:i w:val="0"/>
        </w:rPr>
        <w:t>4. What role, credential, setting, and supervision structure apply?</w:t>
      </w:r>
    </w:p>
    <w:p>
      <w:pPr>
        <w:pStyle w:val="CTAListNumber"/>
      </w:pPr>
      <w:r>
        <w:rPr>
          <w:i w:val="0"/>
        </w:rPr>
        <w:t>5. What response adequately protects clients without being unnecessarily extreme?</w:t>
      </w:r>
    </w:p>
    <w:p>
      <w:pPr>
        <w:pStyle w:val="CTAListNumber"/>
      </w:pPr>
      <w:r>
        <w:rPr>
          <w:i w:val="0"/>
        </w:rPr>
        <w:t>6. How will continuity, privacy, and documentation be handled?</w:t>
      </w:r>
    </w:p>
    <w:p>
      <w:pPr>
        <w:pStyle w:val="CTAListNumber"/>
      </w:pPr>
      <w:r>
        <w:rPr>
          <w:i w:val="0"/>
        </w:rPr>
        <w:t>7. Has functioning—not merely symptoms—been restored before broader duties resume?</w:t>
      </w:r>
    </w:p>
    <w:tbl>
      <w:tblPr>
        <w:tblW w:type="dxa" w:w="9470"/>
        <w:jc w:val="center"/>
        <w:tblLook w:firstColumn="1" w:firstRow="1" w:lastColumn="0" w:lastRow="0" w:noHBand="0" w:noVBand="1" w:val="04A0"/>
        <w:tbl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blBorders>
        <w:tblLayout w:type="fixed"/>
      </w:tblPr>
      <w:tblGrid>
        <w:gridCol w:w="9470"/>
      </w:tblGrid>
      <w:tr>
        <w:trPr>
          <w:tblHeader w:val="true"/>
          <w:cantSplit w:val="1"/>
        </w:trPr>
        <w:tc>
          <w:tcPr>
            <w:tcW w:type="dxa" w:w="9470"/>
            <w:shd w:fill="EAF7F6"/>
            <w:tcMar>
              <w:top w:w="120" w:type="dxa"/>
              <w:start w:w="140" w:type="dxa"/>
              <w:bottom w:w="120" w:type="dxa"/>
              <w:end w:w="140" w:type="dxa"/>
            </w:tcMar>
          </w:tcPr>
          <w:p>
            <w:pPr>
              <w:spacing w:after="60"/>
            </w:pPr>
            <w:r/>
            <w:r>
              <w:rPr>
                <w:rFonts w:ascii="Aptos" w:hAnsi="Aptos"/>
                <w:b/>
                <w:color w:val="0B2545"/>
                <w:sz w:val="19"/>
              </w:rPr>
              <w:t>FINAL MEMORY CARD</w:t>
            </w:r>
          </w:p>
          <w:p>
            <w:pPr>
              <w:spacing w:after="0" w:line="252" w:lineRule="auto"/>
            </w:pPr>
            <w:r>
              <w:rPr>
                <w:rFonts w:ascii="Aptos" w:hAnsi="Aptos"/>
                <w:color w:val="222A31"/>
                <w:sz w:val="18"/>
              </w:rPr>
              <w:t>FUNCTION first. PATTERN next. RISK sets urgency. RESPONSE must be proportionate. CONTINUITY protects current clients.</w:t>
            </w:r>
          </w:p>
        </w:tc>
      </w:tr>
    </w:tbl>
    <w:p>
      <w:pPr>
        <w:pStyle w:val="Heading1"/>
        <w:pageBreakBefore/>
      </w:pPr>
      <w:r>
        <w:t>Sources and Accuracy Note</w:t>
      </w:r>
    </w:p>
    <w:p>
      <w:pPr>
        <w:spacing w:after="160"/>
      </w:pPr>
      <w:r>
        <w:rPr>
          <w:rFonts w:ascii="Arial" w:hAnsi="Arial"/>
          <w:b/>
          <w:color w:val="4D5A64"/>
          <w:sz w:val="19"/>
        </w:rPr>
        <w:t>Accuracy reviewed through August 7, 2026. California statutes, regulations, Board forms, examination materials, employment guidance, and professional ethical standards can change. Re-audit before publication, at item-bank/LMS lock, within 30 days of public release, and after material legal or regulatory changes.</w:t>
      </w:r>
      <w:r>
        <w:rPr>
          <w:rFonts w:ascii="Arial" w:hAnsi="Arial"/>
          <w:color w:val="4D5A64"/>
          <w:sz w:val="19"/>
        </w:rPr>
      </w:r>
    </w:p>
    <w:p>
      <w:pPr>
        <w:pStyle w:val="CTAListBullet"/>
      </w:pPr>
      <w:r>
        <w:t>California Board of Behavioral Sciences: current LCSW Law and Ethics Examination program, candidate resources, examination guidance, and law-change notices.</w:t>
      </w:r>
    </w:p>
    <w:p>
      <w:pPr>
        <w:pStyle w:val="CTAListBullet"/>
      </w:pPr>
      <w:r>
        <w:t>California Board of Behavioral Sciences: 2026 Statutes and Regulations, including the Clinical Social Worker Practice Act and applicable ASW supervision regulations.</w:t>
      </w:r>
    </w:p>
    <w:p>
      <w:pPr>
        <w:pStyle w:val="CTAListBullet"/>
      </w:pPr>
      <w:r>
        <w:t>California Business and Professions Code sections 820–822 concerning formal licensing-agency evaluation when illness may impair safe professional practice.</w:t>
      </w:r>
    </w:p>
    <w:p>
      <w:pPr>
        <w:pStyle w:val="CTAListBullet"/>
      </w:pPr>
      <w:r>
        <w:t>Clinical Social Worker Practice Act, including Business and Professions Code section 4992.3(c)–(e) on substance-related impairment, incompetence, and gross negligence; section 4992.35 for applicant mental illness/chemical dependency; and sections 4996.20 and 4996.23–4996.23.3 for ASW supervision as applicable.</w:t>
      </w:r>
    </w:p>
    <w:p>
      <w:pPr>
        <w:pStyle w:val="CTAListBullet"/>
      </w:pPr>
      <w:r>
        <w:t>California Code of Regulations, title 16, section 1888, Uniform Standards Related to Substance Abuse and Disciplinary Guidelines, operative July 1, 2026.</w:t>
      </w:r>
    </w:p>
    <w:p>
      <w:pPr>
        <w:pStyle w:val="CTAListBullet"/>
      </w:pPr>
      <w:r>
        <w:t>Current NASW Code of Ethics, especially sections 2.08–2.10 and 4.03–4.05, addressing colleague impairment/incompetence/unethical conduct, private conduct, professional impairment, consultation, client protection, and remedial action.</w:t>
      </w:r>
    </w:p>
    <w:p>
      <w:pPr>
        <w:pStyle w:val="CTAListBullet"/>
      </w:pPr>
      <w:r>
        <w:t>World Health Organization ICD-11 guidance on burnout; SAMHSA and U.S. Department of Veterans Affairs resources on compassion fatigue, secondary traumatic stress, and provider self-care.</w:t>
      </w:r>
    </w:p>
    <w:p>
      <w:pPr>
        <w:pStyle w:val="CTAListBullet"/>
      </w:pPr>
      <w:r>
        <w:t>CDC/NIOSH fatigue guidance and California Civil Rights Department and EEOC reasonable-accommodation guidance.</w:t>
      </w:r>
    </w:p>
    <w:p>
      <w:pPr>
        <w:pStyle w:val="Heading2"/>
      </w:pPr>
      <w:r>
        <w:t>Publication Notice</w:t>
      </w:r>
    </w:p>
    <w:p>
      <w:pPr>
        <w:spacing w:after="120"/>
      </w:pPr>
      <w:r>
        <w:rPr>
          <w:rFonts w:ascii="Arial" w:hAnsi="Arial"/>
          <w:color w:val="26323A"/>
          <w:sz w:val="21"/>
        </w:rPr>
        <w:t>Clinical Training and Supervision Academy materials are designed for education and California LCSW Law and Ethics Examination preparation. This workbook provides no CE credit or CE certificate. Examples simplify complex issues and should not be treated as case-specific legal advice or as a substitute for current authority, qualified supervision, consultation, medical guidance, accommodation processes, or legal counsel.</w:t>
      </w:r>
    </w:p>
    <w:sectPr w:rsidR="00DF53DC" w:rsidRPr="00611023">
      <w:headerReference w:type="default" r:id="rId8"/>
      <w:footerReference w:type="default" r:id="rId9"/>
      <w:headerReference w:type="first" r:id="rId10"/>
      <w:footerReference w:type="first" r:id="rId11"/>
      <w:headerReference w:type="even" r:id="rId22"/>
      <w:footerReference w:type="even" r:id="rId23"/>
      <w:pgSz w:w="12240" w:h="15840"/>
      <w:pgMar w:top="1123" w:right="1325" w:bottom="1037" w:left="1325" w:header="346"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752" w:val="center"/>
        <w:tab w:pos="9432" w:val="right"/>
      </w:tabs>
      <w:spacing w:after="0"/>
    </w:pPr>
  </w:p>
  <w:tbl>
    <w:tblPr>
      <w:tblW w:type="dxa" w:w="9470"/>
      <w:tblInd w:type="dxa" w:w="120"/>
      <w:tblLook w:firstColumn="1" w:firstRow="1" w:lastColumn="0" w:lastRow="0" w:noHBand="0" w:noVBand="1" w:val="04A0"/>
      <w:tblBorders>
        <w:top w:val="nil"/>
        <w:left w:val="nil"/>
        <w:bottom w:val="nil"/>
        <w:right w:val="nil"/>
        <w:insideH w:val="nil"/>
        <w:insideV w:val="nil"/>
      </w:tblBorders>
      <w:tblLayout w:type="fixed"/>
    </w:tblPr>
    <w:tblGrid>
      <w:gridCol w:w="3157"/>
      <w:gridCol w:w="3157"/>
      <w:gridCol w:w="3156"/>
    </w:tblGrid>
    <w:tr>
      <w:tc>
        <w:tcPr>
          <w:tcW w:type="dxa" w:w="3157"/>
        </w:tcPr>
        <w:p>
          <w:r>
            <w:rPr>
              <w:rFonts w:ascii="Arial" w:hAnsi="Arial"/>
              <w:b/>
              <w:color w:val="586672"/>
              <w:sz w:val="15"/>
            </w:rPr>
            <w:t>CTA-EP-002</w:t>
          </w:r>
        </w:p>
      </w:tc>
      <w:tc>
        <w:tcPr>
          <w:tcW w:type="dxa" w:w="3157"/>
        </w:tcPr>
        <w:p>
          <w:r>
            <w:rPr>
              <w:rFonts w:ascii="Arial" w:hAnsi="Arial"/>
              <w:b w:val="0"/>
              <w:color w:val="586672"/>
              <w:sz w:val="15"/>
            </w:rPr>
            <w:t>WB4 • LCSW CANDIDATE EDITION</w:t>
          </w:r>
        </w:p>
      </w:tc>
      <w:tc>
        <w:tcPr>
          <w:tcW w:type="dxa" w:w="3156"/>
        </w:tcPr>
        <w:p>
          <w:pPr>
            <w:spacing w:after="0"/>
            <w:jc w:val="right"/>
          </w:pPr>
          <w:r>
            <w:rPr>
              <w:rFonts w:ascii="Aptos" w:hAnsi="Aptos"/>
              <w:color w:val="5E6A73"/>
              <w:sz w:val="15"/>
            </w:rPr>
            <w:t xml:space="preserve">PAGE </w:t>
          </w:r>
          <w:r>
            <w:fldChar w:fldCharType="begin"/>
            <w:instrText xml:space="preserve"> PAGE </w:instrText>
            <w:fldChar w:fldCharType="end"/>
          </w:r>
        </w:p>
      </w:tc>
      <w:trPr>
        <w:tblHeader/>
        <w:cantSplit w:val="1"/>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432" w:val="right"/>
      </w:tabs>
      <w:spacing w:after="0"/>
      <w:pBdr>
        <w:bottom w:val="single" w:sz="10" w:space="2" w:color="0A9F9A"/>
      </w:pBdr>
      <w:jc w:val="right"/>
    </w:pPr>
    <w:r>
      <w:tab/>
      <w:t>WORKBOOK 4 • PROFESSIONAL IMPAIRMENT | LCSW CANDIDATE EDITION</w:t>
    </w:r>
    <w:r>
      <w:rPr>
        <w:rFonts w:ascii="Aptos" w:hAnsi="Aptos" w:eastAsia="Aptos"/>
        <w:b/>
        <w:color w:val="0B2545"/>
        <w:sz w:val="13"/>
      </w:rPr>
    </w:r>
    <w:r>
      <w:rPr>
        <w:rFonts w:ascii="Arial" w:hAnsi="Arial"/>
        <w:b/>
        <w:color w:val="10324F"/>
        <w:sz w:val="17"/>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5432F"/>
    <w:multiLevelType w:val="multilevel"/>
    <w:tmpl w:val="5C7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72D9"/>
    <w:multiLevelType w:val="multilevel"/>
    <w:tmpl w:val="5FF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596B"/>
    <w:multiLevelType w:val="multilevel"/>
    <w:tmpl w:val="6E9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1723E"/>
    <w:multiLevelType w:val="multilevel"/>
    <w:tmpl w:val="01E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17543"/>
    <w:multiLevelType w:val="multilevel"/>
    <w:tmpl w:val="B03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93C50"/>
    <w:multiLevelType w:val="multilevel"/>
    <w:tmpl w:val="0D7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69E8"/>
    <w:multiLevelType w:val="multilevel"/>
    <w:tmpl w:val="62F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335F2"/>
    <w:multiLevelType w:val="multilevel"/>
    <w:tmpl w:val="75D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D3769"/>
    <w:multiLevelType w:val="multilevel"/>
    <w:tmpl w:val="F3C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B475D"/>
    <w:multiLevelType w:val="multilevel"/>
    <w:tmpl w:val="035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07D5A"/>
    <w:multiLevelType w:val="multilevel"/>
    <w:tmpl w:val="943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2E2"/>
    <w:multiLevelType w:val="multilevel"/>
    <w:tmpl w:val="93C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F4EB4"/>
    <w:multiLevelType w:val="multilevel"/>
    <w:tmpl w:val="31E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06B89"/>
    <w:multiLevelType w:val="multilevel"/>
    <w:tmpl w:val="50E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44C9E"/>
    <w:multiLevelType w:val="multilevel"/>
    <w:tmpl w:val="166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14C01"/>
    <w:multiLevelType w:val="multilevel"/>
    <w:tmpl w:val="0EB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65756"/>
    <w:multiLevelType w:val="multilevel"/>
    <w:tmpl w:val="6AC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E716A"/>
    <w:multiLevelType w:val="multilevel"/>
    <w:tmpl w:val="93C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4284D"/>
    <w:multiLevelType w:val="multilevel"/>
    <w:tmpl w:val="9CC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029D8"/>
    <w:multiLevelType w:val="multilevel"/>
    <w:tmpl w:val="0CC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934BF"/>
    <w:multiLevelType w:val="multilevel"/>
    <w:tmpl w:val="982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5692B"/>
    <w:multiLevelType w:val="multilevel"/>
    <w:tmpl w:val="E65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A2543A"/>
    <w:multiLevelType w:val="multilevel"/>
    <w:tmpl w:val="1F7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00DD1"/>
    <w:multiLevelType w:val="multilevel"/>
    <w:tmpl w:val="5F0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84E98"/>
    <w:multiLevelType w:val="multilevel"/>
    <w:tmpl w:val="C60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41CAD"/>
    <w:multiLevelType w:val="multilevel"/>
    <w:tmpl w:val="A5E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86D8D"/>
    <w:multiLevelType w:val="multilevel"/>
    <w:tmpl w:val="28A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A3683"/>
    <w:multiLevelType w:val="multilevel"/>
    <w:tmpl w:val="21C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81028"/>
    <w:multiLevelType w:val="multilevel"/>
    <w:tmpl w:val="ED8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E17002"/>
    <w:multiLevelType w:val="multilevel"/>
    <w:tmpl w:val="7C3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5159DF"/>
    <w:multiLevelType w:val="multilevel"/>
    <w:tmpl w:val="F7E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37EFB"/>
    <w:multiLevelType w:val="multilevel"/>
    <w:tmpl w:val="5B6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8757C"/>
    <w:multiLevelType w:val="multilevel"/>
    <w:tmpl w:val="E71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7101E"/>
    <w:multiLevelType w:val="multilevel"/>
    <w:tmpl w:val="09D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D6195"/>
    <w:multiLevelType w:val="multilevel"/>
    <w:tmpl w:val="A3D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46063"/>
    <w:multiLevelType w:val="multilevel"/>
    <w:tmpl w:val="1E7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A422E"/>
    <w:multiLevelType w:val="multilevel"/>
    <w:tmpl w:val="3A4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E34CCC"/>
    <w:multiLevelType w:val="multilevel"/>
    <w:tmpl w:val="EB4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F86981"/>
    <w:multiLevelType w:val="multilevel"/>
    <w:tmpl w:val="B39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850D1A"/>
    <w:multiLevelType w:val="multilevel"/>
    <w:tmpl w:val="938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623256"/>
    <w:multiLevelType w:val="multilevel"/>
    <w:tmpl w:val="92A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C326AE"/>
    <w:multiLevelType w:val="multilevel"/>
    <w:tmpl w:val="3F30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9811BA"/>
    <w:multiLevelType w:val="multilevel"/>
    <w:tmpl w:val="9004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EF0981"/>
    <w:multiLevelType w:val="multilevel"/>
    <w:tmpl w:val="8A7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1006A0"/>
    <w:multiLevelType w:val="multilevel"/>
    <w:tmpl w:val="C31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735FAC"/>
    <w:multiLevelType w:val="multilevel"/>
    <w:tmpl w:val="061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537499"/>
    <w:multiLevelType w:val="multilevel"/>
    <w:tmpl w:val="A77A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5524CA"/>
    <w:multiLevelType w:val="multilevel"/>
    <w:tmpl w:val="327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B735C4"/>
    <w:multiLevelType w:val="multilevel"/>
    <w:tmpl w:val="B15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B023AE"/>
    <w:multiLevelType w:val="multilevel"/>
    <w:tmpl w:val="1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3E5524"/>
    <w:multiLevelType w:val="multilevel"/>
    <w:tmpl w:val="30FA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2E5B0E"/>
    <w:multiLevelType w:val="multilevel"/>
    <w:tmpl w:val="03C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E2F2E"/>
    <w:multiLevelType w:val="multilevel"/>
    <w:tmpl w:val="796A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3C4663"/>
    <w:multiLevelType w:val="multilevel"/>
    <w:tmpl w:val="133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F1610A"/>
    <w:multiLevelType w:val="multilevel"/>
    <w:tmpl w:val="F0E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1550B"/>
    <w:multiLevelType w:val="multilevel"/>
    <w:tmpl w:val="976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A50A0"/>
    <w:multiLevelType w:val="multilevel"/>
    <w:tmpl w:val="8B34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5C75E5"/>
    <w:multiLevelType w:val="multilevel"/>
    <w:tmpl w:val="329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BC502D"/>
    <w:multiLevelType w:val="multilevel"/>
    <w:tmpl w:val="1D8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F72FDC"/>
    <w:multiLevelType w:val="multilevel"/>
    <w:tmpl w:val="A63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6165E1"/>
    <w:multiLevelType w:val="multilevel"/>
    <w:tmpl w:val="820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364DEC"/>
    <w:multiLevelType w:val="multilevel"/>
    <w:tmpl w:val="5EA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A1749A"/>
    <w:multiLevelType w:val="multilevel"/>
    <w:tmpl w:val="126A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450FFD"/>
    <w:multiLevelType w:val="multilevel"/>
    <w:tmpl w:val="126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683FD3"/>
    <w:multiLevelType w:val="multilevel"/>
    <w:tmpl w:val="846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B14409"/>
    <w:multiLevelType w:val="multilevel"/>
    <w:tmpl w:val="822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3C024C"/>
    <w:multiLevelType w:val="multilevel"/>
    <w:tmpl w:val="7F6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A84C76"/>
    <w:multiLevelType w:val="multilevel"/>
    <w:tmpl w:val="099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2747E4"/>
    <w:multiLevelType w:val="hybridMultilevel"/>
    <w:tmpl w:val="5D6A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99056D"/>
    <w:multiLevelType w:val="multilevel"/>
    <w:tmpl w:val="CB5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A71284"/>
    <w:multiLevelType w:val="multilevel"/>
    <w:tmpl w:val="108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BA53A3"/>
    <w:multiLevelType w:val="multilevel"/>
    <w:tmpl w:val="BD3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6A3610"/>
    <w:multiLevelType w:val="multilevel"/>
    <w:tmpl w:val="64B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4F702E"/>
    <w:multiLevelType w:val="multilevel"/>
    <w:tmpl w:val="D7B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597E27"/>
    <w:multiLevelType w:val="multilevel"/>
    <w:tmpl w:val="E7FC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747AF0"/>
    <w:multiLevelType w:val="multilevel"/>
    <w:tmpl w:val="18A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7C79C9"/>
    <w:multiLevelType w:val="multilevel"/>
    <w:tmpl w:val="BCD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B87795"/>
    <w:multiLevelType w:val="multilevel"/>
    <w:tmpl w:val="BDB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424520"/>
    <w:multiLevelType w:val="multilevel"/>
    <w:tmpl w:val="2A0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2038BC"/>
    <w:multiLevelType w:val="multilevel"/>
    <w:tmpl w:val="A690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A47216"/>
    <w:multiLevelType w:val="multilevel"/>
    <w:tmpl w:val="EC9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C6063A"/>
    <w:multiLevelType w:val="multilevel"/>
    <w:tmpl w:val="38B6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B32E79"/>
    <w:multiLevelType w:val="multilevel"/>
    <w:tmpl w:val="127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1675EF"/>
    <w:multiLevelType w:val="multilevel"/>
    <w:tmpl w:val="299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3F041B"/>
    <w:multiLevelType w:val="multilevel"/>
    <w:tmpl w:val="7F0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717F60"/>
    <w:multiLevelType w:val="multilevel"/>
    <w:tmpl w:val="D91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7E6938"/>
    <w:multiLevelType w:val="multilevel"/>
    <w:tmpl w:val="C82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C46B39"/>
    <w:multiLevelType w:val="multilevel"/>
    <w:tmpl w:val="93D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CD32CE"/>
    <w:multiLevelType w:val="multilevel"/>
    <w:tmpl w:val="84BE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21243A"/>
    <w:multiLevelType w:val="multilevel"/>
    <w:tmpl w:val="F8F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C1266E"/>
    <w:multiLevelType w:val="multilevel"/>
    <w:tmpl w:val="150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605F16"/>
    <w:multiLevelType w:val="multilevel"/>
    <w:tmpl w:val="1B3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06441B"/>
    <w:multiLevelType w:val="multilevel"/>
    <w:tmpl w:val="15F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2266E8"/>
    <w:multiLevelType w:val="multilevel"/>
    <w:tmpl w:val="39F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C0084B"/>
    <w:multiLevelType w:val="multilevel"/>
    <w:tmpl w:val="9F8E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0E4413"/>
    <w:multiLevelType w:val="multilevel"/>
    <w:tmpl w:val="945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3C7305"/>
    <w:multiLevelType w:val="multilevel"/>
    <w:tmpl w:val="B3C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117F89"/>
    <w:multiLevelType w:val="multilevel"/>
    <w:tmpl w:val="067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9D4BD5"/>
    <w:multiLevelType w:val="multilevel"/>
    <w:tmpl w:val="E6A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F43130"/>
    <w:multiLevelType w:val="multilevel"/>
    <w:tmpl w:val="611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FA7E29"/>
    <w:multiLevelType w:val="multilevel"/>
    <w:tmpl w:val="5D1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605E41"/>
    <w:multiLevelType w:val="multilevel"/>
    <w:tmpl w:val="4E4E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D856E7"/>
    <w:multiLevelType w:val="multilevel"/>
    <w:tmpl w:val="3B3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7B64CC"/>
    <w:multiLevelType w:val="multilevel"/>
    <w:tmpl w:val="4E8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C44C8D"/>
    <w:multiLevelType w:val="multilevel"/>
    <w:tmpl w:val="F7EA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C82E83"/>
    <w:multiLevelType w:val="multilevel"/>
    <w:tmpl w:val="4654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E34C1B"/>
    <w:multiLevelType w:val="multilevel"/>
    <w:tmpl w:val="FE2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E516D6"/>
    <w:multiLevelType w:val="multilevel"/>
    <w:tmpl w:val="641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472C20"/>
    <w:multiLevelType w:val="multilevel"/>
    <w:tmpl w:val="F4E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B075FD"/>
    <w:multiLevelType w:val="multilevel"/>
    <w:tmpl w:val="986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181977"/>
    <w:multiLevelType w:val="multilevel"/>
    <w:tmpl w:val="5BA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7B6B44"/>
    <w:multiLevelType w:val="multilevel"/>
    <w:tmpl w:val="A24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C03628"/>
    <w:multiLevelType w:val="multilevel"/>
    <w:tmpl w:val="CC4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F20D8F"/>
    <w:multiLevelType w:val="multilevel"/>
    <w:tmpl w:val="A89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0A3136"/>
    <w:multiLevelType w:val="multilevel"/>
    <w:tmpl w:val="5CD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1D7B31"/>
    <w:multiLevelType w:val="multilevel"/>
    <w:tmpl w:val="D83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FE1437"/>
    <w:multiLevelType w:val="multilevel"/>
    <w:tmpl w:val="7A8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3C6B38"/>
    <w:multiLevelType w:val="multilevel"/>
    <w:tmpl w:val="266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7E1B3E"/>
    <w:multiLevelType w:val="multilevel"/>
    <w:tmpl w:val="952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EF0D46"/>
    <w:multiLevelType w:val="multilevel"/>
    <w:tmpl w:val="E61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745526"/>
    <w:multiLevelType w:val="multilevel"/>
    <w:tmpl w:val="D4D4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824638"/>
    <w:multiLevelType w:val="multilevel"/>
    <w:tmpl w:val="317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A618DE"/>
    <w:multiLevelType w:val="multilevel"/>
    <w:tmpl w:val="416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FD28A1"/>
    <w:multiLevelType w:val="multilevel"/>
    <w:tmpl w:val="D9DC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556105"/>
    <w:multiLevelType w:val="multilevel"/>
    <w:tmpl w:val="938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165FB7"/>
    <w:multiLevelType w:val="multilevel"/>
    <w:tmpl w:val="61F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205BF3"/>
    <w:multiLevelType w:val="multilevel"/>
    <w:tmpl w:val="629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822780"/>
    <w:multiLevelType w:val="multilevel"/>
    <w:tmpl w:val="1B0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C81683"/>
    <w:multiLevelType w:val="multilevel"/>
    <w:tmpl w:val="956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F55603"/>
    <w:multiLevelType w:val="multilevel"/>
    <w:tmpl w:val="E94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984F47"/>
    <w:multiLevelType w:val="multilevel"/>
    <w:tmpl w:val="330A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837650"/>
    <w:multiLevelType w:val="multilevel"/>
    <w:tmpl w:val="34C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B73771"/>
    <w:multiLevelType w:val="multilevel"/>
    <w:tmpl w:val="2E4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B95D04"/>
    <w:multiLevelType w:val="multilevel"/>
    <w:tmpl w:val="5BC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890CF6"/>
    <w:multiLevelType w:val="multilevel"/>
    <w:tmpl w:val="FCE8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661713">
    <w:abstractNumId w:val="101"/>
  </w:num>
  <w:num w:numId="2" w16cid:durableId="444007283">
    <w:abstractNumId w:val="3"/>
  </w:num>
  <w:num w:numId="3" w16cid:durableId="304284907">
    <w:abstractNumId w:val="5"/>
  </w:num>
  <w:num w:numId="4" w16cid:durableId="1615821013">
    <w:abstractNumId w:val="41"/>
  </w:num>
  <w:num w:numId="5" w16cid:durableId="904876500">
    <w:abstractNumId w:val="93"/>
  </w:num>
  <w:num w:numId="6" w16cid:durableId="1942764233">
    <w:abstractNumId w:val="8"/>
  </w:num>
  <w:num w:numId="7" w16cid:durableId="1360861691">
    <w:abstractNumId w:val="110"/>
  </w:num>
  <w:num w:numId="8" w16cid:durableId="1486436898">
    <w:abstractNumId w:val="108"/>
  </w:num>
  <w:num w:numId="9" w16cid:durableId="1961302859">
    <w:abstractNumId w:val="28"/>
  </w:num>
  <w:num w:numId="10" w16cid:durableId="1871144727">
    <w:abstractNumId w:val="84"/>
  </w:num>
  <w:num w:numId="11" w16cid:durableId="1172767678">
    <w:abstractNumId w:val="60"/>
  </w:num>
  <w:num w:numId="12" w16cid:durableId="137233830">
    <w:abstractNumId w:val="86"/>
  </w:num>
  <w:num w:numId="13" w16cid:durableId="1767771956">
    <w:abstractNumId w:val="130"/>
  </w:num>
  <w:num w:numId="14" w16cid:durableId="103114559">
    <w:abstractNumId w:val="109"/>
  </w:num>
  <w:num w:numId="15" w16cid:durableId="1331252128">
    <w:abstractNumId w:val="44"/>
  </w:num>
  <w:num w:numId="16" w16cid:durableId="1106536468">
    <w:abstractNumId w:val="67"/>
  </w:num>
  <w:num w:numId="17" w16cid:durableId="294651384">
    <w:abstractNumId w:val="4"/>
  </w:num>
  <w:num w:numId="18" w16cid:durableId="1902673367">
    <w:abstractNumId w:val="65"/>
  </w:num>
  <w:num w:numId="19" w16cid:durableId="1294555286">
    <w:abstractNumId w:val="117"/>
  </w:num>
  <w:num w:numId="20" w16cid:durableId="1714773772">
    <w:abstractNumId w:val="72"/>
  </w:num>
  <w:num w:numId="21" w16cid:durableId="973603190">
    <w:abstractNumId w:val="37"/>
  </w:num>
  <w:num w:numId="22" w16cid:durableId="972518994">
    <w:abstractNumId w:val="120"/>
  </w:num>
  <w:num w:numId="23" w16cid:durableId="802190644">
    <w:abstractNumId w:val="79"/>
  </w:num>
  <w:num w:numId="24" w16cid:durableId="322046726">
    <w:abstractNumId w:val="43"/>
  </w:num>
  <w:num w:numId="25" w16cid:durableId="30620618">
    <w:abstractNumId w:val="26"/>
  </w:num>
  <w:num w:numId="26" w16cid:durableId="1697921995">
    <w:abstractNumId w:val="123"/>
  </w:num>
  <w:num w:numId="27" w16cid:durableId="1425112015">
    <w:abstractNumId w:val="105"/>
  </w:num>
  <w:num w:numId="28" w16cid:durableId="128868038">
    <w:abstractNumId w:val="25"/>
  </w:num>
  <w:num w:numId="29" w16cid:durableId="467554328">
    <w:abstractNumId w:val="23"/>
  </w:num>
  <w:num w:numId="30" w16cid:durableId="1562791399">
    <w:abstractNumId w:val="115"/>
  </w:num>
  <w:num w:numId="31" w16cid:durableId="1207907994">
    <w:abstractNumId w:val="88"/>
  </w:num>
  <w:num w:numId="32" w16cid:durableId="312375576">
    <w:abstractNumId w:val="116"/>
  </w:num>
  <w:num w:numId="33" w16cid:durableId="405149721">
    <w:abstractNumId w:val="95"/>
  </w:num>
  <w:num w:numId="34" w16cid:durableId="28267521">
    <w:abstractNumId w:val="49"/>
  </w:num>
  <w:num w:numId="35" w16cid:durableId="224992164">
    <w:abstractNumId w:val="122"/>
  </w:num>
  <w:num w:numId="36" w16cid:durableId="58139869">
    <w:abstractNumId w:val="33"/>
  </w:num>
  <w:num w:numId="37" w16cid:durableId="1938634788">
    <w:abstractNumId w:val="132"/>
  </w:num>
  <w:num w:numId="38" w16cid:durableId="795417754">
    <w:abstractNumId w:val="2"/>
  </w:num>
  <w:num w:numId="39" w16cid:durableId="736636459">
    <w:abstractNumId w:val="6"/>
  </w:num>
  <w:num w:numId="40" w16cid:durableId="680591544">
    <w:abstractNumId w:val="111"/>
  </w:num>
  <w:num w:numId="41" w16cid:durableId="981233863">
    <w:abstractNumId w:val="87"/>
  </w:num>
  <w:num w:numId="42" w16cid:durableId="859124724">
    <w:abstractNumId w:val="99"/>
  </w:num>
  <w:num w:numId="43" w16cid:durableId="676152078">
    <w:abstractNumId w:val="91"/>
  </w:num>
  <w:num w:numId="44" w16cid:durableId="1684210408">
    <w:abstractNumId w:val="78"/>
  </w:num>
  <w:num w:numId="45" w16cid:durableId="917053026">
    <w:abstractNumId w:val="58"/>
  </w:num>
  <w:num w:numId="46" w16cid:durableId="1458255756">
    <w:abstractNumId w:val="62"/>
  </w:num>
  <w:num w:numId="47" w16cid:durableId="1289895116">
    <w:abstractNumId w:val="38"/>
  </w:num>
  <w:num w:numId="48" w16cid:durableId="1306083828">
    <w:abstractNumId w:val="22"/>
  </w:num>
  <w:num w:numId="49" w16cid:durableId="1420297143">
    <w:abstractNumId w:val="112"/>
  </w:num>
  <w:num w:numId="50" w16cid:durableId="1938976927">
    <w:abstractNumId w:val="40"/>
  </w:num>
  <w:num w:numId="51" w16cid:durableId="150371159">
    <w:abstractNumId w:val="103"/>
  </w:num>
  <w:num w:numId="52" w16cid:durableId="62144080">
    <w:abstractNumId w:val="133"/>
  </w:num>
  <w:num w:numId="53" w16cid:durableId="2138138167">
    <w:abstractNumId w:val="85"/>
  </w:num>
  <w:num w:numId="54" w16cid:durableId="1096054213">
    <w:abstractNumId w:val="74"/>
  </w:num>
  <w:num w:numId="55" w16cid:durableId="1260068866">
    <w:abstractNumId w:val="104"/>
  </w:num>
  <w:num w:numId="56" w16cid:durableId="1532066727">
    <w:abstractNumId w:val="27"/>
  </w:num>
  <w:num w:numId="57" w16cid:durableId="560870926">
    <w:abstractNumId w:val="126"/>
  </w:num>
  <w:num w:numId="58" w16cid:durableId="1798647067">
    <w:abstractNumId w:val="106"/>
  </w:num>
  <w:num w:numId="59" w16cid:durableId="179779048">
    <w:abstractNumId w:val="31"/>
  </w:num>
  <w:num w:numId="60" w16cid:durableId="709955231">
    <w:abstractNumId w:val="96"/>
  </w:num>
  <w:num w:numId="61" w16cid:durableId="607585052">
    <w:abstractNumId w:val="35"/>
  </w:num>
  <w:num w:numId="62" w16cid:durableId="620653098">
    <w:abstractNumId w:val="128"/>
  </w:num>
  <w:num w:numId="63" w16cid:durableId="1031226248">
    <w:abstractNumId w:val="46"/>
  </w:num>
  <w:num w:numId="64" w16cid:durableId="1303927162">
    <w:abstractNumId w:val="7"/>
  </w:num>
  <w:num w:numId="65" w16cid:durableId="161745536">
    <w:abstractNumId w:val="36"/>
  </w:num>
  <w:num w:numId="66" w16cid:durableId="1480684031">
    <w:abstractNumId w:val="18"/>
  </w:num>
  <w:num w:numId="67" w16cid:durableId="1007245292">
    <w:abstractNumId w:val="17"/>
  </w:num>
  <w:num w:numId="68" w16cid:durableId="735124688">
    <w:abstractNumId w:val="76"/>
  </w:num>
  <w:num w:numId="69" w16cid:durableId="125395488">
    <w:abstractNumId w:val="16"/>
  </w:num>
  <w:num w:numId="70" w16cid:durableId="1653412267">
    <w:abstractNumId w:val="63"/>
  </w:num>
  <w:num w:numId="71" w16cid:durableId="696154135">
    <w:abstractNumId w:val="56"/>
  </w:num>
  <w:num w:numId="72" w16cid:durableId="1138914765">
    <w:abstractNumId w:val="119"/>
  </w:num>
  <w:num w:numId="73" w16cid:durableId="1337541553">
    <w:abstractNumId w:val="14"/>
  </w:num>
  <w:num w:numId="74" w16cid:durableId="1876893105">
    <w:abstractNumId w:val="47"/>
  </w:num>
  <w:num w:numId="75" w16cid:durableId="337732458">
    <w:abstractNumId w:val="64"/>
  </w:num>
  <w:num w:numId="76" w16cid:durableId="1346322716">
    <w:abstractNumId w:val="39"/>
  </w:num>
  <w:num w:numId="77" w16cid:durableId="546265099">
    <w:abstractNumId w:val="10"/>
  </w:num>
  <w:num w:numId="78" w16cid:durableId="1924798823">
    <w:abstractNumId w:val="121"/>
  </w:num>
  <w:num w:numId="79" w16cid:durableId="305162182">
    <w:abstractNumId w:val="81"/>
  </w:num>
  <w:num w:numId="80" w16cid:durableId="1784879012">
    <w:abstractNumId w:val="107"/>
  </w:num>
  <w:num w:numId="81" w16cid:durableId="2010407742">
    <w:abstractNumId w:val="48"/>
  </w:num>
  <w:num w:numId="82" w16cid:durableId="612326941">
    <w:abstractNumId w:val="12"/>
  </w:num>
  <w:num w:numId="83" w16cid:durableId="750733184">
    <w:abstractNumId w:val="68"/>
  </w:num>
  <w:num w:numId="84" w16cid:durableId="483818179">
    <w:abstractNumId w:val="83"/>
  </w:num>
  <w:num w:numId="85" w16cid:durableId="526917394">
    <w:abstractNumId w:val="77"/>
  </w:num>
  <w:num w:numId="86" w16cid:durableId="1744335727">
    <w:abstractNumId w:val="53"/>
  </w:num>
  <w:num w:numId="87" w16cid:durableId="1364595804">
    <w:abstractNumId w:val="71"/>
  </w:num>
  <w:num w:numId="88" w16cid:durableId="1590652196">
    <w:abstractNumId w:val="75"/>
  </w:num>
  <w:num w:numId="89" w16cid:durableId="1310330360">
    <w:abstractNumId w:val="80"/>
  </w:num>
  <w:num w:numId="90" w16cid:durableId="1477184909">
    <w:abstractNumId w:val="20"/>
  </w:num>
  <w:num w:numId="91" w16cid:durableId="756557772">
    <w:abstractNumId w:val="30"/>
  </w:num>
  <w:num w:numId="92" w16cid:durableId="1272123989">
    <w:abstractNumId w:val="131"/>
  </w:num>
  <w:num w:numId="93" w16cid:durableId="109132209">
    <w:abstractNumId w:val="114"/>
  </w:num>
  <w:num w:numId="94" w16cid:durableId="1877809618">
    <w:abstractNumId w:val="127"/>
  </w:num>
  <w:num w:numId="95" w16cid:durableId="967972588">
    <w:abstractNumId w:val="97"/>
  </w:num>
  <w:num w:numId="96" w16cid:durableId="834146375">
    <w:abstractNumId w:val="13"/>
  </w:num>
  <w:num w:numId="97" w16cid:durableId="2031300364">
    <w:abstractNumId w:val="52"/>
  </w:num>
  <w:num w:numId="98" w16cid:durableId="1904095109">
    <w:abstractNumId w:val="134"/>
  </w:num>
  <w:num w:numId="99" w16cid:durableId="800881981">
    <w:abstractNumId w:val="66"/>
  </w:num>
  <w:num w:numId="100" w16cid:durableId="1855194614">
    <w:abstractNumId w:val="69"/>
  </w:num>
  <w:num w:numId="101" w16cid:durableId="1714578844">
    <w:abstractNumId w:val="94"/>
  </w:num>
  <w:num w:numId="102" w16cid:durableId="274365970">
    <w:abstractNumId w:val="92"/>
  </w:num>
  <w:num w:numId="103" w16cid:durableId="1951351082">
    <w:abstractNumId w:val="70"/>
  </w:num>
  <w:num w:numId="104" w16cid:durableId="599023189">
    <w:abstractNumId w:val="51"/>
  </w:num>
  <w:num w:numId="105" w16cid:durableId="494611122">
    <w:abstractNumId w:val="55"/>
  </w:num>
  <w:num w:numId="106" w16cid:durableId="1143739381">
    <w:abstractNumId w:val="29"/>
  </w:num>
  <w:num w:numId="107" w16cid:durableId="279730596">
    <w:abstractNumId w:val="125"/>
  </w:num>
  <w:num w:numId="108" w16cid:durableId="485515524">
    <w:abstractNumId w:val="34"/>
  </w:num>
  <w:num w:numId="109" w16cid:durableId="1338537530">
    <w:abstractNumId w:val="45"/>
  </w:num>
  <w:num w:numId="110" w16cid:durableId="1600064175">
    <w:abstractNumId w:val="118"/>
  </w:num>
  <w:num w:numId="111" w16cid:durableId="1158813619">
    <w:abstractNumId w:val="19"/>
  </w:num>
  <w:num w:numId="112" w16cid:durableId="1621951722">
    <w:abstractNumId w:val="113"/>
  </w:num>
  <w:num w:numId="113" w16cid:durableId="867723783">
    <w:abstractNumId w:val="50"/>
  </w:num>
  <w:num w:numId="114" w16cid:durableId="1014645156">
    <w:abstractNumId w:val="90"/>
  </w:num>
  <w:num w:numId="115" w16cid:durableId="64692533">
    <w:abstractNumId w:val="0"/>
  </w:num>
  <w:num w:numId="116" w16cid:durableId="318509036">
    <w:abstractNumId w:val="57"/>
  </w:num>
  <w:num w:numId="117" w16cid:durableId="576355437">
    <w:abstractNumId w:val="21"/>
  </w:num>
  <w:num w:numId="118" w16cid:durableId="686641417">
    <w:abstractNumId w:val="54"/>
  </w:num>
  <w:num w:numId="119" w16cid:durableId="1082146107">
    <w:abstractNumId w:val="89"/>
  </w:num>
  <w:num w:numId="120" w16cid:durableId="1083604552">
    <w:abstractNumId w:val="73"/>
  </w:num>
  <w:num w:numId="121" w16cid:durableId="585723908">
    <w:abstractNumId w:val="98"/>
  </w:num>
  <w:num w:numId="122" w16cid:durableId="924148441">
    <w:abstractNumId w:val="24"/>
  </w:num>
  <w:num w:numId="123" w16cid:durableId="1626691448">
    <w:abstractNumId w:val="124"/>
  </w:num>
  <w:num w:numId="124" w16cid:durableId="1832715857">
    <w:abstractNumId w:val="1"/>
  </w:num>
  <w:num w:numId="125" w16cid:durableId="261453752">
    <w:abstractNumId w:val="15"/>
  </w:num>
  <w:num w:numId="126" w16cid:durableId="622348977">
    <w:abstractNumId w:val="42"/>
  </w:num>
  <w:num w:numId="127" w16cid:durableId="440955312">
    <w:abstractNumId w:val="32"/>
  </w:num>
  <w:num w:numId="128" w16cid:durableId="1022240398">
    <w:abstractNumId w:val="61"/>
  </w:num>
  <w:num w:numId="129" w16cid:durableId="1413550790">
    <w:abstractNumId w:val="82"/>
  </w:num>
  <w:num w:numId="130" w16cid:durableId="1880700255">
    <w:abstractNumId w:val="11"/>
  </w:num>
  <w:num w:numId="131" w16cid:durableId="944267477">
    <w:abstractNumId w:val="100"/>
  </w:num>
  <w:num w:numId="132" w16cid:durableId="406727437">
    <w:abstractNumId w:val="129"/>
  </w:num>
  <w:num w:numId="133" w16cid:durableId="496923885">
    <w:abstractNumId w:val="102"/>
  </w:num>
  <w:num w:numId="134" w16cid:durableId="1250581980">
    <w:abstractNumId w:val="9"/>
  </w:num>
  <w:num w:numId="135" w16cid:durableId="829709895">
    <w:abstractNumId w:val="59"/>
  </w:num>
  <w:numIdMacAtCleanup w:val="135"/>
  <w:abstractNum w:abstractNumId="135">
    <w:multiLevelType w:val="singleLevel"/>
    <w:lvl w:ilvl="0">
      <w:start w:val="1"/>
      <w:numFmt w:val="bullet"/>
      <w:lvlText w:val="•"/>
      <w:lvlJc w:val="left"/>
      <w:pPr>
        <w:tabs>
          <w:tab w:val="num" w:pos="420"/>
        </w:tabs>
        <w:ind w:left="420" w:hanging="220"/>
      </w:pPr>
    </w:lvl>
  </w:abstractNum>
  <w:num w:numId="136">
    <w:abstractNumId w:val="135"/>
  </w:num>
  <w:abstractNum w:abstractNumId="136">
    <w:multiLevelType w:val="singleLevel"/>
    <w:lvl w:ilvl="0">
      <w:start w:val="1"/>
      <w:numFmt w:val="decimal"/>
      <w:lvlText w:val="%1."/>
      <w:lvlJc w:val="left"/>
      <w:pPr>
        <w:tabs>
          <w:tab w:val="num" w:pos="420"/>
        </w:tabs>
        <w:ind w:left="420" w:hanging="220"/>
      </w:pPr>
    </w:lvl>
  </w:abstractNum>
  <w:num w:numId="137">
    <w:abstractNumId w:val="136"/>
  </w:num>
  <w:num w:numId="138">
    <w:abstractNumId w:val="136"/>
    <w:lvlOverride w:ilvl="0">
      <w:startOverride w:val="1"/>
    </w:lvlOverride>
  </w:num>
  <w:num w:numId="139">
    <w:abstractNumId w:val="13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B1"/>
    <w:rsid w:val="00003FCA"/>
    <w:rsid w:val="000718D8"/>
    <w:rsid w:val="0008236F"/>
    <w:rsid w:val="00091C76"/>
    <w:rsid w:val="000A0E07"/>
    <w:rsid w:val="000A0F6E"/>
    <w:rsid w:val="000D726C"/>
    <w:rsid w:val="00110664"/>
    <w:rsid w:val="00123820"/>
    <w:rsid w:val="0015047E"/>
    <w:rsid w:val="001778FE"/>
    <w:rsid w:val="001E00AD"/>
    <w:rsid w:val="001E237A"/>
    <w:rsid w:val="001E55F1"/>
    <w:rsid w:val="00204977"/>
    <w:rsid w:val="0023053E"/>
    <w:rsid w:val="00231C26"/>
    <w:rsid w:val="0025631E"/>
    <w:rsid w:val="002574DA"/>
    <w:rsid w:val="00262DBF"/>
    <w:rsid w:val="00291A9D"/>
    <w:rsid w:val="002A21EC"/>
    <w:rsid w:val="002C6558"/>
    <w:rsid w:val="002E291C"/>
    <w:rsid w:val="00302ABA"/>
    <w:rsid w:val="00357E5F"/>
    <w:rsid w:val="0039594E"/>
    <w:rsid w:val="00404F22"/>
    <w:rsid w:val="00451E17"/>
    <w:rsid w:val="00461ACA"/>
    <w:rsid w:val="00476D89"/>
    <w:rsid w:val="0049179E"/>
    <w:rsid w:val="00493E7B"/>
    <w:rsid w:val="004B1739"/>
    <w:rsid w:val="004C598C"/>
    <w:rsid w:val="004C5A34"/>
    <w:rsid w:val="004D118F"/>
    <w:rsid w:val="004F1EC9"/>
    <w:rsid w:val="004F3B45"/>
    <w:rsid w:val="004F7409"/>
    <w:rsid w:val="00546589"/>
    <w:rsid w:val="0055772E"/>
    <w:rsid w:val="00584A0D"/>
    <w:rsid w:val="005E0231"/>
    <w:rsid w:val="005E7B94"/>
    <w:rsid w:val="00611023"/>
    <w:rsid w:val="0062352D"/>
    <w:rsid w:val="006531E3"/>
    <w:rsid w:val="00671225"/>
    <w:rsid w:val="006761DC"/>
    <w:rsid w:val="006B0C78"/>
    <w:rsid w:val="006B3327"/>
    <w:rsid w:val="006F19C6"/>
    <w:rsid w:val="00773B1A"/>
    <w:rsid w:val="0078758B"/>
    <w:rsid w:val="007B11EA"/>
    <w:rsid w:val="007B4448"/>
    <w:rsid w:val="007E14BA"/>
    <w:rsid w:val="007E729A"/>
    <w:rsid w:val="00804C7B"/>
    <w:rsid w:val="00812A83"/>
    <w:rsid w:val="008237A5"/>
    <w:rsid w:val="0084798F"/>
    <w:rsid w:val="00856BB7"/>
    <w:rsid w:val="008863EA"/>
    <w:rsid w:val="00894095"/>
    <w:rsid w:val="0089575A"/>
    <w:rsid w:val="008B01A7"/>
    <w:rsid w:val="008E5EE1"/>
    <w:rsid w:val="008F1371"/>
    <w:rsid w:val="008F2887"/>
    <w:rsid w:val="00902DFB"/>
    <w:rsid w:val="0091239D"/>
    <w:rsid w:val="00967388"/>
    <w:rsid w:val="009677BE"/>
    <w:rsid w:val="00981441"/>
    <w:rsid w:val="009D0F1E"/>
    <w:rsid w:val="00A23AB0"/>
    <w:rsid w:val="00A32878"/>
    <w:rsid w:val="00A55548"/>
    <w:rsid w:val="00A600B9"/>
    <w:rsid w:val="00AE4995"/>
    <w:rsid w:val="00B34C49"/>
    <w:rsid w:val="00B5281B"/>
    <w:rsid w:val="00B65AAC"/>
    <w:rsid w:val="00B66940"/>
    <w:rsid w:val="00B94F45"/>
    <w:rsid w:val="00B975D7"/>
    <w:rsid w:val="00BB13B0"/>
    <w:rsid w:val="00BB15C1"/>
    <w:rsid w:val="00BB50B3"/>
    <w:rsid w:val="00BC1285"/>
    <w:rsid w:val="00C34ED2"/>
    <w:rsid w:val="00C542A1"/>
    <w:rsid w:val="00C5553F"/>
    <w:rsid w:val="00C63015"/>
    <w:rsid w:val="00C645ED"/>
    <w:rsid w:val="00C67E8C"/>
    <w:rsid w:val="00C82231"/>
    <w:rsid w:val="00C86199"/>
    <w:rsid w:val="00CB2A67"/>
    <w:rsid w:val="00CC56EE"/>
    <w:rsid w:val="00CE2284"/>
    <w:rsid w:val="00CF43AF"/>
    <w:rsid w:val="00CF4B53"/>
    <w:rsid w:val="00D4420A"/>
    <w:rsid w:val="00D642D1"/>
    <w:rsid w:val="00D707E2"/>
    <w:rsid w:val="00DC666F"/>
    <w:rsid w:val="00DD265A"/>
    <w:rsid w:val="00DE4CAA"/>
    <w:rsid w:val="00DF53DC"/>
    <w:rsid w:val="00E001F6"/>
    <w:rsid w:val="00E05D11"/>
    <w:rsid w:val="00E14A50"/>
    <w:rsid w:val="00E3685E"/>
    <w:rsid w:val="00E43C7C"/>
    <w:rsid w:val="00E67D3E"/>
    <w:rsid w:val="00EB62B1"/>
    <w:rsid w:val="00ED2D0A"/>
    <w:rsid w:val="00EE6CB2"/>
    <w:rsid w:val="00F06B95"/>
    <w:rsid w:val="00F219D6"/>
    <w:rsid w:val="00F2275C"/>
    <w:rsid w:val="00F365F9"/>
    <w:rsid w:val="00F42BE5"/>
    <w:rsid w:val="00F64BA5"/>
    <w:rsid w:val="00F71667"/>
    <w:rsid w:val="00FA13AE"/>
    <w:rsid w:val="00FB4EA6"/>
    <w:rsid w:val="00FD146B"/>
    <w:rsid w:val="00FE4EF3"/>
    <w:rsid w:val="00FF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09"/>
    <o:shapelayout v:ext="edit">
      <o:idmap v:ext="edit" data="1"/>
    </o:shapelayout>
  </w:shapeDefaults>
  <w:decimalSymbol w:val="."/>
  <w:listSeparator w:val=","/>
  <w14:docId w14:val="39F1100A"/>
  <w15:chartTrackingRefBased/>
  <w15:docId w15:val="{CEE6EC0A-926E-7E47-A3AE-0AEF4F1DDC7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3EA"/>
    <w:pPr>
      <w:spacing w:after="100" w:line="259" w:lineRule="auto"/>
    </w:pPr>
    <w:rPr>
      <w:rFonts w:ascii="Aptos" w:eastAsia="Aptos" w:hAnsi="Aptos" w:cs="Times New Roman"/>
      <w:b w:val="0"/>
      <w:color w:val="222A31"/>
      <w:kern w:val="0"/>
      <w14:ligatures w14:val="none"/>
      <w:sz w:val="20"/>
    </w:rPr>
  </w:style>
  <w:style w:type="paragraph" w:styleId="Heading1">
    <w:name w:val="heading 1"/>
    <w:basedOn w:val="Normal"/>
    <w:next w:val="Normal"/>
    <w:link w:val="Heading1Char"/>
    <w:uiPriority w:val="9"/>
    <w:qFormat/>
    <w:rsid w:val="00EB62B1"/>
    <w:pPr>
      <w:keepNext/>
      <w:keepLines/>
      <w:spacing w:before="200" w:after="80"/>
      <w:outlineLvl w:val="0"/>
    </w:pPr>
    <w:rPr>
      <w:rFonts w:asciiTheme="majorHAnsi" w:eastAsiaTheme="majorEastAsia" w:hAnsiTheme="majorHAnsi" w:cstheme="majorBidi" w:ascii="Aptos Display" w:hAnsi="Aptos Display" w:eastAsia="Aptos Display"/>
      <w:b/>
      <w:color w:val="0B2545"/>
      <w:sz w:val="40"/>
      <w:szCs w:val="40"/>
    </w:rPr>
  </w:style>
  <w:style w:type="paragraph" w:styleId="Heading2">
    <w:name w:val="heading 2"/>
    <w:basedOn w:val="Normal"/>
    <w:next w:val="Normal"/>
    <w:link w:val="Heading2Char"/>
    <w:uiPriority w:val="9"/>
    <w:unhideWhenUsed/>
    <w:qFormat/>
    <w:rsid w:val="00EB62B1"/>
    <w:pPr>
      <w:keepNext/>
      <w:keepLines/>
      <w:spacing w:before="200" w:after="80"/>
      <w:outlineLvl w:val="1"/>
    </w:pPr>
    <w:rPr>
      <w:rFonts w:asciiTheme="majorHAnsi" w:eastAsiaTheme="majorEastAsia" w:hAnsiTheme="majorHAnsi" w:cstheme="majorBidi" w:ascii="Aptos Display" w:hAnsi="Aptos Display" w:eastAsia="Aptos Display"/>
      <w:b/>
      <w:color w:val="1F5A74"/>
      <w:sz w:val="28"/>
      <w:szCs w:val="32"/>
    </w:rPr>
  </w:style>
  <w:style w:type="paragraph" w:styleId="Heading3">
    <w:name w:val="heading 3"/>
    <w:basedOn w:val="Normal"/>
    <w:next w:val="Normal"/>
    <w:link w:val="Heading3Char"/>
    <w:uiPriority w:val="9"/>
    <w:unhideWhenUsed/>
    <w:qFormat/>
    <w:rsid w:val="00EB62B1"/>
    <w:pPr>
      <w:keepNext/>
      <w:keepLines/>
      <w:spacing w:before="200" w:after="80"/>
      <w:outlineLvl w:val="2"/>
    </w:pPr>
    <w:rPr>
      <w:rFonts w:eastAsiaTheme="majorEastAsia" w:cstheme="majorBidi" w:ascii="Aptos" w:hAnsi="Aptos" w:eastAsia="Aptos"/>
      <w:b/>
      <w:color w:val="08746F"/>
      <w:sz w:val="23"/>
      <w:szCs w:val="28"/>
    </w:rPr>
  </w:style>
  <w:style w:type="paragraph" w:styleId="Heading4">
    <w:name w:val="heading 4"/>
    <w:basedOn w:val="Normal"/>
    <w:next w:val="Normal"/>
    <w:link w:val="Heading4Char"/>
    <w:uiPriority w:val="9"/>
    <w:unhideWhenUsed/>
    <w:qFormat/>
    <w:rsid w:val="00EB62B1"/>
    <w:pPr>
      <w:keepNext/>
      <w:keepLines/>
      <w:spacing w:before="120" w:after="60"/>
      <w:outlineLvl w:val="3"/>
    </w:pPr>
    <w:rPr>
      <w:rFonts w:eastAsiaTheme="majorEastAsia" w:cstheme="majorBidi" w:ascii="Aptos" w:hAnsi="Aptos"/>
      <w:b/>
      <w:i/>
      <w:iCs/>
      <w:color w:val="0B2545"/>
      <w:sz w:val="21"/>
    </w:rPr>
  </w:style>
  <w:style w:type="paragraph" w:styleId="Heading5">
    <w:name w:val="heading 5"/>
    <w:basedOn w:val="Normal"/>
    <w:next w:val="Normal"/>
    <w:link w:val="Heading5Char"/>
    <w:uiPriority w:val="9"/>
    <w:semiHidden/>
    <w:unhideWhenUsed/>
    <w:qFormat/>
    <w:rsid w:val="00EB6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6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B1"/>
    <w:rPr>
      <w:rFonts w:eastAsiaTheme="majorEastAsia" w:cstheme="majorBidi"/>
      <w:color w:val="272727" w:themeColor="text1" w:themeTint="D8"/>
    </w:rPr>
  </w:style>
  <w:style w:type="paragraph" w:styleId="Title">
    <w:name w:val="Title"/>
    <w:basedOn w:val="Normal"/>
    <w:next w:val="Normal"/>
    <w:link w:val="TitleChar"/>
    <w:uiPriority w:val="10"/>
    <w:qFormat/>
    <w:rsid w:val="00EB62B1"/>
    <w:pPr>
      <w:keepNext/>
      <w:keepLines/>
      <w:spacing w:after="160" w:before="0"/>
      <w:contextualSpacing/>
    </w:pPr>
    <w:rPr>
      <w:rFonts w:asciiTheme="majorHAnsi" w:eastAsiaTheme="majorEastAsia" w:hAnsiTheme="majorHAnsi" w:cstheme="majorBidi" w:ascii="Aptos Display" w:hAnsi="Aptos Display" w:eastAsia="Aptos Display"/>
      <w:b/>
      <w:color w:val="0B2545"/>
      <w:spacing w:val="-10"/>
      <w:kern w:val="28"/>
      <w:sz w:val="58"/>
      <w:szCs w:val="56"/>
    </w:rPr>
  </w:style>
  <w:style w:type="character" w:customStyle="1" w:styleId="TitleChar">
    <w:name w:val="Title Char"/>
    <w:basedOn w:val="DefaultParagraphFont"/>
    <w:link w:val="Title"/>
    <w:uiPriority w:val="10"/>
    <w:rsid w:val="00EB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B1"/>
    <w:pPr>
      <w:keepNext/>
      <w:keepLines/>
      <w:numPr>
        <w:ilvl w:val="1"/>
      </w:numPr>
      <w:spacing w:before="0" w:after="200"/>
    </w:pPr>
    <w:rPr>
      <w:rFonts w:eastAsiaTheme="majorEastAsia" w:cstheme="majorBidi" w:ascii="Aptos" w:hAnsi="Aptos" w:eastAsia="Aptos"/>
      <w:b w:val="0"/>
      <w:color w:val="08746F"/>
      <w:spacing w:val="15"/>
      <w:sz w:val="28"/>
      <w:szCs w:val="28"/>
    </w:rPr>
  </w:style>
  <w:style w:type="character" w:customStyle="1" w:styleId="SubtitleChar">
    <w:name w:val="Subtitle Char"/>
    <w:basedOn w:val="DefaultParagraphFont"/>
    <w:link w:val="Subtitle"/>
    <w:uiPriority w:val="11"/>
    <w:rsid w:val="00EB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B1"/>
    <w:pPr>
      <w:spacing w:before="160"/>
      <w:jc w:val="center"/>
    </w:pPr>
    <w:rPr>
      <w:i/>
      <w:iCs/>
      <w:color w:val="404040" w:themeColor="text1" w:themeTint="BF"/>
    </w:rPr>
  </w:style>
  <w:style w:type="character" w:customStyle="1" w:styleId="QuoteChar">
    <w:name w:val="Quote Char"/>
    <w:basedOn w:val="DefaultParagraphFont"/>
    <w:link w:val="Quote"/>
    <w:uiPriority w:val="29"/>
    <w:rsid w:val="00EB62B1"/>
    <w:rPr>
      <w:i/>
      <w:iCs/>
      <w:color w:val="404040" w:themeColor="text1" w:themeTint="BF"/>
    </w:rPr>
  </w:style>
  <w:style w:type="paragraph" w:styleId="ListParagraph">
    <w:name w:val="List Paragraph"/>
    <w:basedOn w:val="Normal"/>
    <w:uiPriority w:val="34"/>
    <w:qFormat/>
    <w:rsid w:val="00EB62B1"/>
    <w:pPr>
      <w:ind w:left="720"/>
      <w:contextualSpacing/>
    </w:pPr>
  </w:style>
  <w:style w:type="character" w:styleId="IntenseEmphasis">
    <w:name w:val="Intense Emphasis"/>
    <w:basedOn w:val="DefaultParagraphFont"/>
    <w:uiPriority w:val="21"/>
    <w:qFormat/>
    <w:rsid w:val="00EB62B1"/>
    <w:rPr>
      <w:i/>
      <w:iCs/>
      <w:color w:val="0F4761" w:themeColor="accent1" w:themeShade="BF"/>
    </w:rPr>
  </w:style>
  <w:style w:type="paragraph" w:styleId="IntenseQuote">
    <w:name w:val="Intense Quote"/>
    <w:basedOn w:val="Normal"/>
    <w:next w:val="Normal"/>
    <w:link w:val="IntenseQuoteChar"/>
    <w:uiPriority w:val="30"/>
    <w:qFormat/>
    <w:rsid w:val="00EB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2B1"/>
    <w:rPr>
      <w:i/>
      <w:iCs/>
      <w:color w:val="0F4761" w:themeColor="accent1" w:themeShade="BF"/>
    </w:rPr>
  </w:style>
  <w:style w:type="character" w:styleId="IntenseReference">
    <w:name w:val="Intense Reference"/>
    <w:basedOn w:val="DefaultParagraphFont"/>
    <w:uiPriority w:val="32"/>
    <w:qFormat/>
    <w:rsid w:val="00EB62B1"/>
    <w:rPr>
      <w:b/>
      <w:bCs/>
      <w:smallCaps/>
      <w:color w:val="0F4761" w:themeColor="accent1" w:themeShade="BF"/>
      <w:spacing w:val="5"/>
    </w:rPr>
  </w:style>
  <w:style w:type="character" w:customStyle="1" w:styleId="s1">
    <w:name w:val="s1"/>
    <w:basedOn w:val="DefaultParagraphFont"/>
    <w:rsid w:val="00EB62B1"/>
  </w:style>
  <w:style w:type="paragraph" w:customStyle="1" w:styleId="p2">
    <w:name w:val="p2"/>
    <w:basedOn w:val="Normal"/>
    <w:rsid w:val="00EB62B1"/>
    <w:pPr>
      <w:spacing w:before="100" w:beforeAutospacing="1" w:after="100" w:afterAutospacing="1"/>
    </w:pPr>
  </w:style>
  <w:style w:type="paragraph" w:customStyle="1" w:styleId="p3">
    <w:name w:val="p3"/>
    <w:basedOn w:val="Normal"/>
    <w:rsid w:val="00EB62B1"/>
    <w:pPr>
      <w:spacing w:before="100" w:beforeAutospacing="1" w:after="100" w:afterAutospacing="1"/>
    </w:pPr>
  </w:style>
  <w:style w:type="paragraph" w:customStyle="1" w:styleId="p4">
    <w:name w:val="p4"/>
    <w:basedOn w:val="Normal"/>
    <w:rsid w:val="00EB62B1"/>
    <w:pPr>
      <w:spacing w:before="100" w:beforeAutospacing="1" w:after="100" w:afterAutospacing="1"/>
    </w:pPr>
  </w:style>
  <w:style w:type="paragraph" w:customStyle="1" w:styleId="p5">
    <w:name w:val="p5"/>
    <w:basedOn w:val="Normal"/>
    <w:rsid w:val="00EB62B1"/>
    <w:pPr>
      <w:spacing w:before="100" w:beforeAutospacing="1" w:after="100" w:afterAutospacing="1"/>
    </w:pPr>
  </w:style>
  <w:style w:type="paragraph" w:customStyle="1" w:styleId="p6">
    <w:name w:val="p6"/>
    <w:basedOn w:val="Normal"/>
    <w:rsid w:val="00EB62B1"/>
    <w:pPr>
      <w:spacing w:before="100" w:beforeAutospacing="1" w:after="100" w:afterAutospacing="1"/>
    </w:pPr>
  </w:style>
  <w:style w:type="paragraph" w:customStyle="1" w:styleId="p7">
    <w:name w:val="p7"/>
    <w:basedOn w:val="Normal"/>
    <w:rsid w:val="00EB62B1"/>
    <w:pPr>
      <w:spacing w:before="100" w:beforeAutospacing="1" w:after="100" w:afterAutospacing="1"/>
    </w:pPr>
  </w:style>
  <w:style w:type="paragraph" w:customStyle="1" w:styleId="p1">
    <w:name w:val="p1"/>
    <w:basedOn w:val="Normal"/>
    <w:rsid w:val="00EB62B1"/>
    <w:pPr>
      <w:spacing w:before="100" w:beforeAutospacing="1" w:after="100" w:afterAutospacing="1"/>
    </w:pPr>
  </w:style>
  <w:style w:type="character" w:customStyle="1" w:styleId="apple-converted-space">
    <w:name w:val="apple-converted-space"/>
    <w:basedOn w:val="DefaultParagraphFont"/>
    <w:rsid w:val="00EB62B1"/>
  </w:style>
  <w:style w:type="character" w:customStyle="1" w:styleId="s2">
    <w:name w:val="s2"/>
    <w:basedOn w:val="DefaultParagraphFont"/>
    <w:rsid w:val="00EB62B1"/>
  </w:style>
  <w:style w:type="paragraph" w:customStyle="1" w:styleId="p8">
    <w:name w:val="p8"/>
    <w:basedOn w:val="Normal"/>
    <w:rsid w:val="00EB62B1"/>
    <w:pPr>
      <w:spacing w:before="100" w:beforeAutospacing="1" w:after="100" w:afterAutospacing="1"/>
    </w:pPr>
  </w:style>
  <w:style w:type="character" w:customStyle="1" w:styleId="apple-tab-span">
    <w:name w:val="apple-tab-span"/>
    <w:basedOn w:val="DefaultParagraphFont"/>
    <w:rsid w:val="00A55548"/>
  </w:style>
  <w:style w:type="paragraph" w:customStyle="1" w:styleId="CTAListBullet">
    <w:name w:val="CTA List Bullet"/>
    <w:pPr>
      <w:spacing w:after="60"/>
      <w:ind w:left="317" w:hanging="259"/>
    </w:pPr>
    <w:rPr>
      <w:rFonts w:ascii="Aptos" w:hAnsi="Aptos" w:eastAsia="Aptos"/>
      <w:b w:val="0"/>
      <w:color w:val="222A31"/>
      <w:sz w:val="20"/>
    </w:rPr>
  </w:style>
  <w:style w:type="paragraph" w:customStyle="1" w:styleId="CTAListNumber">
    <w:name w:val="CTA List Number"/>
    <w:pPr>
      <w:spacing w:after="60"/>
      <w:ind w:left="317" w:hanging="259"/>
    </w:pPr>
    <w:rPr>
      <w:rFonts w:ascii="Aptos" w:hAnsi="Aptos" w:eastAsia="Aptos"/>
      <w:b w:val="0"/>
      <w:color w:val="222A31"/>
      <w:sz w:val="20"/>
    </w:rPr>
  </w:style>
  <w:style w:type="paragraph" w:customStyle="1" w:styleId="CTAKicker">
    <w:name w:val="CTA Kicker"/>
    <w:pPr>
      <w:spacing w:after="60" w:line="250" w:lineRule="auto"/>
    </w:pPr>
    <w:rPr>
      <w:rFonts w:ascii="Aptos" w:hAnsi="Aptos" w:eastAsia="Aptos"/>
      <w:b/>
      <w:color w:val="0A9F9A"/>
      <w:sz w:val="18"/>
    </w:rPr>
  </w:style>
  <w:style w:type="paragraph" w:customStyle="1" w:styleId="CTAQuestionID">
    <w:name w:val="CTA Question ID"/>
    <w:pPr>
      <w:keepNext/>
      <w:spacing w:after="60" w:line="250" w:lineRule="auto" w:before="200"/>
    </w:pPr>
    <w:rPr>
      <w:rFonts w:ascii="Aptos" w:hAnsi="Aptos" w:eastAsia="Aptos"/>
      <w:b/>
      <w:color w:val="0B2545"/>
      <w:sz w:val="36"/>
    </w:rPr>
  </w:style>
  <w:style w:type="paragraph" w:customStyle="1" w:styleId="CTAMetadata">
    <w:name w:val="CTA Metadata"/>
    <w:pPr>
      <w:keepNext/>
      <w:spacing w:after="60" w:line="250" w:lineRule="auto"/>
    </w:pPr>
    <w:rPr>
      <w:rFonts w:ascii="Aptos" w:hAnsi="Aptos" w:eastAsia="Aptos"/>
      <w:b w:val="0"/>
      <w:color w:val="5E6A73"/>
      <w:sz w:val="17"/>
    </w:rPr>
  </w:style>
  <w:style w:type="paragraph" w:customStyle="1" w:styleId="CTAOption">
    <w:name w:val="CTA Option"/>
    <w:pPr>
      <w:keepLines/>
      <w:spacing w:after="60" w:line="250" w:lineRule="auto"/>
    </w:pPr>
    <w:rPr>
      <w:rFonts w:ascii="Aptos" w:hAnsi="Aptos" w:eastAsia="Aptos"/>
      <w:b w:val="0"/>
      <w:color w:val="222A31"/>
      <w:sz w:val="20"/>
    </w:rPr>
  </w:style>
  <w:style w:type="paragraph" w:customStyle="1" w:styleId="CTARationale">
    <w:name w:val="CTA Rationale"/>
    <w:pPr>
      <w:spacing w:after="80" w:line="250" w:lineRule="auto"/>
    </w:pPr>
    <w:rPr>
      <w:rFonts w:ascii="Aptos" w:hAnsi="Aptos" w:eastAsia="Aptos"/>
      <w:b w:val="0"/>
      <w:color w:val="222A31"/>
      <w:sz w:val="19"/>
    </w:rPr>
  </w:style>
  <w:style w:type="paragraph" w:customStyle="1" w:styleId="CTASmall">
    <w:name w:val="CTA Small"/>
    <w:pPr>
      <w:spacing w:after="60" w:line="250" w:lineRule="auto"/>
    </w:pPr>
    <w:rPr>
      <w:rFonts w:ascii="Aptos" w:hAnsi="Aptos" w:eastAsia="Aptos"/>
      <w:b w:val="0"/>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3.png"/><Relationship Id="rId13" Type="http://schemas.openxmlformats.org/officeDocument/2006/relationships/hyperlink" Target="https://www.bbs.ca.gov/pdf/publications/lawsregs.pdf" TargetMode="External"/><Relationship Id="rId14" Type="http://schemas.openxmlformats.org/officeDocument/2006/relationships/hyperlink" Target="https://www.bbs.ca.gov/pdf/agen_notice/2023/20231116_17_item_18d.pdf" TargetMode="External"/><Relationship Id="rId15" Type="http://schemas.openxmlformats.org/officeDocument/2006/relationships/hyperlink" Target="https://leginfo.legislature.ca.gov/faces/codes_displaySection.xhtml?lawCode=CIV&amp;sectionNum=56.10" TargetMode="External"/><Relationship Id="rId16" Type="http://schemas.openxmlformats.org/officeDocument/2006/relationships/hyperlink" Target="https://leginfo.legislature.ca.gov/faces/codes_displayText.xhtml?article=7.&amp;chapter=4.&amp;division=8.&amp;lawCode=EVID&amp;part=&amp;title=" TargetMode="External"/><Relationship Id="rId17" Type="http://schemas.openxmlformats.org/officeDocument/2006/relationships/hyperlink" Target="https://leginfo.legislature.ca.gov/faces/codes_displaySection.xhtml?lawCode=CIV&amp;sectionNum=43.92" TargetMode="External"/><Relationship Id="rId18" Type="http://schemas.openxmlformats.org/officeDocument/2006/relationships/hyperlink" Target="https://leginfo.legislature.ca.gov/faces/codes_displaySection.xhtml?lawCode=PEN&amp;sectionNum=11166" TargetMode="External"/><Relationship Id="rId19" Type="http://schemas.openxmlformats.org/officeDocument/2006/relationships/hyperlink" Target="https://leginfo.legislature.ca.gov/faces/codes_displaySection.xhtml?lawCode=WIC&amp;sectionNum=15630" TargetMode="External"/><Relationship Id="rId20" Type="http://schemas.openxmlformats.org/officeDocument/2006/relationships/hyperlink" Target="https://www.ecfr.gov/current/title-45/part-164/section-164.506" TargetMode="External"/><Relationship Id="rId21" Type="http://schemas.openxmlformats.org/officeDocument/2006/relationships/image" Target="media/image2.png"/><Relationship Id="rId22" Type="http://schemas.openxmlformats.org/officeDocument/2006/relationships/header" Target="header3.xml"/><Relationship Id="rId2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103</Pages>
  <Words>16868</Words>
  <Characters>109475</Characters>
  <Application>Microsoft Office Word</Application>
  <DocSecurity>0</DocSecurity>
  <Lines>3317</Lines>
  <Paragraphs>2807</Paragraphs>
  <ScaleCrop>false</ScaleCrop>
  <Company/>
  <LinksUpToDate>false</LinksUpToDate>
  <CharactersWithSpaces>123536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California Law &amp; Ethics Exam Preparation - Workbook 4 Professional Impairment - LCSW Candidate Edition</dc:title>
  <dc:subject>CTA-EP-002 | Exam preparation only | No CE credit</dc:subject>
  <dc:creator>Clinical Training and Supervision Academy</dc:creator>
  <cp:keywords>LCSW, ASW, California Law and Ethics, professional impairment, exam preparation</cp:keywords>
  <dc:description>LMFT Candidate Edition v1.0; source review August 3, 2026</dc:description>
  <cp:lastModifiedBy>Candice Fuimaono</cp:lastModifiedBy>
  <cp:revision>116</cp:revision>
  <dcterms:created xsi:type="dcterms:W3CDTF">2026-07-09T01:54:00Z</dcterms:created>
  <dcterms:modified xsi:type="dcterms:W3CDTF">2026-07-12T02:48:00Z</dcterms:modified>
</cp:coreProperties>
</file>