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5" w:lineRule="auto"/>
        <w:jc w:val="center"/>
      </w:pPr>
      <w:r>
        <w:drawing>
          <wp:inline xmlns:a="http://schemas.openxmlformats.org/drawingml/2006/main" xmlns:pic="http://schemas.openxmlformats.org/drawingml/2006/picture">
            <wp:extent cx="1143000" cy="826213"/>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3000" cy="826213"/>
                    </a:xfrm>
                    <a:prstGeom prst="rect"/>
                  </pic:spPr>
                </pic:pic>
              </a:graphicData>
            </a:graphic>
          </wp:inline>
        </w:drawing>
      </w:r>
    </w:p>
    <w:p>
      <w:pPr>
        <w:spacing w:before="0" w:after="20" w:line="245" w:lineRule="auto"/>
        <w:jc w:val="center"/>
      </w:pPr>
      <w:r>
        <w:rPr>
          <w:rFonts w:ascii="Arial" w:hAnsi="Arial" w:eastAsia="Arial"/>
          <w:b/>
          <w:i w:val="0"/>
          <w:color w:val="159C9C"/>
          <w:sz w:val="19"/>
        </w:rPr>
        <w:t>LPCC NCMHCE EXAM PREPARATION PROGRAM</w:t>
      </w:r>
    </w:p>
    <w:p>
      <w:pPr>
        <w:spacing w:before="0" w:after="120" w:line="245" w:lineRule="auto"/>
        <w:jc w:val="center"/>
      </w:pPr>
      <w:r>
        <w:rPr>
          <w:rFonts w:ascii="Arial" w:hAnsi="Arial" w:eastAsia="Arial"/>
          <w:b/>
          <w:i w:val="0"/>
          <w:color w:val="17365D"/>
          <w:sz w:val="23"/>
        </w:rPr>
        <w:t>Answer &amp; Rationales</w:t>
      </w:r>
    </w:p>
    <w:p>
      <w:pPr>
        <w:spacing w:before="0" w:after="60" w:line="245" w:lineRule="auto"/>
        <w:jc w:val="center"/>
      </w:pPr>
      <w:r>
        <w:rPr>
          <w:rFonts w:ascii="Arial" w:hAnsi="Arial" w:eastAsia="Arial"/>
          <w:b/>
          <w:i w:val="0"/>
          <w:color w:val="17365D"/>
          <w:sz w:val="36"/>
        </w:rPr>
        <w:t>Workbook 10: 17-Question Practice Bank</w:t>
      </w:r>
    </w:p>
    <w:p>
      <w:pPr>
        <w:spacing w:before="0" w:after="40" w:line="245" w:lineRule="auto"/>
        <w:jc w:val="center"/>
      </w:pPr>
      <w:r>
        <w:rPr>
          <w:rFonts w:ascii="Arial" w:hAnsi="Arial" w:eastAsia="Arial"/>
          <w:b w:val="0"/>
          <w:i w:val="0"/>
          <w:color w:val="1F2937"/>
          <w:sz w:val="22"/>
        </w:rPr>
        <w:t>Multicultural, Developmental, Career, Spiritual, Disability, and Context-Responsive Counseling</w:t>
      </w:r>
    </w:p>
    <w:p>
      <w:pPr>
        <w:spacing w:before="0" w:after="80" w:line="245" w:lineRule="auto"/>
        <w:jc w:val="center"/>
      </w:pPr>
      <w:r>
        <w:rPr>
          <w:rFonts w:ascii="Arial" w:hAnsi="Arial" w:eastAsia="Arial"/>
          <w:b w:val="0"/>
          <w:i/>
          <w:color w:val="4B5563"/>
          <w:sz w:val="17"/>
        </w:rPr>
        <w:t>Controlled review form - open only after completing the candidate form</w:t>
      </w:r>
    </w:p>
    <w:p>
      <w:pPr>
        <w:spacing w:before="0" w:after="160" w:line="245" w:lineRule="auto"/>
        <w:jc w:val="center"/>
      </w:pPr>
      <w:r>
        <w:rPr>
          <w:rFonts w:ascii="Arial" w:hAnsi="Arial" w:eastAsia="Arial"/>
          <w:b w:val="0"/>
          <w:i w:val="0"/>
          <w:color w:val="17365D"/>
          <w:sz w:val="17"/>
        </w:rPr>
        <w:t>Version 1.0 - July 2026</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ORIGINAL CTA PRACTICE MATERIAL</w:t>
            </w:r>
          </w:p>
          <w:p>
            <w:pPr>
              <w:spacing w:before="0" w:after="0" w:line="240" w:lineRule="auto"/>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line="245" w:lineRule="auto"/>
        <w:jc w:val="center"/>
      </w:pPr>
      <w:r>
        <w:rPr>
          <w:rFonts w:ascii="Arial" w:hAnsi="Arial" w:eastAsia="Arial"/>
          <w:b/>
          <w:i w:val="0"/>
          <w:color w:val="17365D"/>
          <w:sz w:val="16"/>
        </w:rPr>
        <w:t>Clinical Training Academy</w:t>
      </w:r>
    </w:p>
    <w:p>
      <w:r>
        <w:br w:type="page"/>
      </w:r>
    </w:p>
    <w:p>
      <w:pPr>
        <w:pStyle w:val="Heading1"/>
        <w:spacing w:before="0" w:after="60" w:line="245" w:lineRule="auto"/>
        <w:keepNext/>
      </w:pPr>
      <w:r>
        <w:rPr>
          <w:rFonts w:ascii="Arial" w:hAnsi="Arial" w:eastAsia="Arial"/>
          <w:b/>
          <w:color w:val="159C9C"/>
          <w:sz w:val="28"/>
        </w:rPr>
        <w:t>How to Use the Rationales</w:t>
      </w:r>
    </w:p>
    <w:p>
      <w:pPr>
        <w:pStyle w:val="ListBullet"/>
        <w:spacing w:before="0" w:after="20" w:line="245" w:lineRule="auto"/>
      </w:pPr>
      <w:r>
        <w:rPr>
          <w:rFonts w:ascii="Arial" w:hAnsi="Arial" w:eastAsia="Arial"/>
          <w:sz w:val="17"/>
        </w:rPr>
        <w:t>Score the bank, but do not stop at the total. Mark every incorrect response and every correct response with confidence 1.</w:t>
      </w:r>
    </w:p>
    <w:p>
      <w:pPr>
        <w:pStyle w:val="ListBullet"/>
        <w:spacing w:before="0" w:after="20" w:line="245" w:lineRule="auto"/>
      </w:pPr>
      <w:r>
        <w:rPr>
          <w:rFonts w:ascii="Arial" w:hAnsi="Arial" w:eastAsia="Arial"/>
          <w:sz w:val="17"/>
        </w:rPr>
        <w:t>For each item, identify which Workbook 10 tool controlled the answer: HUMBLE, ACCESS, LIFESPAN, MEANING, or RESPOND.</w:t>
      </w:r>
    </w:p>
    <w:p>
      <w:pPr>
        <w:pStyle w:val="ListBullet"/>
        <w:spacing w:before="0" w:after="20" w:line="245" w:lineRule="auto"/>
      </w:pPr>
      <w:r>
        <w:rPr>
          <w:rFonts w:ascii="Arial" w:hAnsi="Arial" w:eastAsia="Arial"/>
          <w:sz w:val="17"/>
        </w:rPr>
        <w:t>Explain why each distractor is weaker, especially when it defends counselor intent, treats sameness as equity, turns assessment into a verdict, imposes or excludes meaning, stereotypes a group, or advocates without consent and role clarity.</w:t>
      </w:r>
    </w:p>
    <w:p>
      <w:pPr>
        <w:pStyle w:val="ListBullet"/>
        <w:spacing w:before="0" w:after="20" w:line="245" w:lineRule="auto"/>
      </w:pPr>
      <w:r>
        <w:rPr>
          <w:rFonts w:ascii="Arial" w:hAnsi="Arial" w:eastAsia="Arial"/>
          <w:sz w:val="17"/>
        </w:rPr>
        <w:t>Apply the listed CTA error code or select another Workbook 10 code that better describes your reasoning.</w:t>
      </w:r>
    </w:p>
    <w:p>
      <w:pPr>
        <w:pStyle w:val="ListBullet"/>
        <w:spacing w:before="0" w:after="20" w:line="245" w:lineRule="auto"/>
      </w:pPr>
      <w:r>
        <w:rPr>
          <w:rFonts w:ascii="Arial" w:hAnsi="Arial" w:eastAsia="Arial"/>
          <w:sz w:val="17"/>
        </w:rPr>
        <w:t>Write one transferable correction rule and complete a new application item after targeted review.</w:t>
      </w:r>
    </w:p>
    <w:p>
      <w:pPr>
        <w:pStyle w:val="ListBullet"/>
        <w:spacing w:before="0" w:after="20" w:line="245" w:lineRule="auto"/>
      </w:pPr>
      <w:r>
        <w:rPr>
          <w:rFonts w:ascii="Arial" w:hAnsi="Arial" w:eastAsia="Arial"/>
          <w:sz w:val="17"/>
        </w:rPr>
        <w:t>Do not treat this bank score as an official NCMHCE passing score or guarantee.</w:t>
      </w:r>
    </w:p>
    <w:p>
      <w:pPr>
        <w:pStyle w:val="Heading2"/>
        <w:spacing w:before="0" w:after="60" w:line="245" w:lineRule="auto"/>
        <w:keepNext/>
      </w:pPr>
      <w:r>
        <w:rPr>
          <w:rFonts w:ascii="Arial" w:hAnsi="Arial" w:eastAsia="Arial"/>
          <w:b/>
          <w:color w:val="17365D"/>
          <w:sz w:val="21"/>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605"/>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Key</w:t>
            </w:r>
          </w:p>
        </w:tc>
        <w:tc>
          <w:tcPr>
            <w:tcW w:type="dxa" w:w="108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Difficulty</w:t>
            </w:r>
          </w:p>
        </w:tc>
        <w:tc>
          <w:tcPr>
            <w:tcW w:type="dxa" w:w="460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Primary Concept</w:t>
            </w:r>
          </w:p>
        </w:tc>
        <w:tc>
          <w:tcPr>
            <w:tcW w:type="dxa" w:w="3283"/>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Primary Error Code</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HUMBLE and assumption repair</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 - HUMBLE and assumption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2</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ACCESS and qualified communication support</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 - ACCESS and communication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3</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LIFESPAN career assessment limits</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 - LIFESPAN and career-verdict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4</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MEANING, grief, and spiritual integration</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 - MEANING and spiritual-integration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5</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RESPOND adaptation and collaborative advocacy</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 - RESPOND and advocacy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6</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Broaching access, identity, and safety</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 - HUMBLE and assumption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7</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Accessible intake and effective communication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 - ACCESS and communication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8</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Context-responsive formulation without pathologizing identity</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 - HUMBLE and assumption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9</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Contextual baseline and outcome indicators</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O - Outcome-monitoring gap</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10</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Career assessment as information, not verdict</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 - LIFESPAN and career-verdict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11</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LIFESPAN career exploration and small experiments</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 - LIFESPAN and career-verdict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12</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Consent-limited advocacy and coordination</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 - RESPOND and advocacy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13</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MEANING and client-led grief support</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 - MEANING and spiritual-integration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14</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Functional and client-defined improvement</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O - Outcome-monitoring gap</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15</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Accessible adaptation with purpose preservation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 - ACCESS and communication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16</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Power-aware rupture repair</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 - Power and rupture-repair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17</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Coordinated access advocacy and continuity</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 - Consent and coordination error</w:t>
            </w:r>
          </w:p>
        </w:tc>
      </w:tr>
    </w:tbl>
    <w:p>
      <w:r>
        <w:br w:type="page"/>
      </w:r>
    </w:p>
    <w:p>
      <w:pPr>
        <w:pStyle w:val="Heading1"/>
        <w:spacing w:before="0" w:after="60" w:line="245" w:lineRule="auto"/>
        <w:keepNext/>
      </w:pPr>
      <w:r>
        <w:rPr>
          <w:rFonts w:ascii="Arial" w:hAnsi="Arial" w:eastAsia="Arial"/>
          <w:b/>
          <w:color w:val="159C9C"/>
          <w:sz w:val="28"/>
        </w:rPr>
        <w:t>Case Evidence-Control Map</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94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Section</w:t>
            </w:r>
          </w:p>
        </w:tc>
        <w:tc>
          <w:tcPr>
            <w:tcW w:type="dxa" w:w="511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Decision-Relevant Evidence</w:t>
            </w:r>
          </w:p>
        </w:tc>
        <w:tc>
          <w:tcPr>
            <w:tcW w:type="dxa" w:w="302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What Is Not Yet Established</w:t>
            </w:r>
          </w:p>
        </w:tc>
      </w:tr>
      <w:tr>
        <w:trPr>
          <w:cantSplit/>
        </w:trPr>
        <w:tc>
          <w:tcPr>
            <w:tcW w:type="dxa" w:w="19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1 - Access and initial formulation</w:t>
            </w:r>
          </w:p>
        </w:tc>
        <w:tc>
          <w:tcPr>
            <w:tcW w:type="dxa" w:w="511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ASL preference; failed interpreter and platform access; workplace exclusion; promotion-related stress; anxiety, insomnia, irritability and isolation; passive “turn everything off” statement with denied intent; identity and trust concerns; goals for sleep, work decisions and connection.</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Career alternatives, mentor loss, spiritual or remembrance preferences, consent for vocational coordination, later progress, homework burden, rupture, and authorized access coordination.</w:t>
            </w:r>
          </w:p>
        </w:tc>
      </w:tr>
      <w:tr>
        <w:trPr>
          <w:cantSplit/>
        </w:trPr>
        <w:tc>
          <w:tcPr>
            <w:tcW w:type="dxa" w:w="19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2 - Career, meaning, and advocacy limits</w:t>
            </w:r>
          </w:p>
        </w:tc>
        <w:tc>
          <w:tcPr>
            <w:tcW w:type="dxa" w:w="511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Qualified ASL access is established; role values and workplace accommodation comments; career alternatives; request for test certainty; mentor death and remembrance request; protective mentoring role; permission for vocational-resource discussion but no employer contact.</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Later symptom and functional gains, course and interviews, interpreter-link failures, written-homework burden, counselor rupture, ASL adaptation request, and specific coordination authorization.</w:t>
            </w:r>
          </w:p>
        </w:tc>
      </w:tr>
      <w:tr>
        <w:trPr>
          <w:cantSplit/>
        </w:trPr>
        <w:tc>
          <w:tcPr>
            <w:tcW w:type="dxa" w:w="19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3 - Adaptation, repair, and coordination</w:t>
            </w:r>
          </w:p>
        </w:tc>
        <w:tc>
          <w:tcPr>
            <w:tcW w:type="dxa" w:w="511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Improved sleep and anxiety; resumed mentoring; accessible course and informational interviews; missed sessions from interpreter-link failures; written-English burden; counselor blaming comment and reported impact; request for ASL prompts and repair; authorization for vocational rehabilitation and clinic access coordinator but not employer; no acute safety concern.</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The employer’s response, final career decision, long-term outcome of the adapted plan, and whether specialized referral will later be needed.</w:t>
            </w:r>
          </w:p>
        </w:tc>
      </w:tr>
    </w:tbl>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EVIDENCE-CONTROL REMINDER</w:t>
            </w:r>
          </w:p>
          <w:p>
            <w:pPr>
              <w:spacing w:before="0" w:after="0" w:line="240" w:lineRule="auto"/>
            </w:pPr>
            <w:r>
              <w:rPr>
                <w:rFonts w:ascii="Arial" w:hAnsi="Arial" w:eastAsia="Arial"/>
                <w:color w:val="1F2937"/>
                <w:sz w:val="16"/>
              </w:rPr>
              <w:t>Later facts can guide later questions, but they cannot retroactively become evidence for an earlier case section.</w:t>
            </w:r>
          </w:p>
        </w:tc>
      </w:tr>
    </w:tbl>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DIFFICULTY CONTROL</w:t>
            </w:r>
          </w:p>
          <w:p>
            <w:pPr>
              <w:spacing w:before="0" w:after="0" w:line="240" w:lineRule="auto"/>
            </w:pPr>
            <w:r>
              <w:rPr>
                <w:rFonts w:ascii="Arial" w:hAnsi="Arial" w:eastAsia="Arial"/>
                <w:color w:val="1F2937"/>
                <w:sz w:val="16"/>
              </w:rPr>
              <w:t>5 Easy, 7 Moderate, and 5 Difficult items. The bank contains five targeted questions and one three-part, 12-question case. Correct-answer distribution: A = 4, B = 4, C = 5, D = 4.</w:t>
            </w:r>
          </w:p>
        </w:tc>
      </w:tr>
    </w:tbl>
    <w:p>
      <w:r>
        <w:br w:type="page"/>
      </w:r>
    </w:p>
    <w:p>
      <w:pPr>
        <w:pStyle w:val="Heading2"/>
        <w:spacing w:before="0" w:after="60" w:line="245" w:lineRule="auto"/>
        <w:keepNext/>
      </w:pPr>
      <w:r>
        <w:rPr>
          <w:rFonts w:ascii="Arial" w:hAnsi="Arial" w:eastAsia="Arial"/>
          <w:b/>
          <w:color w:val="17365D"/>
          <w:sz w:val="21"/>
        </w:rPr>
        <w:t>Question 1 (LPCC-WB10-PB-Q001)</w:t>
      </w:r>
    </w:p>
    <w:p>
      <w:pPr>
        <w:spacing w:before="0" w:after="40" w:line="245" w:lineRule="auto"/>
      </w:pPr>
      <w:r>
        <w:rPr>
          <w:rFonts w:ascii="Arial" w:hAnsi="Arial" w:eastAsia="Arial"/>
          <w:b/>
          <w:i w:val="0"/>
          <w:color w:val="159C9C"/>
          <w:sz w:val="15"/>
        </w:rPr>
        <w:t>LPCC-WB10-PB-Q001 | Knowledge &amp; Application | Easy | Primary concept: HUMBLE and assumption repair</w:t>
      </w:r>
    </w:p>
    <w:p>
      <w:pPr>
        <w:spacing w:before="0" w:after="40" w:line="245" w:lineRule="auto"/>
      </w:pPr>
      <w:r>
        <w:rPr>
          <w:rFonts w:ascii="Arial" w:hAnsi="Arial" w:eastAsia="Arial"/>
          <w:b/>
          <w:i w:val="0"/>
          <w:color w:val="1F2937"/>
          <w:sz w:val="17"/>
        </w:rPr>
        <w:t>A client says, “You keep framing moving out of my parents’ home as the sign that treatment is working. In my family, shared living and joint decisions are important.” What is the BEST counselor response?</w:t>
      </w:r>
    </w:p>
    <w:p>
      <w:pPr>
        <w:spacing w:before="0" w:after="16" w:line="240" w:lineRule="auto"/>
        <w:ind w:left="259" w:hanging="259"/>
      </w:pPr>
      <w:r>
        <w:rPr>
          <w:rFonts w:ascii="Arial" w:hAnsi="Arial" w:eastAsia="Arial"/>
          <w:sz w:val="16"/>
        </w:rPr>
        <w:t>A. Explain that independent living is the healthiest adult goal and should remain in the plan.</w:t>
      </w:r>
    </w:p>
    <w:p>
      <w:pPr>
        <w:spacing w:before="0" w:after="16" w:line="240" w:lineRule="auto"/>
        <w:ind w:left="259" w:hanging="259"/>
      </w:pPr>
      <w:r>
        <w:rPr>
          <w:rFonts w:ascii="Arial" w:hAnsi="Arial" w:eastAsia="Arial"/>
          <w:sz w:val="16"/>
        </w:rPr>
        <w:t>B. Acknowledge the assumption, invite the client to describe preferred family involvement and autonomy, and revise goals collaboratively.</w:t>
      </w:r>
    </w:p>
    <w:p>
      <w:pPr>
        <w:spacing w:before="0" w:after="16" w:line="240" w:lineRule="auto"/>
        <w:ind w:left="259" w:hanging="259"/>
      </w:pPr>
      <w:r>
        <w:rPr>
          <w:rFonts w:ascii="Arial" w:hAnsi="Arial" w:eastAsia="Arial"/>
          <w:sz w:val="16"/>
        </w:rPr>
        <w:t>C. Avoid discussing family or culture because those topics are outside the counseling relationship.</w:t>
      </w:r>
    </w:p>
    <w:p>
      <w:pPr>
        <w:spacing w:before="0" w:after="16" w:line="240" w:lineRule="auto"/>
        <w:ind w:left="259" w:hanging="259"/>
      </w:pPr>
      <w:r>
        <w:rPr>
          <w:rFonts w:ascii="Arial" w:hAnsi="Arial" w:eastAsia="Arial"/>
          <w:sz w:val="16"/>
        </w:rPr>
        <w:t>D. Ask the parents to direct treatment decisions so the counselor does not impose individualistic values.</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Acknowledge the assumption, invite the client to describe preferred family involvement and autonomy, and revise goals collaboratively.</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The response treats one cultural value as universal and defends the counselor’s frame instead of examining fit.</w:t>
      </w:r>
      <w:r>
        <w:rPr>
          <w:rFonts w:ascii="Arial" w:hAnsi="Arial" w:eastAsia="Arial"/>
          <w:sz w:val="16"/>
        </w:rPr>
      </w:r>
    </w:p>
    <w:p>
      <w:pPr>
        <w:spacing w:after="20" w:before="0" w:line="240" w:lineRule="auto"/>
      </w:pPr>
      <w:r>
        <w:rPr>
          <w:rFonts w:ascii="Arial" w:hAnsi="Arial" w:eastAsia="Arial"/>
          <w:b/>
          <w:color w:val="17365D"/>
          <w:sz w:val="16"/>
        </w:rPr>
        <w:t>B. Correct. HUMBLE reasoning recognizes the assumption, centers the client’s meaning, and repairs the plan through collaboration.</w:t>
      </w:r>
      <w:r>
        <w:rPr>
          <w:rFonts w:ascii="Arial" w:hAnsi="Arial" w:eastAsia="Arial"/>
          <w:sz w:val="16"/>
        </w:rPr>
      </w:r>
    </w:p>
    <w:p>
      <w:pPr>
        <w:spacing w:after="20" w:before="0" w:line="240" w:lineRule="auto"/>
      </w:pPr>
      <w:r>
        <w:rPr>
          <w:rFonts w:ascii="Arial" w:hAnsi="Arial" w:eastAsia="Arial"/>
          <w:b/>
          <w:color w:val="17365D"/>
          <w:sz w:val="16"/>
        </w:rPr>
        <w:t>C. Incorrect. Avoiding identity and family context can preserve the mismatch and silence clinically relevant information.</w:t>
      </w:r>
      <w:r>
        <w:rPr>
          <w:rFonts w:ascii="Arial" w:hAnsi="Arial" w:eastAsia="Arial"/>
          <w:sz w:val="16"/>
        </w:rPr>
      </w:r>
    </w:p>
    <w:p>
      <w:pPr>
        <w:spacing w:after="20" w:before="0" w:line="240" w:lineRule="auto"/>
      </w:pPr>
      <w:r>
        <w:rPr>
          <w:rFonts w:ascii="Arial" w:hAnsi="Arial" w:eastAsia="Arial"/>
          <w:b/>
          <w:color w:val="17365D"/>
          <w:sz w:val="16"/>
        </w:rPr>
        <w:t>D. Incorrect. Respect for interdependence does not erase the client’s autonomy or authorize family control without the client’s consent.</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a client identifies a cultural mismatch, choose the answer that acknowledges the counselor’s assumption, invites the client’s perspective, and changes the plan. Avoid defending intent or replacing one rigid value with another.</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H - HUMBLE and assumption error. Cultural humility requires curiosity, accountability, and revision when the counselor’s frame does not fit the client.</w:t>
            </w:r>
          </w:p>
        </w:tc>
      </w:tr>
    </w:tbl>
    <w:p>
      <w:r>
        <w:br w:type="page"/>
      </w:r>
    </w:p>
    <w:p>
      <w:pPr>
        <w:pStyle w:val="Heading2"/>
        <w:spacing w:before="0" w:after="60" w:line="245" w:lineRule="auto"/>
        <w:keepNext/>
      </w:pPr>
      <w:r>
        <w:rPr>
          <w:rFonts w:ascii="Arial" w:hAnsi="Arial" w:eastAsia="Arial"/>
          <w:b/>
          <w:color w:val="17365D"/>
          <w:sz w:val="21"/>
        </w:rPr>
        <w:t>Question 2 (LPCC-WB10-PB-Q002)</w:t>
      </w:r>
    </w:p>
    <w:p>
      <w:pPr>
        <w:spacing w:before="0" w:after="40" w:line="245" w:lineRule="auto"/>
      </w:pPr>
      <w:r>
        <w:rPr>
          <w:rFonts w:ascii="Arial" w:hAnsi="Arial" w:eastAsia="Arial"/>
          <w:b/>
          <w:i w:val="0"/>
          <w:color w:val="159C9C"/>
          <w:sz w:val="15"/>
        </w:rPr>
        <w:t>LPCC-WB10-PB-Q002 | Knowledge &amp; Application | Easy | Primary concept: ACCESS and qualified communication support</w:t>
      </w:r>
    </w:p>
    <w:p>
      <w:pPr>
        <w:spacing w:before="0" w:after="40" w:line="245" w:lineRule="auto"/>
      </w:pPr>
      <w:r>
        <w:rPr>
          <w:rFonts w:ascii="Arial" w:hAnsi="Arial" w:eastAsia="Arial"/>
          <w:b/>
          <w:i w:val="0"/>
          <w:color w:val="1F2937"/>
          <w:sz w:val="17"/>
        </w:rPr>
        <w:t>A Deaf client uses American Sign Language for complex and emotional communication. A hearing coworker who drove the client to intake offers to interpret. What is the BEST initial action?</w:t>
      </w:r>
    </w:p>
    <w:p>
      <w:pPr>
        <w:spacing w:before="0" w:after="16" w:line="240" w:lineRule="auto"/>
        <w:ind w:left="259" w:hanging="259"/>
      </w:pPr>
      <w:r>
        <w:rPr>
          <w:rFonts w:ascii="Arial" w:hAnsi="Arial" w:eastAsia="Arial"/>
          <w:sz w:val="16"/>
        </w:rPr>
        <w:t>A. Ask about the client’s communication preferences and arrange qualified, confidential language assistance and an accessible session format.</w:t>
      </w:r>
    </w:p>
    <w:p>
      <w:pPr>
        <w:spacing w:before="0" w:after="16" w:line="240" w:lineRule="auto"/>
        <w:ind w:left="259" w:hanging="259"/>
      </w:pPr>
      <w:r>
        <w:rPr>
          <w:rFonts w:ascii="Arial" w:hAnsi="Arial" w:eastAsia="Arial"/>
          <w:sz w:val="16"/>
        </w:rPr>
        <w:t>B. Use the coworker because familiarity automatically makes interpretation more accurate and culturally responsive.</w:t>
      </w:r>
    </w:p>
    <w:p>
      <w:pPr>
        <w:spacing w:before="0" w:after="16" w:line="240" w:lineRule="auto"/>
        <w:ind w:left="259" w:hanging="259"/>
      </w:pPr>
      <w:r>
        <w:rPr>
          <w:rFonts w:ascii="Arial" w:hAnsi="Arial" w:eastAsia="Arial"/>
          <w:sz w:val="16"/>
        </w:rPr>
        <w:t>C. Require written English because the client can read routine messages.</w:t>
      </w:r>
    </w:p>
    <w:p>
      <w:pPr>
        <w:spacing w:before="0" w:after="16" w:line="240" w:lineRule="auto"/>
        <w:ind w:left="259" w:hanging="259"/>
      </w:pPr>
      <w:r>
        <w:rPr>
          <w:rFonts w:ascii="Arial" w:hAnsi="Arial" w:eastAsia="Arial"/>
          <w:sz w:val="16"/>
        </w:rPr>
        <w:t>D. Postpone counseling until a family member is available to interpret.</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Ask about the client’s communication preferences and arrange qualified, confidential language assistance and an accessible session format.</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ACCESS reasoning begins with the client’s preference and uses qualified, effective communication that protects accuracy, privacy, and participation.</w:t>
      </w:r>
      <w:r>
        <w:rPr>
          <w:rFonts w:ascii="Arial" w:hAnsi="Arial" w:eastAsia="Arial"/>
          <w:sz w:val="16"/>
        </w:rPr>
      </w:r>
    </w:p>
    <w:p>
      <w:pPr>
        <w:spacing w:after="20" w:before="0" w:line="240" w:lineRule="auto"/>
      </w:pPr>
      <w:r>
        <w:rPr>
          <w:rFonts w:ascii="Arial" w:hAnsi="Arial" w:eastAsia="Arial"/>
          <w:b/>
          <w:color w:val="17365D"/>
          <w:sz w:val="16"/>
        </w:rPr>
        <w:t>B. Incorrect. A coworker may create confidentiality, accuracy, power, and role problems and should not be treated as the default interpreter.</w:t>
      </w:r>
      <w:r>
        <w:rPr>
          <w:rFonts w:ascii="Arial" w:hAnsi="Arial" w:eastAsia="Arial"/>
          <w:sz w:val="16"/>
        </w:rPr>
      </w:r>
    </w:p>
    <w:p>
      <w:pPr>
        <w:spacing w:after="20" w:before="0" w:line="240" w:lineRule="auto"/>
      </w:pPr>
      <w:r>
        <w:rPr>
          <w:rFonts w:ascii="Arial" w:hAnsi="Arial" w:eastAsia="Arial"/>
          <w:b/>
          <w:color w:val="17365D"/>
          <w:sz w:val="16"/>
        </w:rPr>
        <w:t>C. Incorrect. Ability to read routine text does not establish that written English is effective for nuanced consent, assessment, or emotional discussion.</w:t>
      </w:r>
      <w:r>
        <w:rPr>
          <w:rFonts w:ascii="Arial" w:hAnsi="Arial" w:eastAsia="Arial"/>
          <w:sz w:val="16"/>
        </w:rPr>
      </w:r>
    </w:p>
    <w:p>
      <w:pPr>
        <w:spacing w:after="20" w:before="0" w:line="240" w:lineRule="auto"/>
      </w:pPr>
      <w:r>
        <w:rPr>
          <w:rFonts w:ascii="Arial" w:hAnsi="Arial" w:eastAsia="Arial"/>
          <w:b/>
          <w:color w:val="17365D"/>
          <w:sz w:val="16"/>
        </w:rPr>
        <w:t>D. Incorrect. Family availability should not control access to care when qualified support can be arranged.</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For access questions, do not confuse convenience with effective communication. The strongest answer asks the client, provides a qualified option, protects confidentiality, and verifies that the method works.</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A - ACCESS and communication error. Equal care may require a different communication method, not the same method for every client.</w:t>
            </w:r>
          </w:p>
        </w:tc>
      </w:tr>
    </w:tbl>
    <w:p>
      <w:r>
        <w:br w:type="page"/>
      </w:r>
    </w:p>
    <w:p>
      <w:pPr>
        <w:pStyle w:val="Heading2"/>
        <w:spacing w:before="0" w:after="60" w:line="245" w:lineRule="auto"/>
        <w:keepNext/>
      </w:pPr>
      <w:r>
        <w:rPr>
          <w:rFonts w:ascii="Arial" w:hAnsi="Arial" w:eastAsia="Arial"/>
          <w:b/>
          <w:color w:val="17365D"/>
          <w:sz w:val="21"/>
        </w:rPr>
        <w:t>Question 3 (LPCC-WB10-PB-Q003)</w:t>
      </w:r>
    </w:p>
    <w:p>
      <w:pPr>
        <w:spacing w:before="0" w:after="40" w:line="245" w:lineRule="auto"/>
      </w:pPr>
      <w:r>
        <w:rPr>
          <w:rFonts w:ascii="Arial" w:hAnsi="Arial" w:eastAsia="Arial"/>
          <w:b/>
          <w:i w:val="0"/>
          <w:color w:val="159C9C"/>
          <w:sz w:val="15"/>
        </w:rPr>
        <w:t>LPCC-WB10-PB-Q003 | Application | Moderate | Primary concept: LIFESPAN career assessment limits</w:t>
      </w:r>
    </w:p>
    <w:p>
      <w:pPr>
        <w:spacing w:before="0" w:after="40" w:line="245" w:lineRule="auto"/>
      </w:pPr>
      <w:r>
        <w:rPr>
          <w:rFonts w:ascii="Arial" w:hAnsi="Arial" w:eastAsia="Arial"/>
          <w:b/>
          <w:i w:val="0"/>
          <w:color w:val="1F2937"/>
          <w:sz w:val="17"/>
        </w:rPr>
        <w:t>A client with multiple sclerosis is considering a career change and asks whether a career interest inventory can identify the one correct occupation. What is the BEST response?</w:t>
      </w:r>
    </w:p>
    <w:p>
      <w:pPr>
        <w:spacing w:before="0" w:after="16" w:line="240" w:lineRule="auto"/>
        <w:ind w:left="259" w:hanging="259"/>
      </w:pPr>
      <w:r>
        <w:rPr>
          <w:rFonts w:ascii="Arial" w:hAnsi="Arial" w:eastAsia="Arial"/>
          <w:sz w:val="16"/>
        </w:rPr>
        <w:t>A. Explain that a valid inventory should determine the final occupation if the client answers honestly.</w:t>
      </w:r>
    </w:p>
    <w:p>
      <w:pPr>
        <w:spacing w:before="0" w:after="16" w:line="240" w:lineRule="auto"/>
        <w:ind w:left="259" w:hanging="259"/>
      </w:pPr>
      <w:r>
        <w:rPr>
          <w:rFonts w:ascii="Arial" w:hAnsi="Arial" w:eastAsia="Arial"/>
          <w:sz w:val="16"/>
        </w:rPr>
        <w:t>B. Avoid career assessment because disability makes standardized results unusable.</w:t>
      </w:r>
    </w:p>
    <w:p>
      <w:pPr>
        <w:spacing w:before="0" w:after="16" w:line="240" w:lineRule="auto"/>
        <w:ind w:left="259" w:hanging="259"/>
      </w:pPr>
      <w:r>
        <w:rPr>
          <w:rFonts w:ascii="Arial" w:hAnsi="Arial" w:eastAsia="Arial"/>
          <w:sz w:val="16"/>
        </w:rPr>
        <w:t>C. Explain that results are one source of information to integrate with values, skills, health, access needs, finances, opportunity, labor conditions, and small real-world experiments.</w:t>
      </w:r>
    </w:p>
    <w:p>
      <w:pPr>
        <w:spacing w:before="0" w:after="16" w:line="240" w:lineRule="auto"/>
        <w:ind w:left="259" w:hanging="259"/>
      </w:pPr>
      <w:r>
        <w:rPr>
          <w:rFonts w:ascii="Arial" w:hAnsi="Arial" w:eastAsia="Arial"/>
          <w:sz w:val="16"/>
        </w:rPr>
        <w:t>D. Select the most stable occupation for the client based on the counselor’s knowledge of the labor market.</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Explain that results are one source of information to integrate with values, skills, health, access needs, finances, opportunity, labor conditions, and small real-world experiments.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Career instruments organize information; they do not produce a single correct life decision.</w:t>
      </w:r>
      <w:r>
        <w:rPr>
          <w:rFonts w:ascii="Arial" w:hAnsi="Arial" w:eastAsia="Arial"/>
          <w:sz w:val="16"/>
        </w:rPr>
      </w:r>
    </w:p>
    <w:p>
      <w:pPr>
        <w:spacing w:after="20" w:before="0" w:line="240" w:lineRule="auto"/>
      </w:pPr>
      <w:r>
        <w:rPr>
          <w:rFonts w:ascii="Arial" w:hAnsi="Arial" w:eastAsia="Arial"/>
          <w:b/>
          <w:color w:val="17365D"/>
          <w:sz w:val="16"/>
        </w:rPr>
        <w:t>B. Incorrect. Disability calls for accessible administration, careful interpretation, and contextualization, not automatic rejection of all assessment.</w:t>
      </w:r>
      <w:r>
        <w:rPr>
          <w:rFonts w:ascii="Arial" w:hAnsi="Arial" w:eastAsia="Arial"/>
          <w:sz w:val="16"/>
        </w:rPr>
      </w:r>
    </w:p>
    <w:p>
      <w:pPr>
        <w:spacing w:after="20" w:before="0" w:line="240" w:lineRule="auto"/>
      </w:pPr>
      <w:r>
        <w:rPr>
          <w:rFonts w:ascii="Arial" w:hAnsi="Arial" w:eastAsia="Arial"/>
          <w:b/>
          <w:color w:val="17365D"/>
          <w:sz w:val="16"/>
        </w:rPr>
        <w:t>C. Correct. LIFESPAN reasoning integrates assessment with the client’s development, context, health, opportunity, preferences, and experiential evidence.</w:t>
      </w:r>
      <w:r>
        <w:rPr>
          <w:rFonts w:ascii="Arial" w:hAnsi="Arial" w:eastAsia="Arial"/>
          <w:sz w:val="16"/>
        </w:rPr>
      </w:r>
    </w:p>
    <w:p>
      <w:pPr>
        <w:spacing w:after="20" w:before="0" w:line="240" w:lineRule="auto"/>
      </w:pPr>
      <w:r>
        <w:rPr>
          <w:rFonts w:ascii="Arial" w:hAnsi="Arial" w:eastAsia="Arial"/>
          <w:b/>
          <w:color w:val="17365D"/>
          <w:sz w:val="16"/>
        </w:rPr>
        <w:t>D. Incorrect. The counselor may provide information but should not take ownership of the client’s career choice.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Career-test distractors often turn information into a verdict. Choose the answer that preserves client agency and integrates results with context, limitations, and action-based learning.</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L - LIFESPAN and career-verdict error. A career assessment supports exploration; it does not prescribe identity or destiny.</w:t>
            </w:r>
          </w:p>
        </w:tc>
      </w:tr>
    </w:tbl>
    <w:p>
      <w:r>
        <w:br w:type="page"/>
      </w:r>
    </w:p>
    <w:p>
      <w:pPr>
        <w:pStyle w:val="Heading2"/>
        <w:spacing w:before="0" w:after="60" w:line="245" w:lineRule="auto"/>
        <w:keepNext/>
      </w:pPr>
      <w:r>
        <w:rPr>
          <w:rFonts w:ascii="Arial" w:hAnsi="Arial" w:eastAsia="Arial"/>
          <w:b/>
          <w:color w:val="17365D"/>
          <w:sz w:val="21"/>
        </w:rPr>
        <w:t>Question 4 (LPCC-WB10-PB-Q004)</w:t>
      </w:r>
    </w:p>
    <w:p>
      <w:pPr>
        <w:spacing w:before="0" w:after="40" w:line="245" w:lineRule="auto"/>
      </w:pPr>
      <w:r>
        <w:rPr>
          <w:rFonts w:ascii="Arial" w:hAnsi="Arial" w:eastAsia="Arial"/>
          <w:b/>
          <w:i w:val="0"/>
          <w:color w:val="159C9C"/>
          <w:sz w:val="15"/>
        </w:rPr>
        <w:t>LPCC-WB10-PB-Q004 | Application | Moderate | Primary concept: MEANING, grief, and spiritual integration</w:t>
      </w:r>
    </w:p>
    <w:p>
      <w:pPr>
        <w:spacing w:before="0" w:after="40" w:line="245" w:lineRule="auto"/>
      </w:pPr>
      <w:r>
        <w:rPr>
          <w:rFonts w:ascii="Arial" w:hAnsi="Arial" w:eastAsia="Arial"/>
          <w:b/>
          <w:i w:val="0"/>
          <w:color w:val="1F2937"/>
          <w:sz w:val="17"/>
        </w:rPr>
        <w:t>A client asks to include a culturally meaningful mourning ritual after a sibling’s death. The counselor is unfamiliar with the ritual. What should the counselor do FIRST?</w:t>
      </w:r>
    </w:p>
    <w:p>
      <w:pPr>
        <w:spacing w:before="0" w:after="16" w:line="240" w:lineRule="auto"/>
        <w:ind w:left="259" w:hanging="259"/>
      </w:pPr>
      <w:r>
        <w:rPr>
          <w:rFonts w:ascii="Arial" w:hAnsi="Arial" w:eastAsia="Arial"/>
          <w:sz w:val="16"/>
        </w:rPr>
        <w:t>A. Perform the ritual exactly as requested so the client feels accepted, even without understanding its meaning or boundaries.</w:t>
      </w:r>
    </w:p>
    <w:p>
      <w:pPr>
        <w:spacing w:before="0" w:after="16" w:line="240" w:lineRule="auto"/>
        <w:ind w:left="259" w:hanging="259"/>
      </w:pPr>
      <w:r>
        <w:rPr>
          <w:rFonts w:ascii="Arial" w:hAnsi="Arial" w:eastAsia="Arial"/>
          <w:sz w:val="16"/>
        </w:rPr>
        <w:t>B. Refuse because spiritual and cultural rituals should never enter psychotherapy.</w:t>
      </w:r>
    </w:p>
    <w:p>
      <w:pPr>
        <w:spacing w:before="0" w:after="16" w:line="240" w:lineRule="auto"/>
        <w:ind w:left="259" w:hanging="259"/>
      </w:pPr>
      <w:r>
        <w:rPr>
          <w:rFonts w:ascii="Arial" w:hAnsi="Arial" w:eastAsia="Arial"/>
          <w:sz w:val="16"/>
        </w:rPr>
        <w:t>C. Treat the request as evidence that the client is avoiding grief or losing contact with reality.</w:t>
      </w:r>
    </w:p>
    <w:p>
      <w:pPr>
        <w:spacing w:before="0" w:after="16" w:line="240" w:lineRule="auto"/>
        <w:ind w:left="259" w:hanging="259"/>
      </w:pPr>
      <w:r>
        <w:rPr>
          <w:rFonts w:ascii="Arial" w:hAnsi="Arial" w:eastAsia="Arial"/>
          <w:sz w:val="16"/>
        </w:rPr>
        <w:t>D. Explore the ritual’s meaning, the client’s goals and consent, grief and safety needs, and the counselor’s competence; then integrate, consult, or refer as appropriate.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Explore the ritual’s meaning, the client’s goals and consent, grief and safety needs, and the counselor’s competence; then integrate, consult, or refer as appropriate.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Automatic participation can exceed competence, blur roles, or misrepresent the ritual’s significance.</w:t>
      </w:r>
      <w:r>
        <w:rPr>
          <w:rFonts w:ascii="Arial" w:hAnsi="Arial" w:eastAsia="Arial"/>
          <w:sz w:val="16"/>
        </w:rPr>
      </w:r>
    </w:p>
    <w:p>
      <w:pPr>
        <w:spacing w:after="20" w:before="0" w:line="240" w:lineRule="auto"/>
      </w:pPr>
      <w:r>
        <w:rPr>
          <w:rFonts w:ascii="Arial" w:hAnsi="Arial" w:eastAsia="Arial"/>
          <w:b/>
          <w:color w:val="17365D"/>
          <w:sz w:val="16"/>
        </w:rPr>
        <w:t>B. Incorrect. Spirituality and ritual may be clinically relevant when the client wants them included and the counselor proceeds competently and ethically.</w:t>
      </w:r>
      <w:r>
        <w:rPr>
          <w:rFonts w:ascii="Arial" w:hAnsi="Arial" w:eastAsia="Arial"/>
          <w:sz w:val="16"/>
        </w:rPr>
      </w:r>
    </w:p>
    <w:p>
      <w:pPr>
        <w:spacing w:after="20" w:before="0" w:line="240" w:lineRule="auto"/>
      </w:pPr>
      <w:r>
        <w:rPr>
          <w:rFonts w:ascii="Arial" w:hAnsi="Arial" w:eastAsia="Arial"/>
          <w:b/>
          <w:color w:val="17365D"/>
          <w:sz w:val="16"/>
        </w:rPr>
        <w:t>C. Incorrect. Cultural or spiritual meaning should not be pathologized without evidence of distress, dysfunction, impaired reality testing, or risk.</w:t>
      </w:r>
      <w:r>
        <w:rPr>
          <w:rFonts w:ascii="Arial" w:hAnsi="Arial" w:eastAsia="Arial"/>
          <w:sz w:val="16"/>
        </w:rPr>
      </w:r>
    </w:p>
    <w:p>
      <w:pPr>
        <w:spacing w:after="20" w:before="0" w:line="240" w:lineRule="auto"/>
      </w:pPr>
      <w:r>
        <w:rPr>
          <w:rFonts w:ascii="Arial" w:hAnsi="Arial" w:eastAsia="Arial"/>
          <w:b/>
          <w:color w:val="17365D"/>
          <w:sz w:val="16"/>
        </w:rPr>
        <w:t>D. Correct. MEANING reasoning follows the client’s language, assesses clinical relevance and safety, clarifies competence, and uses consultation or referral when needed.</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The best spirituality answer neither imposes nor reflexively excludes belief. Look for client-led exploration, clinical purpose, consent, competence, and attention to risk and function.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M - MEANING and spiritual-integration error. The counselor follows the client’s meaning while maintaining assessment, boundaries, and competence.</w:t>
            </w:r>
          </w:p>
        </w:tc>
      </w:tr>
    </w:tbl>
    <w:p>
      <w:r>
        <w:br w:type="page"/>
      </w:r>
    </w:p>
    <w:p>
      <w:pPr>
        <w:pStyle w:val="Heading2"/>
        <w:spacing w:before="0" w:after="60" w:line="245" w:lineRule="auto"/>
        <w:keepNext/>
      </w:pPr>
      <w:r>
        <w:rPr>
          <w:rFonts w:ascii="Arial" w:hAnsi="Arial" w:eastAsia="Arial"/>
          <w:b/>
          <w:color w:val="17365D"/>
          <w:sz w:val="21"/>
        </w:rPr>
        <w:t>Question 5 (LPCC-WB10-PB-Q005)</w:t>
      </w:r>
    </w:p>
    <w:p>
      <w:pPr>
        <w:spacing w:before="0" w:after="40" w:line="245" w:lineRule="auto"/>
      </w:pPr>
      <w:r>
        <w:rPr>
          <w:rFonts w:ascii="Arial" w:hAnsi="Arial" w:eastAsia="Arial"/>
          <w:b/>
          <w:i w:val="0"/>
          <w:color w:val="159C9C"/>
          <w:sz w:val="15"/>
        </w:rPr>
        <w:t>LPCC-WB10-PB-Q005 | Integrated Clinical Reasoning | Difficult | Primary concept: RESPOND adaptation and collaborative advocacy</w:t>
      </w:r>
    </w:p>
    <w:p>
      <w:pPr>
        <w:spacing w:before="0" w:after="40" w:line="245" w:lineRule="auto"/>
      </w:pPr>
      <w:r>
        <w:rPr>
          <w:rFonts w:ascii="Arial" w:hAnsi="Arial" w:eastAsia="Arial"/>
          <w:b/>
          <w:i w:val="0"/>
          <w:color w:val="1F2937"/>
          <w:sz w:val="17"/>
        </w:rPr>
        <w:t>An evidence-supported anxiety group has low attendance among seasonal agricultural workers. Participant feedback identifies evening shifts, transportation barriers, childcare needs, and the lack of Spanish materials. An administrator says the counselor should “motivate clients harder.” What is the BEST response?</w:t>
      </w:r>
    </w:p>
    <w:p>
      <w:pPr>
        <w:spacing w:before="0" w:after="16" w:line="240" w:lineRule="auto"/>
        <w:ind w:left="259" w:hanging="259"/>
      </w:pPr>
      <w:r>
        <w:rPr>
          <w:rFonts w:ascii="Arial" w:hAnsi="Arial" w:eastAsia="Arial"/>
          <w:sz w:val="16"/>
        </w:rPr>
        <w:t>A. Document that the population is resistant and keep the program unchanged to protect fidelity.</w:t>
      </w:r>
    </w:p>
    <w:p>
      <w:pPr>
        <w:spacing w:before="0" w:after="16" w:line="240" w:lineRule="auto"/>
        <w:ind w:left="259" w:hanging="259"/>
      </w:pPr>
      <w:r>
        <w:rPr>
          <w:rFonts w:ascii="Arial" w:hAnsi="Arial" w:eastAsia="Arial"/>
          <w:sz w:val="16"/>
        </w:rPr>
        <w:t>B. Partner with affected clients and community resources to confirm priorities, adapt language, scheduling, access, and delivery while preserving the intervention’s purpose, monitor reach and outcomes, and advocate within role.</w:t>
      </w:r>
    </w:p>
    <w:p>
      <w:pPr>
        <w:spacing w:before="0" w:after="16" w:line="240" w:lineRule="auto"/>
        <w:ind w:left="259" w:hanging="259"/>
      </w:pPr>
      <w:r>
        <w:rPr>
          <w:rFonts w:ascii="Arial" w:hAnsi="Arial" w:eastAsia="Arial"/>
          <w:sz w:val="16"/>
        </w:rPr>
        <w:t>C. Abandon the evidence-supported intervention and replace it with unstructured support without assessing which components are useful.</w:t>
      </w:r>
    </w:p>
    <w:p>
      <w:pPr>
        <w:spacing w:before="0" w:after="16" w:line="240" w:lineRule="auto"/>
        <w:ind w:left="259" w:hanging="259"/>
      </w:pPr>
      <w:r>
        <w:rPr>
          <w:rFonts w:ascii="Arial" w:hAnsi="Arial" w:eastAsia="Arial"/>
          <w:sz w:val="16"/>
        </w:rPr>
        <w:t>D. Publicly accuse the agency of discrimination before obtaining client input, protecting confidentiality, or using internal problem-solving channels.</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Partner with affected clients and community resources to confirm priorities, adapt language, scheduling, access, and delivery while preserving the intervention’s purpose, monitor reach and outcomes, and advocate within role.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Labeling clients ignores documented barriers and confuses fixed delivery with treatment fidelity.</w:t>
      </w:r>
      <w:r>
        <w:rPr>
          <w:rFonts w:ascii="Arial" w:hAnsi="Arial" w:eastAsia="Arial"/>
          <w:sz w:val="16"/>
        </w:rPr>
      </w:r>
    </w:p>
    <w:p>
      <w:pPr>
        <w:spacing w:after="20" w:before="0" w:line="240" w:lineRule="auto"/>
      </w:pPr>
      <w:r>
        <w:rPr>
          <w:rFonts w:ascii="Arial" w:hAnsi="Arial" w:eastAsia="Arial"/>
          <w:b/>
          <w:color w:val="17365D"/>
          <w:sz w:val="16"/>
        </w:rPr>
        <w:t>B. Correct. RESPOND integrates community voice, access analysis, mechanism-preserving adaptation, outcome review, and proportionate advocacy.</w:t>
      </w:r>
      <w:r>
        <w:rPr>
          <w:rFonts w:ascii="Arial" w:hAnsi="Arial" w:eastAsia="Arial"/>
          <w:sz w:val="16"/>
        </w:rPr>
      </w:r>
    </w:p>
    <w:p>
      <w:pPr>
        <w:spacing w:after="20" w:before="0" w:line="240" w:lineRule="auto"/>
      </w:pPr>
      <w:r>
        <w:rPr>
          <w:rFonts w:ascii="Arial" w:hAnsi="Arial" w:eastAsia="Arial"/>
          <w:b/>
          <w:color w:val="17365D"/>
          <w:sz w:val="16"/>
        </w:rPr>
        <w:t>C. Incorrect. Barriers justify redesign and evaluation, not automatic removal of the intervention’s active ingredients.</w:t>
      </w:r>
      <w:r>
        <w:rPr>
          <w:rFonts w:ascii="Arial" w:hAnsi="Arial" w:eastAsia="Arial"/>
          <w:sz w:val="16"/>
        </w:rPr>
      </w:r>
    </w:p>
    <w:p>
      <w:pPr>
        <w:spacing w:after="20" w:before="0" w:line="240" w:lineRule="auto"/>
      </w:pPr>
      <w:r>
        <w:rPr>
          <w:rFonts w:ascii="Arial" w:hAnsi="Arial" w:eastAsia="Arial"/>
          <w:b/>
          <w:color w:val="17365D"/>
          <w:sz w:val="16"/>
        </w:rPr>
        <w:t>D. Incorrect. Advocacy should be collaborative, consent-conscious, proportionate, confidential, and connected to feasible channels and the counselor’s role.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a program is not reaching people, choose the answer that investigates barriers with affected people, preserves the clinical purpose, changes delivery, and measures whether access and outcomes improve.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R - RESPOND and advocacy error. Context-responsive care changes systems and delivery without stereotyping clients or abandoning clinical accountability.</w:t>
            </w:r>
          </w:p>
        </w:tc>
      </w:tr>
    </w:tbl>
    <w:p>
      <w:r>
        <w:br w:type="page"/>
      </w:r>
    </w:p>
    <w:p>
      <w:pPr>
        <w:pStyle w:val="Heading2"/>
        <w:spacing w:before="0" w:after="60" w:line="245" w:lineRule="auto"/>
        <w:keepNext/>
      </w:pPr>
      <w:r>
        <w:rPr>
          <w:rFonts w:ascii="Arial" w:hAnsi="Arial" w:eastAsia="Arial"/>
          <w:b/>
          <w:color w:val="17365D"/>
          <w:sz w:val="21"/>
        </w:rPr>
        <w:t>Question 6 (LPCC-WB10-PB-Q006)</w:t>
      </w:r>
    </w:p>
    <w:p>
      <w:pPr>
        <w:spacing w:before="0" w:after="40" w:line="245" w:lineRule="auto"/>
      </w:pPr>
      <w:r>
        <w:rPr>
          <w:rFonts w:ascii="Arial" w:hAnsi="Arial" w:eastAsia="Arial"/>
          <w:b/>
          <w:i w:val="0"/>
          <w:color w:val="159C9C"/>
          <w:sz w:val="15"/>
        </w:rPr>
        <w:t>LPCC-WB10-PB-Q006 | Knowledge &amp; Application | Easy | Primary concept: Broaching access, identity, and safety</w:t>
      </w:r>
    </w:p>
    <w:p>
      <w:pPr>
        <w:spacing w:before="0" w:after="40" w:line="245" w:lineRule="auto"/>
      </w:pPr>
      <w:r>
        <w:rPr>
          <w:rFonts w:ascii="Arial" w:hAnsi="Arial" w:eastAsia="Arial"/>
          <w:b/>
          <w:i w:val="0"/>
          <w:color w:val="1F2937"/>
          <w:sz w:val="17"/>
        </w:rPr>
        <w:t>Darius says, “I need to know you will not treat Deaf culture as a problem or act like racism at work is all in my head.” Which response is BEST initially?</w:t>
      </w:r>
    </w:p>
    <w:p>
      <w:pPr>
        <w:spacing w:before="0" w:after="16" w:line="240" w:lineRule="auto"/>
        <w:ind w:left="259" w:hanging="259"/>
      </w:pPr>
      <w:r>
        <w:rPr>
          <w:rFonts w:ascii="Arial" w:hAnsi="Arial" w:eastAsia="Arial"/>
          <w:sz w:val="16"/>
        </w:rPr>
        <w:t>A. “I treat everyone exactly the same, so identity will not affect our work.”</w:t>
      </w:r>
    </w:p>
    <w:p>
      <w:pPr>
        <w:spacing w:before="0" w:after="16" w:line="240" w:lineRule="auto"/>
        <w:ind w:left="259" w:hanging="259"/>
      </w:pPr>
      <w:r>
        <w:rPr>
          <w:rFonts w:ascii="Arial" w:hAnsi="Arial" w:eastAsia="Arial"/>
          <w:sz w:val="16"/>
        </w:rPr>
        <w:t>B. “Let us have your sister interpret today, and then we can focus only on the sleep problem.”</w:t>
      </w:r>
    </w:p>
    <w:p>
      <w:pPr>
        <w:spacing w:before="0" w:after="16" w:line="240" w:lineRule="auto"/>
        <w:ind w:left="259" w:hanging="259"/>
      </w:pPr>
      <w:r>
        <w:rPr>
          <w:rFonts w:ascii="Arial" w:hAnsi="Arial" w:eastAsia="Arial"/>
          <w:sz w:val="16"/>
        </w:rPr>
        <w:t>C. “I appreciate you naming that. Let us discuss what access and identities you want considered, arrange effective ASL communication, and clarify what you meant by wanting to turn everything off.”</w:t>
      </w:r>
    </w:p>
    <w:p>
      <w:pPr>
        <w:spacing w:before="0" w:after="16" w:line="240" w:lineRule="auto"/>
        <w:ind w:left="259" w:hanging="259"/>
      </w:pPr>
      <w:r>
        <w:rPr>
          <w:rFonts w:ascii="Arial" w:hAnsi="Arial" w:eastAsia="Arial"/>
          <w:sz w:val="16"/>
        </w:rPr>
        <w:t>D. “We should avoid workplace discrimination until your anxiety score improves.”</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“I appreciate you naming that. Let us discuss what access and identities you want considered, arrange effective ASL communication, and clarify what you meant by wanting to turn everything off.”</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 sameness response can erase access needs, identity, power, and the client’s stated concern.</w:t>
      </w:r>
      <w:r>
        <w:rPr>
          <w:rFonts w:ascii="Arial" w:hAnsi="Arial" w:eastAsia="Arial"/>
          <w:sz w:val="16"/>
        </w:rPr>
      </w:r>
    </w:p>
    <w:p>
      <w:pPr>
        <w:spacing w:after="20" w:before="0" w:line="240" w:lineRule="auto"/>
      </w:pPr>
      <w:r>
        <w:rPr>
          <w:rFonts w:ascii="Arial" w:hAnsi="Arial" w:eastAsia="Arial"/>
          <w:b/>
          <w:color w:val="17365D"/>
          <w:sz w:val="16"/>
        </w:rPr>
        <w:t>B. Incorrect. The response defaults to an unqualified family interpreter and narrows the problem before adequate assessment.</w:t>
      </w:r>
      <w:r>
        <w:rPr>
          <w:rFonts w:ascii="Arial" w:hAnsi="Arial" w:eastAsia="Arial"/>
          <w:sz w:val="16"/>
        </w:rPr>
      </w:r>
    </w:p>
    <w:p>
      <w:pPr>
        <w:spacing w:after="20" w:before="0" w:line="240" w:lineRule="auto"/>
      </w:pPr>
      <w:r>
        <w:rPr>
          <w:rFonts w:ascii="Arial" w:hAnsi="Arial" w:eastAsia="Arial"/>
          <w:b/>
          <w:color w:val="17365D"/>
          <w:sz w:val="16"/>
        </w:rPr>
        <w:t>C. Correct. The response broaches identity and access, invites the client’s priorities, and follows up on a possible safety statement without assuming intent.</w:t>
      </w:r>
      <w:r>
        <w:rPr>
          <w:rFonts w:ascii="Arial" w:hAnsi="Arial" w:eastAsia="Arial"/>
          <w:sz w:val="16"/>
        </w:rPr>
      </w:r>
    </w:p>
    <w:p>
      <w:pPr>
        <w:spacing w:after="20" w:before="0" w:line="240" w:lineRule="auto"/>
      </w:pPr>
      <w:r>
        <w:rPr>
          <w:rFonts w:ascii="Arial" w:hAnsi="Arial" w:eastAsia="Arial"/>
          <w:b/>
          <w:color w:val="17365D"/>
          <w:sz w:val="16"/>
        </w:rPr>
        <w:t>D. Incorrect. Discrimination and access are already clinically relevant to symptoms, trust, and functioning.</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In the opening response, prioritize alliance, effective communication, and clarification of possible risk. Avoid “I do not see difference” answers or premature narrowing.</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H - HUMBLE and assumption error. Broaching creates permission to discuss identity and power while preserving individualized assessment.</w:t>
            </w:r>
          </w:p>
        </w:tc>
      </w:tr>
    </w:tbl>
    <w:p>
      <w:r>
        <w:br w:type="page"/>
      </w:r>
    </w:p>
    <w:p>
      <w:pPr>
        <w:pStyle w:val="Heading2"/>
        <w:spacing w:before="0" w:after="60" w:line="245" w:lineRule="auto"/>
        <w:keepNext/>
      </w:pPr>
      <w:r>
        <w:rPr>
          <w:rFonts w:ascii="Arial" w:hAnsi="Arial" w:eastAsia="Arial"/>
          <w:b/>
          <w:color w:val="17365D"/>
          <w:sz w:val="21"/>
        </w:rPr>
        <w:t>Question 7 (LPCC-WB10-PB-Q007)</w:t>
      </w:r>
    </w:p>
    <w:p>
      <w:pPr>
        <w:spacing w:before="0" w:after="40" w:line="245" w:lineRule="auto"/>
      </w:pPr>
      <w:r>
        <w:rPr>
          <w:rFonts w:ascii="Arial" w:hAnsi="Arial" w:eastAsia="Arial"/>
          <w:b/>
          <w:i w:val="0"/>
          <w:color w:val="159C9C"/>
          <w:sz w:val="15"/>
        </w:rPr>
        <w:t>LPCC-WB10-PB-Q007 | Application | Moderate | Primary concept: Accessible intake and effective communication</w:t>
      </w:r>
    </w:p>
    <w:p>
      <w:pPr>
        <w:spacing w:before="0" w:after="40" w:line="245" w:lineRule="auto"/>
      </w:pPr>
      <w:r>
        <w:rPr>
          <w:rFonts w:ascii="Arial" w:hAnsi="Arial" w:eastAsia="Arial"/>
          <w:b/>
          <w:i w:val="0"/>
          <w:color w:val="1F2937"/>
          <w:sz w:val="17"/>
        </w:rPr>
        <w:t>Which intake arrangement is MOST appropriate for Darius?</w:t>
      </w:r>
    </w:p>
    <w:p>
      <w:pPr>
        <w:spacing w:before="0" w:after="16" w:line="240" w:lineRule="auto"/>
        <w:ind w:left="259" w:hanging="259"/>
      </w:pPr>
      <w:r>
        <w:rPr>
          <w:rFonts w:ascii="Arial" w:hAnsi="Arial" w:eastAsia="Arial"/>
          <w:sz w:val="16"/>
        </w:rPr>
        <w:t>A. Arrange a qualified ASL interpreter acceptable to Darius, use a platform that supports visual access and interpreter participation, provide accessible materials, verify understanding, and document preferences and effectiveness.</w:t>
      </w:r>
    </w:p>
    <w:p>
      <w:pPr>
        <w:spacing w:before="0" w:after="16" w:line="240" w:lineRule="auto"/>
        <w:ind w:left="259" w:hanging="259"/>
      </w:pPr>
      <w:r>
        <w:rPr>
          <w:rFonts w:ascii="Arial" w:hAnsi="Arial" w:eastAsia="Arial"/>
          <w:sz w:val="16"/>
        </w:rPr>
        <w:t>B. Ask Darius’s sister to interpret every session because she already knows his history.</w:t>
      </w:r>
    </w:p>
    <w:p>
      <w:pPr>
        <w:spacing w:before="0" w:after="16" w:line="240" w:lineRule="auto"/>
        <w:ind w:left="259" w:hanging="259"/>
      </w:pPr>
      <w:r>
        <w:rPr>
          <w:rFonts w:ascii="Arial" w:hAnsi="Arial" w:eastAsia="Arial"/>
          <w:sz w:val="16"/>
        </w:rPr>
        <w:t>C. Conduct the assessment through email only because written communication creates an exact record.</w:t>
      </w:r>
    </w:p>
    <w:p>
      <w:pPr>
        <w:spacing w:before="0" w:after="16" w:line="240" w:lineRule="auto"/>
        <w:ind w:left="259" w:hanging="259"/>
      </w:pPr>
      <w:r>
        <w:rPr>
          <w:rFonts w:ascii="Arial" w:hAnsi="Arial" w:eastAsia="Arial"/>
          <w:sz w:val="16"/>
        </w:rPr>
        <w:t>D. Use the standard platform and forms first, then consider access changes only if Darius fails to participate.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Arrange a qualified ASL interpreter acceptable to Darius, use a platform that supports visual access and interpreter participation, provide accessible materials, verify understanding, and document preferences and effectiveness.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The plan supports effective communication, confidentiality, informed participation, and ongoing verification of fit.</w:t>
      </w:r>
      <w:r>
        <w:rPr>
          <w:rFonts w:ascii="Arial" w:hAnsi="Arial" w:eastAsia="Arial"/>
          <w:sz w:val="16"/>
        </w:rPr>
      </w:r>
    </w:p>
    <w:p>
      <w:pPr>
        <w:spacing w:after="20" w:before="0" w:line="240" w:lineRule="auto"/>
      </w:pPr>
      <w:r>
        <w:rPr>
          <w:rFonts w:ascii="Arial" w:hAnsi="Arial" w:eastAsia="Arial"/>
          <w:b/>
          <w:color w:val="17365D"/>
          <w:sz w:val="16"/>
        </w:rPr>
        <w:t>B. Incorrect. Family interpretation can alter privacy, accuracy, autonomy, and family roles and should not be the automatic plan.</w:t>
      </w:r>
      <w:r>
        <w:rPr>
          <w:rFonts w:ascii="Arial" w:hAnsi="Arial" w:eastAsia="Arial"/>
          <w:sz w:val="16"/>
        </w:rPr>
      </w:r>
    </w:p>
    <w:p>
      <w:pPr>
        <w:spacing w:after="20" w:before="0" w:line="240" w:lineRule="auto"/>
      </w:pPr>
      <w:r>
        <w:rPr>
          <w:rFonts w:ascii="Arial" w:hAnsi="Arial" w:eastAsia="Arial"/>
          <w:b/>
          <w:color w:val="17365D"/>
          <w:sz w:val="16"/>
        </w:rPr>
        <w:t>C. Incorrect. Email alone may be inadequate for nuanced assessment, synchronous interaction, and the client’s stated ASL preference.</w:t>
      </w:r>
      <w:r>
        <w:rPr>
          <w:rFonts w:ascii="Arial" w:hAnsi="Arial" w:eastAsia="Arial"/>
          <w:sz w:val="16"/>
        </w:rPr>
      </w:r>
    </w:p>
    <w:p>
      <w:pPr>
        <w:spacing w:after="20" w:before="0" w:line="240" w:lineRule="auto"/>
      </w:pPr>
      <w:r>
        <w:rPr>
          <w:rFonts w:ascii="Arial" w:hAnsi="Arial" w:eastAsia="Arial"/>
          <w:b/>
          <w:color w:val="17365D"/>
          <w:sz w:val="16"/>
        </w:rPr>
        <w:t>D. Incorrect. Access should be established before judging engagement or comprehension.</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ACCESS questions reward proactive, client-informed accommodation. Do not wait for failure before making the communication method usable.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A - ACCESS and communication error. Participation cannot be evaluated fairly until the method of participation is effective.</w:t>
            </w:r>
          </w:p>
        </w:tc>
      </w:tr>
    </w:tbl>
    <w:p>
      <w:r>
        <w:br w:type="page"/>
      </w:r>
    </w:p>
    <w:p>
      <w:pPr>
        <w:pStyle w:val="Heading2"/>
        <w:spacing w:before="0" w:after="60" w:line="245" w:lineRule="auto"/>
        <w:keepNext/>
      </w:pPr>
      <w:r>
        <w:rPr>
          <w:rFonts w:ascii="Arial" w:hAnsi="Arial" w:eastAsia="Arial"/>
          <w:b/>
          <w:color w:val="17365D"/>
          <w:sz w:val="21"/>
        </w:rPr>
        <w:t>Question 8 (LPCC-WB10-PB-Q008)</w:t>
      </w:r>
    </w:p>
    <w:p>
      <w:pPr>
        <w:spacing w:before="0" w:after="40" w:line="245" w:lineRule="auto"/>
      </w:pPr>
      <w:r>
        <w:rPr>
          <w:rFonts w:ascii="Arial" w:hAnsi="Arial" w:eastAsia="Arial"/>
          <w:b/>
          <w:i w:val="0"/>
          <w:color w:val="159C9C"/>
          <w:sz w:val="15"/>
        </w:rPr>
        <w:t>LPCC-WB10-PB-Q008 | Integrated Clinical Reasoning | Difficult | Primary concept: Context-responsive formulation without pathologizing identity</w:t>
      </w:r>
    </w:p>
    <w:p>
      <w:pPr>
        <w:spacing w:before="0" w:after="40" w:line="245" w:lineRule="auto"/>
      </w:pPr>
      <w:r>
        <w:rPr>
          <w:rFonts w:ascii="Arial" w:hAnsi="Arial" w:eastAsia="Arial"/>
          <w:b/>
          <w:i w:val="0"/>
          <w:color w:val="1F2937"/>
          <w:sz w:val="17"/>
        </w:rPr>
        <w:t>Which formulation BEST fits the information available in Part 1?</w:t>
      </w:r>
    </w:p>
    <w:p>
      <w:pPr>
        <w:spacing w:before="0" w:after="16" w:line="240" w:lineRule="auto"/>
        <w:ind w:left="259" w:hanging="259"/>
      </w:pPr>
      <w:r>
        <w:rPr>
          <w:rFonts w:ascii="Arial" w:hAnsi="Arial" w:eastAsia="Arial"/>
          <w:sz w:val="16"/>
        </w:rPr>
        <w:t>A. Deafness is the primary cause of Darius’s anxiety and social isolation.</w:t>
      </w:r>
    </w:p>
    <w:p>
      <w:pPr>
        <w:spacing w:before="0" w:after="16" w:line="240" w:lineRule="auto"/>
        <w:ind w:left="259" w:hanging="259"/>
      </w:pPr>
      <w:r>
        <w:rPr>
          <w:rFonts w:ascii="Arial" w:hAnsi="Arial" w:eastAsia="Arial"/>
          <w:sz w:val="16"/>
        </w:rPr>
        <w:t>B. Workplace racism and ableism fully explain the presentation, so mental health and safety assessment are unnecessary.</w:t>
      </w:r>
    </w:p>
    <w:p>
      <w:pPr>
        <w:spacing w:before="0" w:after="16" w:line="240" w:lineRule="auto"/>
        <w:ind w:left="259" w:hanging="259"/>
      </w:pPr>
      <w:r>
        <w:rPr>
          <w:rFonts w:ascii="Arial" w:hAnsi="Arial" w:eastAsia="Arial"/>
          <w:sz w:val="16"/>
        </w:rPr>
        <w:t>C. The promotion proves Darius is poorly suited for leadership and should return to his former role.</w:t>
      </w:r>
    </w:p>
    <w:p>
      <w:pPr>
        <w:spacing w:before="0" w:after="16" w:line="240" w:lineRule="auto"/>
        <w:ind w:left="259" w:hanging="259"/>
      </w:pPr>
      <w:r>
        <w:rPr>
          <w:rFonts w:ascii="Arial" w:hAnsi="Arial" w:eastAsia="Arial"/>
          <w:sz w:val="16"/>
        </w:rPr>
        <w:t>D. Workplace exclusion, discrimination, communication barriers, promotion-related role change, insomnia, and reduced connection may interact with anxiety and isolation; assessment should also track safety, strengths, supports, and Darius’s own meaning without pathologizing identity.</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Workplace exclusion, discrimination, communication barriers, promotion-related role change, insomnia, and reduced connection may interact with anxiety and isolation; assessment should also track safety, strengths, supports, and Darius’s own meaning without pathologizing identity.</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The answer pathologizes Deaf identity and ignores environmental barriers, discrimination, strengths, and other clinical evidence.</w:t>
      </w:r>
      <w:r>
        <w:rPr>
          <w:rFonts w:ascii="Arial" w:hAnsi="Arial" w:eastAsia="Arial"/>
          <w:sz w:val="16"/>
        </w:rPr>
      </w:r>
    </w:p>
    <w:p>
      <w:pPr>
        <w:spacing w:after="20" w:before="0" w:line="240" w:lineRule="auto"/>
      </w:pPr>
      <w:r>
        <w:rPr>
          <w:rFonts w:ascii="Arial" w:hAnsi="Arial" w:eastAsia="Arial"/>
          <w:b/>
          <w:color w:val="17365D"/>
          <w:sz w:val="16"/>
        </w:rPr>
        <w:t>B. Incorrect. Context is essential, but it does not eliminate assessment of symptoms, safety, function, or co-occurring conditions.</w:t>
      </w:r>
      <w:r>
        <w:rPr>
          <w:rFonts w:ascii="Arial" w:hAnsi="Arial" w:eastAsia="Arial"/>
          <w:sz w:val="16"/>
        </w:rPr>
      </w:r>
    </w:p>
    <w:p>
      <w:pPr>
        <w:spacing w:after="20" w:before="0" w:line="240" w:lineRule="auto"/>
      </w:pPr>
      <w:r>
        <w:rPr>
          <w:rFonts w:ascii="Arial" w:hAnsi="Arial" w:eastAsia="Arial"/>
          <w:b/>
          <w:color w:val="17365D"/>
          <w:sz w:val="16"/>
        </w:rPr>
        <w:t>C. Incorrect. The counselor lacks sufficient evidence to prescribe a career reversal and would be taking over the decision.</w:t>
      </w:r>
      <w:r>
        <w:rPr>
          <w:rFonts w:ascii="Arial" w:hAnsi="Arial" w:eastAsia="Arial"/>
          <w:sz w:val="16"/>
        </w:rPr>
      </w:r>
    </w:p>
    <w:p>
      <w:pPr>
        <w:spacing w:after="20" w:before="0" w:line="240" w:lineRule="auto"/>
      </w:pPr>
      <w:r>
        <w:rPr>
          <w:rFonts w:ascii="Arial" w:hAnsi="Arial" w:eastAsia="Arial"/>
          <w:b/>
          <w:color w:val="17365D"/>
          <w:sz w:val="16"/>
        </w:rPr>
        <w:t>D. Correct. The formulation integrates context, symptoms, function, uncertainty, safety, and strengths without reducing the client to an identity or a single cause.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Strong contextual formulations explain interaction, not destiny. Reject answers that blame identity, erase discrimination, or prescribe a life decision before assessment.</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H - HUMBLE and assumption error. Context should expand formulation while the counselor preserves uncertainty and the client’s authority.</w:t>
            </w:r>
          </w:p>
        </w:tc>
      </w:tr>
    </w:tbl>
    <w:p>
      <w:r>
        <w:br w:type="page"/>
      </w:r>
    </w:p>
    <w:p>
      <w:pPr>
        <w:pStyle w:val="Heading2"/>
        <w:spacing w:before="0" w:after="60" w:line="245" w:lineRule="auto"/>
        <w:keepNext/>
      </w:pPr>
      <w:r>
        <w:rPr>
          <w:rFonts w:ascii="Arial" w:hAnsi="Arial" w:eastAsia="Arial"/>
          <w:b/>
          <w:color w:val="17365D"/>
          <w:sz w:val="21"/>
        </w:rPr>
        <w:t>Question 9 (LPCC-WB10-PB-Q009)</w:t>
      </w:r>
    </w:p>
    <w:p>
      <w:pPr>
        <w:spacing w:before="0" w:after="40" w:line="245" w:lineRule="auto"/>
      </w:pPr>
      <w:r>
        <w:rPr>
          <w:rFonts w:ascii="Arial" w:hAnsi="Arial" w:eastAsia="Arial"/>
          <w:b/>
          <w:i w:val="0"/>
          <w:color w:val="159C9C"/>
          <w:sz w:val="15"/>
        </w:rPr>
        <w:t>LPCC-WB10-PB-Q009 | Application | Moderate | Primary concept: Contextual baseline and outcome indicators</w:t>
      </w:r>
    </w:p>
    <w:p>
      <w:pPr>
        <w:spacing w:before="0" w:after="40" w:line="245" w:lineRule="auto"/>
      </w:pPr>
      <w:r>
        <w:rPr>
          <w:rFonts w:ascii="Arial" w:hAnsi="Arial" w:eastAsia="Arial"/>
          <w:b/>
          <w:i w:val="0"/>
          <w:color w:val="1F2937"/>
          <w:sz w:val="17"/>
        </w:rPr>
        <w:t>Which baseline plan would provide the MOST useful information for treatment and later progress review?</w:t>
      </w:r>
    </w:p>
    <w:p>
      <w:pPr>
        <w:spacing w:before="0" w:after="16" w:line="240" w:lineRule="auto"/>
        <w:ind w:left="259" w:hanging="259"/>
      </w:pPr>
      <w:r>
        <w:rPr>
          <w:rFonts w:ascii="Arial" w:hAnsi="Arial" w:eastAsia="Arial"/>
          <w:sz w:val="16"/>
        </w:rPr>
        <w:t>A. Use one written English anxiety scale and treat completion as proof that access is adequate.</w:t>
      </w:r>
    </w:p>
    <w:p>
      <w:pPr>
        <w:spacing w:before="0" w:after="16" w:line="240" w:lineRule="auto"/>
        <w:ind w:left="259" w:hanging="259"/>
      </w:pPr>
      <w:r>
        <w:rPr>
          <w:rFonts w:ascii="Arial" w:hAnsi="Arial" w:eastAsia="Arial"/>
          <w:sz w:val="16"/>
        </w:rPr>
        <w:t>B. Track Darius’s sleep, anxiety and irritability, passive death-related thoughts and safety, work participation and exclusion, access failures, connection and mentoring, career uncertainty, client-defined goals, and alliance and communication burden.</w:t>
      </w:r>
    </w:p>
    <w:p>
      <w:pPr>
        <w:spacing w:before="0" w:after="16" w:line="240" w:lineRule="auto"/>
        <w:ind w:left="259" w:hanging="259"/>
      </w:pPr>
      <w:r>
        <w:rPr>
          <w:rFonts w:ascii="Arial" w:hAnsi="Arial" w:eastAsia="Arial"/>
          <w:sz w:val="16"/>
        </w:rPr>
        <w:t>C. Ask the supervisor to rate whether Darius is emotionally ready for leadership.</w:t>
      </w:r>
    </w:p>
    <w:p>
      <w:pPr>
        <w:spacing w:before="0" w:after="16" w:line="240" w:lineRule="auto"/>
        <w:ind w:left="259" w:hanging="259"/>
      </w:pPr>
      <w:r>
        <w:rPr>
          <w:rFonts w:ascii="Arial" w:hAnsi="Arial" w:eastAsia="Arial"/>
          <w:sz w:val="16"/>
        </w:rPr>
        <w:t>D. Delay measurement until workplace conditions improve because contextual problems cannot be monitored clinically.</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Track Darius’s sleep, anxiety and irritability, passive death-related thoughts and safety, work participation and exclusion, access failures, connection and mentoring, career uncertainty, client-defined goals, and alliance and communication burden.</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One inaccessible or narrow measure cannot capture safety, function, context, access, or the client’s priorities.</w:t>
      </w:r>
      <w:r>
        <w:rPr>
          <w:rFonts w:ascii="Arial" w:hAnsi="Arial" w:eastAsia="Arial"/>
          <w:sz w:val="16"/>
        </w:rPr>
      </w:r>
    </w:p>
    <w:p>
      <w:pPr>
        <w:spacing w:after="20" w:before="0" w:line="240" w:lineRule="auto"/>
      </w:pPr>
      <w:r>
        <w:rPr>
          <w:rFonts w:ascii="Arial" w:hAnsi="Arial" w:eastAsia="Arial"/>
          <w:b/>
          <w:color w:val="17365D"/>
          <w:sz w:val="16"/>
        </w:rPr>
        <w:t>B. Correct. The plan combines symptoms, safety, function, access, context, strengths, alliance, and client-defined outcomes.</w:t>
      </w:r>
      <w:r>
        <w:rPr>
          <w:rFonts w:ascii="Arial" w:hAnsi="Arial" w:eastAsia="Arial"/>
          <w:sz w:val="16"/>
        </w:rPr>
      </w:r>
    </w:p>
    <w:p>
      <w:pPr>
        <w:spacing w:after="20" w:before="0" w:line="240" w:lineRule="auto"/>
      </w:pPr>
      <w:r>
        <w:rPr>
          <w:rFonts w:ascii="Arial" w:hAnsi="Arial" w:eastAsia="Arial"/>
          <w:b/>
          <w:color w:val="17365D"/>
          <w:sz w:val="16"/>
        </w:rPr>
        <w:t>C. Incorrect. Employer opinion cannot replace the client’s voice, clinical assessment, or confidential outcome monitoring.</w:t>
      </w:r>
      <w:r>
        <w:rPr>
          <w:rFonts w:ascii="Arial" w:hAnsi="Arial" w:eastAsia="Arial"/>
          <w:sz w:val="16"/>
        </w:rPr>
      </w:r>
    </w:p>
    <w:p>
      <w:pPr>
        <w:spacing w:after="20" w:before="0" w:line="240" w:lineRule="auto"/>
      </w:pPr>
      <w:r>
        <w:rPr>
          <w:rFonts w:ascii="Arial" w:hAnsi="Arial" w:eastAsia="Arial"/>
          <w:b/>
          <w:color w:val="17365D"/>
          <w:sz w:val="16"/>
        </w:rPr>
        <w:t>D. Incorrect. Contextual and clinical changes can be tracked collaboratively even when the counselor cannot control the workplace.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Choose monitoring plans that make both clinical change and access burden visible. Symptoms alone can hide whether the client can actually participate and function.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O - Outcome-monitoring gap. Context-responsive care measures access, burden, function, safety, alliance, and client-defined benefit in addition to symptoms.</w:t>
            </w:r>
          </w:p>
        </w:tc>
      </w:tr>
    </w:tbl>
    <w:p>
      <w:r>
        <w:br w:type="page"/>
      </w:r>
    </w:p>
    <w:p>
      <w:pPr>
        <w:pStyle w:val="Heading2"/>
        <w:spacing w:before="0" w:after="60" w:line="245" w:lineRule="auto"/>
        <w:keepNext/>
      </w:pPr>
      <w:r>
        <w:rPr>
          <w:rFonts w:ascii="Arial" w:hAnsi="Arial" w:eastAsia="Arial"/>
          <w:b/>
          <w:color w:val="17365D"/>
          <w:sz w:val="21"/>
        </w:rPr>
        <w:t>Question 10 (LPCC-WB10-PB-Q010)</w:t>
      </w:r>
    </w:p>
    <w:p>
      <w:pPr>
        <w:spacing w:before="0" w:after="40" w:line="245" w:lineRule="auto"/>
      </w:pPr>
      <w:r>
        <w:rPr>
          <w:rFonts w:ascii="Arial" w:hAnsi="Arial" w:eastAsia="Arial"/>
          <w:b/>
          <w:i w:val="0"/>
          <w:color w:val="159C9C"/>
          <w:sz w:val="15"/>
        </w:rPr>
        <w:t>LPCC-WB10-PB-Q010 | Knowledge &amp; Application | Easy | Primary concept: Career assessment as information, not verdict</w:t>
      </w:r>
    </w:p>
    <w:p>
      <w:pPr>
        <w:spacing w:before="0" w:after="40" w:line="245" w:lineRule="auto"/>
      </w:pPr>
      <w:r>
        <w:rPr>
          <w:rFonts w:ascii="Arial" w:hAnsi="Arial" w:eastAsia="Arial"/>
          <w:b/>
          <w:i w:val="0"/>
          <w:color w:val="1F2937"/>
          <w:sz w:val="17"/>
        </w:rPr>
        <w:t>Darius asks for a career inventory that will “tell me whether I should stay or leave.” What is the BEST response?</w:t>
      </w:r>
    </w:p>
    <w:p>
      <w:pPr>
        <w:spacing w:before="0" w:after="16" w:line="240" w:lineRule="auto"/>
        <w:ind w:left="259" w:hanging="259"/>
      </w:pPr>
      <w:r>
        <w:rPr>
          <w:rFonts w:ascii="Arial" w:hAnsi="Arial" w:eastAsia="Arial"/>
          <w:sz w:val="16"/>
        </w:rPr>
        <w:t>A. Select an inventory and agree to follow whichever occupation receives the highest score.</w:t>
      </w:r>
    </w:p>
    <w:p>
      <w:pPr>
        <w:spacing w:before="0" w:after="16" w:line="240" w:lineRule="auto"/>
        <w:ind w:left="259" w:hanging="259"/>
      </w:pPr>
      <w:r>
        <w:rPr>
          <w:rFonts w:ascii="Arial" w:hAnsi="Arial" w:eastAsia="Arial"/>
          <w:sz w:val="16"/>
        </w:rPr>
        <w:t>B. Avoid career exploration until all anxiety and grief have resolved.</w:t>
      </w:r>
    </w:p>
    <w:p>
      <w:pPr>
        <w:spacing w:before="0" w:after="16" w:line="240" w:lineRule="auto"/>
        <w:ind w:left="259" w:hanging="259"/>
      </w:pPr>
      <w:r>
        <w:rPr>
          <w:rFonts w:ascii="Arial" w:hAnsi="Arial" w:eastAsia="Arial"/>
          <w:sz w:val="16"/>
        </w:rPr>
        <w:t>C. Explain that an accessible inventory may add information, but the decision also requires values, interests, skills, access needs, finances, opportunity, discrimination context, and real-world exploration.</w:t>
      </w:r>
    </w:p>
    <w:p>
      <w:pPr>
        <w:spacing w:before="0" w:after="16" w:line="240" w:lineRule="auto"/>
        <w:ind w:left="259" w:hanging="259"/>
      </w:pPr>
      <w:r>
        <w:rPr>
          <w:rFonts w:ascii="Arial" w:hAnsi="Arial" w:eastAsia="Arial"/>
          <w:sz w:val="16"/>
        </w:rPr>
        <w:t>D. Recommend returning to the technician role because it previously felt more comfortable.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Explain that an accessible inventory may add information, but the decision also requires values, interests, skills, access needs, finances, opportunity, discrimination context, and real-world exploration.</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 score should not control a complex career decision.</w:t>
      </w:r>
      <w:r>
        <w:rPr>
          <w:rFonts w:ascii="Arial" w:hAnsi="Arial" w:eastAsia="Arial"/>
          <w:sz w:val="16"/>
        </w:rPr>
      </w:r>
    </w:p>
    <w:p>
      <w:pPr>
        <w:spacing w:after="20" w:before="0" w:line="240" w:lineRule="auto"/>
      </w:pPr>
      <w:r>
        <w:rPr>
          <w:rFonts w:ascii="Arial" w:hAnsi="Arial" w:eastAsia="Arial"/>
          <w:b/>
          <w:color w:val="17365D"/>
          <w:sz w:val="16"/>
        </w:rPr>
        <w:t>B. Incorrect. Career concerns are part of current functioning and can be explored while other treatment continues.</w:t>
      </w:r>
      <w:r>
        <w:rPr>
          <w:rFonts w:ascii="Arial" w:hAnsi="Arial" w:eastAsia="Arial"/>
          <w:sz w:val="16"/>
        </w:rPr>
      </w:r>
    </w:p>
    <w:p>
      <w:pPr>
        <w:spacing w:after="20" w:before="0" w:line="240" w:lineRule="auto"/>
      </w:pPr>
      <w:r>
        <w:rPr>
          <w:rFonts w:ascii="Arial" w:hAnsi="Arial" w:eastAsia="Arial"/>
          <w:b/>
          <w:color w:val="17365D"/>
          <w:sz w:val="16"/>
        </w:rPr>
        <w:t>C. Correct. The response places assessment within a collaborative, contextual, developmental process.</w:t>
      </w:r>
      <w:r>
        <w:rPr>
          <w:rFonts w:ascii="Arial" w:hAnsi="Arial" w:eastAsia="Arial"/>
          <w:sz w:val="16"/>
        </w:rPr>
      </w:r>
    </w:p>
    <w:p>
      <w:pPr>
        <w:spacing w:after="20" w:before="0" w:line="240" w:lineRule="auto"/>
      </w:pPr>
      <w:r>
        <w:rPr>
          <w:rFonts w:ascii="Arial" w:hAnsi="Arial" w:eastAsia="Arial"/>
          <w:b/>
          <w:color w:val="17365D"/>
          <w:sz w:val="16"/>
        </w:rPr>
        <w:t>D. Incorrect. Comfort in a prior role is relevant evidence, not a sufficient basis for the counselor to choose the outcome.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the stem asks what a test can decide, select the answer that names its limits and integrates multiple sources of evidence.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L - LIFESPAN and career-verdict error. Career counseling supports informed choice rather than outsourcing choice to a score.</w:t>
            </w:r>
          </w:p>
        </w:tc>
      </w:tr>
    </w:tbl>
    <w:p>
      <w:r>
        <w:br w:type="page"/>
      </w:r>
    </w:p>
    <w:p>
      <w:pPr>
        <w:pStyle w:val="Heading2"/>
        <w:spacing w:before="0" w:after="60" w:line="245" w:lineRule="auto"/>
        <w:keepNext/>
      </w:pPr>
      <w:r>
        <w:rPr>
          <w:rFonts w:ascii="Arial" w:hAnsi="Arial" w:eastAsia="Arial"/>
          <w:b/>
          <w:color w:val="17365D"/>
          <w:sz w:val="21"/>
        </w:rPr>
        <w:t>Question 11 (LPCC-WB10-PB-Q011)</w:t>
      </w:r>
    </w:p>
    <w:p>
      <w:pPr>
        <w:spacing w:before="0" w:after="40" w:line="245" w:lineRule="auto"/>
      </w:pPr>
      <w:r>
        <w:rPr>
          <w:rFonts w:ascii="Arial" w:hAnsi="Arial" w:eastAsia="Arial"/>
          <w:b/>
          <w:i w:val="0"/>
          <w:color w:val="159C9C"/>
          <w:sz w:val="15"/>
        </w:rPr>
        <w:t>LPCC-WB10-PB-Q011 | Application | Moderate | Primary concept: LIFESPAN career exploration and small experiments</w:t>
      </w:r>
    </w:p>
    <w:p>
      <w:pPr>
        <w:spacing w:before="0" w:after="40" w:line="245" w:lineRule="auto"/>
      </w:pPr>
      <w:r>
        <w:rPr>
          <w:rFonts w:ascii="Arial" w:hAnsi="Arial" w:eastAsia="Arial"/>
          <w:b/>
          <w:i w:val="0"/>
          <w:color w:val="1F2937"/>
          <w:sz w:val="17"/>
        </w:rPr>
        <w:t>What is the BEST next step in Darius’s career counseling process?</w:t>
      </w:r>
    </w:p>
    <w:p>
      <w:pPr>
        <w:spacing w:before="0" w:after="16" w:line="240" w:lineRule="auto"/>
        <w:ind w:left="259" w:hanging="259"/>
      </w:pPr>
      <w:r>
        <w:rPr>
          <w:rFonts w:ascii="Arial" w:hAnsi="Arial" w:eastAsia="Arial"/>
          <w:sz w:val="16"/>
        </w:rPr>
        <w:t>A. Clarify what he values and wants from work, review skills, finances, health and access needs, examine opportunity and discrimination, use accessible information, and plan small experiments such as informational interviews or a course sample.</w:t>
      </w:r>
    </w:p>
    <w:p>
      <w:pPr>
        <w:spacing w:before="0" w:after="16" w:line="240" w:lineRule="auto"/>
        <w:ind w:left="259" w:hanging="259"/>
      </w:pPr>
      <w:r>
        <w:rPr>
          <w:rFonts w:ascii="Arial" w:hAnsi="Arial" w:eastAsia="Arial"/>
          <w:sz w:val="16"/>
        </w:rPr>
        <w:t>B. Tell him to resign immediately because accommodations have been inconsistent.</w:t>
      </w:r>
    </w:p>
    <w:p>
      <w:pPr>
        <w:spacing w:before="0" w:after="16" w:line="240" w:lineRule="auto"/>
        <w:ind w:left="259" w:hanging="259"/>
      </w:pPr>
      <w:r>
        <w:rPr>
          <w:rFonts w:ascii="Arial" w:hAnsi="Arial" w:eastAsia="Arial"/>
          <w:sz w:val="16"/>
        </w:rPr>
        <w:t>C. Focus only on reducing anxiety and postpone all occupational discussion.</w:t>
      </w:r>
    </w:p>
    <w:p>
      <w:pPr>
        <w:spacing w:before="0" w:after="16" w:line="240" w:lineRule="auto"/>
        <w:ind w:left="259" w:hanging="259"/>
      </w:pPr>
      <w:r>
        <w:rPr>
          <w:rFonts w:ascii="Arial" w:hAnsi="Arial" w:eastAsia="Arial"/>
          <w:sz w:val="16"/>
        </w:rPr>
        <w:t>D. Choose the logistics-analytics pathway because it appears to offer the highest salary.</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Clarify what he values and wants from work, review skills, finances, health and access needs, examine opportunity and discrimination, use accessible information, and plan small experiments such as informational interviews or a course sample.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LIFESPAN reasoning integrates role, identity, context, feasibility, and experiential learning while preserving client choice.</w:t>
      </w:r>
      <w:r>
        <w:rPr>
          <w:rFonts w:ascii="Arial" w:hAnsi="Arial" w:eastAsia="Arial"/>
          <w:sz w:val="16"/>
        </w:rPr>
      </w:r>
    </w:p>
    <w:p>
      <w:pPr>
        <w:spacing w:after="20" w:before="0" w:line="240" w:lineRule="auto"/>
      </w:pPr>
      <w:r>
        <w:rPr>
          <w:rFonts w:ascii="Arial" w:hAnsi="Arial" w:eastAsia="Arial"/>
          <w:b/>
          <w:color w:val="17365D"/>
          <w:sz w:val="16"/>
        </w:rPr>
        <w:t>B. Incorrect. The counselor should assess options and safety but should not direct a major employment decision from limited evidence.</w:t>
      </w:r>
      <w:r>
        <w:rPr>
          <w:rFonts w:ascii="Arial" w:hAnsi="Arial" w:eastAsia="Arial"/>
          <w:sz w:val="16"/>
        </w:rPr>
      </w:r>
    </w:p>
    <w:p>
      <w:pPr>
        <w:spacing w:after="20" w:before="0" w:line="240" w:lineRule="auto"/>
      </w:pPr>
      <w:r>
        <w:rPr>
          <w:rFonts w:ascii="Arial" w:hAnsi="Arial" w:eastAsia="Arial"/>
          <w:b/>
          <w:color w:val="17365D"/>
          <w:sz w:val="16"/>
        </w:rPr>
        <w:t>C. Incorrect. Work is central to the current stress, identity, access, and treatment goals.</w:t>
      </w:r>
      <w:r>
        <w:rPr>
          <w:rFonts w:ascii="Arial" w:hAnsi="Arial" w:eastAsia="Arial"/>
          <w:sz w:val="16"/>
        </w:rPr>
      </w:r>
    </w:p>
    <w:p>
      <w:pPr>
        <w:spacing w:after="20" w:before="0" w:line="240" w:lineRule="auto"/>
      </w:pPr>
      <w:r>
        <w:rPr>
          <w:rFonts w:ascii="Arial" w:hAnsi="Arial" w:eastAsia="Arial"/>
          <w:b/>
          <w:color w:val="17365D"/>
          <w:sz w:val="16"/>
        </w:rPr>
        <w:t>D. Incorrect. Salary is one factor and does not justify counselor ownership of the choice.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The best career answer is a process, not a prescription. Look for context, accessible information, client agency, and low-risk experiments that generate evidence.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L - LIFESPAN and career-verdict error. Small experiments often provide better decision data than abstract certainty-seeking.</w:t>
            </w:r>
          </w:p>
        </w:tc>
      </w:tr>
    </w:tbl>
    <w:p>
      <w:r>
        <w:br w:type="page"/>
      </w:r>
    </w:p>
    <w:p>
      <w:pPr>
        <w:pStyle w:val="Heading2"/>
        <w:spacing w:before="0" w:after="60" w:line="245" w:lineRule="auto"/>
        <w:keepNext/>
      </w:pPr>
      <w:r>
        <w:rPr>
          <w:rFonts w:ascii="Arial" w:hAnsi="Arial" w:eastAsia="Arial"/>
          <w:b/>
          <w:color w:val="17365D"/>
          <w:sz w:val="21"/>
        </w:rPr>
        <w:t>Question 12 (LPCC-WB10-PB-Q012)</w:t>
      </w:r>
    </w:p>
    <w:p>
      <w:pPr>
        <w:spacing w:before="0" w:after="40" w:line="245" w:lineRule="auto"/>
      </w:pPr>
      <w:r>
        <w:rPr>
          <w:rFonts w:ascii="Arial" w:hAnsi="Arial" w:eastAsia="Arial"/>
          <w:b/>
          <w:i w:val="0"/>
          <w:color w:val="159C9C"/>
          <w:sz w:val="15"/>
        </w:rPr>
        <w:t>LPCC-WB10-PB-Q012 | Integrated Clinical Reasoning | Difficult | Primary concept: Consent-limited advocacy and coordination</w:t>
      </w:r>
    </w:p>
    <w:p>
      <w:pPr>
        <w:spacing w:before="0" w:after="40" w:line="245" w:lineRule="auto"/>
      </w:pPr>
      <w:r>
        <w:rPr>
          <w:rFonts w:ascii="Arial" w:hAnsi="Arial" w:eastAsia="Arial"/>
          <w:b/>
          <w:i w:val="0"/>
          <w:color w:val="1F2937"/>
          <w:sz w:val="17"/>
        </w:rPr>
        <w:t>Darius permits discussion of vocational-rehabilitation resources but does not want the counselor to contact his employer. What is the BEST counselor response?</w:t>
      </w:r>
    </w:p>
    <w:p>
      <w:pPr>
        <w:spacing w:before="0" w:after="16" w:line="240" w:lineRule="auto"/>
        <w:ind w:left="259" w:hanging="259"/>
      </w:pPr>
      <w:r>
        <w:rPr>
          <w:rFonts w:ascii="Arial" w:hAnsi="Arial" w:eastAsia="Arial"/>
          <w:sz w:val="16"/>
        </w:rPr>
        <w:t>A. Contact the employer anyway because workplace access is contributing to symptoms.</w:t>
      </w:r>
    </w:p>
    <w:p>
      <w:pPr>
        <w:spacing w:before="0" w:after="16" w:line="240" w:lineRule="auto"/>
        <w:ind w:left="259" w:hanging="259"/>
      </w:pPr>
      <w:r>
        <w:rPr>
          <w:rFonts w:ascii="Arial" w:hAnsi="Arial" w:eastAsia="Arial"/>
          <w:sz w:val="16"/>
        </w:rPr>
        <w:t>B. Require Darius to file a formal discrimination complaint before continuing career counseling.</w:t>
      </w:r>
    </w:p>
    <w:p>
      <w:pPr>
        <w:spacing w:before="0" w:after="16" w:line="240" w:lineRule="auto"/>
        <w:ind w:left="259" w:hanging="259"/>
      </w:pPr>
      <w:r>
        <w:rPr>
          <w:rFonts w:ascii="Arial" w:hAnsi="Arial" w:eastAsia="Arial"/>
          <w:sz w:val="16"/>
        </w:rPr>
        <w:t>C. Act as Darius’s legal representative and promise that the employer will provide every requested accommodation.</w:t>
      </w:r>
    </w:p>
    <w:p>
      <w:pPr>
        <w:spacing w:before="0" w:after="16" w:line="240" w:lineRule="auto"/>
        <w:ind w:left="259" w:hanging="259"/>
      </w:pPr>
      <w:r>
        <w:rPr>
          <w:rFonts w:ascii="Arial" w:hAnsi="Arial" w:eastAsia="Arial"/>
          <w:sz w:val="16"/>
        </w:rPr>
        <w:t>D. Respect the limit, provide accessible information, rehearse self-advocacy if desired, coordinate with vocational rehabilitation only with consent, document roles and disclosures, and revisit preferences as needed.</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Respect the limit, provide accessible information, rehearse self-advocacy if desired, coordinate with vocational rehabilitation only with consent, document roles and disclosures, and revisit preferences as needed.</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Clinical relevance does not override the client’s stated authorization boundary absent another lawful basis.</w:t>
      </w:r>
      <w:r>
        <w:rPr>
          <w:rFonts w:ascii="Arial" w:hAnsi="Arial" w:eastAsia="Arial"/>
          <w:sz w:val="16"/>
        </w:rPr>
      </w:r>
    </w:p>
    <w:p>
      <w:pPr>
        <w:spacing w:after="20" w:before="0" w:line="240" w:lineRule="auto"/>
      </w:pPr>
      <w:r>
        <w:rPr>
          <w:rFonts w:ascii="Arial" w:hAnsi="Arial" w:eastAsia="Arial"/>
          <w:b/>
          <w:color w:val="17365D"/>
          <w:sz w:val="16"/>
        </w:rPr>
        <w:t>B. Incorrect. The counselor can discuss options but should not make a complaint a condition of care.</w:t>
      </w:r>
      <w:r>
        <w:rPr>
          <w:rFonts w:ascii="Arial" w:hAnsi="Arial" w:eastAsia="Arial"/>
          <w:sz w:val="16"/>
        </w:rPr>
      </w:r>
    </w:p>
    <w:p>
      <w:pPr>
        <w:spacing w:after="20" w:before="0" w:line="240" w:lineRule="auto"/>
      </w:pPr>
      <w:r>
        <w:rPr>
          <w:rFonts w:ascii="Arial" w:hAnsi="Arial" w:eastAsia="Arial"/>
          <w:b/>
          <w:color w:val="17365D"/>
          <w:sz w:val="16"/>
        </w:rPr>
        <w:t>C. Incorrect. The counselor should not misrepresent legal authority or guarantee an external outcome.</w:t>
      </w:r>
      <w:r>
        <w:rPr>
          <w:rFonts w:ascii="Arial" w:hAnsi="Arial" w:eastAsia="Arial"/>
          <w:sz w:val="16"/>
        </w:rPr>
      </w:r>
    </w:p>
    <w:p>
      <w:pPr>
        <w:spacing w:after="20" w:before="0" w:line="240" w:lineRule="auto"/>
      </w:pPr>
      <w:r>
        <w:rPr>
          <w:rFonts w:ascii="Arial" w:hAnsi="Arial" w:eastAsia="Arial"/>
          <w:b/>
          <w:color w:val="17365D"/>
          <w:sz w:val="16"/>
        </w:rPr>
        <w:t>D. Correct. The response combines consent, minimum-necessary coordination, practical support, role clarity, and ongoing client control.</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Advocacy answers should state who authorized what, which role the counselor is serving, and how confidentiality and client control will be protected.</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R - RESPOND and advocacy error. Helpful advocacy remains consent-based, proportionate, role-consistent, and documented.</w:t>
            </w:r>
          </w:p>
        </w:tc>
      </w:tr>
    </w:tbl>
    <w:p>
      <w:r>
        <w:br w:type="page"/>
      </w:r>
    </w:p>
    <w:p>
      <w:pPr>
        <w:pStyle w:val="Heading2"/>
        <w:spacing w:before="0" w:after="60" w:line="245" w:lineRule="auto"/>
        <w:keepNext/>
      </w:pPr>
      <w:r>
        <w:rPr>
          <w:rFonts w:ascii="Arial" w:hAnsi="Arial" w:eastAsia="Arial"/>
          <w:b/>
          <w:color w:val="17365D"/>
          <w:sz w:val="21"/>
        </w:rPr>
        <w:t>Question 13 (LPCC-WB10-PB-Q013)</w:t>
      </w:r>
    </w:p>
    <w:p>
      <w:pPr>
        <w:spacing w:before="0" w:after="40" w:line="245" w:lineRule="auto"/>
      </w:pPr>
      <w:r>
        <w:rPr>
          <w:rFonts w:ascii="Arial" w:hAnsi="Arial" w:eastAsia="Arial"/>
          <w:b/>
          <w:i w:val="0"/>
          <w:color w:val="159C9C"/>
          <w:sz w:val="15"/>
        </w:rPr>
        <w:t>LPCC-WB10-PB-Q013 | Application | Moderate | Primary concept: MEANING and client-led grief support</w:t>
      </w:r>
    </w:p>
    <w:p>
      <w:pPr>
        <w:spacing w:before="0" w:after="40" w:line="245" w:lineRule="auto"/>
      </w:pPr>
      <w:r>
        <w:rPr>
          <w:rFonts w:ascii="Arial" w:hAnsi="Arial" w:eastAsia="Arial"/>
          <w:b/>
          <w:i w:val="0"/>
          <w:color w:val="1F2937"/>
          <w:sz w:val="17"/>
        </w:rPr>
        <w:t>Darius asks to use part of a session to honor his mentor and reflect on the mentor’s teachings. What is the BEST response?</w:t>
      </w:r>
    </w:p>
    <w:p>
      <w:pPr>
        <w:spacing w:before="0" w:after="16" w:line="240" w:lineRule="auto"/>
        <w:ind w:left="259" w:hanging="259"/>
      </w:pPr>
      <w:r>
        <w:rPr>
          <w:rFonts w:ascii="Arial" w:hAnsi="Arial" w:eastAsia="Arial"/>
          <w:sz w:val="16"/>
        </w:rPr>
        <w:t>A. Redirect immediately because remembrance activities are not clinical interventions.</w:t>
      </w:r>
    </w:p>
    <w:p>
      <w:pPr>
        <w:spacing w:before="0" w:after="16" w:line="240" w:lineRule="auto"/>
        <w:ind w:left="259" w:hanging="259"/>
      </w:pPr>
      <w:r>
        <w:rPr>
          <w:rFonts w:ascii="Arial" w:hAnsi="Arial" w:eastAsia="Arial"/>
          <w:sz w:val="16"/>
        </w:rPr>
        <w:t>B. Lead a ritual from the counselor’s own tradition so the session has structure.</w:t>
      </w:r>
    </w:p>
    <w:p>
      <w:pPr>
        <w:spacing w:before="0" w:after="16" w:line="240" w:lineRule="auto"/>
        <w:ind w:left="259" w:hanging="259"/>
      </w:pPr>
      <w:r>
        <w:rPr>
          <w:rFonts w:ascii="Arial" w:hAnsi="Arial" w:eastAsia="Arial"/>
          <w:sz w:val="16"/>
        </w:rPr>
        <w:t>C. Explore the mentor’s meaning, Darius’s preferred remembrance, grief, depression, safety, function, and goals; support a client-led practice within competence and boundaries.</w:t>
      </w:r>
    </w:p>
    <w:p>
      <w:pPr>
        <w:spacing w:before="0" w:after="16" w:line="240" w:lineRule="auto"/>
        <w:ind w:left="259" w:hanging="259"/>
      </w:pPr>
      <w:r>
        <w:rPr>
          <w:rFonts w:ascii="Arial" w:hAnsi="Arial" w:eastAsia="Arial"/>
          <w:sz w:val="16"/>
        </w:rPr>
        <w:t>D. Diagnose prolonged grief disorder because the death occurred six weeks ago.</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Explore the mentor’s meaning, Darius’s preferred remembrance, grief, depression, safety, function, and goals; support a client-led practice within competence and boundaries.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Meaning and ritual can support grief work when they are client-led and clinically relevant.</w:t>
      </w:r>
      <w:r>
        <w:rPr>
          <w:rFonts w:ascii="Arial" w:hAnsi="Arial" w:eastAsia="Arial"/>
          <w:sz w:val="16"/>
        </w:rPr>
      </w:r>
    </w:p>
    <w:p>
      <w:pPr>
        <w:spacing w:after="20" w:before="0" w:line="240" w:lineRule="auto"/>
      </w:pPr>
      <w:r>
        <w:rPr>
          <w:rFonts w:ascii="Arial" w:hAnsi="Arial" w:eastAsia="Arial"/>
          <w:b/>
          <w:color w:val="17365D"/>
          <w:sz w:val="16"/>
        </w:rPr>
        <w:t>B. Incorrect. The counselor should not impose a personal tradition or center the counselor’s beliefs.</w:t>
      </w:r>
      <w:r>
        <w:rPr>
          <w:rFonts w:ascii="Arial" w:hAnsi="Arial" w:eastAsia="Arial"/>
          <w:sz w:val="16"/>
        </w:rPr>
      </w:r>
    </w:p>
    <w:p>
      <w:pPr>
        <w:spacing w:after="20" w:before="0" w:line="240" w:lineRule="auto"/>
      </w:pPr>
      <w:r>
        <w:rPr>
          <w:rFonts w:ascii="Arial" w:hAnsi="Arial" w:eastAsia="Arial"/>
          <w:b/>
          <w:color w:val="17365D"/>
          <w:sz w:val="16"/>
        </w:rPr>
        <w:t>C. Correct. MEANING reasoning integrates the client’s values with assessment, consent, competence, and clinical purpose.</w:t>
      </w:r>
      <w:r>
        <w:rPr>
          <w:rFonts w:ascii="Arial" w:hAnsi="Arial" w:eastAsia="Arial"/>
          <w:sz w:val="16"/>
        </w:rPr>
      </w:r>
    </w:p>
    <w:p>
      <w:pPr>
        <w:spacing w:after="20" w:before="0" w:line="240" w:lineRule="auto"/>
      </w:pPr>
      <w:r>
        <w:rPr>
          <w:rFonts w:ascii="Arial" w:hAnsi="Arial" w:eastAsia="Arial"/>
          <w:b/>
          <w:color w:val="17365D"/>
          <w:sz w:val="16"/>
        </w:rPr>
        <w:t>D. Incorrect. Time alone and the facts given do not establish a disorder; grief must be assessed in cultural and functional context.</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For grief and spirituality, choose the answer that assesses without pathologizing and follows the client’s meaning without imposing the counselor’s beliefs.</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M - MEANING and spiritual-integration error. Client-led meaning can be part of treatment while diagnostic and safety assessment remain active.</w:t>
            </w:r>
          </w:p>
        </w:tc>
      </w:tr>
    </w:tbl>
    <w:p>
      <w:r>
        <w:br w:type="page"/>
      </w:r>
    </w:p>
    <w:p>
      <w:pPr>
        <w:pStyle w:val="Heading2"/>
        <w:spacing w:before="0" w:after="60" w:line="245" w:lineRule="auto"/>
        <w:keepNext/>
      </w:pPr>
      <w:r>
        <w:rPr>
          <w:rFonts w:ascii="Arial" w:hAnsi="Arial" w:eastAsia="Arial"/>
          <w:b/>
          <w:color w:val="17365D"/>
          <w:sz w:val="21"/>
        </w:rPr>
        <w:t>Question 14 (LPCC-WB10-PB-Q014)</w:t>
      </w:r>
    </w:p>
    <w:p>
      <w:pPr>
        <w:spacing w:before="0" w:after="40" w:line="245" w:lineRule="auto"/>
      </w:pPr>
      <w:r>
        <w:rPr>
          <w:rFonts w:ascii="Arial" w:hAnsi="Arial" w:eastAsia="Arial"/>
          <w:b/>
          <w:i w:val="0"/>
          <w:color w:val="159C9C"/>
          <w:sz w:val="15"/>
        </w:rPr>
        <w:t>LPCC-WB10-PB-Q014 | Knowledge &amp; Application | Easy | Primary concept: Functional and client-defined improvement</w:t>
      </w:r>
    </w:p>
    <w:p>
      <w:pPr>
        <w:spacing w:before="0" w:after="40" w:line="245" w:lineRule="auto"/>
      </w:pPr>
      <w:r>
        <w:rPr>
          <w:rFonts w:ascii="Arial" w:hAnsi="Arial" w:eastAsia="Arial"/>
          <w:b/>
          <w:i w:val="0"/>
          <w:color w:val="1F2937"/>
          <w:sz w:val="17"/>
        </w:rPr>
        <w:t>Which Part 3 finding provides the STRONGEST evidence of meaningful progress?</w:t>
      </w:r>
    </w:p>
    <w:p>
      <w:pPr>
        <w:spacing w:before="0" w:after="16" w:line="240" w:lineRule="auto"/>
        <w:ind w:left="259" w:hanging="259"/>
      </w:pPr>
      <w:r>
        <w:rPr>
          <w:rFonts w:ascii="Arial" w:hAnsi="Arial" w:eastAsia="Arial"/>
          <w:sz w:val="16"/>
        </w:rPr>
        <w:t>A. Darius still has concerns about whether to remain with the employer.</w:t>
      </w:r>
    </w:p>
    <w:p>
      <w:pPr>
        <w:spacing w:before="0" w:after="16" w:line="240" w:lineRule="auto"/>
        <w:ind w:left="259" w:hanging="259"/>
      </w:pPr>
      <w:r>
        <w:rPr>
          <w:rFonts w:ascii="Arial" w:hAnsi="Arial" w:eastAsia="Arial"/>
          <w:sz w:val="16"/>
        </w:rPr>
        <w:t>B. Sleep and anxiety improved, mentoring resumed, and Darius completed an accessible course sample and two informational interviews.</w:t>
      </w:r>
    </w:p>
    <w:p>
      <w:pPr>
        <w:spacing w:before="0" w:after="16" w:line="240" w:lineRule="auto"/>
        <w:ind w:left="259" w:hanging="259"/>
      </w:pPr>
      <w:r>
        <w:rPr>
          <w:rFonts w:ascii="Arial" w:hAnsi="Arial" w:eastAsia="Arial"/>
          <w:sz w:val="16"/>
        </w:rPr>
        <w:t>C. Two telehealth appointments were missed because interpreter links failed.</w:t>
      </w:r>
    </w:p>
    <w:p>
      <w:pPr>
        <w:spacing w:before="0" w:after="16" w:line="240" w:lineRule="auto"/>
        <w:ind w:left="259" w:hanging="259"/>
      </w:pPr>
      <w:r>
        <w:rPr>
          <w:rFonts w:ascii="Arial" w:hAnsi="Arial" w:eastAsia="Arial"/>
          <w:sz w:val="16"/>
        </w:rPr>
        <w:t>D. Darius requested a different homework format.</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Sleep and anxiety improved, mentoring resumed, and Darius completed an accessible course sample and two informational interviews.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Ongoing uncertainty does not negate progress but is not itself evidence of improvement.</w:t>
      </w:r>
      <w:r>
        <w:rPr>
          <w:rFonts w:ascii="Arial" w:hAnsi="Arial" w:eastAsia="Arial"/>
          <w:sz w:val="16"/>
        </w:rPr>
      </w:r>
    </w:p>
    <w:p>
      <w:pPr>
        <w:spacing w:after="20" w:before="0" w:line="240" w:lineRule="auto"/>
      </w:pPr>
      <w:r>
        <w:rPr>
          <w:rFonts w:ascii="Arial" w:hAnsi="Arial" w:eastAsia="Arial"/>
          <w:b/>
          <w:color w:val="17365D"/>
          <w:sz w:val="16"/>
        </w:rPr>
        <w:t>B. Correct. The findings show symptom, functional, relational, and career-exploration gains linked to Darius’s goals.</w:t>
      </w:r>
      <w:r>
        <w:rPr>
          <w:rFonts w:ascii="Arial" w:hAnsi="Arial" w:eastAsia="Arial"/>
          <w:sz w:val="16"/>
        </w:rPr>
      </w:r>
    </w:p>
    <w:p>
      <w:pPr>
        <w:spacing w:after="20" w:before="0" w:line="240" w:lineRule="auto"/>
      </w:pPr>
      <w:r>
        <w:rPr>
          <w:rFonts w:ascii="Arial" w:hAnsi="Arial" w:eastAsia="Arial"/>
          <w:b/>
          <w:color w:val="17365D"/>
          <w:sz w:val="16"/>
        </w:rPr>
        <w:t>C. Incorrect. The missed sessions reveal an access failure, not improvement.</w:t>
      </w:r>
      <w:r>
        <w:rPr>
          <w:rFonts w:ascii="Arial" w:hAnsi="Arial" w:eastAsia="Arial"/>
          <w:sz w:val="16"/>
        </w:rPr>
      </w:r>
    </w:p>
    <w:p>
      <w:pPr>
        <w:spacing w:after="20" w:before="0" w:line="240" w:lineRule="auto"/>
      </w:pPr>
      <w:r>
        <w:rPr>
          <w:rFonts w:ascii="Arial" w:hAnsi="Arial" w:eastAsia="Arial"/>
          <w:b/>
          <w:color w:val="17365D"/>
          <w:sz w:val="16"/>
        </w:rPr>
        <w:t>D. Incorrect. The request is useful feedback about fit but is not the strongest outcome evidence.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symptom and context data are mixed, identify concrete changes in daily function, valued roles, and client-defined goals.</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O - Outcome-monitoring gap. Progress may appear in participation, role recovery, and informed action before every problem is resolved.</w:t>
            </w:r>
          </w:p>
        </w:tc>
      </w:tr>
    </w:tbl>
    <w:p>
      <w:r>
        <w:br w:type="page"/>
      </w:r>
    </w:p>
    <w:p>
      <w:pPr>
        <w:pStyle w:val="Heading2"/>
        <w:spacing w:before="0" w:after="60" w:line="245" w:lineRule="auto"/>
        <w:keepNext/>
      </w:pPr>
      <w:r>
        <w:rPr>
          <w:rFonts w:ascii="Arial" w:hAnsi="Arial" w:eastAsia="Arial"/>
          <w:b/>
          <w:color w:val="17365D"/>
          <w:sz w:val="21"/>
        </w:rPr>
        <w:t>Question 15 (LPCC-WB10-PB-Q015)</w:t>
      </w:r>
    </w:p>
    <w:p>
      <w:pPr>
        <w:spacing w:before="0" w:after="40" w:line="245" w:lineRule="auto"/>
      </w:pPr>
      <w:r>
        <w:rPr>
          <w:rFonts w:ascii="Arial" w:hAnsi="Arial" w:eastAsia="Arial"/>
          <w:b/>
          <w:i w:val="0"/>
          <w:color w:val="159C9C"/>
          <w:sz w:val="15"/>
        </w:rPr>
        <w:t>LPCC-WB10-PB-Q015 | Application | Moderate | Primary concept: Accessible adaptation with purpose preservation</w:t>
      </w:r>
    </w:p>
    <w:p>
      <w:pPr>
        <w:spacing w:before="0" w:after="40" w:line="245" w:lineRule="auto"/>
      </w:pPr>
      <w:r>
        <w:rPr>
          <w:rFonts w:ascii="Arial" w:hAnsi="Arial" w:eastAsia="Arial"/>
          <w:b/>
          <w:i w:val="0"/>
          <w:color w:val="1F2937"/>
          <w:sz w:val="17"/>
        </w:rPr>
        <w:t>Darius reports that written English thought records are exhausting and asks for ASL video prompts and more in-session rehearsal. Which response is BEST?</w:t>
      </w:r>
    </w:p>
    <w:p>
      <w:pPr>
        <w:spacing w:before="0" w:after="16" w:line="240" w:lineRule="auto"/>
        <w:ind w:left="259" w:hanging="259"/>
      </w:pPr>
      <w:r>
        <w:rPr>
          <w:rFonts w:ascii="Arial" w:hAnsi="Arial" w:eastAsia="Arial"/>
          <w:sz w:val="16"/>
        </w:rPr>
        <w:t>A. Collaboratively use brief accessible ASL video prompts, visual examples, and in-session practice while preserving the treatment target, protecting privacy, and monitoring burden and benefit.</w:t>
      </w:r>
    </w:p>
    <w:p>
      <w:pPr>
        <w:spacing w:before="0" w:after="16" w:line="240" w:lineRule="auto"/>
        <w:ind w:left="259" w:hanging="259"/>
      </w:pPr>
      <w:r>
        <w:rPr>
          <w:rFonts w:ascii="Arial" w:hAnsi="Arial" w:eastAsia="Arial"/>
          <w:sz w:val="16"/>
        </w:rPr>
        <w:t>B. Keep the written form unchanged because using another format would invalidate treatment.</w:t>
      </w:r>
    </w:p>
    <w:p>
      <w:pPr>
        <w:spacing w:before="0" w:after="16" w:line="240" w:lineRule="auto"/>
        <w:ind w:left="259" w:hanging="259"/>
      </w:pPr>
      <w:r>
        <w:rPr>
          <w:rFonts w:ascii="Arial" w:hAnsi="Arial" w:eastAsia="Arial"/>
          <w:sz w:val="16"/>
        </w:rPr>
        <w:t>C. Eliminate structured practice and provide only general encouragement.</w:t>
      </w:r>
    </w:p>
    <w:p>
      <w:pPr>
        <w:spacing w:before="0" w:after="16" w:line="240" w:lineRule="auto"/>
        <w:ind w:left="259" w:hanging="259"/>
      </w:pPr>
      <w:r>
        <w:rPr>
          <w:rFonts w:ascii="Arial" w:hAnsi="Arial" w:eastAsia="Arial"/>
          <w:sz w:val="16"/>
        </w:rPr>
        <w:t>D. Ask Darius’s sister to translate every homework response and report compliance to the counselor.</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Collaboratively use brief accessible ASL video prompts, visual examples, and in-session practice while preserving the treatment target, protecting privacy, and monitoring burden and benefit.</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The adaptation changes delivery while preserving the clinical purpose and evaluating whether access and outcomes improve.</w:t>
      </w:r>
      <w:r>
        <w:rPr>
          <w:rFonts w:ascii="Arial" w:hAnsi="Arial" w:eastAsia="Arial"/>
          <w:sz w:val="16"/>
        </w:rPr>
      </w:r>
    </w:p>
    <w:p>
      <w:pPr>
        <w:spacing w:after="20" w:before="0" w:line="240" w:lineRule="auto"/>
      </w:pPr>
      <w:r>
        <w:rPr>
          <w:rFonts w:ascii="Arial" w:hAnsi="Arial" w:eastAsia="Arial"/>
          <w:b/>
          <w:color w:val="17365D"/>
          <w:sz w:val="16"/>
        </w:rPr>
        <w:t>B. Incorrect. Fidelity does not require an inaccessible format when the mechanism can be delivered effectively another way.</w:t>
      </w:r>
      <w:r>
        <w:rPr>
          <w:rFonts w:ascii="Arial" w:hAnsi="Arial" w:eastAsia="Arial"/>
          <w:sz w:val="16"/>
        </w:rPr>
      </w:r>
    </w:p>
    <w:p>
      <w:pPr>
        <w:spacing w:after="20" w:before="0" w:line="240" w:lineRule="auto"/>
      </w:pPr>
      <w:r>
        <w:rPr>
          <w:rFonts w:ascii="Arial" w:hAnsi="Arial" w:eastAsia="Arial"/>
          <w:b/>
          <w:color w:val="17365D"/>
          <w:sz w:val="16"/>
        </w:rPr>
        <w:t>C. Incorrect. Removing the active practice component may weaken treatment without first testing an accessible alternative.</w:t>
      </w:r>
      <w:r>
        <w:rPr>
          <w:rFonts w:ascii="Arial" w:hAnsi="Arial" w:eastAsia="Arial"/>
          <w:sz w:val="16"/>
        </w:rPr>
      </w:r>
    </w:p>
    <w:p>
      <w:pPr>
        <w:spacing w:after="20" w:before="0" w:line="240" w:lineRule="auto"/>
      </w:pPr>
      <w:r>
        <w:rPr>
          <w:rFonts w:ascii="Arial" w:hAnsi="Arial" w:eastAsia="Arial"/>
          <w:b/>
          <w:color w:val="17365D"/>
          <w:sz w:val="16"/>
        </w:rPr>
        <w:t>D. Incorrect. The plan creates privacy and role concerns and does not center Darius’s preferred communication method.</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A strong adaptation preserves the purpose, reduces an unnecessary barrier, and includes monitoring. Reject answers that equate one format with the intervention itself.</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A - ACCESS and communication error. Accessibility can strengthen fidelity by making the active ingredient usable.</w:t>
            </w:r>
          </w:p>
        </w:tc>
      </w:tr>
    </w:tbl>
    <w:p>
      <w:r>
        <w:br w:type="page"/>
      </w:r>
    </w:p>
    <w:p>
      <w:pPr>
        <w:pStyle w:val="Heading2"/>
        <w:spacing w:before="0" w:after="60" w:line="245" w:lineRule="auto"/>
        <w:keepNext/>
      </w:pPr>
      <w:r>
        <w:rPr>
          <w:rFonts w:ascii="Arial" w:hAnsi="Arial" w:eastAsia="Arial"/>
          <w:b/>
          <w:color w:val="17365D"/>
          <w:sz w:val="21"/>
        </w:rPr>
        <w:t>Question 16 (LPCC-WB10-PB-Q016)</w:t>
      </w:r>
    </w:p>
    <w:p>
      <w:pPr>
        <w:spacing w:before="0" w:after="40" w:line="245" w:lineRule="auto"/>
      </w:pPr>
      <w:r>
        <w:rPr>
          <w:rFonts w:ascii="Arial" w:hAnsi="Arial" w:eastAsia="Arial"/>
          <w:b/>
          <w:i w:val="0"/>
          <w:color w:val="159C9C"/>
          <w:sz w:val="15"/>
        </w:rPr>
        <w:t>LPCC-WB10-PB-Q016 | Integrated Clinical Reasoning | Difficult | Primary concept: Power-aware rupture repair</w:t>
      </w:r>
    </w:p>
    <w:p>
      <w:pPr>
        <w:spacing w:before="0" w:after="40" w:line="245" w:lineRule="auto"/>
      </w:pPr>
      <w:r>
        <w:rPr>
          <w:rFonts w:ascii="Arial" w:hAnsi="Arial" w:eastAsia="Arial"/>
          <w:b/>
          <w:i w:val="0"/>
          <w:color w:val="1F2937"/>
          <w:sz w:val="17"/>
        </w:rPr>
        <w:t>After the counselor says, “We need more commitment if this is going to work,” Darius reports feeling blamed for access failures. What should the counselor do FIRST?</w:t>
      </w:r>
    </w:p>
    <w:p>
      <w:pPr>
        <w:spacing w:before="0" w:after="16" w:line="240" w:lineRule="auto"/>
        <w:ind w:left="259" w:hanging="259"/>
      </w:pPr>
      <w:r>
        <w:rPr>
          <w:rFonts w:ascii="Arial" w:hAnsi="Arial" w:eastAsia="Arial"/>
          <w:sz w:val="16"/>
        </w:rPr>
        <w:t>A. Explain that the comment was clinically necessary and that Darius misunderstood the counselor’s intent.</w:t>
      </w:r>
    </w:p>
    <w:p>
      <w:pPr>
        <w:spacing w:before="0" w:after="16" w:line="240" w:lineRule="auto"/>
        <w:ind w:left="259" w:hanging="259"/>
      </w:pPr>
      <w:r>
        <w:rPr>
          <w:rFonts w:ascii="Arial" w:hAnsi="Arial" w:eastAsia="Arial"/>
          <w:sz w:val="16"/>
        </w:rPr>
        <w:t>B. Avoid discussing the comment so the alliance can recover naturally.</w:t>
      </w:r>
    </w:p>
    <w:p>
      <w:pPr>
        <w:spacing w:before="0" w:after="16" w:line="240" w:lineRule="auto"/>
        <w:ind w:left="259" w:hanging="259"/>
      </w:pPr>
      <w:r>
        <w:rPr>
          <w:rFonts w:ascii="Arial" w:hAnsi="Arial" w:eastAsia="Arial"/>
          <w:sz w:val="16"/>
        </w:rPr>
        <w:t>C. Acknowledge the impact and the counselor’s contribution, apologize without defensiveness, invite Darius’s perspective and preferred repair, correct the access process, and reassess alliance and safety.</w:t>
      </w:r>
    </w:p>
    <w:p>
      <w:pPr>
        <w:spacing w:before="0" w:after="16" w:line="240" w:lineRule="auto"/>
        <w:ind w:left="259" w:hanging="259"/>
      </w:pPr>
      <w:r>
        <w:rPr>
          <w:rFonts w:ascii="Arial" w:hAnsi="Arial" w:eastAsia="Arial"/>
          <w:sz w:val="16"/>
        </w:rPr>
        <w:t>D. Refer Darius immediately because disagreement shows the therapeutic fit is irreparable.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Acknowledge the impact and the counselor’s contribution, apologize without defensiveness, invite Darius’s perspective and preferred repair, correct the access process, and reassess alliance and safety.</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Defending intent can repeat the power problem and minimize the client’s experience.</w:t>
      </w:r>
      <w:r>
        <w:rPr>
          <w:rFonts w:ascii="Arial" w:hAnsi="Arial" w:eastAsia="Arial"/>
          <w:sz w:val="16"/>
        </w:rPr>
      </w:r>
    </w:p>
    <w:p>
      <w:pPr>
        <w:spacing w:after="20" w:before="0" w:line="240" w:lineRule="auto"/>
      </w:pPr>
      <w:r>
        <w:rPr>
          <w:rFonts w:ascii="Arial" w:hAnsi="Arial" w:eastAsia="Arial"/>
          <w:b/>
          <w:color w:val="17365D"/>
          <w:sz w:val="16"/>
        </w:rPr>
        <w:t>B. Incorrect. Silence leaves the rupture and access failure unaddressed.</w:t>
      </w:r>
      <w:r>
        <w:rPr>
          <w:rFonts w:ascii="Arial" w:hAnsi="Arial" w:eastAsia="Arial"/>
          <w:sz w:val="16"/>
        </w:rPr>
      </w:r>
    </w:p>
    <w:p>
      <w:pPr>
        <w:spacing w:after="20" w:before="0" w:line="240" w:lineRule="auto"/>
      </w:pPr>
      <w:r>
        <w:rPr>
          <w:rFonts w:ascii="Arial" w:hAnsi="Arial" w:eastAsia="Arial"/>
          <w:b/>
          <w:color w:val="17365D"/>
          <w:sz w:val="16"/>
        </w:rPr>
        <w:t>C. Correct. Effective repair prioritizes impact, responsibility, curiosity, changed behavior, and continued clinical assessment.</w:t>
      </w:r>
      <w:r>
        <w:rPr>
          <w:rFonts w:ascii="Arial" w:hAnsi="Arial" w:eastAsia="Arial"/>
          <w:sz w:val="16"/>
        </w:rPr>
      </w:r>
    </w:p>
    <w:p>
      <w:pPr>
        <w:spacing w:after="20" w:before="0" w:line="240" w:lineRule="auto"/>
      </w:pPr>
      <w:r>
        <w:rPr>
          <w:rFonts w:ascii="Arial" w:hAnsi="Arial" w:eastAsia="Arial"/>
          <w:b/>
          <w:color w:val="17365D"/>
          <w:sz w:val="16"/>
        </w:rPr>
        <w:t>D. Incorrect. Referral may be appropriate for some fit problems, but one named rupture should first receive a genuine repair attempt unless another concern controls.</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Rupture questions favor impact over intent. Choose acknowledgment, responsibility, invitation, and behavioral change rather than explanation, avoidance, or premature termination.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P - Power and rupture-repair error. Repair is demonstrated by changed behavior, not only by a statement of good intention.</w:t>
            </w:r>
          </w:p>
        </w:tc>
      </w:tr>
    </w:tbl>
    <w:p>
      <w:r>
        <w:br w:type="page"/>
      </w:r>
    </w:p>
    <w:p>
      <w:pPr>
        <w:pStyle w:val="Heading2"/>
        <w:spacing w:before="0" w:after="60" w:line="245" w:lineRule="auto"/>
        <w:keepNext/>
      </w:pPr>
      <w:r>
        <w:rPr>
          <w:rFonts w:ascii="Arial" w:hAnsi="Arial" w:eastAsia="Arial"/>
          <w:b/>
          <w:color w:val="17365D"/>
          <w:sz w:val="21"/>
        </w:rPr>
        <w:t>Question 17 (LPCC-WB10-PB-Q017)</w:t>
      </w:r>
    </w:p>
    <w:p>
      <w:pPr>
        <w:spacing w:before="0" w:after="40" w:line="245" w:lineRule="auto"/>
      </w:pPr>
      <w:r>
        <w:rPr>
          <w:rFonts w:ascii="Arial" w:hAnsi="Arial" w:eastAsia="Arial"/>
          <w:b/>
          <w:i w:val="0"/>
          <w:color w:val="159C9C"/>
          <w:sz w:val="15"/>
        </w:rPr>
        <w:t>LPCC-WB10-PB-Q017 | Integrated Clinical Reasoning | Difficult | Primary concept: Coordinated access advocacy and continuity</w:t>
      </w:r>
    </w:p>
    <w:p>
      <w:pPr>
        <w:spacing w:before="0" w:after="40" w:line="245" w:lineRule="auto"/>
      </w:pPr>
      <w:r>
        <w:rPr>
          <w:rFonts w:ascii="Arial" w:hAnsi="Arial" w:eastAsia="Arial"/>
          <w:b/>
          <w:i w:val="0"/>
          <w:color w:val="1F2937"/>
          <w:sz w:val="17"/>
        </w:rPr>
        <w:t>Darius authorizes coordination with a vocational-rehabilitation counselor and the clinic access coordinator, but not his employer. What is the BEST plan?</w:t>
      </w:r>
    </w:p>
    <w:p>
      <w:pPr>
        <w:spacing w:before="0" w:after="16" w:line="240" w:lineRule="auto"/>
        <w:ind w:left="259" w:hanging="259"/>
      </w:pPr>
      <w:r>
        <w:rPr>
          <w:rFonts w:ascii="Arial" w:hAnsi="Arial" w:eastAsia="Arial"/>
          <w:sz w:val="16"/>
        </w:rPr>
        <w:t>A. Send the full psychotherapy record to both contacts so they have complete background.</w:t>
      </w:r>
    </w:p>
    <w:p>
      <w:pPr>
        <w:spacing w:before="0" w:after="16" w:line="240" w:lineRule="auto"/>
        <w:ind w:left="259" w:hanging="259"/>
      </w:pPr>
      <w:r>
        <w:rPr>
          <w:rFonts w:ascii="Arial" w:hAnsi="Arial" w:eastAsia="Arial"/>
          <w:sz w:val="16"/>
        </w:rPr>
        <w:t>B. Contact the employer as well because the counselor believes broader disclosure would be helpful.</w:t>
      </w:r>
    </w:p>
    <w:p>
      <w:pPr>
        <w:spacing w:before="0" w:after="16" w:line="240" w:lineRule="auto"/>
        <w:ind w:left="259" w:hanging="259"/>
      </w:pPr>
      <w:r>
        <w:rPr>
          <w:rFonts w:ascii="Arial" w:hAnsi="Arial" w:eastAsia="Arial"/>
          <w:sz w:val="16"/>
        </w:rPr>
        <w:t>C. Transfer all responsibility for access and career planning to vocational rehabilitation and end counseling.</w:t>
      </w:r>
    </w:p>
    <w:p>
      <w:pPr>
        <w:spacing w:before="0" w:after="16" w:line="240" w:lineRule="auto"/>
        <w:ind w:left="259" w:hanging="259"/>
      </w:pPr>
      <w:r>
        <w:rPr>
          <w:rFonts w:ascii="Arial" w:hAnsi="Arial" w:eastAsia="Arial"/>
          <w:sz w:val="16"/>
        </w:rPr>
        <w:t>D. Clarify each purpose and role, obtain and document specific authorization, share only relevant information, coordinate interpreter and appointment access, follow up on outcomes, and maintain counseling or refer only when needs exceed competence or setting.</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Clarify each purpose and role, obtain and document specific authorization, share only relevant information, coordinate interpreter and appointment access, follow up on outcomes, and maintain counseling or refer only when needs exceed competence or setting.</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Coordination does not automatically require the full psychotherapy record; disclosure should be limited to the authorized purpose.</w:t>
      </w:r>
      <w:r>
        <w:rPr>
          <w:rFonts w:ascii="Arial" w:hAnsi="Arial" w:eastAsia="Arial"/>
          <w:sz w:val="16"/>
        </w:rPr>
      </w:r>
    </w:p>
    <w:p>
      <w:pPr>
        <w:spacing w:after="20" w:before="0" w:line="240" w:lineRule="auto"/>
      </w:pPr>
      <w:r>
        <w:rPr>
          <w:rFonts w:ascii="Arial" w:hAnsi="Arial" w:eastAsia="Arial"/>
          <w:b/>
          <w:color w:val="17365D"/>
          <w:sz w:val="16"/>
        </w:rPr>
        <w:t>B. Incorrect. The employer remains outside Darius’s authorization.</w:t>
      </w:r>
      <w:r>
        <w:rPr>
          <w:rFonts w:ascii="Arial" w:hAnsi="Arial" w:eastAsia="Arial"/>
          <w:sz w:val="16"/>
        </w:rPr>
      </w:r>
    </w:p>
    <w:p>
      <w:pPr>
        <w:spacing w:after="20" w:before="0" w:line="240" w:lineRule="auto"/>
      </w:pPr>
      <w:r>
        <w:rPr>
          <w:rFonts w:ascii="Arial" w:hAnsi="Arial" w:eastAsia="Arial"/>
          <w:b/>
          <w:color w:val="17365D"/>
          <w:sz w:val="16"/>
        </w:rPr>
        <w:t>C. Incorrect. Collaboration does not require abandonment of the counseling role or loss of continuity.</w:t>
      </w:r>
      <w:r>
        <w:rPr>
          <w:rFonts w:ascii="Arial" w:hAnsi="Arial" w:eastAsia="Arial"/>
          <w:sz w:val="16"/>
        </w:rPr>
      </w:r>
    </w:p>
    <w:p>
      <w:pPr>
        <w:spacing w:after="20" w:before="0" w:line="240" w:lineRule="auto"/>
      </w:pPr>
      <w:r>
        <w:rPr>
          <w:rFonts w:ascii="Arial" w:hAnsi="Arial" w:eastAsia="Arial"/>
          <w:b/>
          <w:color w:val="17365D"/>
          <w:sz w:val="16"/>
        </w:rPr>
        <w:t>D. Correct. The plan protects consent and confidentiality, clarifies roles, addresses access, monitors the handoff, and preserves continuity and competence boundaries.</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The best coordination answer specifies authorization, purpose, minimum necessary information, role clarity, follow-up, and continuity. Avoid broad disclosure or transfer without clinical reason.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C - Consent and coordination error. Collaboration is strongest when the client controls authorized partners and the counselor preserves confidentiality and continuity.</w:t>
            </w:r>
          </w:p>
        </w:tc>
      </w:tr>
    </w:tbl>
    <w:p>
      <w:r>
        <w:br w:type="page"/>
      </w:r>
    </w:p>
    <w:p>
      <w:pPr>
        <w:pStyle w:val="Heading1"/>
        <w:spacing w:before="0" w:after="60" w:line="245" w:lineRule="auto"/>
        <w:keepNext/>
      </w:pPr>
      <w:r>
        <w:rPr>
          <w:rFonts w:ascii="Arial" w:hAnsi="Arial" w:eastAsia="Arial"/>
          <w:b/>
          <w:color w:val="159C9C"/>
          <w:sz w:val="28"/>
        </w:rPr>
        <w:t>Scoring and Error Analysis</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633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Scoring Area</w:t>
            </w:r>
          </w:p>
        </w:tc>
        <w:tc>
          <w:tcPr>
            <w:tcW w:type="dxa" w:w="374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Result</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Raw score</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17</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Easy</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Moderate</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7</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Difficult</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High-confidence incorrect</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Low-confidence correct</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Case Questions 6-17</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12</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Targeted Questions 1-5</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bl>
    <w:p>
      <w:pPr>
        <w:pStyle w:val="Heading2"/>
        <w:spacing w:before="0" w:after="60" w:line="245" w:lineRule="auto"/>
        <w:keepNext/>
      </w:pPr>
      <w:r>
        <w:rPr>
          <w:rFonts w:ascii="Arial" w:hAnsi="Arial" w:eastAsia="Arial"/>
          <w:b/>
          <w:color w:val="17365D"/>
          <w:sz w:val="21"/>
        </w:rPr>
        <w:t>Workbook 10 Error-Code Guide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64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Code</w:t>
            </w:r>
          </w:p>
        </w:tc>
        <w:tc>
          <w:tcPr>
            <w:tcW w:type="dxa" w:w="302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Meaning</w:t>
            </w:r>
          </w:p>
        </w:tc>
        <w:tc>
          <w:tcPr>
            <w:tcW w:type="dxa" w:w="640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Remediation Question</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HUMBLE and assumption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invite the client’s meaning, examine power and bias, and repair rather than defend my intent?</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ACCESS and communication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Was the communication method effective, confidential, client-preferred, and verified rather than merely convenient?</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LIFESPAN and career-verdict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use theory or assessment as one source of information instead of prescribing a life decision?</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MEANING and spiritual-integration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follow the client’s meaning while assessing grief, safety, function, consent, boundaries, and competence?</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RESPOND and advocacy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gather affected people’s input, preserve clinical purpose, obtain consent, and use proportionate role-consistent advocacy?</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Sequencing and safety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address immediate safety, effective communication, and participation before lower-priority intervention steps?</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O</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Outcome-monitoring gap</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track symptoms, access, burden, function, alliance, safety, and client-defined benefit?</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Power and rupture-repair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prioritize impact, responsibility, invitation, and changed behavior over defending good intent?</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Consent and coordination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clarify authorization, purpose, minimum necessary information, roles, and follow-up?</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K</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Competence and referral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consult or refer when specialized assessment, access, spiritual, vocational, medical, or rehabilitation expertise was needed?</w:t>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INTERPRETATION RULE</w:t>
            </w:r>
          </w:p>
          <w:p>
            <w:pPr>
              <w:spacing w:before="0" w:after="0" w:line="240" w:lineRule="auto"/>
            </w:pPr>
            <w:r>
              <w:rPr>
                <w:rFonts w:ascii="Arial" w:hAnsi="Arial" w:eastAsia="Arial"/>
                <w:color w:val="1F2937"/>
                <w:sz w:val="16"/>
              </w:rPr>
              <w:t>A correct answer with low confidence still deserves review. A repeated error code is more useful than one raw score because it identifies the decision process to change.</w:t>
            </w:r>
          </w:p>
        </w:tc>
      </w:tr>
    </w:tbl>
    <w:p>
      <w:r>
        <w:br w:type="page"/>
      </w:r>
    </w:p>
    <w:p>
      <w:pPr>
        <w:pStyle w:val="Heading1"/>
        <w:spacing w:before="0" w:after="60" w:line="245" w:lineRule="auto"/>
        <w:keepNext/>
      </w:pPr>
      <w:r>
        <w:rPr>
          <w:rFonts w:ascii="Arial" w:hAnsi="Arial" w:eastAsia="Arial"/>
          <w:b/>
          <w:color w:val="159C9C"/>
          <w:sz w:val="28"/>
        </w:rPr>
        <w:t>Remediation Record</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93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Question</w:t>
            </w:r>
          </w:p>
        </w:tc>
        <w:tc>
          <w:tcPr>
            <w:tcW w:type="dxa" w:w="144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Error Code</w:t>
            </w:r>
          </w:p>
        </w:tc>
        <w:tc>
          <w:tcPr>
            <w:tcW w:type="dxa" w:w="417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Why My Answer Was Weaker</w:t>
            </w:r>
          </w:p>
        </w:tc>
        <w:tc>
          <w:tcPr>
            <w:tcW w:type="dxa" w:w="352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Transferable Correction Rule</w:t>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bl>
    <w:p>
      <w:pPr>
        <w:pStyle w:val="Heading2"/>
        <w:spacing w:before="0" w:after="60" w:line="245" w:lineRule="auto"/>
        <w:keepNext/>
      </w:pPr>
      <w:r>
        <w:rPr>
          <w:rFonts w:ascii="Arial" w:hAnsi="Arial" w:eastAsia="Arial"/>
          <w:b/>
          <w:color w:val="17365D"/>
          <w:sz w:val="21"/>
        </w:rPr>
        <w:t>Build a New Application Item</w:t>
      </w:r>
    </w:p>
    <w:p>
      <w:pPr>
        <w:pStyle w:val="ListNumber"/>
        <w:spacing w:before="0" w:after="20" w:line="245" w:lineRule="auto"/>
      </w:pPr>
      <w:r>
        <w:rPr>
          <w:rFonts w:ascii="Arial" w:hAnsi="Arial"/>
          <w:sz w:val="16"/>
        </w:rPr>
        <w:t>Select one missed access, context, meaning, developmental, or advocacy rule.</w:t>
      </w:r>
    </w:p>
    <w:p>
      <w:pPr>
        <w:pStyle w:val="ListNumber"/>
        <w:spacing w:before="0" w:after="20" w:line="245" w:lineRule="auto"/>
      </w:pPr>
      <w:r>
        <w:rPr>
          <w:rFonts w:ascii="Arial" w:hAnsi="Arial"/>
          <w:sz w:val="16"/>
        </w:rPr>
        <w:t>Write a new two- or three-sentence clinical stem using different client details and avoiding stereotype-based assumptions.</w:t>
      </w:r>
    </w:p>
    <w:p>
      <w:pPr>
        <w:pStyle w:val="ListNumber"/>
        <w:spacing w:before="0" w:after="20" w:line="245" w:lineRule="auto"/>
      </w:pPr>
      <w:r>
        <w:rPr>
          <w:rFonts w:ascii="Arial" w:hAnsi="Arial"/>
          <w:sz w:val="16"/>
        </w:rPr>
        <w:t>Create one best answer that follows HUMBLE, ACCESS, LIFESPAN, MEANING, or RESPOND.</w:t>
      </w:r>
    </w:p>
    <w:p>
      <w:pPr>
        <w:pStyle w:val="ListNumber"/>
        <w:spacing w:before="0" w:after="20" w:line="245" w:lineRule="auto"/>
      </w:pPr>
      <w:r>
        <w:rPr>
          <w:rFonts w:ascii="Arial" w:hAnsi="Arial"/>
          <w:sz w:val="16"/>
        </w:rPr>
        <w:t>Create three plausible distractors: sameness instead of equity, test-as-verdict, counselor-centered meaning, access delay, stereotype, unauthorized advocacy, or rupture defensiveness.</w:t>
      </w:r>
    </w:p>
    <w:p>
      <w:pPr>
        <w:pStyle w:val="ListNumber"/>
        <w:spacing w:before="0" w:after="20" w:line="245" w:lineRule="auto"/>
      </w:pPr>
      <w:r>
        <w:rPr>
          <w:rFonts w:ascii="Arial" w:hAnsi="Arial"/>
          <w:sz w:val="16"/>
        </w:rPr>
        <w:t>Explain why the best answer is stronger through client agency, effective participation, context, consent, competence, and measurable follow-through.</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MY NEXT STUDY PRIORITY</w:t>
            </w:r>
          </w:p>
          <w:p>
            <w:pPr>
              <w:spacing w:before="0" w:after="0" w:line="240" w:lineRule="auto"/>
            </w:pPr>
            <w:r>
              <w:rPr>
                <w:rFonts w:ascii="Arial" w:hAnsi="Arial" w:eastAsia="Arial"/>
                <w:color w:val="1F2937"/>
                <w:sz w:val="16"/>
              </w:rPr>
              <w:t>Tool or topic: ________________________________    Review date: ________________</w:t>
              <w:br/>
              <w:t>New practice item or case to complete: _________________________________</w:t>
            </w:r>
          </w:p>
        </w:tc>
      </w:tr>
    </w:tbl>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PROGRESS, NOT A GUARANTEE</w:t>
            </w:r>
          </w:p>
          <w:p>
            <w:pPr>
              <w:spacing w:before="0" w:after="0" w:line="240" w:lineRule="auto"/>
            </w:pPr>
            <w:r>
              <w:rPr>
                <w:rFonts w:ascii="Arial" w:hAnsi="Arial" w:eastAsia="Arial"/>
                <w:color w:val="1F2937"/>
                <w:sz w:val="15"/>
              </w:rPr>
              <w:t>Use this bank to improve reasoning, not to predict an official examination result. CTA practice scores are not NBCC scaled scores and do not establish licensure readiness by themselves.</w:t>
            </w:r>
          </w:p>
        </w:tc>
      </w:tr>
    </w:tbl>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WB10 Practice Bank Answer &amp; Rationales v1.0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WB9 - 17-Question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10 17-Question Practice Bank - Answer and Rationales</dc:title>
  <dc:subject>Multicultural, Developmental, Career, Spiritual, Disability, and Context-Responsive Counseling</dc:subject>
  <dc:creator>Clinical Training Academy</dc:creator>
  <cp:keywords>LPCC, NCMHCE, evidence-based interventions, rationales</cp:keywords>
  <dc:description>Answer and Rationales v1.0 - July 2026</dc:description>
  <cp:lastModifiedBy/>
  <cp:revision>1</cp:revision>
  <dcterms:created xsi:type="dcterms:W3CDTF">2013-12-23T23:15:00Z</dcterms:created>
  <dcterms:modified xsi:type="dcterms:W3CDTF">2013-12-23T23:15:00Z</dcterms:modified>
  <cp:category/>
</cp:coreProperties>
</file>